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3EE47">
      <w:pPr>
        <w:spacing w:line="360" w:lineRule="auto"/>
        <w:jc w:val="center"/>
        <w:rPr>
          <w:rFonts w:ascii="Arial Unicode MS" w:hAnsi="宋体" w:eastAsia="Arial Unicode MS"/>
          <w:color w:val="000000" w:themeColor="text1"/>
          <w:sz w:val="52"/>
          <w:szCs w:val="52"/>
          <w14:textFill>
            <w14:solidFill>
              <w14:schemeClr w14:val="tx1"/>
            </w14:solidFill>
          </w14:textFill>
        </w:rPr>
      </w:pPr>
      <w:r>
        <w:rPr>
          <w:rFonts w:hint="eastAsia" w:ascii="Arial Unicode MS" w:hAnsi="宋体" w:eastAsia="Arial Unicode MS"/>
          <w:color w:val="000000" w:themeColor="text1"/>
          <w:sz w:val="52"/>
          <w:szCs w:val="52"/>
          <w14:textFill>
            <w14:solidFill>
              <w14:schemeClr w14:val="tx1"/>
            </w14:solidFill>
          </w14:textFill>
        </w:rPr>
        <w:t>云之龙咨询集团有限公司</w:t>
      </w:r>
    </w:p>
    <w:p w14:paraId="1159010C">
      <w:pPr>
        <w:spacing w:line="360" w:lineRule="auto"/>
        <w:rPr>
          <w:rFonts w:ascii="Arial Unicode MS" w:hAnsi="Arial Unicode MS" w:eastAsia="Arial Unicode MS" w:cs="Arial Unicode MS"/>
          <w:b/>
          <w:color w:val="000000" w:themeColor="text1"/>
          <w:sz w:val="44"/>
          <w:szCs w:val="44"/>
          <w14:textFill>
            <w14:solidFill>
              <w14:schemeClr w14:val="tx1"/>
            </w14:solidFill>
          </w14:textFill>
        </w:rPr>
      </w:pPr>
    </w:p>
    <w:p w14:paraId="1E89E860">
      <w:pPr>
        <w:spacing w:line="360" w:lineRule="auto"/>
        <w:rPr>
          <w:rFonts w:ascii="Arial Unicode MS" w:hAnsi="Arial Unicode MS" w:eastAsia="Arial Unicode MS" w:cs="Arial Unicode MS"/>
          <w:b/>
          <w:color w:val="000000" w:themeColor="text1"/>
          <w:sz w:val="44"/>
          <w:szCs w:val="44"/>
          <w14:textFill>
            <w14:solidFill>
              <w14:schemeClr w14:val="tx1"/>
            </w14:solidFill>
          </w14:textFill>
        </w:rPr>
      </w:pPr>
    </w:p>
    <w:p w14:paraId="2BA47B80">
      <w:pPr>
        <w:spacing w:before="156" w:line="360" w:lineRule="auto"/>
        <w:jc w:val="center"/>
        <w:rPr>
          <w:rFonts w:ascii="华文细黑" w:hAnsi="华文细黑" w:eastAsia="华文细黑" w:cs="华文细黑"/>
          <w:color w:val="000000" w:themeColor="text1"/>
          <w:sz w:val="100"/>
          <w:szCs w:val="100"/>
          <w14:textFill>
            <w14:solidFill>
              <w14:schemeClr w14:val="tx1"/>
            </w14:solidFill>
          </w14:textFill>
        </w:rPr>
      </w:pPr>
      <w:r>
        <w:rPr>
          <w:rFonts w:hint="eastAsia" w:ascii="华文细黑" w:hAnsi="华文细黑" w:eastAsia="华文细黑" w:cs="华文细黑"/>
          <w:color w:val="000000" w:themeColor="text1"/>
          <w:sz w:val="100"/>
          <w:szCs w:val="100"/>
          <w14:textFill>
            <w14:solidFill>
              <w14:schemeClr w14:val="tx1"/>
            </w14:solidFill>
          </w14:textFill>
        </w:rPr>
        <w:t>竞争性谈判文件</w:t>
      </w:r>
    </w:p>
    <w:p w14:paraId="6022A20F">
      <w:pPr>
        <w:spacing w:before="156" w:line="360" w:lineRule="auto"/>
        <w:jc w:val="center"/>
        <w:rPr>
          <w:rFonts w:ascii="仿宋_GB2312" w:hAnsi="宋体" w:eastAsia="仿宋_GB2312"/>
          <w:b/>
          <w:color w:val="000000" w:themeColor="text1"/>
          <w:sz w:val="30"/>
          <w:szCs w:val="72"/>
          <w14:textFill>
            <w14:solidFill>
              <w14:schemeClr w14:val="tx1"/>
            </w14:solidFill>
          </w14:textFill>
        </w:rPr>
      </w:pPr>
      <w:r>
        <w:rPr>
          <w:rFonts w:hint="eastAsia" w:ascii="仿宋_GB2312" w:hAnsi="宋体" w:eastAsia="仿宋_GB2312"/>
          <w:b/>
          <w:color w:val="000000" w:themeColor="text1"/>
          <w:sz w:val="48"/>
          <w:szCs w:val="48"/>
          <w14:textFill>
            <w14:solidFill>
              <w14:schemeClr w14:val="tx1"/>
            </w14:solidFill>
          </w14:textFill>
        </w:rPr>
        <w:t>（全流程电子化采购）</w:t>
      </w:r>
    </w:p>
    <w:p w14:paraId="2BAFFB02">
      <w:pPr>
        <w:spacing w:line="360" w:lineRule="auto"/>
        <w:rPr>
          <w:rFonts w:ascii="仿宋_GB2312" w:hAnsi="宋体" w:eastAsia="仿宋_GB2312"/>
          <w:color w:val="000000" w:themeColor="text1"/>
          <w:sz w:val="30"/>
          <w:szCs w:val="72"/>
          <w14:textFill>
            <w14:solidFill>
              <w14:schemeClr w14:val="tx1"/>
            </w14:solidFill>
          </w14:textFill>
        </w:rPr>
      </w:pPr>
    </w:p>
    <w:p w14:paraId="193D423D">
      <w:pPr>
        <w:pStyle w:val="225"/>
        <w:spacing w:line="360" w:lineRule="auto"/>
        <w:ind w:firstLine="1193"/>
        <w:rPr>
          <w:rFonts w:ascii="仿宋_GB2312" w:hAnsi="宋体" w:eastAsia="仿宋_GB2312"/>
          <w:b/>
          <w:bCs/>
          <w:color w:val="000000" w:themeColor="text1"/>
          <w:sz w:val="30"/>
          <w:szCs w:val="30"/>
          <w14:textFill>
            <w14:solidFill>
              <w14:schemeClr w14:val="tx1"/>
            </w14:solidFill>
          </w14:textFill>
        </w:rPr>
      </w:pPr>
    </w:p>
    <w:p w14:paraId="5E22CEB6">
      <w:pPr>
        <w:pStyle w:val="225"/>
        <w:spacing w:line="360" w:lineRule="auto"/>
        <w:ind w:firstLine="904"/>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项目</w:t>
      </w:r>
      <w:r>
        <w:rPr>
          <w:rFonts w:hint="eastAsia" w:ascii="仿宋_GB2312" w:hAnsi="宋体" w:eastAsia="仿宋_GB2312" w:cs="Courier New"/>
          <w:b/>
          <w:bCs/>
          <w:color w:val="000000" w:themeColor="text1"/>
          <w:sz w:val="30"/>
          <w:szCs w:val="30"/>
          <w14:textFill>
            <w14:solidFill>
              <w14:schemeClr w14:val="tx1"/>
            </w14:solidFill>
          </w14:textFill>
        </w:rPr>
        <w:t>名称</w:t>
      </w:r>
      <w:r>
        <w:rPr>
          <w:rFonts w:hint="eastAsia" w:ascii="仿宋_GB2312" w:hAnsi="宋体" w:eastAsia="仿宋_GB2312"/>
          <w:b/>
          <w:bCs/>
          <w:color w:val="000000" w:themeColor="text1"/>
          <w:sz w:val="30"/>
          <w:szCs w:val="30"/>
          <w14:textFill>
            <w14:solidFill>
              <w14:schemeClr w14:val="tx1"/>
            </w14:solidFill>
          </w14:textFill>
        </w:rPr>
        <w:t>：宁明县海渊镇中心卫生院中医康复能力建设项目</w:t>
      </w:r>
    </w:p>
    <w:p w14:paraId="786110ED">
      <w:pPr>
        <w:spacing w:line="360" w:lineRule="auto"/>
        <w:ind w:firstLine="859"/>
        <w:rPr>
          <w:rFonts w:ascii="仿宋_GB2312" w:hAnsi="宋体" w:eastAsia="仿宋_GB2312" w:cs="Courier New"/>
          <w:b/>
          <w:bCs/>
          <w:color w:val="000000" w:themeColor="text1"/>
          <w:sz w:val="30"/>
          <w:szCs w:val="30"/>
          <w14:textFill>
            <w14:solidFill>
              <w14:schemeClr w14:val="tx1"/>
            </w14:solidFill>
          </w14:textFill>
        </w:rPr>
      </w:pPr>
      <w:r>
        <w:rPr>
          <w:rFonts w:hint="eastAsia" w:ascii="仿宋_GB2312" w:hAnsi="宋体" w:eastAsia="仿宋_GB2312" w:cs="Courier New"/>
          <w:b/>
          <w:bCs/>
          <w:color w:val="000000" w:themeColor="text1"/>
          <w:sz w:val="30"/>
          <w:szCs w:val="30"/>
          <w14:textFill>
            <w14:solidFill>
              <w14:schemeClr w14:val="tx1"/>
            </w14:solidFill>
          </w14:textFill>
        </w:rPr>
        <w:t>项目</w:t>
      </w:r>
      <w:r>
        <w:rPr>
          <w:rFonts w:hint="eastAsia" w:ascii="仿宋_GB2312" w:hAnsi="宋体" w:eastAsia="仿宋_GB2312"/>
          <w:b/>
          <w:bCs/>
          <w:color w:val="000000" w:themeColor="text1"/>
          <w:sz w:val="30"/>
          <w:szCs w:val="30"/>
          <w14:textFill>
            <w14:solidFill>
              <w14:schemeClr w14:val="tx1"/>
            </w14:solidFill>
          </w14:textFill>
        </w:rPr>
        <w:t>编号</w:t>
      </w:r>
      <w:r>
        <w:rPr>
          <w:rFonts w:hint="eastAsia" w:ascii="仿宋_GB2312" w:hAnsi="宋体" w:eastAsia="仿宋_GB2312" w:cs="Courier New"/>
          <w:b/>
          <w:bCs/>
          <w:color w:val="000000" w:themeColor="text1"/>
          <w:sz w:val="30"/>
          <w:szCs w:val="30"/>
          <w14:textFill>
            <w14:solidFill>
              <w14:schemeClr w14:val="tx1"/>
            </w14:solidFill>
          </w14:textFill>
        </w:rPr>
        <w:t>：CZZC2026-J1-220120-YZLZ</w:t>
      </w:r>
    </w:p>
    <w:p w14:paraId="3ED35B1E">
      <w:pPr>
        <w:spacing w:line="360" w:lineRule="auto"/>
        <w:ind w:firstLine="1205"/>
        <w:rPr>
          <w:rFonts w:ascii="仿宋_GB2312" w:hAnsi="宋体" w:eastAsia="仿宋_GB2312"/>
          <w:b/>
          <w:color w:val="000000" w:themeColor="text1"/>
          <w:sz w:val="30"/>
          <w:szCs w:val="48"/>
          <w14:textFill>
            <w14:solidFill>
              <w14:schemeClr w14:val="tx1"/>
            </w14:solidFill>
          </w14:textFill>
        </w:rPr>
      </w:pPr>
      <w:r>
        <w:rPr>
          <w:rFonts w:hint="eastAsia" w:ascii="仿宋_GB2312" w:hAnsi="宋体" w:eastAsia="仿宋_GB2312"/>
          <w:b/>
          <w:color w:val="000000" w:themeColor="text1"/>
          <w:sz w:val="30"/>
          <w:szCs w:val="48"/>
          <w14:textFill>
            <w14:solidFill>
              <w14:schemeClr w14:val="tx1"/>
            </w14:solidFill>
          </w14:textFill>
        </w:rPr>
        <w:t xml:space="preserve"> </w:t>
      </w:r>
    </w:p>
    <w:p w14:paraId="4D5B7406">
      <w:pPr>
        <w:spacing w:line="360" w:lineRule="auto"/>
        <w:ind w:firstLine="1205"/>
        <w:rPr>
          <w:rFonts w:ascii="仿宋_GB2312" w:hAnsi="宋体" w:eastAsia="仿宋_GB2312"/>
          <w:b/>
          <w:color w:val="000000" w:themeColor="text1"/>
          <w:sz w:val="30"/>
          <w:szCs w:val="48"/>
          <w14:textFill>
            <w14:solidFill>
              <w14:schemeClr w14:val="tx1"/>
            </w14:solidFill>
          </w14:textFill>
        </w:rPr>
      </w:pPr>
    </w:p>
    <w:p w14:paraId="487EFA1F">
      <w:pPr>
        <w:pStyle w:val="272"/>
        <w:rPr>
          <w:rFonts w:ascii="仿宋_GB2312" w:hAnsi="宋体" w:eastAsia="仿宋_GB2312"/>
          <w:b/>
          <w:color w:val="000000" w:themeColor="text1"/>
          <w:sz w:val="30"/>
          <w:szCs w:val="48"/>
          <w14:textFill>
            <w14:solidFill>
              <w14:schemeClr w14:val="tx1"/>
            </w14:solidFill>
          </w14:textFill>
        </w:rPr>
      </w:pPr>
    </w:p>
    <w:p w14:paraId="4A4E5F56">
      <w:pPr>
        <w:pStyle w:val="225"/>
        <w:spacing w:line="360" w:lineRule="auto"/>
        <w:ind w:firstLine="112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采 购 人：宁明县海渊镇中心卫生院 </w:t>
      </w:r>
    </w:p>
    <w:p w14:paraId="3BAC4B8C">
      <w:pPr>
        <w:pStyle w:val="225"/>
        <w:spacing w:line="360" w:lineRule="auto"/>
        <w:ind w:firstLine="112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采购代理机构：云之龙咨询集团有限公司</w:t>
      </w:r>
    </w:p>
    <w:p w14:paraId="5BDB0383">
      <w:pPr>
        <w:pStyle w:val="225"/>
        <w:spacing w:line="360" w:lineRule="auto"/>
        <w:ind w:firstLine="2862"/>
        <w:rPr>
          <w:rFonts w:hAnsi="宋体" w:cs="宋体"/>
          <w:b/>
          <w:color w:val="000000" w:themeColor="text1"/>
          <w:sz w:val="32"/>
          <w:szCs w:val="32"/>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2026年8月17日</w:t>
      </w:r>
    </w:p>
    <w:p w14:paraId="7C22A7A1">
      <w:pPr>
        <w:tabs>
          <w:tab w:val="left" w:pos="1080"/>
        </w:tabs>
        <w:spacing w:line="360" w:lineRule="exact"/>
        <w:ind w:firstLine="480"/>
        <w:rPr>
          <w:rFonts w:ascii="宋体" w:hAnsi="宋体" w:cs="宋体"/>
          <w:bCs/>
          <w:color w:val="000000" w:themeColor="text1"/>
          <w14:textFill>
            <w14:solidFill>
              <w14:schemeClr w14:val="tx1"/>
            </w14:solidFill>
          </w14:textFill>
        </w:rPr>
      </w:pPr>
    </w:p>
    <w:p w14:paraId="5885D308">
      <w:pPr>
        <w:tabs>
          <w:tab w:val="left" w:pos="1080"/>
        </w:tabs>
        <w:spacing w:line="360" w:lineRule="exact"/>
        <w:ind w:firstLine="480"/>
        <w:rPr>
          <w:rFonts w:ascii="宋体" w:hAnsi="宋体" w:cs="宋体"/>
          <w:bCs/>
          <w:color w:val="000000" w:themeColor="text1"/>
          <w14:textFill>
            <w14:solidFill>
              <w14:schemeClr w14:val="tx1"/>
            </w14:solidFill>
          </w14:textFill>
        </w:rPr>
      </w:pPr>
    </w:p>
    <w:p w14:paraId="20FDCA60">
      <w:pPr>
        <w:spacing w:line="360" w:lineRule="auto"/>
        <w:jc w:val="center"/>
        <w:rPr>
          <w:rFonts w:ascii="宋体" w:hAnsi="宋体"/>
          <w:b/>
          <w:color w:val="000000" w:themeColor="text1"/>
          <w:sz w:val="44"/>
          <w:szCs w:val="44"/>
          <w14:textFill>
            <w14:solidFill>
              <w14:schemeClr w14:val="tx1"/>
            </w14:solidFill>
          </w14:textFill>
        </w:rPr>
      </w:pPr>
      <w:r>
        <w:rPr>
          <w:rFonts w:ascii="宋体" w:hAnsi="宋体"/>
          <w:b/>
          <w:color w:val="000000" w:themeColor="text1"/>
          <w:sz w:val="44"/>
          <w:szCs w:val="44"/>
          <w14:textFill>
            <w14:solidFill>
              <w14:schemeClr w14:val="tx1"/>
            </w14:solidFill>
          </w14:textFill>
        </w:rPr>
        <w:br w:type="page" w:clear="all"/>
      </w:r>
    </w:p>
    <w:p w14:paraId="43499101">
      <w:pPr>
        <w:spacing w:line="360" w:lineRule="auto"/>
        <w:jc w:val="center"/>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784C9BD1">
      <w:pPr>
        <w:spacing w:line="400" w:lineRule="exact"/>
        <w:jc w:val="center"/>
        <w:rPr>
          <w:rFonts w:ascii="宋体" w:hAnsi="宋体"/>
          <w:b/>
          <w:color w:val="000000" w:themeColor="text1"/>
          <w:sz w:val="44"/>
          <w:szCs w:val="44"/>
          <w14:textFill>
            <w14:solidFill>
              <w14:schemeClr w14:val="tx1"/>
            </w14:solidFill>
          </w14:textFill>
        </w:rPr>
      </w:pPr>
    </w:p>
    <w:sdt>
      <w:sdtPr>
        <w:rPr>
          <w:rFonts w:ascii="宋体" w:hAnsi="宋体"/>
          <w:color w:val="000000" w:themeColor="text1"/>
          <w14:textFill>
            <w14:solidFill>
              <w14:schemeClr w14:val="tx1"/>
            </w14:solidFill>
          </w14:textFill>
        </w:rPr>
        <w:id w:val="147477767"/>
        <w15:color w:val="DBDBDB"/>
        <w:docPartObj>
          <w:docPartGallery w:val="Table of Contents"/>
          <w:docPartUnique/>
        </w:docPartObj>
      </w:sdtPr>
      <w:sdtEndPr>
        <w:rPr>
          <w:rFonts w:ascii="宋体" w:hAnsi="宋体"/>
          <w:color w:val="000000" w:themeColor="text1"/>
          <w14:textFill>
            <w14:solidFill>
              <w14:schemeClr w14:val="tx1"/>
            </w14:solidFill>
          </w14:textFill>
        </w:rPr>
      </w:sdtEndPr>
      <w:sdtContent>
        <w:p w14:paraId="2E029391">
          <w:pPr>
            <w:jc w:val="cente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t>目录</w:t>
          </w:r>
        </w:p>
        <w:p w14:paraId="33E3F838">
          <w:pPr>
            <w:pStyle w:val="15"/>
            <w:tabs>
              <w:tab w:val="right" w:leader="dot" w:pos="8879"/>
            </w:tabs>
            <w:rPr>
              <w:color w:val="000000" w:themeColor="text1"/>
              <w14:textFill>
                <w14:solidFill>
                  <w14:schemeClr w14:val="tx1"/>
                </w14:solidFill>
              </w14:textFill>
            </w:rPr>
          </w:pPr>
          <w:r>
            <w:rPr>
              <w:rFonts w:ascii="宋体" w:hAnsi="宋体"/>
              <w:b/>
              <w:color w:val="000000" w:themeColor="text1"/>
              <w:sz w:val="32"/>
              <w:szCs w:val="32"/>
              <w14:textFill>
                <w14:solidFill>
                  <w14:schemeClr w14:val="tx1"/>
                </w14:solidFill>
              </w14:textFill>
            </w:rPr>
            <w:fldChar w:fldCharType="begin"/>
          </w:r>
          <w:r>
            <w:rPr>
              <w:rFonts w:ascii="宋体" w:hAnsi="宋体"/>
              <w:b/>
              <w:color w:val="000000" w:themeColor="text1"/>
              <w:sz w:val="32"/>
              <w:szCs w:val="32"/>
              <w14:textFill>
                <w14:solidFill>
                  <w14:schemeClr w14:val="tx1"/>
                </w14:solidFill>
              </w14:textFill>
            </w:rPr>
            <w:instrText xml:space="preserve">TOC \o "1-1" \h \u </w:instrText>
          </w:r>
          <w:r>
            <w:rPr>
              <w:rFonts w:ascii="宋体" w:hAnsi="宋体"/>
              <w:b/>
              <w:color w:val="000000" w:themeColor="text1"/>
              <w:sz w:val="32"/>
              <w:szCs w:val="32"/>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"_Toc7389"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第一章 竞争性谈判公告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_Toc7389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BB64E51">
          <w:pPr>
            <w:pStyle w:val="15"/>
            <w:tabs>
              <w:tab w:val="right" w:leader="dot" w:pos="8879"/>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"_Toc29160"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第二章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_Toc29160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BE74854">
          <w:pPr>
            <w:pStyle w:val="15"/>
            <w:tabs>
              <w:tab w:val="right" w:leader="dot" w:pos="8879"/>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"_Toc6462"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第三章 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_Toc6462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2CE7C41">
          <w:pPr>
            <w:pStyle w:val="15"/>
            <w:tabs>
              <w:tab w:val="right" w:leader="dot" w:pos="8879"/>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"_Toc13387"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第四章  评审程序和评定成交的标准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_Toc13387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681BD3B">
          <w:pPr>
            <w:pStyle w:val="15"/>
            <w:tabs>
              <w:tab w:val="right" w:leader="dot" w:pos="8879"/>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"_Toc25260"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第五章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_Toc25260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A453E53">
          <w:pPr>
            <w:pStyle w:val="15"/>
            <w:tabs>
              <w:tab w:val="right" w:leader="dot" w:pos="8879"/>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第六章 合同文本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D74D157">
          <w:pPr>
            <w:spacing w:line="400" w:lineRule="exact"/>
            <w:jc w:val="center"/>
            <w:rPr>
              <w:rFonts w:ascii="宋体" w:hAnsi="宋体"/>
              <w:color w:val="000000" w:themeColor="text1"/>
              <w:szCs w:val="32"/>
              <w14:textFill>
                <w14:solidFill>
                  <w14:schemeClr w14:val="tx1"/>
                </w14:solidFill>
              </w14:textFill>
            </w:rPr>
          </w:pPr>
          <w:r>
            <w:rPr>
              <w:rFonts w:ascii="宋体" w:hAnsi="宋体"/>
              <w:color w:val="000000" w:themeColor="text1"/>
              <w:szCs w:val="32"/>
              <w14:textFill>
                <w14:solidFill>
                  <w14:schemeClr w14:val="tx1"/>
                </w14:solidFill>
              </w14:textFill>
            </w:rPr>
            <w:fldChar w:fldCharType="end"/>
          </w:r>
        </w:p>
      </w:sdtContent>
    </w:sdt>
    <w:p w14:paraId="758FD29D">
      <w:pPr>
        <w:pStyle w:val="202"/>
        <w:tabs>
          <w:tab w:val="left" w:pos="5131"/>
        </w:tabs>
        <w:rPr>
          <w:color w:val="000000" w:themeColor="text1"/>
          <w14:textFill>
            <w14:solidFill>
              <w14:schemeClr w14:val="tx1"/>
            </w14:solidFill>
          </w14:textFill>
        </w:rPr>
      </w:pPr>
      <w:r>
        <w:rPr>
          <w:rFonts w:hint="eastAsia"/>
          <w:color w:val="000000" w:themeColor="text1"/>
          <w14:textFill>
            <w14:solidFill>
              <w14:schemeClr w14:val="tx1"/>
            </w14:solidFill>
          </w14:textFill>
        </w:rPr>
        <w:tab/>
      </w:r>
    </w:p>
    <w:p w14:paraId="298FD356">
      <w:pPr>
        <w:spacing w:line="400" w:lineRule="exact"/>
        <w:jc w:val="center"/>
        <w:rPr>
          <w:rFonts w:ascii="宋体" w:hAnsi="宋体"/>
          <w:b/>
          <w:color w:val="000000" w:themeColor="text1"/>
          <w:sz w:val="32"/>
          <w:szCs w:val="32"/>
          <w14:textFill>
            <w14:solidFill>
              <w14:schemeClr w14:val="tx1"/>
            </w14:solidFill>
          </w14:textFill>
        </w:rPr>
      </w:pPr>
    </w:p>
    <w:p w14:paraId="0DAB5F4A">
      <w:pPr>
        <w:spacing w:line="400" w:lineRule="exact"/>
        <w:jc w:val="center"/>
        <w:rPr>
          <w:rFonts w:ascii="宋体" w:hAnsi="宋体"/>
          <w:b/>
          <w:color w:val="000000" w:themeColor="text1"/>
          <w:sz w:val="32"/>
          <w:szCs w:val="32"/>
          <w14:textFill>
            <w14:solidFill>
              <w14:schemeClr w14:val="tx1"/>
            </w14:solidFill>
          </w14:textFill>
        </w:rPr>
      </w:pPr>
    </w:p>
    <w:p w14:paraId="02735395">
      <w:pPr>
        <w:spacing w:line="400" w:lineRule="exact"/>
        <w:jc w:val="center"/>
        <w:rPr>
          <w:rFonts w:ascii="宋体" w:hAnsi="宋体"/>
          <w:b/>
          <w:color w:val="000000" w:themeColor="text1"/>
          <w:sz w:val="32"/>
          <w:szCs w:val="32"/>
          <w14:textFill>
            <w14:solidFill>
              <w14:schemeClr w14:val="tx1"/>
            </w14:solidFill>
          </w14:textFill>
        </w:rPr>
      </w:pPr>
    </w:p>
    <w:p w14:paraId="1D5A295D">
      <w:pPr>
        <w:spacing w:line="400" w:lineRule="exact"/>
        <w:rPr>
          <w:rFonts w:ascii="宋体" w:hAnsi="宋体"/>
          <w:b/>
          <w:color w:val="000000" w:themeColor="text1"/>
          <w:sz w:val="32"/>
          <w:szCs w:val="32"/>
          <w14:textFill>
            <w14:solidFill>
              <w14:schemeClr w14:val="tx1"/>
            </w14:solidFill>
          </w14:textFill>
        </w:rPr>
        <w:sectPr>
          <w:headerReference r:id="rId3" w:type="default"/>
          <w:footerReference r:id="rId4" w:type="default"/>
          <w:pgSz w:w="11906" w:h="16838"/>
          <w:pgMar w:top="1440" w:right="1440" w:bottom="1440" w:left="1587" w:header="851" w:footer="992" w:gutter="0"/>
          <w:cols w:space="720" w:num="1"/>
          <w:titlePg/>
        </w:sectPr>
      </w:pPr>
    </w:p>
    <w:p w14:paraId="26F18B0A">
      <w:pPr>
        <w:pStyle w:val="203"/>
        <w:spacing w:after="100" w:line="480" w:lineRule="auto"/>
        <w:jc w:val="center"/>
        <w:rPr>
          <w:color w:val="000000" w:themeColor="text1"/>
          <w14:textFill>
            <w14:solidFill>
              <w14:schemeClr w14:val="tx1"/>
            </w14:solidFill>
          </w14:textFill>
        </w:rPr>
      </w:pPr>
      <w:bookmarkStart w:id="0" w:name="_Toc7389"/>
      <w:bookmarkStart w:id="1" w:name="_Toc74322008"/>
      <w:r>
        <w:rPr>
          <w:rFonts w:hint="eastAsia"/>
          <w:color w:val="000000" w:themeColor="text1"/>
          <w14:textFill>
            <w14:solidFill>
              <w14:schemeClr w14:val="tx1"/>
            </w14:solidFill>
          </w14:textFill>
        </w:rPr>
        <w:t>第一章 竞争性谈判公告</w:t>
      </w:r>
      <w:bookmarkEnd w:id="0"/>
      <w:bookmarkEnd w:id="1"/>
    </w:p>
    <w:p w14:paraId="1B6FB63B">
      <w:pPr>
        <w:spacing w:line="37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竞争性谈判公告</w:t>
      </w:r>
    </w:p>
    <w:p w14:paraId="27AEC6BC">
      <w:pPr>
        <w:pBdr>
          <w:top w:val="single" w:color="000000" w:sz="4" w:space="1"/>
          <w:left w:val="single" w:color="000000" w:sz="4" w:space="4"/>
          <w:bottom w:val="single" w:color="000000" w:sz="4" w:space="1"/>
          <w:right w:val="single" w:color="000000" w:sz="4" w:space="4"/>
        </w:pBdr>
        <w:spacing w:line="400" w:lineRule="exact"/>
        <w:rPr>
          <w:rFonts w:ascii="宋体" w:hAnsi="宋体"/>
          <w:color w:val="000000" w:themeColor="text1"/>
          <w:szCs w:val="21"/>
          <w14:textFill>
            <w14:solidFill>
              <w14:schemeClr w14:val="tx1"/>
            </w14:solidFill>
          </w14:textFill>
        </w:rPr>
      </w:pPr>
      <w:bookmarkStart w:id="2" w:name="_Hlk37430271"/>
      <w:r>
        <w:rPr>
          <w:rFonts w:hint="eastAsia" w:ascii="宋体" w:hAnsi="宋体"/>
          <w:color w:val="000000" w:themeColor="text1"/>
          <w:szCs w:val="21"/>
          <w14:textFill>
            <w14:solidFill>
              <w14:schemeClr w14:val="tx1"/>
            </w14:solidFill>
          </w14:textFill>
        </w:rPr>
        <w:t>项目概况</w:t>
      </w:r>
    </w:p>
    <w:p w14:paraId="770AD0D7">
      <w:pPr>
        <w:pBdr>
          <w:top w:val="single" w:color="000000" w:sz="4" w:space="1"/>
          <w:left w:val="single" w:color="000000" w:sz="4" w:space="4"/>
          <w:bottom w:val="single" w:color="000000" w:sz="4" w:space="1"/>
          <w:right w:val="single" w:color="000000" w:sz="4" w:space="4"/>
        </w:pBdr>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宁明县海渊镇中心卫生院中医康复能力建设项目</w:t>
      </w:r>
      <w:r>
        <w:rPr>
          <w:rFonts w:hint="eastAsia" w:ascii="宋体" w:hAnsi="宋体"/>
          <w:color w:val="000000" w:themeColor="text1"/>
          <w:szCs w:val="21"/>
          <w14:textFill>
            <w14:solidFill>
              <w14:schemeClr w14:val="tx1"/>
            </w14:solidFill>
          </w14:textFill>
        </w:rPr>
        <w:t>的潜在供应商应在广西政府采购云平台（https://www.gcy.zfcg.gxzf.gov.cn）获取（下载）竞争性谈判文件，并于</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2026</w:t>
      </w:r>
      <w:r>
        <w:rPr>
          <w:rFonts w:hint="eastAsia" w:ascii="宋体" w:hAnsi="宋体"/>
          <w:bCs/>
          <w:color w:val="000000" w:themeColor="text1"/>
          <w:szCs w:val="21"/>
          <w:u w:val="single"/>
          <w14:textFill>
            <w14:solidFill>
              <w14:schemeClr w14:val="tx1"/>
            </w14:solidFill>
          </w14:textFill>
        </w:rPr>
        <w:t>年8月21日9时00分（</w:t>
      </w:r>
      <w:r>
        <w:rPr>
          <w:rFonts w:hint="eastAsia" w:ascii="宋体" w:hAnsi="宋体"/>
          <w:bCs/>
          <w:color w:val="000000" w:themeColor="text1"/>
          <w:szCs w:val="21"/>
          <w14:textFill>
            <w14:solidFill>
              <w14:schemeClr w14:val="tx1"/>
            </w14:solidFill>
          </w14:textFill>
        </w:rPr>
        <w:t>北京时间）前提交（上传）</w:t>
      </w:r>
      <w:r>
        <w:rPr>
          <w:rFonts w:hint="eastAsia" w:ascii="宋体" w:hAnsi="宋体"/>
          <w:color w:val="000000" w:themeColor="text1"/>
          <w:szCs w:val="21"/>
          <w14:textFill>
            <w14:solidFill>
              <w14:schemeClr w14:val="tx1"/>
            </w14:solidFill>
          </w14:textFill>
        </w:rPr>
        <w:t>响应</w:t>
      </w:r>
      <w:r>
        <w:rPr>
          <w:rFonts w:ascii="宋体" w:hAnsi="宋体"/>
          <w:bCs/>
          <w:color w:val="000000" w:themeColor="text1"/>
          <w:szCs w:val="21"/>
          <w14:textFill>
            <w14:solidFill>
              <w14:schemeClr w14:val="tx1"/>
            </w14:solidFill>
          </w14:textFill>
        </w:rPr>
        <w:t>文件</w:t>
      </w:r>
      <w:r>
        <w:rPr>
          <w:rFonts w:hint="eastAsia" w:ascii="宋体" w:hAnsi="宋体"/>
          <w:color w:val="000000" w:themeColor="text1"/>
          <w:szCs w:val="21"/>
          <w14:textFill>
            <w14:solidFill>
              <w14:schemeClr w14:val="tx1"/>
            </w14:solidFill>
          </w14:textFill>
        </w:rPr>
        <w:t>。</w:t>
      </w:r>
    </w:p>
    <w:p w14:paraId="74FAD14C">
      <w:pPr>
        <w:spacing w:line="400" w:lineRule="exact"/>
        <w:ind w:firstLine="360"/>
        <w:rPr>
          <w:rFonts w:ascii="黑体" w:hAnsi="黑体" w:eastAsia="黑体"/>
          <w:color w:val="000000" w:themeColor="text1"/>
          <w:sz w:val="24"/>
          <w14:textFill>
            <w14:solidFill>
              <w14:schemeClr w14:val="tx1"/>
            </w14:solidFill>
          </w14:textFill>
        </w:rPr>
      </w:pPr>
      <w:bookmarkStart w:id="3" w:name="_Toc28359012"/>
      <w:bookmarkStart w:id="4" w:name="_Toc71365362"/>
      <w:bookmarkStart w:id="5" w:name="_Toc71366040"/>
      <w:bookmarkStart w:id="6" w:name="_Toc35393798"/>
      <w:bookmarkStart w:id="7" w:name="_Toc28359089"/>
      <w:bookmarkStart w:id="8" w:name="_Toc35393629"/>
      <w:r>
        <w:rPr>
          <w:rFonts w:hint="eastAsia" w:ascii="黑体" w:hAnsi="黑体" w:eastAsia="黑体"/>
          <w:color w:val="000000" w:themeColor="text1"/>
          <w:sz w:val="24"/>
          <w14:textFill>
            <w14:solidFill>
              <w14:schemeClr w14:val="tx1"/>
            </w14:solidFill>
          </w14:textFill>
        </w:rPr>
        <w:t>一、项目基本情况</w:t>
      </w:r>
      <w:bookmarkEnd w:id="2"/>
      <w:bookmarkEnd w:id="3"/>
      <w:bookmarkEnd w:id="4"/>
      <w:bookmarkEnd w:id="5"/>
      <w:bookmarkEnd w:id="6"/>
      <w:bookmarkEnd w:id="7"/>
    </w:p>
    <w:p w14:paraId="553C40ED">
      <w:pPr>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1.项目编号：CZZC2026-J1-220120-YZLZ</w:t>
      </w:r>
    </w:p>
    <w:p w14:paraId="0393A8BB">
      <w:pPr>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2.项目名称：宁明县海渊镇中心卫生院中医康复能力建设项目</w:t>
      </w:r>
    </w:p>
    <w:p w14:paraId="52BCBF3C">
      <w:pPr>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3.采购方式：竞争性谈判</w:t>
      </w:r>
    </w:p>
    <w:p w14:paraId="2E014E91">
      <w:pPr>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4.预算金额：2700000元</w:t>
      </w:r>
    </w:p>
    <w:p w14:paraId="032FEE7D">
      <w:pPr>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5.最高限价：2700000元</w:t>
      </w:r>
    </w:p>
    <w:p w14:paraId="60DCF4C5">
      <w:pPr>
        <w:spacing w:line="38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简要规格描述或项目基本概况介绍、用途：医用诊疗床4台、PT凳6张、站立架1个、上下肢主被动康复训练器（上下肢）1台、四肢联动康复训练器1台、悬吊康复训练器1台等；简要技术需求或者服务要求：具体内容详见竞争性谈判文件“第三章 采购需求”及公告附件。</w:t>
      </w:r>
    </w:p>
    <w:p w14:paraId="17A70EBA">
      <w:pPr>
        <w:spacing w:line="38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7.合同履约期限：自签订合同之日起</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天内交货安装调试完毕并交付使用。</w:t>
      </w:r>
    </w:p>
    <w:p w14:paraId="7EECA1ED">
      <w:pPr>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8.本项目（</w:t>
      </w:r>
      <w:r>
        <w:rPr>
          <w:rFonts w:ascii="宋体" w:hAnsi="宋体"/>
          <w:color w:val="000000" w:themeColor="text1"/>
          <w:szCs w:val="21"/>
          <w14:textFill>
            <w14:solidFill>
              <w14:schemeClr w14:val="tx1"/>
            </w14:solidFill>
          </w14:textFill>
        </w:rPr>
        <w:t>否</w:t>
      </w:r>
      <w:r>
        <w:rPr>
          <w:rFonts w:hint="eastAsia" w:ascii="宋体" w:hAnsi="宋体"/>
          <w:color w:val="000000" w:themeColor="text1"/>
          <w:szCs w:val="21"/>
          <w14:textFill>
            <w14:solidFill>
              <w14:schemeClr w14:val="tx1"/>
            </w14:solidFill>
          </w14:textFill>
        </w:rPr>
        <w:t>）接受联合体。</w:t>
      </w:r>
    </w:p>
    <w:p w14:paraId="570CEF51">
      <w:pPr>
        <w:spacing w:line="400" w:lineRule="exact"/>
        <w:ind w:firstLine="480"/>
        <w:rPr>
          <w:rFonts w:ascii="黑体" w:hAnsi="黑体" w:eastAsia="黑体"/>
          <w:color w:val="000000" w:themeColor="text1"/>
          <w:sz w:val="24"/>
          <w14:textFill>
            <w14:solidFill>
              <w14:schemeClr w14:val="tx1"/>
            </w14:solidFill>
          </w14:textFill>
        </w:rPr>
      </w:pPr>
      <w:bookmarkStart w:id="9" w:name="_Toc35393799"/>
      <w:bookmarkStart w:id="10" w:name="_Toc28359013"/>
      <w:bookmarkStart w:id="11" w:name="_Toc71366041"/>
      <w:bookmarkStart w:id="12" w:name="_Toc35393630"/>
      <w:bookmarkStart w:id="13" w:name="_Toc71365363"/>
      <w:bookmarkStart w:id="14" w:name="_Toc28359090"/>
      <w:r>
        <w:rPr>
          <w:rFonts w:hint="eastAsia" w:ascii="黑体" w:hAnsi="黑体" w:eastAsia="黑体"/>
          <w:color w:val="000000" w:themeColor="text1"/>
          <w:sz w:val="24"/>
          <w14:textFill>
            <w14:solidFill>
              <w14:schemeClr w14:val="tx1"/>
            </w14:solidFill>
          </w14:textFill>
        </w:rPr>
        <w:t>二、供应商的资格条件：</w:t>
      </w:r>
      <w:bookmarkEnd w:id="8"/>
      <w:bookmarkEnd w:id="9"/>
      <w:bookmarkEnd w:id="10"/>
      <w:bookmarkEnd w:id="11"/>
      <w:bookmarkEnd w:id="12"/>
      <w:bookmarkEnd w:id="13"/>
    </w:p>
    <w:p w14:paraId="2645D7C2">
      <w:pPr>
        <w:spacing w:line="400" w:lineRule="exact"/>
        <w:ind w:firstLine="420"/>
        <w:rPr>
          <w:rFonts w:ascii="宋体" w:hAnsi="宋体"/>
          <w:color w:val="000000" w:themeColor="text1"/>
          <w:szCs w:val="21"/>
          <w14:textFill>
            <w14:solidFill>
              <w14:schemeClr w14:val="tx1"/>
            </w14:solidFill>
          </w14:textFill>
        </w:rPr>
      </w:pPr>
      <w:bookmarkStart w:id="15" w:name="_Toc28359014"/>
      <w:bookmarkStart w:id="16" w:name="_Toc28359091"/>
      <w:r>
        <w:rPr>
          <w:rFonts w:hint="eastAsia" w:ascii="宋体" w:hAnsi="宋体"/>
          <w:color w:val="000000" w:themeColor="text1"/>
          <w:szCs w:val="21"/>
          <w14:textFill>
            <w14:solidFill>
              <w14:schemeClr w14:val="tx1"/>
            </w14:solidFill>
          </w14:textFill>
        </w:rPr>
        <w:t>1.满足《中华人民共和国政府采购法》第二十二条规定；</w:t>
      </w:r>
    </w:p>
    <w:p w14:paraId="60730571">
      <w:pPr>
        <w:spacing w:line="380" w:lineRule="exact"/>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落实政府采购政策需满足的资格要求：本项目属于专门面向中小企业采购的项目，</w:t>
      </w:r>
      <w:r>
        <w:rPr>
          <w:rFonts w:hint="eastAsia" w:ascii="宋体" w:hAnsi="宋体"/>
          <w:b/>
          <w:bCs/>
          <w:color w:val="000000" w:themeColor="text1"/>
          <w:szCs w:val="21"/>
          <w14:textFill>
            <w14:solidFill>
              <w14:schemeClr w14:val="tx1"/>
            </w14:solidFill>
          </w14:textFill>
        </w:rPr>
        <w:t>货物制造商</w:t>
      </w:r>
      <w:r>
        <w:rPr>
          <w:rFonts w:hint="eastAsia" w:ascii="宋体" w:hAnsi="宋体"/>
          <w:color w:val="000000" w:themeColor="text1"/>
          <w:szCs w:val="21"/>
          <w14:textFill>
            <w14:solidFill>
              <w14:schemeClr w14:val="tx1"/>
            </w14:solidFill>
          </w14:textFill>
        </w:rPr>
        <w:t>应为中小微企业或监狱企业或残疾人福利性单位；</w:t>
      </w:r>
    </w:p>
    <w:p w14:paraId="37A4A355">
      <w:pPr>
        <w:spacing w:line="380" w:lineRule="exact"/>
        <w:ind w:firstLine="420"/>
        <w:rPr>
          <w:rFonts w:ascii="宋体" w:hAnsi="宋体"/>
          <w:color w:val="000000" w:themeColor="text1"/>
          <w:szCs w:val="21"/>
          <w14:textFill>
            <w14:solidFill>
              <w14:schemeClr w14:val="tx1"/>
            </w14:solidFill>
          </w14:textFill>
        </w:rPr>
      </w:pPr>
      <w:bookmarkStart w:id="17" w:name="_Toc35393800"/>
      <w:bookmarkStart w:id="18" w:name="_Toc71365364"/>
      <w:bookmarkStart w:id="19" w:name="_Toc35393631"/>
      <w:bookmarkStart w:id="20" w:name="_Toc71366042"/>
      <w:r>
        <w:rPr>
          <w:rFonts w:hint="eastAsia" w:ascii="宋体" w:hAnsi="宋体"/>
          <w:color w:val="000000" w:themeColor="text1"/>
          <w:szCs w:val="21"/>
          <w14:textFill>
            <w14:solidFill>
              <w14:schemeClr w14:val="tx1"/>
            </w14:solidFill>
          </w14:textFill>
        </w:rPr>
        <w:t>3.本项目的特定资格要求：</w:t>
      </w:r>
      <w:r>
        <w:rPr>
          <w:rFonts w:hint="eastAsia" w:ascii="宋体" w:hAnsi="宋体"/>
          <w:iCs/>
          <w:color w:val="000000" w:themeColor="text1"/>
          <w:szCs w:val="21"/>
          <w14:textFill>
            <w14:solidFill>
              <w14:schemeClr w14:val="tx1"/>
            </w14:solidFill>
          </w14:textFill>
        </w:rPr>
        <w:t>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421AC135">
      <w:pPr>
        <w:spacing w:line="400" w:lineRule="exact"/>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三、获取竞争性谈判文件</w:t>
      </w:r>
      <w:bookmarkEnd w:id="14"/>
      <w:bookmarkEnd w:id="15"/>
      <w:bookmarkEnd w:id="16"/>
      <w:bookmarkEnd w:id="17"/>
      <w:bookmarkEnd w:id="18"/>
      <w:bookmarkEnd w:id="19"/>
    </w:p>
    <w:p w14:paraId="1772D31E">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时间：2026年8月17日至2026年8月20日止</w:t>
      </w:r>
      <w:r>
        <w:rPr>
          <w:rFonts w:hint="eastAsia" w:ascii="新宋体" w:hAnsi="新宋体" w:eastAsia="新宋体" w:cs="新宋体"/>
          <w:color w:val="000000" w:themeColor="text1"/>
          <w:szCs w:val="21"/>
          <w14:textFill>
            <w14:solidFill>
              <w14:schemeClr w14:val="tx1"/>
            </w14:solidFill>
          </w14:textFill>
        </w:rPr>
        <w:t>（北京时间，双休日和法定节假日不办理业务）</w:t>
      </w:r>
      <w:r>
        <w:rPr>
          <w:rFonts w:hint="eastAsia" w:ascii="宋体" w:hAnsi="宋体" w:cs="宋体"/>
          <w:bCs/>
          <w:color w:val="000000" w:themeColor="text1"/>
          <w:szCs w:val="21"/>
          <w14:textFill>
            <w14:solidFill>
              <w14:schemeClr w14:val="tx1"/>
            </w14:solidFill>
          </w14:textFill>
        </w:rPr>
        <w:t>，每天0:00至12:00，12:00至23:59</w:t>
      </w:r>
    </w:p>
    <w:p w14:paraId="2B19D69A">
      <w:pPr>
        <w:spacing w:line="400" w:lineRule="exact"/>
        <w:ind w:firstLine="54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地点：广西政府采购云平台（https://www.gcy.zfcg.gxzf.gov.cn/）</w:t>
      </w:r>
    </w:p>
    <w:p w14:paraId="194AAE56">
      <w:pPr>
        <w:spacing w:line="400" w:lineRule="exact"/>
        <w:ind w:firstLine="54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竞争性谈判文件。电子响应文件制作需要基于广西政府采购云平台获取的谈判文件编制，通过其他方式获取谈判文件的，将有可能导致供应商无法在广西政府采购云平台编制及上传响应文件。</w:t>
      </w:r>
    </w:p>
    <w:p w14:paraId="610ECB4B">
      <w:pPr>
        <w:spacing w:line="400" w:lineRule="exact"/>
        <w:ind w:firstLine="54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售价：</w:t>
      </w:r>
      <w:r>
        <w:rPr>
          <w:rFonts w:hint="eastAsia" w:ascii="宋体" w:hAnsi="宋体" w:cs="宋体"/>
          <w:iCs/>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元</w:t>
      </w:r>
    </w:p>
    <w:p w14:paraId="0F99E2FA">
      <w:pPr>
        <w:spacing w:line="400" w:lineRule="exact"/>
        <w:ind w:firstLine="360"/>
        <w:rPr>
          <w:rFonts w:ascii="黑体" w:hAnsi="黑体" w:eastAsia="黑体"/>
          <w:color w:val="000000" w:themeColor="text1"/>
          <w:sz w:val="24"/>
          <w14:textFill>
            <w14:solidFill>
              <w14:schemeClr w14:val="tx1"/>
            </w14:solidFill>
          </w14:textFill>
        </w:rPr>
      </w:pPr>
      <w:bookmarkStart w:id="21" w:name="_Toc28359092"/>
      <w:bookmarkStart w:id="22" w:name="_Toc35393632"/>
      <w:bookmarkStart w:id="23" w:name="_Toc71366043"/>
      <w:bookmarkStart w:id="24" w:name="_Toc28359015"/>
      <w:bookmarkStart w:id="25" w:name="_Toc71365365"/>
      <w:bookmarkStart w:id="26" w:name="_Toc35393801"/>
      <w:r>
        <w:rPr>
          <w:rFonts w:hint="eastAsia" w:ascii="黑体" w:hAnsi="黑体" w:eastAsia="黑体"/>
          <w:color w:val="000000" w:themeColor="text1"/>
          <w:sz w:val="24"/>
          <w14:textFill>
            <w14:solidFill>
              <w14:schemeClr w14:val="tx1"/>
            </w14:solidFill>
          </w14:textFill>
        </w:rPr>
        <w:t>四、响应文件提交</w:t>
      </w:r>
      <w:bookmarkEnd w:id="20"/>
      <w:bookmarkEnd w:id="21"/>
      <w:bookmarkEnd w:id="22"/>
      <w:bookmarkEnd w:id="23"/>
      <w:bookmarkEnd w:id="24"/>
      <w:bookmarkEnd w:id="25"/>
    </w:p>
    <w:p w14:paraId="1DA5456C">
      <w:pPr>
        <w:spacing w:line="400" w:lineRule="exact"/>
        <w:ind w:firstLine="420"/>
        <w:rPr>
          <w:rFonts w:ascii="宋体" w:hAnsi="宋体"/>
          <w:bCs/>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截止时间：</w:t>
      </w:r>
      <w:r>
        <w:rPr>
          <w:rFonts w:hint="eastAsia" w:ascii="宋体" w:hAnsi="宋体"/>
          <w:bCs/>
          <w:color w:val="000000" w:themeColor="text1"/>
          <w:szCs w:val="21"/>
          <w:u w:val="single"/>
          <w14:textFill>
            <w14:solidFill>
              <w14:schemeClr w14:val="tx1"/>
            </w14:solidFill>
          </w14:textFill>
        </w:rPr>
        <w:t xml:space="preserve"> 2026年8月21日9时00分</w:t>
      </w:r>
      <w:r>
        <w:rPr>
          <w:rFonts w:hint="eastAsia" w:ascii="宋体" w:hAnsi="宋体"/>
          <w:bCs/>
          <w:color w:val="000000" w:themeColor="text1"/>
          <w:szCs w:val="21"/>
          <w14:textFill>
            <w14:solidFill>
              <w14:schemeClr w14:val="tx1"/>
            </w14:solidFill>
          </w14:textFill>
        </w:rPr>
        <w:t>（北京时间）</w:t>
      </w:r>
    </w:p>
    <w:p w14:paraId="68650757">
      <w:pPr>
        <w:spacing w:line="400" w:lineRule="exact"/>
        <w:ind w:left="422"/>
        <w:rPr>
          <w:rFonts w:ascii="宋体" w:hAnsi="宋体"/>
          <w:bCs/>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地点：广西政府采购云平台</w:t>
      </w:r>
      <w:r>
        <w:rPr>
          <w:rFonts w:hint="eastAsia" w:ascii="宋体" w:hAnsi="宋体" w:cs="宋体"/>
          <w:bCs/>
          <w:color w:val="000000" w:themeColor="text1"/>
          <w:szCs w:val="21"/>
          <w14:textFill>
            <w14:solidFill>
              <w14:schemeClr w14:val="tx1"/>
            </w14:solidFill>
          </w14:textFill>
        </w:rPr>
        <w:t>（https://www.gcy.zfcg.gxzf.gov.cn）</w:t>
      </w:r>
    </w:p>
    <w:p w14:paraId="06D77CE9">
      <w:pPr>
        <w:spacing w:line="400" w:lineRule="exact"/>
        <w:ind w:firstLine="360"/>
        <w:rPr>
          <w:rFonts w:ascii="黑体" w:hAnsi="黑体" w:eastAsia="黑体"/>
          <w:color w:val="000000" w:themeColor="text1"/>
          <w:sz w:val="24"/>
          <w14:textFill>
            <w14:solidFill>
              <w14:schemeClr w14:val="tx1"/>
            </w14:solidFill>
          </w14:textFill>
        </w:rPr>
      </w:pPr>
      <w:bookmarkStart w:id="27" w:name="_Toc71365366"/>
      <w:bookmarkStart w:id="28" w:name="_Toc35393633"/>
      <w:bookmarkStart w:id="29" w:name="_Toc35393802"/>
      <w:bookmarkStart w:id="30" w:name="_Toc28359016"/>
      <w:bookmarkStart w:id="31" w:name="_Toc28359093"/>
      <w:bookmarkStart w:id="32" w:name="_Toc71366044"/>
      <w:r>
        <w:rPr>
          <w:rFonts w:hint="eastAsia" w:ascii="黑体" w:hAnsi="黑体" w:eastAsia="黑体"/>
          <w:color w:val="000000" w:themeColor="text1"/>
          <w:sz w:val="24"/>
          <w14:textFill>
            <w14:solidFill>
              <w14:schemeClr w14:val="tx1"/>
            </w14:solidFill>
          </w14:textFill>
        </w:rPr>
        <w:t>五、开启</w:t>
      </w:r>
      <w:bookmarkEnd w:id="26"/>
      <w:bookmarkEnd w:id="27"/>
      <w:bookmarkEnd w:id="28"/>
      <w:bookmarkEnd w:id="29"/>
      <w:bookmarkEnd w:id="30"/>
      <w:bookmarkEnd w:id="31"/>
    </w:p>
    <w:p w14:paraId="13DFA421">
      <w:pPr>
        <w:spacing w:line="400" w:lineRule="exact"/>
        <w:ind w:firstLine="420"/>
        <w:rPr>
          <w:rFonts w:ascii="宋体" w:hAnsi="宋体"/>
          <w:bCs/>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时间：</w:t>
      </w:r>
      <w:r>
        <w:rPr>
          <w:rFonts w:hint="eastAsia" w:ascii="宋体" w:hAnsi="宋体"/>
          <w:color w:val="000000" w:themeColor="text1"/>
          <w:szCs w:val="21"/>
          <w:u w:val="single"/>
          <w14:textFill>
            <w14:solidFill>
              <w14:schemeClr w14:val="tx1"/>
            </w14:solidFill>
          </w14:textFill>
        </w:rPr>
        <w:t xml:space="preserve"> 2026</w:t>
      </w:r>
      <w:r>
        <w:rPr>
          <w:rFonts w:hint="eastAsia" w:ascii="宋体" w:hAnsi="宋体"/>
          <w:bCs/>
          <w:color w:val="000000" w:themeColor="text1"/>
          <w:szCs w:val="21"/>
          <w:u w:val="single"/>
          <w14:textFill>
            <w14:solidFill>
              <w14:schemeClr w14:val="tx1"/>
            </w14:solidFill>
          </w14:textFill>
        </w:rPr>
        <w:t>年8月21日9时00分（北京时间）</w:t>
      </w:r>
    </w:p>
    <w:p w14:paraId="05A84349">
      <w:pPr>
        <w:spacing w:line="400" w:lineRule="exact"/>
        <w:ind w:firstLine="420"/>
        <w:rPr>
          <w:rFonts w:ascii="宋体" w:hAnsi="宋体" w:cs="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地点：广西政府采购云平台</w:t>
      </w:r>
      <w:r>
        <w:rPr>
          <w:rFonts w:hint="eastAsia" w:ascii="宋体" w:hAnsi="宋体" w:cs="宋体"/>
          <w:bCs/>
          <w:color w:val="000000" w:themeColor="text1"/>
          <w:szCs w:val="21"/>
          <w14:textFill>
            <w14:solidFill>
              <w14:schemeClr w14:val="tx1"/>
            </w14:solidFill>
          </w14:textFill>
        </w:rPr>
        <w:t>（https://www.gcy.zfcg.gxzf.gov.cn）</w:t>
      </w:r>
    </w:p>
    <w:p w14:paraId="2329EAF6">
      <w:pPr>
        <w:spacing w:line="400" w:lineRule="exact"/>
        <w:ind w:firstLine="360"/>
        <w:rPr>
          <w:rFonts w:ascii="黑体" w:hAnsi="黑体" w:eastAsia="黑体"/>
          <w:color w:val="000000" w:themeColor="text1"/>
          <w:sz w:val="24"/>
          <w14:textFill>
            <w14:solidFill>
              <w14:schemeClr w14:val="tx1"/>
            </w14:solidFill>
          </w14:textFill>
        </w:rPr>
      </w:pPr>
      <w:bookmarkStart w:id="33" w:name="_Toc35393803"/>
      <w:bookmarkStart w:id="34" w:name="_Toc71366045"/>
      <w:bookmarkStart w:id="35" w:name="_Toc28359017"/>
      <w:bookmarkStart w:id="36" w:name="_Toc71365367"/>
      <w:bookmarkStart w:id="37" w:name="_Toc28359094"/>
      <w:bookmarkStart w:id="38" w:name="_Toc35393634"/>
      <w:r>
        <w:rPr>
          <w:rFonts w:hint="eastAsia" w:ascii="黑体" w:hAnsi="黑体" w:eastAsia="黑体"/>
          <w:color w:val="000000" w:themeColor="text1"/>
          <w:sz w:val="24"/>
          <w14:textFill>
            <w14:solidFill>
              <w14:schemeClr w14:val="tx1"/>
            </w14:solidFill>
          </w14:textFill>
        </w:rPr>
        <w:t>六、公告期限</w:t>
      </w:r>
      <w:bookmarkEnd w:id="32"/>
      <w:bookmarkEnd w:id="33"/>
      <w:bookmarkEnd w:id="34"/>
      <w:bookmarkEnd w:id="35"/>
      <w:bookmarkEnd w:id="36"/>
      <w:bookmarkEnd w:id="37"/>
    </w:p>
    <w:p w14:paraId="1A27B5FD">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自本公告发布之日起3个工作日。</w:t>
      </w:r>
    </w:p>
    <w:p w14:paraId="007D5D7E">
      <w:pPr>
        <w:spacing w:line="400" w:lineRule="exact"/>
        <w:ind w:firstLine="360"/>
        <w:rPr>
          <w:rFonts w:ascii="黑体" w:hAnsi="黑体" w:eastAsia="黑体"/>
          <w:color w:val="000000" w:themeColor="text1"/>
          <w:sz w:val="24"/>
          <w14:textFill>
            <w14:solidFill>
              <w14:schemeClr w14:val="tx1"/>
            </w14:solidFill>
          </w14:textFill>
        </w:rPr>
      </w:pPr>
      <w:bookmarkStart w:id="39" w:name="_Toc71365368"/>
      <w:bookmarkStart w:id="40" w:name="_Toc35393635"/>
      <w:bookmarkStart w:id="41" w:name="_Toc35393804"/>
      <w:bookmarkStart w:id="42" w:name="_Toc71366046"/>
      <w:r>
        <w:rPr>
          <w:rFonts w:hint="eastAsia" w:ascii="黑体" w:hAnsi="黑体" w:eastAsia="黑体"/>
          <w:color w:val="000000" w:themeColor="text1"/>
          <w:sz w:val="24"/>
          <w14:textFill>
            <w14:solidFill>
              <w14:schemeClr w14:val="tx1"/>
            </w14:solidFill>
          </w14:textFill>
        </w:rPr>
        <w:t>七、其他补充事宜</w:t>
      </w:r>
      <w:bookmarkEnd w:id="38"/>
      <w:bookmarkEnd w:id="39"/>
      <w:bookmarkEnd w:id="40"/>
      <w:bookmarkEnd w:id="41"/>
    </w:p>
    <w:p w14:paraId="64784F30">
      <w:pPr>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1.竞标保证金：</w:t>
      </w:r>
      <w:r>
        <w:rPr>
          <w:rFonts w:hint="eastAsia" w:ascii="宋体" w:hAnsi="宋体"/>
          <w:color w:val="000000" w:themeColor="text1"/>
          <w:szCs w:val="21"/>
          <w14:textFill>
            <w14:solidFill>
              <w14:schemeClr w14:val="tx1"/>
            </w14:solidFill>
          </w14:textFill>
        </w:rPr>
        <w:t>20000元。</w:t>
      </w:r>
    </w:p>
    <w:p w14:paraId="7682C8EA">
      <w:pPr>
        <w:spacing w:line="400" w:lineRule="exact"/>
        <w:ind w:firstLine="42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保证金的交纳方式：银行转账、支票、汇票、本票、金融机构、担保机构出具的保函等非现金形式提交。禁止采用现钞方式。采用银行转账方式的，在首次响应文件提交截止时间前交至采购代理机构指定账户并到账</w:t>
      </w:r>
      <w:r>
        <w:rPr>
          <w:rFonts w:hint="eastAsia" w:ascii="宋体" w:hAnsi="宋体" w:cs="宋体"/>
          <w:b/>
          <w:bCs/>
          <w:color w:val="000000" w:themeColor="text1"/>
          <w:szCs w:val="21"/>
          <w:u w:val="single"/>
          <w14:textFill>
            <w14:solidFill>
              <w14:schemeClr w14:val="tx1"/>
            </w14:solidFill>
          </w14:textFill>
        </w:rPr>
        <w:t>【开户名称：云之龙咨询集团有限公司崇左分公司，账号：</w:t>
      </w:r>
      <w:r>
        <w:rPr>
          <w:rFonts w:ascii="宋体" w:hAnsi="宋体" w:cs="宋体"/>
          <w:b/>
          <w:bCs/>
          <w:color w:val="000000" w:themeColor="text1"/>
          <w:szCs w:val="21"/>
          <w:u w:val="single"/>
          <w14:textFill>
            <w14:solidFill>
              <w14:schemeClr w14:val="tx1"/>
            </w14:solidFill>
          </w14:textFill>
        </w:rPr>
        <w:t>8113001013900075153</w:t>
      </w:r>
      <w:r>
        <w:rPr>
          <w:rFonts w:hint="eastAsia" w:ascii="宋体" w:hAnsi="宋体" w:cs="宋体"/>
          <w:b/>
          <w:bCs/>
          <w:color w:val="000000" w:themeColor="text1"/>
          <w:szCs w:val="21"/>
          <w:u w:val="single"/>
          <w14:textFill>
            <w14:solidFill>
              <w14:schemeClr w14:val="tx1"/>
            </w14:solidFill>
          </w14:textFill>
        </w:rPr>
        <w:t>，开户行：中信银行股份有限公司南宁园湖支行</w:t>
      </w:r>
      <w:r>
        <w:rPr>
          <w:rFonts w:hint="eastAsia" w:ascii="宋体" w:hAnsi="宋体" w:cs="宋体"/>
          <w:color w:val="000000" w:themeColor="text1"/>
          <w:szCs w:val="21"/>
          <w14:textFill>
            <w14:solidFill>
              <w14:schemeClr w14:val="tx1"/>
            </w14:solidFill>
          </w14:textFill>
        </w:rPr>
        <w:t>】；采用支票、汇票、本票或者金融机构、担保机构出具的保函等方式的，在首次响应文件提交截止时间前，供应商应当提交单独密封的支票、汇票、本票或者保函、保险单原件。否则视为无效竞标保证金。</w:t>
      </w:r>
    </w:p>
    <w:p w14:paraId="1262B491">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网上查询地址</w:t>
      </w:r>
    </w:p>
    <w:p w14:paraId="6FB5E661">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www.ccgp.gov.cn（中国政府采购网）、www.ccgp-guangxi.gov.cn（广西壮族自治区政府采购网）</w:t>
      </w:r>
    </w:p>
    <w:p w14:paraId="305410EC">
      <w:pPr>
        <w:spacing w:line="400" w:lineRule="exact"/>
        <w:ind w:firstLine="424"/>
        <w:rPr>
          <w:rFonts w:ascii="宋体" w:hAnsi="宋体" w:cs="宋体"/>
          <w:color w:val="000000" w:themeColor="text1"/>
          <w:szCs w:val="21"/>
          <w14:textFill>
            <w14:solidFill>
              <w14:schemeClr w14:val="tx1"/>
            </w14:solidFill>
          </w14:textFill>
        </w:rPr>
      </w:pPr>
      <w:bookmarkStart w:id="43" w:name="_Toc28359018"/>
      <w:bookmarkStart w:id="44" w:name="_Toc71366047"/>
      <w:bookmarkStart w:id="45" w:name="_Toc28359095"/>
      <w:bookmarkStart w:id="46" w:name="_Toc35393805"/>
      <w:bookmarkStart w:id="47" w:name="_Toc71365369"/>
      <w:bookmarkStart w:id="48" w:name="_Hlk37429674"/>
      <w:bookmarkStart w:id="49" w:name="_Toc35393636"/>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本项目需要落实的政府采购政策</w:t>
      </w:r>
    </w:p>
    <w:p w14:paraId="241A06FA">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158A651D">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（2）政府采购支持采用本国产品的政策。</w:t>
      </w:r>
    </w:p>
    <w:p w14:paraId="7955B72A">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（3）强制采购节能产品；优先采购节能产品、环境标志产品。</w:t>
      </w:r>
    </w:p>
    <w:p w14:paraId="6860B7D9">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（4）政府采购促进残疾人就业政策。</w:t>
      </w:r>
    </w:p>
    <w:p w14:paraId="6179E7C1">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（5）政府采购支持监狱企业发展。</w:t>
      </w:r>
    </w:p>
    <w:p w14:paraId="1CBCD4D8">
      <w:pPr>
        <w:widowControl/>
        <w:spacing w:line="400" w:lineRule="exact"/>
        <w:ind w:firstLine="422"/>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4.本项目采用远程异地评审。崇左市的专家到广西崇左市友谊大道与城南八路交叉口东南角处（崇左建设大厦/百成财富2#楼十三层）云之龙咨询集团有限公司崇左分公司参加评审；</w:t>
      </w:r>
      <w:r>
        <w:rPr>
          <w:rFonts w:hint="eastAsia" w:ascii="宋体" w:hAnsi="宋体"/>
          <w:b/>
          <w:bCs/>
          <w:color w:val="000000" w:themeColor="text1"/>
          <w:szCs w:val="21"/>
          <w:lang w:val="en-US" w:eastAsia="zh-CN"/>
          <w14:textFill>
            <w14:solidFill>
              <w14:schemeClr w14:val="tx1"/>
            </w14:solidFill>
          </w14:textFill>
        </w:rPr>
        <w:t>玉林</w:t>
      </w:r>
      <w:r>
        <w:rPr>
          <w:rFonts w:hint="eastAsia" w:ascii="宋体" w:hAnsi="宋体"/>
          <w:b/>
          <w:bCs/>
          <w:color w:val="000000" w:themeColor="text1"/>
          <w:szCs w:val="21"/>
          <w14:textFill>
            <w14:solidFill>
              <w14:schemeClr w14:val="tx1"/>
            </w14:solidFill>
          </w14:textFill>
        </w:rPr>
        <w:t>市的专家到广西玉林市双拥路39号东盛大厦17楼云之龙咨询集团有限公司</w:t>
      </w:r>
      <w:r>
        <w:rPr>
          <w:rFonts w:hint="eastAsia" w:ascii="宋体" w:hAnsi="宋体"/>
          <w:b/>
          <w:bCs/>
          <w:color w:val="000000" w:themeColor="text1"/>
          <w:szCs w:val="21"/>
          <w:lang w:eastAsia="zh-CN"/>
          <w14:textFill>
            <w14:solidFill>
              <w14:schemeClr w14:val="tx1"/>
            </w14:solidFill>
          </w14:textFill>
        </w:rPr>
        <w:t>玉林分公司</w:t>
      </w:r>
      <w:r>
        <w:rPr>
          <w:rFonts w:hint="eastAsia" w:ascii="宋体" w:hAnsi="宋体"/>
          <w:b/>
          <w:bCs/>
          <w:color w:val="000000" w:themeColor="text1"/>
          <w:szCs w:val="21"/>
          <w14:textFill>
            <w14:solidFill>
              <w14:schemeClr w14:val="tx1"/>
            </w14:solidFill>
          </w14:textFill>
        </w:rPr>
        <w:t>参加评审。</w:t>
      </w:r>
    </w:p>
    <w:p w14:paraId="133E345E">
      <w:pPr>
        <w:widowControl/>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w:t>
      </w:r>
      <w:r>
        <w:rPr>
          <w:rFonts w:hint="eastAsia" w:ascii="宋体" w:hAnsi="宋体"/>
          <w:color w:val="000000" w:themeColor="text1"/>
          <w:szCs w:val="21"/>
          <w14:textFill>
            <w14:solidFill>
              <w14:schemeClr w14:val="tx1"/>
            </w14:solidFill>
          </w14:textFill>
        </w:rPr>
        <w:t>竞标注意事项</w:t>
      </w:r>
    </w:p>
    <w:p w14:paraId="546BC214">
      <w:pPr>
        <w:widowControl/>
        <w:spacing w:line="400" w:lineRule="exact"/>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谈判文件和广西政府采购云平台的要求编制、加密后在提交响应文件截止时间前通过网络上传至 广西政府采购云平台（加密的电子响应文件是指</w:t>
      </w:r>
      <w:r>
        <w:rPr>
          <w:rFonts w:hint="eastAsia"/>
          <w:color w:val="000000" w:themeColor="text1"/>
          <w14:textFill>
            <w14:solidFill>
              <w14:schemeClr w14:val="tx1"/>
            </w14:solidFill>
          </w14:textFill>
        </w:rPr>
        <w:t>后缀名为“jm</w:t>
      </w:r>
      <w:r>
        <w:rPr>
          <w:color w:val="000000" w:themeColor="text1"/>
          <w14:textFill>
            <w14:solidFill>
              <w14:schemeClr w14:val="tx1"/>
            </w14:solidFill>
          </w14:textFill>
        </w:rPr>
        <w:t>bs</w:t>
      </w:r>
      <w:r>
        <w:rPr>
          <w:rFonts w:hint="eastAsia"/>
          <w:color w:val="000000" w:themeColor="text1"/>
          <w14:textFill>
            <w14:solidFill>
              <w14:schemeClr w14:val="tx1"/>
            </w14:solidFill>
          </w14:textFill>
        </w:rPr>
        <w:t>”的文件</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供应商在广西政府采购云平台提交电子响应文件时，请填写参加远程采购活动经办人联系方式。</w:t>
      </w:r>
      <w:r>
        <w:rPr>
          <w:rFonts w:hint="eastAsia" w:ascii="宋体" w:hAnsi="宋体"/>
          <w:color w:val="000000" w:themeColor="text1"/>
          <w:szCs w:val="21"/>
          <w14:textFill>
            <w14:solidFill>
              <w14:schemeClr w14:val="tx1"/>
            </w14:solidFill>
          </w14:textFill>
        </w:rPr>
        <w:t>供应商登录广西政府采购云平台，依次进入“服务中心－项目采购－操作流程－电子招投标－</w:t>
      </w:r>
      <w:r>
        <w:rPr>
          <w:color w:val="000000" w:themeColor="text1"/>
          <w14:textFill>
            <w14:solidFill>
              <w14:schemeClr w14:val="tx1"/>
            </w14:solidFill>
          </w14:textFill>
        </w:rPr>
        <w:t>政府采购项目电子交易管理操作指南</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供应商</w:t>
      </w:r>
      <w:r>
        <w:rPr>
          <w:rFonts w:hint="eastAsia" w:ascii="宋体" w:hAnsi="宋体"/>
          <w:color w:val="000000" w:themeColor="text1"/>
          <w:szCs w:val="21"/>
          <w14:textFill>
            <w14:solidFill>
              <w14:schemeClr w14:val="tx1"/>
            </w14:solidFill>
          </w14:textFill>
        </w:rPr>
        <w:t>”查看电子竞标具体操作流程。</w:t>
      </w:r>
    </w:p>
    <w:p w14:paraId="4501617E">
      <w:pPr>
        <w:widowControl/>
        <w:spacing w:line="40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14:textFill>
            <w14:solidFill>
              <w14:schemeClr w14:val="tx1"/>
            </w14:solidFill>
          </w14:textFill>
        </w:rPr>
        <w:t>如在操作过程中遇到问题或者需要技术支持，请致电广西政府采购云平台客服热线：95763或0771-3381253</w:t>
      </w:r>
      <w:r>
        <w:rPr>
          <w:rFonts w:hint="eastAsia" w:ascii="宋体" w:hAnsi="宋体"/>
          <w:color w:val="000000" w:themeColor="text1"/>
          <w:szCs w:val="21"/>
          <w14:textFill>
            <w14:solidFill>
              <w14:schemeClr w14:val="tx1"/>
            </w14:solidFill>
          </w14:textFill>
        </w:rPr>
        <w:t>）。</w:t>
      </w:r>
    </w:p>
    <w:p w14:paraId="6105EBA6">
      <w:p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（3）CA证书在线解密：供应商竞标时，需凭制作响应文件时用来加密的有效数字证书（CA认证）登录广西政府采购云平台电子开标大厅现场按规定时间对加密的响应文件进行解密，</w:t>
      </w:r>
      <w:r>
        <w:rPr>
          <w:rFonts w:hint="eastAsia" w:ascii="宋体" w:hAnsi="宋体" w:cs="宋体"/>
          <w:b/>
          <w:bCs/>
          <w:color w:val="000000" w:themeColor="text1"/>
          <w:szCs w:val="21"/>
          <w14:textFill>
            <w14:solidFill>
              <w14:schemeClr w14:val="tx1"/>
            </w14:solidFill>
          </w14:textFill>
        </w:rPr>
        <w:t>为确保投标（响应）文件顺利解密，建议供应商尽量使用PDF编辑软件调整、减小投标（响应）文件大小，加密后再上传至广西政府采购云平台，否则后果自负。</w:t>
      </w:r>
    </w:p>
    <w:p w14:paraId="3B2E2715">
      <w:pPr>
        <w:widowControl/>
        <w:spacing w:line="400" w:lineRule="exact"/>
        <w:ind w:firstLine="420"/>
        <w:jc w:val="left"/>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注：1）为确保网上操作合法、有效和安全，请供应商确保在电子竞标过程中能够对相关数据电文进行加密和使用电子签章，妥善保管C</w:t>
      </w: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数字证书并使用有效的CA数字证书参与整个采购活动。2）</w:t>
      </w:r>
      <w:r>
        <w:rPr>
          <w:rFonts w:hint="eastAsia" w:ascii="宋体"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49E1A0E">
      <w:pPr>
        <w:numPr>
          <w:ilvl w:val="0"/>
          <w:numId w:val="1"/>
        </w:numPr>
        <w:spacing w:line="400" w:lineRule="exact"/>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供应商需要在具备摄像头及语音功能且互联网网络状况良好的电脑登录广西政府采购云平台远程开标大厅参与本次谈判，否则后果自负。</w:t>
      </w:r>
    </w:p>
    <w:p w14:paraId="705A8B96">
      <w:pPr>
        <w:widowControl/>
        <w:spacing w:line="400" w:lineRule="exact"/>
        <w:ind w:firstLine="422"/>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6.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bookmarkEnd w:id="42"/>
    </w:p>
    <w:p w14:paraId="5CA9E71C">
      <w:pPr>
        <w:spacing w:line="400" w:lineRule="exact"/>
        <w:ind w:firstLine="36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八、凡对本次采购提出询问，请按</w:t>
      </w:r>
      <w:r>
        <w:rPr>
          <w:rFonts w:ascii="黑体" w:hAnsi="黑体" w:eastAsia="黑体"/>
          <w:color w:val="000000" w:themeColor="text1"/>
          <w:sz w:val="24"/>
          <w14:textFill>
            <w14:solidFill>
              <w14:schemeClr w14:val="tx1"/>
            </w14:solidFill>
          </w14:textFill>
        </w:rPr>
        <w:t>以下方式</w:t>
      </w:r>
      <w:r>
        <w:rPr>
          <w:rFonts w:hint="eastAsia" w:ascii="黑体" w:hAnsi="黑体" w:eastAsia="黑体"/>
          <w:color w:val="000000" w:themeColor="text1"/>
          <w:sz w:val="24"/>
          <w14:textFill>
            <w14:solidFill>
              <w14:schemeClr w14:val="tx1"/>
            </w14:solidFill>
          </w14:textFill>
        </w:rPr>
        <w:t>联系。</w:t>
      </w:r>
      <w:bookmarkEnd w:id="43"/>
      <w:bookmarkEnd w:id="44"/>
      <w:bookmarkEnd w:id="45"/>
      <w:bookmarkEnd w:id="46"/>
      <w:bookmarkEnd w:id="47"/>
      <w:bookmarkEnd w:id="48"/>
      <w:bookmarkEnd w:id="49"/>
    </w:p>
    <w:p w14:paraId="7D14137B">
      <w:pPr>
        <w:spacing w:line="400" w:lineRule="exact"/>
        <w:ind w:firstLine="420"/>
        <w:rPr>
          <w:rFonts w:ascii="宋体" w:hAnsi="宋体" w:cs="仿宋"/>
          <w:color w:val="000000" w:themeColor="text1"/>
          <w14:textFill>
            <w14:solidFill>
              <w14:schemeClr w14:val="tx1"/>
            </w14:solidFill>
          </w14:textFill>
        </w:rPr>
      </w:pPr>
      <w:bookmarkStart w:id="50" w:name="_Toc28359020"/>
      <w:bookmarkStart w:id="51" w:name="_Toc28359097"/>
      <w:bookmarkStart w:id="52" w:name="_Toc35393807"/>
      <w:bookmarkStart w:id="53" w:name="_Toc35393638"/>
      <w:r>
        <w:rPr>
          <w:rFonts w:hint="eastAsia" w:ascii="宋体" w:hAnsi="宋体" w:cs="仿宋"/>
          <w:color w:val="000000" w:themeColor="text1"/>
          <w14:textFill>
            <w14:solidFill>
              <w14:schemeClr w14:val="tx1"/>
            </w14:solidFill>
          </w14:textFill>
        </w:rPr>
        <w:t>1.采购人信息</w:t>
      </w:r>
    </w:p>
    <w:p w14:paraId="063C4E9F">
      <w:pPr>
        <w:widowControl/>
        <w:spacing w:line="400" w:lineRule="exact"/>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称：宁明县海渊镇中心卫生院 </w:t>
      </w:r>
    </w:p>
    <w:p w14:paraId="52A0E3D5">
      <w:pPr>
        <w:widowControl/>
        <w:spacing w:line="400" w:lineRule="exact"/>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地址：宁明县海渊镇新路街139号</w:t>
      </w:r>
      <w:bookmarkStart w:id="72" w:name="_GoBack"/>
      <w:bookmarkEnd w:id="72"/>
    </w:p>
    <w:p w14:paraId="01513375">
      <w:pPr>
        <w:widowControl/>
        <w:spacing w:line="400" w:lineRule="exact"/>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联系人：黄艳强</w:t>
      </w:r>
    </w:p>
    <w:p w14:paraId="232FB126">
      <w:pPr>
        <w:widowControl/>
        <w:spacing w:line="400" w:lineRule="exact"/>
        <w:ind w:firstLine="420"/>
        <w:jc w:val="left"/>
        <w:rPr>
          <w:rFonts w:ascii="宋体" w:hAnsi="宋体" w:cs="仿宋"/>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联系电话：‌0771-8661173‌</w:t>
      </w:r>
    </w:p>
    <w:p w14:paraId="77ABC7A2">
      <w:pPr>
        <w:spacing w:line="400" w:lineRule="exact"/>
        <w:ind w:firstLine="420"/>
        <w:rPr>
          <w:rFonts w:ascii="宋体" w:hAnsi="宋体" w:cs="仿宋"/>
          <w:color w:val="000000" w:themeColor="text1"/>
          <w14:textFill>
            <w14:solidFill>
              <w14:schemeClr w14:val="tx1"/>
            </w14:solidFill>
          </w14:textFill>
        </w:rPr>
      </w:pPr>
      <w:r>
        <w:rPr>
          <w:rFonts w:ascii="宋体" w:hAnsi="宋体" w:cs="仿宋"/>
          <w:color w:val="000000" w:themeColor="text1"/>
          <w14:textFill>
            <w14:solidFill>
              <w14:schemeClr w14:val="tx1"/>
            </w14:solidFill>
          </w14:textFill>
        </w:rPr>
        <w:t>2.采购代理机构信息</w:t>
      </w:r>
    </w:p>
    <w:p w14:paraId="14168C7A">
      <w:pPr>
        <w:spacing w:line="400" w:lineRule="exact"/>
        <w:ind w:firstLine="420"/>
        <w:rPr>
          <w:rFonts w:ascii="宋体" w:hAnsi="宋体" w:cs="仿宋"/>
          <w:color w:val="000000" w:themeColor="text1"/>
          <w14:textFill>
            <w14:solidFill>
              <w14:schemeClr w14:val="tx1"/>
            </w14:solidFill>
          </w14:textFill>
        </w:rPr>
      </w:pPr>
      <w:r>
        <w:rPr>
          <w:rFonts w:ascii="宋体" w:hAnsi="宋体" w:cs="仿宋"/>
          <w:color w:val="000000" w:themeColor="text1"/>
          <w14:textFill>
            <w14:solidFill>
              <w14:schemeClr w14:val="tx1"/>
            </w14:solidFill>
          </w14:textFill>
        </w:rPr>
        <w:t>名 称：云之龙咨询集团有限公司</w:t>
      </w:r>
    </w:p>
    <w:p w14:paraId="4017CE81">
      <w:pPr>
        <w:spacing w:line="400" w:lineRule="exact"/>
        <w:ind w:firstLine="420"/>
        <w:rPr>
          <w:rFonts w:ascii="宋体" w:hAnsi="宋体" w:cs="仿宋"/>
          <w:color w:val="000000" w:themeColor="text1"/>
          <w14:textFill>
            <w14:solidFill>
              <w14:schemeClr w14:val="tx1"/>
            </w14:solidFill>
          </w14:textFill>
        </w:rPr>
      </w:pPr>
      <w:r>
        <w:rPr>
          <w:rFonts w:ascii="宋体" w:hAnsi="宋体" w:cs="仿宋"/>
          <w:color w:val="000000" w:themeColor="text1"/>
          <w14:textFill>
            <w14:solidFill>
              <w14:schemeClr w14:val="tx1"/>
            </w14:solidFill>
          </w14:textFill>
        </w:rPr>
        <w:t>地址：</w:t>
      </w:r>
      <w:r>
        <w:rPr>
          <w:rFonts w:hint="eastAsia" w:ascii="宋体" w:hAnsi="宋体" w:cs="仿宋"/>
          <w:color w:val="000000" w:themeColor="text1"/>
          <w14:textFill>
            <w14:solidFill>
              <w14:schemeClr w14:val="tx1"/>
            </w14:solidFill>
          </w14:textFill>
        </w:rPr>
        <w:t>广西崇左市友谊大道与城南八路交叉口东南角处</w:t>
      </w:r>
    </w:p>
    <w:p w14:paraId="6C5A0ED1">
      <w:pPr>
        <w:spacing w:line="400" w:lineRule="exact"/>
        <w:ind w:firstLine="420"/>
        <w:rPr>
          <w:rFonts w:ascii="宋体" w:hAnsi="宋体" w:cs="仿宋"/>
          <w:color w:val="000000" w:themeColor="text1"/>
          <w14:textFill>
            <w14:solidFill>
              <w14:schemeClr w14:val="tx1"/>
            </w14:solidFill>
          </w14:textFill>
        </w:rPr>
      </w:pPr>
      <w:r>
        <w:rPr>
          <w:rFonts w:hint="eastAsia" w:ascii="宋体" w:hAnsi="宋体" w:cs="仿宋"/>
          <w:color w:val="000000" w:themeColor="text1"/>
          <w14:textFill>
            <w14:solidFill>
              <w14:schemeClr w14:val="tx1"/>
            </w14:solidFill>
          </w14:textFill>
        </w:rPr>
        <w:t>（崇左建设大厦/百成财富2#楼十三层）</w:t>
      </w:r>
    </w:p>
    <w:p w14:paraId="55F74D9A">
      <w:pPr>
        <w:spacing w:line="400" w:lineRule="exact"/>
        <w:ind w:firstLine="420"/>
        <w:rPr>
          <w:rFonts w:ascii="宋体" w:hAnsi="宋体" w:cs="仿宋"/>
          <w:color w:val="000000" w:themeColor="text1"/>
          <w14:textFill>
            <w14:solidFill>
              <w14:schemeClr w14:val="tx1"/>
            </w14:solidFill>
          </w14:textFill>
        </w:rPr>
      </w:pPr>
      <w:r>
        <w:rPr>
          <w:rFonts w:ascii="宋体" w:hAnsi="宋体" w:cs="仿宋"/>
          <w:color w:val="000000" w:themeColor="text1"/>
          <w14:textFill>
            <w14:solidFill>
              <w14:schemeClr w14:val="tx1"/>
            </w14:solidFill>
          </w14:textFill>
        </w:rPr>
        <w:t>联系方式：0771-7833699</w:t>
      </w:r>
      <w:bookmarkEnd w:id="50"/>
      <w:bookmarkEnd w:id="51"/>
      <w:bookmarkEnd w:id="52"/>
      <w:bookmarkEnd w:id="53"/>
    </w:p>
    <w:p w14:paraId="0B68F985">
      <w:pPr>
        <w:spacing w:line="400" w:lineRule="exact"/>
        <w:ind w:firstLine="420"/>
        <w:rPr>
          <w:rFonts w:ascii="宋体" w:hAnsi="宋体" w:cs="仿宋"/>
          <w:color w:val="000000" w:themeColor="text1"/>
          <w14:textFill>
            <w14:solidFill>
              <w14:schemeClr w14:val="tx1"/>
            </w14:solidFill>
          </w14:textFill>
        </w:rPr>
      </w:pPr>
      <w:bookmarkStart w:id="54" w:name="_Toc35393808"/>
      <w:bookmarkStart w:id="55" w:name="_Toc28359098"/>
      <w:bookmarkStart w:id="56" w:name="_Toc28359021"/>
      <w:bookmarkStart w:id="57" w:name="_Toc35393639"/>
      <w:r>
        <w:rPr>
          <w:rFonts w:hint="eastAsia" w:ascii="宋体" w:hAnsi="宋体" w:cs="仿宋"/>
          <w:color w:val="000000" w:themeColor="text1"/>
          <w14:textFill>
            <w14:solidFill>
              <w14:schemeClr w14:val="tx1"/>
            </w14:solidFill>
          </w14:textFill>
        </w:rPr>
        <w:t>3.项目联系方式</w:t>
      </w:r>
      <w:bookmarkEnd w:id="54"/>
      <w:bookmarkEnd w:id="55"/>
      <w:bookmarkEnd w:id="56"/>
      <w:bookmarkEnd w:id="57"/>
    </w:p>
    <w:p w14:paraId="55391E5C">
      <w:pPr>
        <w:spacing w:line="400" w:lineRule="exact"/>
        <w:ind w:firstLine="420"/>
        <w:rPr>
          <w:rFonts w:ascii="宋体" w:hAnsi="宋体" w:cs="仿宋"/>
          <w:color w:val="000000" w:themeColor="text1"/>
          <w14:textFill>
            <w14:solidFill>
              <w14:schemeClr w14:val="tx1"/>
            </w14:solidFill>
          </w14:textFill>
        </w:rPr>
      </w:pPr>
      <w:r>
        <w:rPr>
          <w:rFonts w:hint="eastAsia" w:ascii="宋体" w:hAnsi="宋体" w:cs="仿宋"/>
          <w:color w:val="000000" w:themeColor="text1"/>
          <w14:textFill>
            <w14:solidFill>
              <w14:schemeClr w14:val="tx1"/>
            </w14:solidFill>
          </w14:textFill>
        </w:rPr>
        <w:t>项目联系人：黄冬妮</w:t>
      </w:r>
    </w:p>
    <w:p w14:paraId="0B4E8E5C">
      <w:pPr>
        <w:spacing w:line="400" w:lineRule="exact"/>
        <w:ind w:firstLine="420"/>
        <w:rPr>
          <w:rFonts w:ascii="宋体" w:hAnsi="宋体" w:cs="仿宋"/>
          <w:color w:val="000000" w:themeColor="text1"/>
          <w14:textFill>
            <w14:solidFill>
              <w14:schemeClr w14:val="tx1"/>
            </w14:solidFill>
          </w14:textFill>
        </w:rPr>
      </w:pPr>
      <w:r>
        <w:rPr>
          <w:rFonts w:hint="eastAsia" w:ascii="宋体" w:hAnsi="宋体" w:cs="仿宋"/>
          <w:color w:val="000000" w:themeColor="text1"/>
          <w14:textFill>
            <w14:solidFill>
              <w14:schemeClr w14:val="tx1"/>
            </w14:solidFill>
          </w14:textFill>
        </w:rPr>
        <w:t>电话：0771-7835598、0771-7833699    传真：0771-7835509</w:t>
      </w:r>
    </w:p>
    <w:p w14:paraId="5FB81837">
      <w:pPr>
        <w:spacing w:line="400" w:lineRule="exact"/>
        <w:ind w:firstLine="420"/>
        <w:rPr>
          <w:rFonts w:ascii="宋体" w:hAnsi="宋体" w:cs="仿宋"/>
          <w:color w:val="000000" w:themeColor="text1"/>
          <w14:textFill>
            <w14:solidFill>
              <w14:schemeClr w14:val="tx1"/>
            </w14:solidFill>
          </w14:textFill>
        </w:rPr>
      </w:pPr>
      <w:r>
        <w:rPr>
          <w:rFonts w:hint="eastAsia" w:ascii="宋体" w:hAnsi="宋体" w:cs="仿宋"/>
          <w:color w:val="000000" w:themeColor="text1"/>
          <w14:textFill>
            <w14:solidFill>
              <w14:schemeClr w14:val="tx1"/>
            </w14:solidFill>
          </w14:textFill>
        </w:rPr>
        <w:t>财务电话：0771-7836268</w:t>
      </w:r>
    </w:p>
    <w:p w14:paraId="3485EA0C">
      <w:pPr>
        <w:pStyle w:val="203"/>
        <w:jc w:val="center"/>
        <w:rPr>
          <w:color w:val="000000" w:themeColor="text1"/>
          <w14:textFill>
            <w14:solidFill>
              <w14:schemeClr w14:val="tx1"/>
            </w14:solidFill>
          </w14:textFill>
        </w:rPr>
      </w:pPr>
      <w:r>
        <w:rPr>
          <w:rFonts w:ascii="Arial Unicode MS" w:hAnsi="Arial Unicode MS" w:eastAsia="Arial Unicode MS" w:cs="Arial Unicode MS"/>
          <w:bCs w:val="0"/>
          <w:color w:val="000000" w:themeColor="text1"/>
          <w14:textFill>
            <w14:solidFill>
              <w14:schemeClr w14:val="tx1"/>
            </w14:solidFill>
          </w14:textFill>
        </w:rPr>
        <w:br w:type="page" w:clear="all"/>
      </w:r>
      <w:bookmarkStart w:id="58" w:name="_Toc29160"/>
      <w:bookmarkStart w:id="59" w:name="_Toc74322009"/>
      <w:r>
        <w:rPr>
          <w:rFonts w:hint="eastAsia"/>
          <w:color w:val="000000" w:themeColor="text1"/>
          <w14:textFill>
            <w14:solidFill>
              <w14:schemeClr w14:val="tx1"/>
            </w14:solidFill>
          </w14:textFill>
        </w:rPr>
        <w:t>第二章 供应商须知</w:t>
      </w:r>
      <w:bookmarkEnd w:id="58"/>
      <w:bookmarkEnd w:id="59"/>
    </w:p>
    <w:p w14:paraId="10708FB3">
      <w:pPr>
        <w:spacing w:line="400" w:lineRule="exact"/>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供应商须知前附表</w:t>
      </w:r>
    </w:p>
    <w:p w14:paraId="4945887D">
      <w:pPr>
        <w:spacing w:line="400" w:lineRule="exact"/>
        <w:jc w:val="center"/>
        <w:rPr>
          <w:rFonts w:ascii="宋体" w:hAnsi="宋体"/>
          <w:b/>
          <w:color w:val="000000" w:themeColor="text1"/>
          <w:sz w:val="32"/>
          <w:szCs w:val="32"/>
          <w14:textFill>
            <w14:solidFill>
              <w14:schemeClr w14:val="tx1"/>
            </w14:solidFill>
          </w14:textFill>
        </w:rPr>
      </w:pPr>
    </w:p>
    <w:tbl>
      <w:tblPr>
        <w:tblStyle w:val="40"/>
        <w:tblW w:w="90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045"/>
      </w:tblGrid>
      <w:tr w14:paraId="50670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tcPr>
          <w:p w14:paraId="0B9201AC">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8045" w:type="dxa"/>
            <w:tcBorders>
              <w:top w:val="single" w:color="000000" w:sz="4" w:space="0"/>
              <w:left w:val="single" w:color="000000" w:sz="4" w:space="0"/>
              <w:bottom w:val="single" w:color="000000" w:sz="4" w:space="0"/>
              <w:right w:val="single" w:color="000000" w:sz="4" w:space="0"/>
            </w:tcBorders>
          </w:tcPr>
          <w:p w14:paraId="7B56EA4A">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    容</w:t>
            </w:r>
          </w:p>
        </w:tc>
      </w:tr>
      <w:tr w14:paraId="4B31F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C37A9D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8045" w:type="dxa"/>
            <w:tcBorders>
              <w:top w:val="single" w:color="000000" w:sz="4" w:space="0"/>
              <w:left w:val="single" w:color="000000" w:sz="4" w:space="0"/>
              <w:bottom w:val="single" w:color="000000" w:sz="4" w:space="0"/>
              <w:right w:val="single" w:color="000000" w:sz="4" w:space="0"/>
            </w:tcBorders>
            <w:vAlign w:val="center"/>
          </w:tcPr>
          <w:p w14:paraId="1E7A72B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1.供应商的资格条件：详见竞争性谈判公告</w:t>
            </w:r>
          </w:p>
          <w:p w14:paraId="5A8FD4B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出现下列情形之一的，不得参加政府采购活动：</w:t>
            </w:r>
          </w:p>
          <w:p w14:paraId="5AE10C9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6AD8E1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5F1CA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82D1CF9">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w:t>
            </w:r>
          </w:p>
        </w:tc>
        <w:tc>
          <w:tcPr>
            <w:tcW w:w="8045" w:type="dxa"/>
            <w:tcBorders>
              <w:top w:val="single" w:color="000000" w:sz="4" w:space="0"/>
              <w:left w:val="single" w:color="000000" w:sz="4" w:space="0"/>
              <w:bottom w:val="single" w:color="000000" w:sz="4" w:space="0"/>
              <w:right w:val="single" w:color="000000" w:sz="4" w:space="0"/>
            </w:tcBorders>
            <w:vAlign w:val="center"/>
          </w:tcPr>
          <w:p w14:paraId="55BD6D7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是否接受联合体竞标： 详见竞争性谈判公告</w:t>
            </w:r>
          </w:p>
        </w:tc>
      </w:tr>
      <w:tr w14:paraId="7C72F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9E53AC2">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.2</w:t>
            </w:r>
          </w:p>
        </w:tc>
        <w:tc>
          <w:tcPr>
            <w:tcW w:w="8045" w:type="dxa"/>
            <w:tcBorders>
              <w:top w:val="single" w:color="000000" w:sz="4" w:space="0"/>
              <w:left w:val="single" w:color="000000" w:sz="4" w:space="0"/>
              <w:bottom w:val="single" w:color="000000" w:sz="4" w:space="0"/>
              <w:right w:val="single" w:color="000000" w:sz="4" w:space="0"/>
            </w:tcBorders>
            <w:vAlign w:val="center"/>
          </w:tcPr>
          <w:p w14:paraId="1A0C19BE">
            <w:pPr>
              <w:spacing w:line="360" w:lineRule="auto"/>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如接受联合体竞标，联合体竞标要求如下：</w:t>
            </w:r>
          </w:p>
          <w:p w14:paraId="5D444BC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两个以上供应商可以组成一个竞标联合体，以一个供应商的身份共同参加竞标。联合体竞标的，须提供《联合体竞标协议书》（格式后附）。</w:t>
            </w:r>
          </w:p>
          <w:p w14:paraId="201B6B7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56F6256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联合体各方之间必须签订联合竞标协议，协议书必须明确主体方（或者牵头方）并明确约定联合体各方承担的工作和相应的责任（各方承担责任与义务的分工必须符合采购需求，</w:t>
            </w:r>
            <w:r>
              <w:rPr>
                <w:rFonts w:hint="eastAsia" w:ascii="宋体" w:hAnsi="宋体" w:cs="宋体"/>
                <w:b/>
                <w:bCs/>
                <w:color w:val="000000" w:themeColor="text1"/>
                <w:szCs w:val="21"/>
                <w14:textFill>
                  <w14:solidFill>
                    <w14:schemeClr w14:val="tx1"/>
                  </w14:solidFill>
                </w14:textFill>
              </w:rPr>
              <w:t>否则，联合体竞标无效</w:t>
            </w:r>
            <w:r>
              <w:rPr>
                <w:rFonts w:hint="eastAsia" w:ascii="宋体" w:hAnsi="宋体" w:cs="宋体"/>
                <w:color w:val="000000" w:themeColor="text1"/>
                <w:szCs w:val="21"/>
                <w14:textFill>
                  <w14:solidFill>
                    <w14:schemeClr w14:val="tx1"/>
                  </w14:solidFill>
                </w14:textFill>
              </w:rPr>
              <w:t>），并将联合竞标协议连同响应文件一并提交采购代理机构。联合体各方必须共同与采购人签订采购合同，就采购合同约定的事项对采购人承担连带责任。</w:t>
            </w:r>
          </w:p>
          <w:p w14:paraId="3C056EE1">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以联合体形式参加政府采购活动的，联合体各方不得再单独参加或者与其他供应商另外组成联合体参加同一合同项下的政府采购活动。</w:t>
            </w:r>
          </w:p>
          <w:p w14:paraId="377B89C0">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联合体中有同类资质的供应商按照联合体分工承担相同工作的，应当按照资质等级较低的供应商确定资质等级。</w:t>
            </w:r>
          </w:p>
          <w:p w14:paraId="196066B1">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联合体竞标业绩、履约能力按照联合体各方中较高的一方认定并计算。</w:t>
            </w:r>
          </w:p>
          <w:p w14:paraId="225042E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供应商为联合体的，可以由联合体中的一方或者多方共同交纳保证金，其交纳的保证金对联合体各方均具有约束力。</w:t>
            </w:r>
          </w:p>
          <w:p w14:paraId="7C23975E">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联合体各方均应按照谈判文件的规定分别提交资格证明文件。</w:t>
            </w:r>
          </w:p>
        </w:tc>
      </w:tr>
      <w:tr w14:paraId="0153E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076BD4E">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6.2</w:t>
            </w:r>
          </w:p>
        </w:tc>
        <w:tc>
          <w:tcPr>
            <w:tcW w:w="8045" w:type="dxa"/>
            <w:tcBorders>
              <w:top w:val="single" w:color="000000" w:sz="4" w:space="0"/>
              <w:left w:val="single" w:color="000000" w:sz="4" w:space="0"/>
              <w:bottom w:val="single" w:color="000000" w:sz="4" w:space="0"/>
              <w:right w:val="single" w:color="000000" w:sz="4" w:space="0"/>
            </w:tcBorders>
            <w:vAlign w:val="center"/>
          </w:tcPr>
          <w:p w14:paraId="46494A41">
            <w:pPr>
              <w:pStyle w:val="214"/>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☑不允许分包</w:t>
            </w:r>
          </w:p>
          <w:p w14:paraId="04B26F31">
            <w:pPr>
              <w:pStyle w:val="214"/>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□允许分包</w:t>
            </w:r>
          </w:p>
          <w:p w14:paraId="4C605A88">
            <w:pPr>
              <w:pStyle w:val="214"/>
              <w:spacing w:line="360" w:lineRule="auto"/>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分包内容：</w:t>
            </w:r>
            <w:r>
              <w:rPr>
                <w:rFonts w:hint="eastAsia"/>
                <w:color w:val="000000" w:themeColor="text1"/>
                <w:u w:val="single"/>
                <w14:textFill>
                  <w14:solidFill>
                    <w14:schemeClr w14:val="tx1"/>
                  </w14:solidFill>
                </w14:textFill>
              </w:rPr>
              <w:t xml:space="preserve">                                     。</w:t>
            </w:r>
          </w:p>
          <w:p w14:paraId="277DE1EF">
            <w:pPr>
              <w:pStyle w:val="214"/>
              <w:spacing w:line="360" w:lineRule="auto"/>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分包金额或者比例：</w:t>
            </w:r>
            <w:r>
              <w:rPr>
                <w:rFonts w:hint="eastAsia"/>
                <w:color w:val="000000" w:themeColor="text1"/>
                <w:u w:val="single"/>
                <w14:textFill>
                  <w14:solidFill>
                    <w14:schemeClr w14:val="tx1"/>
                  </w14:solidFill>
                </w14:textFill>
              </w:rPr>
              <w:t xml:space="preserve">                             。</w:t>
            </w:r>
          </w:p>
          <w:p w14:paraId="23514F17">
            <w:pPr>
              <w:pStyle w:val="214"/>
              <w:spacing w:line="360" w:lineRule="auto"/>
              <w:rPr>
                <w:color w:val="000000" w:themeColor="text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分包供应商必须具备的资质：</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p>
        </w:tc>
      </w:tr>
      <w:tr w14:paraId="36194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9E5C737">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7.1</w:t>
            </w:r>
          </w:p>
        </w:tc>
        <w:tc>
          <w:tcPr>
            <w:tcW w:w="8045" w:type="dxa"/>
            <w:tcBorders>
              <w:top w:val="single" w:color="000000" w:sz="4" w:space="0"/>
              <w:left w:val="single" w:color="000000" w:sz="4" w:space="0"/>
              <w:bottom w:val="single" w:color="000000" w:sz="4" w:space="0"/>
              <w:right w:val="single" w:color="000000" w:sz="4" w:space="0"/>
            </w:tcBorders>
            <w:vAlign w:val="center"/>
          </w:tcPr>
          <w:p w14:paraId="4F184F6A">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提供相同品牌产品（非单一产品采购项目的，指核心产品）的不同供应商最后报价相同时，按照下列方式确定一个供应商获得成交供应商推荐资格：</w:t>
            </w:r>
          </w:p>
          <w:p w14:paraId="72AB70F4">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☑随机抽取；</w:t>
            </w:r>
          </w:p>
        </w:tc>
      </w:tr>
      <w:tr w14:paraId="5D800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2F6037E">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w:t>
            </w:r>
            <w:r>
              <w:rPr>
                <w:rFonts w:ascii="宋体" w:hAnsi="宋体" w:cs="宋体"/>
                <w:color w:val="000000" w:themeColor="text1"/>
                <w:szCs w:val="21"/>
                <w14:textFill>
                  <w14:solidFill>
                    <w14:schemeClr w14:val="tx1"/>
                  </w14:solidFill>
                </w14:textFill>
              </w:rPr>
              <w:t>.1</w:t>
            </w:r>
          </w:p>
        </w:tc>
        <w:tc>
          <w:tcPr>
            <w:tcW w:w="8045" w:type="dxa"/>
            <w:tcBorders>
              <w:top w:val="single" w:color="000000" w:sz="4" w:space="0"/>
              <w:left w:val="single" w:color="000000" w:sz="4" w:space="0"/>
              <w:bottom w:val="single" w:color="000000" w:sz="4" w:space="0"/>
              <w:right w:val="single" w:color="000000" w:sz="4" w:space="0"/>
            </w:tcBorders>
            <w:vAlign w:val="center"/>
          </w:tcPr>
          <w:p w14:paraId="32F0A163">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资格证明文件</w:t>
            </w:r>
          </w:p>
          <w:p w14:paraId="546C17AD">
            <w:pPr>
              <w:spacing w:line="360" w:lineRule="auto"/>
              <w:contextualSpacing/>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1.崇左市政府采购供应商信用承诺函（格式后附，供应商应对其承诺内容的真实性、合法性、有效性负责）；（</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51D527FB">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2.供应商直接控股信息表（格式后附）；（</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796BA3BE">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3.供应商直接管理关系信息表（格式后附）；（</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3175AEE1">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4.竞标声明（格式后附）；（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AC2B526">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供应商按以下要求提供医疗器械的有关证明材料复印件：</w:t>
            </w:r>
          </w:p>
          <w:p w14:paraId="6AAC2A40">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竞标对应产品的名称和规格型号）（格式自拟）；</w:t>
            </w:r>
          </w:p>
          <w:p w14:paraId="69DDC2F9">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竞标对应产品的名称和规格型号</w:t>
            </w:r>
            <w:r>
              <w:rPr>
                <w:rStyle w:val="48"/>
                <w:rFonts w:hint="eastAsia"/>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（格式自拟）；</w:t>
            </w:r>
          </w:p>
          <w:p w14:paraId="7B8DAF9B">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（3）有第二类和第三类医疗器械的，应按上述（1）（2）要求提供；</w:t>
            </w:r>
            <w:r>
              <w:rPr>
                <w:rFonts w:hint="eastAsia" w:ascii="宋体" w:hAnsi="宋体"/>
                <w:bCs/>
                <w:color w:val="000000" w:themeColor="text1"/>
                <w:szCs w:val="21"/>
                <w14:textFill>
                  <w14:solidFill>
                    <w14:schemeClr w14:val="tx1"/>
                  </w14:solidFill>
                </w14:textFill>
              </w:rPr>
              <w:t>（</w:t>
            </w:r>
            <w:r>
              <w:rPr>
                <w:rFonts w:hint="eastAsia" w:ascii="宋体" w:hAnsi="宋体"/>
                <w:b/>
                <w:bCs/>
                <w:color w:val="000000" w:themeColor="text1"/>
                <w:szCs w:val="21"/>
                <w14:textFill>
                  <w14:solidFill>
                    <w14:schemeClr w14:val="tx1"/>
                  </w14:solidFill>
                </w14:textFill>
              </w:rPr>
              <w:t>必须提供，否则响应文件按无效响应处理</w:t>
            </w:r>
            <w:r>
              <w:rPr>
                <w:rFonts w:hint="eastAsia" w:ascii="宋体" w:hAnsi="宋体"/>
                <w:bCs/>
                <w:color w:val="000000" w:themeColor="text1"/>
                <w:szCs w:val="21"/>
                <w14:textFill>
                  <w14:solidFill>
                    <w14:schemeClr w14:val="tx1"/>
                  </w14:solidFill>
                </w14:textFill>
              </w:rPr>
              <w:t>）</w:t>
            </w:r>
            <w:r>
              <w:rPr>
                <w:rFonts w:hint="eastAsia" w:ascii="宋体" w:hAnsi="宋体"/>
                <w:b/>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w:t>
            </w:r>
          </w:p>
          <w:p w14:paraId="0596D5C2">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货物制造商为中小企业或监狱企业或残疾人福利性单位的资格证明材料【为中小微企业的应当提供《中小企业声明函》；为残疾人福利性单位的应当提供《残疾人福利性单位声明函》；为监狱企业的应当提供由省级以上监狱管理局、戒毒管理局（含新疆生产建设兵团）出具的属于监狱企业的证明文件】</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必须提供，否则响应文件按无效处理</w:t>
            </w:r>
            <w:r>
              <w:rPr>
                <w:rFonts w:hint="eastAsia" w:ascii="宋体" w:hAnsi="宋体"/>
                <w:color w:val="000000" w:themeColor="text1"/>
                <w:szCs w:val="21"/>
                <w14:textFill>
                  <w14:solidFill>
                    <w14:schemeClr w14:val="tx1"/>
                  </w14:solidFill>
                </w14:textFill>
              </w:rPr>
              <w:t>）</w:t>
            </w:r>
          </w:p>
          <w:p w14:paraId="06931E1D">
            <w:pPr>
              <w:spacing w:line="360" w:lineRule="auto"/>
              <w:jc w:val="left"/>
              <w:rPr>
                <w:rFonts w:ascii="宋体" w:hAnsi="宋体"/>
                <w:i/>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7.除谈判文件规定必须提供以外，供应商认为需要提供的其他证明材料；</w:t>
            </w:r>
          </w:p>
          <w:p w14:paraId="54F6FF92">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w:t>
            </w:r>
          </w:p>
          <w:p w14:paraId="22B7775B">
            <w:pPr>
              <w:spacing w:line="360" w:lineRule="auto"/>
              <w:ind w:firstLine="413"/>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1.以上标明“必须提供”的材料属于复印件的，必须加盖供应商</w:t>
            </w:r>
            <w:r>
              <w:rPr>
                <w:rFonts w:hint="eastAsia"/>
                <w:b/>
                <w:color w:val="000000" w:themeColor="text1"/>
                <w14:textFill>
                  <w14:solidFill>
                    <w14:schemeClr w14:val="tx1"/>
                  </w14:solidFill>
                </w14:textFill>
              </w:rPr>
              <w:t>电子签章</w:t>
            </w:r>
            <w:r>
              <w:rPr>
                <w:rFonts w:hint="eastAsia" w:ascii="宋体" w:hAnsi="宋体" w:cs="宋体"/>
                <w:b/>
                <w:color w:val="000000" w:themeColor="text1"/>
                <w:szCs w:val="21"/>
                <w14:textFill>
                  <w14:solidFill>
                    <w14:schemeClr w14:val="tx1"/>
                  </w14:solidFill>
                </w14:textFill>
              </w:rPr>
              <w:t>，否则响应文件按无效处理。</w:t>
            </w:r>
          </w:p>
          <w:p w14:paraId="736AA670">
            <w:pPr>
              <w:spacing w:line="360" w:lineRule="auto"/>
              <w:ind w:firstLine="413"/>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2.联合体竞标时，第1-3</w:t>
            </w:r>
            <w:r>
              <w:rPr>
                <w:rFonts w:hint="eastAsia" w:ascii="宋体" w:hAnsi="宋体" w:cs="宋体"/>
                <w:b/>
                <w:color w:val="000000" w:themeColor="text1"/>
                <w:szCs w:val="21"/>
                <w:lang w:eastAsia="zh-CN"/>
                <w14:textFill>
                  <w14:solidFill>
                    <w14:schemeClr w14:val="tx1"/>
                  </w14:solidFill>
                </w14:textFill>
              </w:rPr>
              <w:t>，</w:t>
            </w:r>
            <w:r>
              <w:rPr>
                <w:rFonts w:hint="eastAsia" w:ascii="宋体" w:hAnsi="宋体" w:cs="宋体"/>
                <w:b/>
                <w:color w:val="000000" w:themeColor="text1"/>
                <w:szCs w:val="21"/>
                <w:lang w:val="en-US" w:eastAsia="zh-CN"/>
                <w14:textFill>
                  <w14:solidFill>
                    <w14:schemeClr w14:val="tx1"/>
                  </w14:solidFill>
                </w14:textFill>
              </w:rPr>
              <w:t>5-6</w:t>
            </w:r>
            <w:r>
              <w:rPr>
                <w:rFonts w:hint="eastAsia" w:ascii="宋体" w:hAnsi="宋体" w:cs="宋体"/>
                <w:b/>
                <w:color w:val="000000" w:themeColor="text1"/>
                <w:szCs w:val="21"/>
                <w14:textFill>
                  <w14:solidFill>
                    <w14:schemeClr w14:val="tx1"/>
                  </w14:solidFill>
                </w14:textFill>
              </w:rPr>
              <w:t>项资格证明文件联合体各方均必须分别提供，</w:t>
            </w:r>
            <w:r>
              <w:rPr>
                <w:rFonts w:hint="eastAsia"/>
                <w:b/>
                <w:color w:val="000000" w:themeColor="text1"/>
                <w14:textFill>
                  <w14:solidFill>
                    <w14:schemeClr w14:val="tx1"/>
                  </w14:solidFill>
                </w14:textFill>
              </w:rPr>
              <w:t>并由</w:t>
            </w:r>
            <w:r>
              <w:rPr>
                <w:rFonts w:hint="eastAsia" w:ascii="宋体" w:hAnsi="宋体" w:cs="宋体"/>
                <w:b/>
                <w:color w:val="000000" w:themeColor="text1"/>
                <w:szCs w:val="21"/>
                <w14:textFill>
                  <w14:solidFill>
                    <w14:schemeClr w14:val="tx1"/>
                  </w14:solidFill>
                </w14:textFill>
              </w:rPr>
              <w:t>联合体</w:t>
            </w:r>
            <w:r>
              <w:rPr>
                <w:rFonts w:hint="eastAsia"/>
                <w:b/>
                <w:color w:val="000000" w:themeColor="text1"/>
                <w14:textFill>
                  <w14:solidFill>
                    <w14:schemeClr w14:val="tx1"/>
                  </w14:solidFill>
                </w14:textFill>
              </w:rPr>
              <w:t>牵头人加盖电子签章</w:t>
            </w:r>
            <w:r>
              <w:rPr>
                <w:rFonts w:hint="eastAsia" w:ascii="宋体" w:hAnsi="宋体" w:cs="宋体"/>
                <w:b/>
                <w:color w:val="000000" w:themeColor="text1"/>
                <w:szCs w:val="21"/>
                <w14:textFill>
                  <w14:solidFill>
                    <w14:schemeClr w14:val="tx1"/>
                  </w14:solidFill>
                </w14:textFill>
              </w:rPr>
              <w:t>，</w:t>
            </w:r>
            <w:r>
              <w:rPr>
                <w:rFonts w:hint="eastAsia"/>
                <w:b/>
                <w:color w:val="000000" w:themeColor="text1"/>
                <w14:textFill>
                  <w14:solidFill>
                    <w14:schemeClr w14:val="tx1"/>
                  </w14:solidFill>
                </w14:textFill>
              </w:rPr>
              <w:t>规定签字</w:t>
            </w:r>
            <w:r>
              <w:rPr>
                <w:rFonts w:hint="eastAsia" w:ascii="宋体" w:hAnsi="宋体" w:cs="宋体"/>
                <w:b/>
                <w:color w:val="000000" w:themeColor="text1"/>
                <w:szCs w:val="21"/>
                <w14:textFill>
                  <w14:solidFill>
                    <w14:schemeClr w14:val="tx1"/>
                  </w14:solidFill>
                </w14:textFill>
              </w:rPr>
              <w:t>处签字</w:t>
            </w:r>
            <w:r>
              <w:rPr>
                <w:rFonts w:hint="eastAsia" w:ascii="宋体" w:hAnsi="宋体"/>
                <w:b/>
                <w:bCs/>
                <w:color w:val="000000" w:themeColor="text1"/>
                <w:szCs w:val="21"/>
                <w14:textFill>
                  <w14:solidFill>
                    <w14:schemeClr w14:val="tx1"/>
                  </w14:solidFill>
                </w14:textFill>
              </w:rPr>
              <w:t>（或者电子签名）</w:t>
            </w:r>
            <w:r>
              <w:rPr>
                <w:rFonts w:hint="eastAsia" w:ascii="宋体" w:hAnsi="宋体" w:cs="宋体"/>
                <w:b/>
                <w:color w:val="000000" w:themeColor="text1"/>
                <w:szCs w:val="21"/>
                <w14:textFill>
                  <w14:solidFill>
                    <w14:schemeClr w14:val="tx1"/>
                  </w14:solidFill>
                </w14:textFill>
              </w:rPr>
              <w:t>，否则响应文件按无效处理。</w:t>
            </w:r>
          </w:p>
        </w:tc>
      </w:tr>
      <w:tr w14:paraId="79E5D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2E75E0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2</w:t>
            </w:r>
          </w:p>
        </w:tc>
        <w:tc>
          <w:tcPr>
            <w:tcW w:w="8045" w:type="dxa"/>
            <w:tcBorders>
              <w:top w:val="single" w:color="000000" w:sz="4" w:space="0"/>
              <w:left w:val="single" w:color="000000" w:sz="4" w:space="0"/>
              <w:bottom w:val="single" w:color="000000" w:sz="4" w:space="0"/>
              <w:right w:val="single" w:color="000000" w:sz="4" w:space="0"/>
            </w:tcBorders>
            <w:vAlign w:val="center"/>
          </w:tcPr>
          <w:p w14:paraId="510E63B8">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报价文件</w:t>
            </w:r>
          </w:p>
          <w:p w14:paraId="3014606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1.竞标报价表（格式后附）；（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8C287F0">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2.供应商认为需要提供的其他有关资料。</w:t>
            </w:r>
          </w:p>
        </w:tc>
      </w:tr>
      <w:tr w14:paraId="5C3CB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0931D1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3</w:t>
            </w:r>
          </w:p>
        </w:tc>
        <w:tc>
          <w:tcPr>
            <w:tcW w:w="8045" w:type="dxa"/>
            <w:tcBorders>
              <w:top w:val="single" w:color="000000" w:sz="4" w:space="0"/>
              <w:left w:val="single" w:color="000000" w:sz="4" w:space="0"/>
              <w:bottom w:val="single" w:color="000000" w:sz="4" w:space="0"/>
              <w:right w:val="single" w:color="000000" w:sz="4" w:space="0"/>
            </w:tcBorders>
            <w:vAlign w:val="center"/>
          </w:tcPr>
          <w:p w14:paraId="26D01556">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商务技术文件</w:t>
            </w:r>
          </w:p>
          <w:p w14:paraId="17CF422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1.无串通竞标行为的承诺函（格式后附）；（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528F90B">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2.法定代表人身份证明书及法定代表人有效身份证正反面复印件（格式后附）；（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FE6DF4C">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3.授权委托书及委托代理人有效身份证正反面复印件（格式后附）；（</w:t>
            </w:r>
            <w:r>
              <w:rPr>
                <w:rFonts w:hint="eastAsia" w:ascii="宋体" w:hAnsi="宋体" w:cs="宋体"/>
                <w:b/>
                <w:color w:val="000000" w:themeColor="text1"/>
                <w:szCs w:val="21"/>
                <w14:textFill>
                  <w14:solidFill>
                    <w14:schemeClr w14:val="tx1"/>
                  </w14:solidFill>
                </w14:textFill>
              </w:rPr>
              <w:t>委托时必须提供，否则响应文件按无效处理</w:t>
            </w:r>
            <w:r>
              <w:rPr>
                <w:rFonts w:hint="eastAsia" w:ascii="宋体" w:hAnsi="宋体" w:cs="宋体"/>
                <w:color w:val="000000" w:themeColor="text1"/>
                <w:szCs w:val="21"/>
                <w14:textFill>
                  <w14:solidFill>
                    <w14:schemeClr w14:val="tx1"/>
                  </w14:solidFill>
                </w14:textFill>
              </w:rPr>
              <w:t>）</w:t>
            </w:r>
          </w:p>
          <w:p w14:paraId="27111C99">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4.竞标保证金提交凭证；（</w:t>
            </w:r>
            <w:r>
              <w:rPr>
                <w:rFonts w:hint="eastAsia"/>
                <w:b/>
                <w:bCs/>
                <w:color w:val="000000" w:themeColor="text1"/>
                <w14:textFill>
                  <w14:solidFill>
                    <w14:schemeClr w14:val="tx1"/>
                  </w14:solidFill>
                </w14:textFill>
              </w:rPr>
              <w:t>必须提供</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5682DB55">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5.商务要求偏离表（格式后附）；（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7525217B">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6.售后服务承诺（格式自拟）；（</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2C826CDD">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7.货物配置清单（均不含报价）（格式后附）；（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22971375">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8.技术要求偏离表（格式后附）；（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8D239B0">
            <w:pPr>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9.《关于符合本国产品标准的声明函》或者财政部会同有关部门规定的有关证明文件；（供应商根据自身响应情况出具）</w:t>
            </w:r>
          </w:p>
          <w:p w14:paraId="53FBC1AB">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r>
              <w:rPr>
                <w:rFonts w:hint="eastAsia" w:ascii="宋体" w:hAnsi="宋体" w:cs="宋体"/>
                <w:bCs/>
                <w:color w:val="000000" w:themeColor="text1"/>
                <w:szCs w:val="21"/>
                <w14:textFill>
                  <w14:solidFill>
                    <w14:schemeClr w14:val="tx1"/>
                  </w14:solidFill>
                </w14:textFill>
              </w:rPr>
              <w:t>代理服务费承诺书</w:t>
            </w:r>
            <w:r>
              <w:rPr>
                <w:rFonts w:hint="eastAsia" w:ascii="宋体" w:hAnsi="宋体" w:cs="宋体"/>
                <w:color w:val="000000" w:themeColor="text1"/>
                <w:szCs w:val="21"/>
                <w14:textFill>
                  <w14:solidFill>
                    <w14:schemeClr w14:val="tx1"/>
                  </w14:solidFill>
                </w14:textFill>
              </w:rPr>
              <w:t>（格式后附）；</w:t>
            </w:r>
          </w:p>
          <w:p w14:paraId="7C41A7D1">
            <w:pPr>
              <w:spacing w:line="400" w:lineRule="exact"/>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11.对应采购需求的技术要求、商务要求提供的其他文件资料（格式自拟）；</w:t>
            </w:r>
          </w:p>
          <w:p w14:paraId="7DCFEFF0">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12.供应商认为需要提供的其他有关资料。</w:t>
            </w:r>
          </w:p>
          <w:p w14:paraId="2D34C37F">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注：以上标明“必须提供”材料复印件的，必须加盖供应商</w:t>
            </w:r>
            <w:r>
              <w:rPr>
                <w:rFonts w:hint="eastAsia" w:ascii="宋体" w:hAnsi="宋体"/>
                <w:b/>
                <w:bCs/>
                <w:color w:val="000000" w:themeColor="text1"/>
                <w:szCs w:val="21"/>
                <w14:textFill>
                  <w14:solidFill>
                    <w14:schemeClr w14:val="tx1"/>
                  </w14:solidFill>
                </w14:textFill>
              </w:rPr>
              <w:t>电子签章</w:t>
            </w:r>
            <w:r>
              <w:rPr>
                <w:rFonts w:hint="eastAsia" w:ascii="宋体" w:hAnsi="宋体" w:cs="宋体"/>
                <w:b/>
                <w:color w:val="000000" w:themeColor="text1"/>
                <w:szCs w:val="21"/>
                <w14:textFill>
                  <w14:solidFill>
                    <w14:schemeClr w14:val="tx1"/>
                  </w14:solidFill>
                </w14:textFill>
              </w:rPr>
              <w:t>，否则响应文件按无效处理。</w:t>
            </w:r>
          </w:p>
        </w:tc>
      </w:tr>
      <w:tr w14:paraId="45DAB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1041B52">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w:t>
            </w:r>
          </w:p>
        </w:tc>
        <w:tc>
          <w:tcPr>
            <w:tcW w:w="8045" w:type="dxa"/>
            <w:tcBorders>
              <w:top w:val="single" w:color="000000" w:sz="4" w:space="0"/>
              <w:left w:val="single" w:color="000000" w:sz="4" w:space="0"/>
              <w:bottom w:val="single" w:color="000000" w:sz="4" w:space="0"/>
              <w:right w:val="single" w:color="000000" w:sz="4" w:space="0"/>
            </w:tcBorders>
            <w:vAlign w:val="center"/>
          </w:tcPr>
          <w:p w14:paraId="3598E6CA">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报价含货物、随配附件、辅料、备品备件、工具、运抵指定交货地点、现场安装调试的各种费用、施工配合费和售后服务、培训、验收、税金、产品抽样检测费及其他所有成本费用的总和及采购文件所要求的相关服务以及合同所述全部责任、义务和风险等全过程产生的所有成本和费用以及一切税费，对采购的全部货物进行完整唯一报价。</w:t>
            </w:r>
          </w:p>
        </w:tc>
      </w:tr>
      <w:tr w14:paraId="112C3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71B58F8E">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r>
              <w:rPr>
                <w:rFonts w:ascii="宋体" w:hAnsi="宋体" w:cs="宋体"/>
                <w:color w:val="000000" w:themeColor="text1"/>
                <w:szCs w:val="21"/>
                <w14:textFill>
                  <w14:solidFill>
                    <w14:schemeClr w14:val="tx1"/>
                  </w14:solidFill>
                </w14:textFill>
              </w:rPr>
              <w:t>2</w:t>
            </w:r>
          </w:p>
        </w:tc>
        <w:tc>
          <w:tcPr>
            <w:tcW w:w="8045" w:type="dxa"/>
            <w:tcBorders>
              <w:top w:val="single" w:color="000000" w:sz="4" w:space="0"/>
              <w:left w:val="single" w:color="000000" w:sz="4" w:space="0"/>
              <w:bottom w:val="single" w:color="000000" w:sz="4" w:space="0"/>
              <w:right w:val="single" w:color="000000" w:sz="4" w:space="0"/>
            </w:tcBorders>
            <w:vAlign w:val="center"/>
          </w:tcPr>
          <w:p w14:paraId="5D5140B5">
            <w:pPr>
              <w:pStyle w:val="213"/>
              <w:widowControl w:val="0"/>
              <w:tabs>
                <w:tab w:val="clear" w:pos="454"/>
              </w:tabs>
              <w:spacing w:line="360" w:lineRule="auto"/>
              <w:ind w:left="283" w:hanging="283"/>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竞标有效期：自首次响应文件提交截止之日起</w:t>
            </w:r>
            <w:r>
              <w:rPr>
                <w:rFonts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u w:val="single"/>
                <w14:textFill>
                  <w14:solidFill>
                    <w14:schemeClr w14:val="tx1"/>
                  </w14:solidFill>
                </w14:textFill>
              </w:rPr>
              <w:t>90</w:t>
            </w:r>
            <w:r>
              <w:rPr>
                <w:rFonts w:ascii="宋体" w:hAnsi="宋体" w:cs="宋体"/>
                <w:color w:val="000000" w:themeColor="text1"/>
                <w:sz w:val="21"/>
                <w:szCs w:val="21"/>
                <w:u w:val="single"/>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日。</w:t>
            </w:r>
          </w:p>
        </w:tc>
      </w:tr>
      <w:tr w14:paraId="4EBDF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2" w:hRule="atLeast"/>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9794494">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17.1</w:t>
            </w:r>
          </w:p>
        </w:tc>
        <w:tc>
          <w:tcPr>
            <w:tcW w:w="8045" w:type="dxa"/>
            <w:tcBorders>
              <w:top w:val="single" w:color="000000" w:sz="4" w:space="0"/>
              <w:left w:val="single" w:color="000000" w:sz="4" w:space="0"/>
              <w:bottom w:val="single" w:color="000000" w:sz="4" w:space="0"/>
              <w:right w:val="single" w:color="000000" w:sz="4" w:space="0"/>
            </w:tcBorders>
            <w:vAlign w:val="center"/>
          </w:tcPr>
          <w:p w14:paraId="6C48C558">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□本项目不收取竞标保证金。</w:t>
            </w:r>
          </w:p>
          <w:p w14:paraId="3EC7AA2B">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☑本项目收取竞标保证金，具体规定如下：</w:t>
            </w:r>
          </w:p>
          <w:p w14:paraId="0CD80E5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竞标保证金（人民币）：</w:t>
            </w:r>
            <w:r>
              <w:rPr>
                <w:rFonts w:hint="eastAsia" w:ascii="宋体" w:hAnsi="宋体"/>
                <w:color w:val="000000" w:themeColor="text1"/>
                <w:szCs w:val="21"/>
                <w:u w:val="single"/>
                <w14:textFill>
                  <w14:solidFill>
                    <w14:schemeClr w14:val="tx1"/>
                  </w14:solidFill>
                </w14:textFill>
              </w:rPr>
              <w:t xml:space="preserve"> 20000元</w:t>
            </w:r>
            <w:r>
              <w:rPr>
                <w:rFonts w:hint="eastAsia" w:ascii="宋体" w:hAnsi="宋体"/>
                <w:color w:val="000000" w:themeColor="text1"/>
                <w:szCs w:val="21"/>
                <w14:textFill>
                  <w14:solidFill>
                    <w14:schemeClr w14:val="tx1"/>
                  </w14:solidFill>
                </w14:textFill>
              </w:rPr>
              <w:t>。</w:t>
            </w:r>
          </w:p>
          <w:p w14:paraId="57ABB7F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竞标保证金的交纳方式：银行转账、支票、汇票、本票或者金融、担保机构出具的保函（包含电子保函），禁止采用现钞方式。采用银行转账方式的，在响应文件提交截止时间前交至指定账户并且到账</w:t>
            </w:r>
            <w:r>
              <w:rPr>
                <w:rFonts w:hint="eastAsia" w:ascii="宋体" w:hAnsi="宋体"/>
                <w:color w:val="000000" w:themeColor="text1"/>
                <w:szCs w:val="21"/>
                <w14:textFill>
                  <w14:solidFill>
                    <w14:schemeClr w14:val="tx1"/>
                  </w14:solidFill>
                </w14:textFill>
              </w:rPr>
              <w:t>【</w:t>
            </w:r>
            <w:r>
              <w:rPr>
                <w:rFonts w:hint="eastAsia" w:ascii="宋体" w:hAnsi="宋体"/>
                <w:b/>
                <w:bCs/>
                <w:color w:val="000000" w:themeColor="text1"/>
                <w:szCs w:val="21"/>
                <w14:textFill>
                  <w14:solidFill>
                    <w14:schemeClr w14:val="tx1"/>
                  </w14:solidFill>
                </w14:textFill>
              </w:rPr>
              <w:t>开户名称：云之龙咨询集团有限公司崇左分公司，开户银行：中信银行南宁东葛支行，银行账号：8113001013900075153</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；采用支票、汇票、本票或者保函（包含电子保函）等方式的，在响应文件提交截止时间前，供应商必须提交单独密封的支票、汇票、本票原件或者保函（包含电子保函）。</w:t>
            </w:r>
            <w:r>
              <w:rPr>
                <w:rFonts w:hint="eastAsia" w:ascii="宋体" w:hAnsi="宋体" w:cs="宋体"/>
                <w:b/>
                <w:bCs/>
                <w:color w:val="000000" w:themeColor="text1"/>
                <w:szCs w:val="21"/>
                <w14:textFill>
                  <w14:solidFill>
                    <w14:schemeClr w14:val="tx1"/>
                  </w14:solidFill>
                </w14:textFill>
              </w:rPr>
              <w:t>否则视为无效竞标保证金。</w:t>
            </w:r>
          </w:p>
          <w:p w14:paraId="71BE333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相关要求：</w:t>
            </w:r>
          </w:p>
          <w:p w14:paraId="28BF7157">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1.竞标保证金采用银行转账交纳方式的，在响应文件提交截止时间前交至指定账户并且到账，供应商应将银行转账底单的复印件作为竞标保证金提交凭证，放置于报价商务技术文件中，</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536BDE76">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竞标保证金采用支票、汇票、本票或者金融、担保机构出具的保函（包含电子保函）交纳方式的，供应商应将支票、汇票、本票或者金融、担保机构出具的保函（包含电子保函）的复印件作为竞标保证金提交凭证，放置于</w:t>
            </w:r>
            <w:r>
              <w:rPr>
                <w:rFonts w:hint="eastAsia" w:ascii="宋体" w:hAnsi="宋体" w:cs="宋体"/>
                <w:color w:val="000000" w:themeColor="text1"/>
                <w:szCs w:val="21"/>
                <w14:textFill>
                  <w14:solidFill>
                    <w14:schemeClr w14:val="tx1"/>
                  </w14:solidFill>
                </w14:textFill>
              </w:rPr>
              <w:t>报价商务技术文件</w:t>
            </w:r>
            <w:r>
              <w:rPr>
                <w:rFonts w:hint="eastAsia" w:ascii="宋体" w:hAnsi="宋体"/>
                <w:color w:val="000000" w:themeColor="text1"/>
                <w:szCs w:val="21"/>
                <w14:textFill>
                  <w14:solidFill>
                    <w14:schemeClr w14:val="tx1"/>
                  </w14:solidFill>
                </w14:textFill>
              </w:rPr>
              <w:t>中，</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olor w:val="000000" w:themeColor="text1"/>
                <w:szCs w:val="21"/>
                <w14:textFill>
                  <w14:solidFill>
                    <w14:schemeClr w14:val="tx1"/>
                  </w14:solidFill>
                </w14:textFill>
              </w:rPr>
              <w:t>。供应商必须</w:t>
            </w:r>
            <w:r>
              <w:rPr>
                <w:rFonts w:hint="eastAsia"/>
                <w:color w:val="000000" w:themeColor="text1"/>
                <w14:textFill>
                  <w14:solidFill>
                    <w14:schemeClr w14:val="tx1"/>
                  </w14:solidFill>
                </w14:textFill>
              </w:rPr>
              <w:t>在响应文件提交截止时间前采用现场或邮寄方式（现场提交地址：</w:t>
            </w:r>
            <w:r>
              <w:rPr>
                <w:rFonts w:hint="eastAsia"/>
                <w:color w:val="000000" w:themeColor="text1"/>
                <w:u w:val="single"/>
                <w14:textFill>
                  <w14:solidFill>
                    <w14:schemeClr w14:val="tx1"/>
                  </w14:solidFill>
                </w14:textFill>
              </w:rPr>
              <w:t xml:space="preserve"> 广西崇左市友谊大道与城南八路交叉口东南角处（崇左建设大厦/百成财富2#楼十三层）</w:t>
            </w:r>
            <w:r>
              <w:rPr>
                <w:rFonts w:hint="eastAsia"/>
                <w:color w:val="000000" w:themeColor="text1"/>
                <w14:textFill>
                  <w14:solidFill>
                    <w14:schemeClr w14:val="tx1"/>
                  </w14:solidFill>
                </w14:textFill>
              </w:rPr>
              <w:t>；邮寄地址：</w:t>
            </w:r>
            <w:r>
              <w:rPr>
                <w:rFonts w:hint="eastAsia"/>
                <w:color w:val="000000" w:themeColor="text1"/>
                <w:u w:val="single"/>
                <w14:textFill>
                  <w14:solidFill>
                    <w14:schemeClr w14:val="tx1"/>
                  </w14:solidFill>
                </w14:textFill>
              </w:rPr>
              <w:t>广西崇左市友谊大道与城南八路交叉口东南角处（崇左建设大厦/百成财富2#楼十三层），</w:t>
            </w:r>
            <w:r>
              <w:rPr>
                <w:rFonts w:hint="eastAsia"/>
                <w:color w:val="000000" w:themeColor="text1"/>
                <w14:textFill>
                  <w14:solidFill>
                    <w14:schemeClr w14:val="tx1"/>
                  </w14:solidFill>
                </w14:textFill>
              </w:rPr>
              <w:t>收件人：</w:t>
            </w:r>
            <w:r>
              <w:rPr>
                <w:rFonts w:hint="eastAsia"/>
                <w:color w:val="000000" w:themeColor="text1"/>
                <w:u w:val="single"/>
                <w14:textFill>
                  <w14:solidFill>
                    <w14:schemeClr w14:val="tx1"/>
                  </w14:solidFill>
                </w14:textFill>
              </w:rPr>
              <w:t xml:space="preserve"> 黄冬妮 </w:t>
            </w:r>
            <w:r>
              <w:rPr>
                <w:rFonts w:hint="eastAsia"/>
                <w:color w:val="000000" w:themeColor="text1"/>
                <w14:textFill>
                  <w14:solidFill>
                    <w14:schemeClr w14:val="tx1"/>
                  </w14:solidFill>
                </w14:textFill>
              </w:rPr>
              <w:t>，联系方式：</w:t>
            </w:r>
            <w:r>
              <w:rPr>
                <w:rFonts w:hint="eastAsia"/>
                <w:color w:val="000000" w:themeColor="text1"/>
                <w:u w:val="single"/>
                <w14:textFill>
                  <w14:solidFill>
                    <w14:schemeClr w14:val="tx1"/>
                  </w14:solidFill>
                </w14:textFill>
              </w:rPr>
              <w:t xml:space="preserve"> 0771-7835598、0771-7833699</w:t>
            </w:r>
            <w:r>
              <w:rPr>
                <w:rFonts w:hint="eastAsia"/>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将</w:t>
            </w:r>
            <w:r>
              <w:rPr>
                <w:rFonts w:hint="eastAsia" w:ascii="宋体" w:hAnsi="宋体" w:cs="宋体"/>
                <w:color w:val="000000" w:themeColor="text1"/>
                <w:szCs w:val="21"/>
                <w14:textFill>
                  <w14:solidFill>
                    <w14:schemeClr w14:val="tx1"/>
                  </w14:solidFill>
                </w14:textFill>
              </w:rPr>
              <w:t>单独密封的</w:t>
            </w:r>
            <w:r>
              <w:rPr>
                <w:rFonts w:hint="eastAsia" w:ascii="宋体" w:hAnsi="宋体"/>
                <w:color w:val="000000" w:themeColor="text1"/>
                <w:szCs w:val="21"/>
                <w14:textFill>
                  <w14:solidFill>
                    <w14:schemeClr w14:val="tx1"/>
                  </w14:solidFill>
                </w14:textFill>
              </w:rPr>
              <w:t>支票、汇票、本票或者金融、担保机构出具的保函原件（包含电子保函）提交给采购人或者采购代理机构，由采购人或者采购代理机构向供应商出具回执（邮寄方式的除外），并妥善保管。</w:t>
            </w:r>
          </w:p>
          <w:p w14:paraId="6C42361F">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3.供应商为联合体的，可以由联合体中的一方或者多方共同交纳谈判保证金，其交纳的保证金对联合体各方均具有约束力。</w:t>
            </w:r>
          </w:p>
          <w:p w14:paraId="43233A9F">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备注： </w:t>
            </w:r>
          </w:p>
          <w:p w14:paraId="398CCD3D">
            <w:pPr>
              <w:spacing w:line="360" w:lineRule="auto"/>
              <w:ind w:firstLine="422"/>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1.竞标保证金在响应文件提交截止时间后提交的，或者不按规定交纳方式交纳的，或者未足额交纳的（包含保函额度不足的），视为无效竞标保证金。</w:t>
            </w:r>
          </w:p>
          <w:p w14:paraId="69AA7114">
            <w:pPr>
              <w:spacing w:line="360" w:lineRule="auto"/>
              <w:ind w:firstLine="422"/>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2.供应商采用现钞方式或者从个人账户（自然人竞标除外）转出的竞标保证金，视为无效竞标保证金。</w:t>
            </w:r>
          </w:p>
          <w:p w14:paraId="4AC0F6E3">
            <w:pPr>
              <w:spacing w:line="360" w:lineRule="auto"/>
              <w:ind w:firstLine="422"/>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3.支票、汇票或者本票出现无效或者背书情形的，视为无效竞标保证金。</w:t>
            </w:r>
          </w:p>
          <w:p w14:paraId="67CC4E82">
            <w:pPr>
              <w:spacing w:line="360" w:lineRule="auto"/>
              <w:ind w:firstLine="422"/>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4.保函（包含电子保函）有效期低于竞标有效期的，视为无效竞标保证金。</w:t>
            </w:r>
          </w:p>
          <w:p w14:paraId="23ECCE95">
            <w:pPr>
              <w:spacing w:line="360" w:lineRule="auto"/>
              <w:rPr>
                <w:rFonts w:ascii="宋体" w:hAnsi="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5.竞标保证金采用金融、担保机构出具的保函（包含电子保函）为有条件保函的，视为无效竞标保证金。</w:t>
            </w:r>
          </w:p>
        </w:tc>
      </w:tr>
      <w:tr w14:paraId="12B38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A017A65">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8045" w:type="dxa"/>
            <w:tcBorders>
              <w:top w:val="single" w:color="000000" w:sz="4" w:space="0"/>
              <w:left w:val="single" w:color="000000" w:sz="4" w:space="0"/>
              <w:bottom w:val="single" w:color="000000" w:sz="4" w:space="0"/>
              <w:right w:val="single" w:color="000000" w:sz="4" w:space="0"/>
            </w:tcBorders>
            <w:vAlign w:val="center"/>
          </w:tcPr>
          <w:p w14:paraId="55C15B0B">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p w14:paraId="75CE937A">
            <w:pPr>
              <w:spacing w:line="360" w:lineRule="auto"/>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本项目接受电子备份响应文件。</w:t>
            </w:r>
          </w:p>
          <w:p w14:paraId="10FCB166">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电子备份响应文件提交方式：供应商可以在响应文件提交截止时间前采用以下方式向采购代理机构提交电子备份响应文件，并确保采购代理机构在截标前收到该文件（通过“广西政府采购云平台电子投标客户端”在线编制生成且后缀名为“bfbs”的文件）：</w:t>
            </w:r>
          </w:p>
          <w:p w14:paraId="492E561E">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1）现场提交方式，应采用U盘进行存储，提交地址：广西崇左市友谊大道与城南八路交叉口东南角处（崇左建设大厦/百成财富2#楼十三层）云之龙咨询集团有限公司招标部；外包装上注明供应商名称、项目名称及项目编号（外包装不作密封要求）。</w:t>
            </w:r>
          </w:p>
          <w:p w14:paraId="11AAA25B">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（2）电子邮件方式，接收电子备份响应文件的电子邮箱为：yunlongcz@163.com；</w:t>
            </w:r>
          </w:p>
          <w:p w14:paraId="5A232E49">
            <w:pPr>
              <w:spacing w:line="360" w:lineRule="auto"/>
              <w:ind w:firstLine="420"/>
              <w:rPr>
                <w:rFonts w:ascii="宋体" w:hAnsi="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供应商未按上述规定提交的电子备份响应文件，采购代理机构不予接收或承认。若电子加密响应文件解密成功，电子备份响应文件自动失效。若供应商无法在规定的时间内解密响应文件或者解密失败的，采购代理机构将电子备份响应文件按照“政府采购云平台”操作规范上传至“政府采购云平台”，电子备份响应文件上传成功后，供应商原上传的电子加密响应文件自动失效。</w:t>
            </w:r>
            <w:r>
              <w:rPr>
                <w:rFonts w:hint="eastAsia"/>
                <w:b/>
                <w:bCs/>
                <w:color w:val="000000" w:themeColor="text1"/>
                <w14:textFill>
                  <w14:solidFill>
                    <w14:schemeClr w14:val="tx1"/>
                  </w14:solidFill>
                </w14:textFill>
              </w:rPr>
              <w:t>若供应商在规定时间内无法解密或解密失败且未提供电子备份响应文件的（包含提供的电子备份响应文件无效或无法解读的情况），供应商的响应文件作无效处理。</w:t>
            </w:r>
          </w:p>
        </w:tc>
      </w:tr>
      <w:tr w14:paraId="71B6A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D4164B9">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20.1</w:t>
            </w:r>
          </w:p>
        </w:tc>
        <w:tc>
          <w:tcPr>
            <w:tcW w:w="8045" w:type="dxa"/>
            <w:tcBorders>
              <w:top w:val="single" w:color="000000" w:sz="4" w:space="0"/>
              <w:left w:val="single" w:color="000000" w:sz="4" w:space="0"/>
              <w:bottom w:val="single" w:color="000000" w:sz="4" w:space="0"/>
              <w:right w:val="single" w:color="000000" w:sz="4" w:space="0"/>
            </w:tcBorders>
            <w:vAlign w:val="center"/>
          </w:tcPr>
          <w:p w14:paraId="20C1D032">
            <w:pPr>
              <w:spacing w:line="360" w:lineRule="auto"/>
              <w:contextualSpacing/>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响应文件提交截止时间：详见竞争性谈判公告。</w:t>
            </w:r>
          </w:p>
          <w:p w14:paraId="465CD07A">
            <w:pPr>
              <w:spacing w:line="360" w:lineRule="auto"/>
              <w:contextualSpacing/>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响应文件提交地点：详见竞争性谈判公告。</w:t>
            </w:r>
          </w:p>
        </w:tc>
      </w:tr>
      <w:tr w14:paraId="6AE0D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77090FF">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24.1</w:t>
            </w:r>
          </w:p>
        </w:tc>
        <w:tc>
          <w:tcPr>
            <w:tcW w:w="8045" w:type="dxa"/>
            <w:tcBorders>
              <w:top w:val="single" w:color="000000" w:sz="4" w:space="0"/>
              <w:left w:val="single" w:color="000000" w:sz="4" w:space="0"/>
              <w:bottom w:val="single" w:color="000000" w:sz="4" w:space="0"/>
              <w:right w:val="single" w:color="000000" w:sz="4" w:space="0"/>
            </w:tcBorders>
            <w:vAlign w:val="center"/>
          </w:tcPr>
          <w:p w14:paraId="04772C08">
            <w:pPr>
              <w:spacing w:line="360" w:lineRule="auto"/>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谈判小组的人数：</w:t>
            </w:r>
            <w:r>
              <w:rPr>
                <w:rFonts w:hint="eastAsia" w:ascii="宋体" w:hAnsi="宋体" w:cs="宋体"/>
                <w:color w:val="000000" w:themeColor="text1"/>
                <w:szCs w:val="21"/>
                <w:u w:val="single"/>
                <w14:textFill>
                  <w14:solidFill>
                    <w14:schemeClr w14:val="tx1"/>
                  </w14:solidFill>
                </w14:textFill>
              </w:rPr>
              <w:t xml:space="preserve">  不少于3  </w:t>
            </w:r>
            <w:r>
              <w:rPr>
                <w:rFonts w:hint="eastAsia" w:ascii="宋体" w:hAnsi="宋体" w:cs="宋体"/>
                <w:color w:val="000000" w:themeColor="text1"/>
                <w:szCs w:val="21"/>
                <w14:textFill>
                  <w14:solidFill>
                    <w14:schemeClr w14:val="tx1"/>
                  </w14:solidFill>
                </w14:textFill>
              </w:rPr>
              <w:t>人。</w:t>
            </w:r>
          </w:p>
        </w:tc>
      </w:tr>
      <w:tr w14:paraId="2E4D5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E45D33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5</w:t>
            </w:r>
          </w:p>
        </w:tc>
        <w:tc>
          <w:tcPr>
            <w:tcW w:w="8045" w:type="dxa"/>
            <w:tcBorders>
              <w:top w:val="single" w:color="000000" w:sz="4" w:space="0"/>
              <w:left w:val="single" w:color="000000" w:sz="4" w:space="0"/>
              <w:bottom w:val="single" w:color="000000" w:sz="4" w:space="0"/>
              <w:right w:val="single" w:color="000000" w:sz="4" w:space="0"/>
            </w:tcBorders>
            <w:vAlign w:val="center"/>
          </w:tcPr>
          <w:p w14:paraId="67C4201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首次响应文件开启时间详见“竞争性谈判公告”</w:t>
            </w:r>
          </w:p>
          <w:p w14:paraId="6A1121D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首次响应文件解密时间：</w:t>
            </w:r>
            <w:r>
              <w:rPr>
                <w:color w:val="000000" w:themeColor="text1"/>
                <w:u w:val="single"/>
                <w14:textFill>
                  <w14:solidFill>
                    <w14:schemeClr w14:val="tx1"/>
                  </w14:solidFill>
                </w14:textFill>
              </w:rPr>
              <w:t xml:space="preserve"> </w:t>
            </w:r>
            <w:r>
              <w:rPr>
                <w:rFonts w:hint="eastAsia"/>
                <w:color w:val="000000" w:themeColor="text1"/>
                <w:u w:val="single"/>
                <w14:textFill>
                  <w14:solidFill>
                    <w14:schemeClr w14:val="tx1"/>
                  </w14:solidFill>
                </w14:textFill>
              </w:rPr>
              <w:t>30</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分钟。</w:t>
            </w:r>
          </w:p>
        </w:tc>
      </w:tr>
      <w:tr w14:paraId="1B45F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67CF783E">
            <w:pPr>
              <w:spacing w:line="360" w:lineRule="auto"/>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p>
        </w:tc>
        <w:tc>
          <w:tcPr>
            <w:tcW w:w="8045" w:type="dxa"/>
            <w:tcBorders>
              <w:top w:val="single" w:color="000000" w:sz="4" w:space="0"/>
              <w:left w:val="single" w:color="000000" w:sz="4" w:space="0"/>
              <w:bottom w:val="single" w:color="000000" w:sz="4" w:space="0"/>
              <w:right w:val="single" w:color="000000" w:sz="4" w:space="0"/>
            </w:tcBorders>
            <w:vAlign w:val="center"/>
          </w:tcPr>
          <w:p w14:paraId="1D44BE9D">
            <w:pPr>
              <w:spacing w:line="360" w:lineRule="auto"/>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评审价相同时，按照最后报价由低到高顺序依次推荐；最后报价相同时，按节能、环保产品累计金额由高到低顺序依次推荐；节能、环保产品累计金额也相同时，按以下原则确定成交候选人的顺序：</w:t>
            </w:r>
          </w:p>
          <w:p w14:paraId="71514993">
            <w:pPr>
              <w:spacing w:line="360" w:lineRule="auto"/>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☑带“▲”的实质性要求正偏离项数多的优先、均无正偏离或者正偏离项数一致时负偏离项数少的优先、保修期长优先、交货期短优先、故障响应时间短优先的顺序推荐。</w:t>
            </w:r>
          </w:p>
          <w:p w14:paraId="5680839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□由谈判小组推荐代表随机抽取。</w:t>
            </w:r>
          </w:p>
        </w:tc>
      </w:tr>
      <w:tr w14:paraId="5CAB6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66379E90">
            <w:pPr>
              <w:spacing w:line="360" w:lineRule="auto"/>
              <w:jc w:val="center"/>
              <w:rPr>
                <w:rFonts w:ascii="宋体" w:hAnsi="宋体" w:cs="宋体"/>
                <w:color w:val="000000" w:themeColor="text1"/>
                <w:szCs w:val="21"/>
                <w14:textFill>
                  <w14:solidFill>
                    <w14:schemeClr w14:val="tx1"/>
                  </w14:solidFill>
                </w14:textFill>
              </w:rPr>
            </w:pPr>
          </w:p>
        </w:tc>
        <w:tc>
          <w:tcPr>
            <w:tcW w:w="8045" w:type="dxa"/>
            <w:tcBorders>
              <w:top w:val="single" w:color="000000" w:sz="4" w:space="0"/>
              <w:left w:val="single" w:color="000000" w:sz="4" w:space="0"/>
              <w:bottom w:val="single" w:color="000000" w:sz="4" w:space="0"/>
              <w:right w:val="single" w:color="000000" w:sz="4" w:space="0"/>
            </w:tcBorders>
            <w:vAlign w:val="center"/>
          </w:tcPr>
          <w:p w14:paraId="7ECAE42F">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商务要求评审中允许负偏离的条款数为</w:t>
            </w:r>
            <w:r>
              <w:rPr>
                <w:rFonts w:hint="eastAsia" w:ascii="宋体" w:hAnsi="宋体" w:cs="宋体"/>
                <w:b/>
                <w:bCs/>
                <w:color w:val="000000" w:themeColor="text1"/>
                <w:szCs w:val="21"/>
                <w:u w:val="single"/>
                <w14:textFill>
                  <w14:solidFill>
                    <w14:schemeClr w14:val="tx1"/>
                  </w14:solidFill>
                </w14:textFill>
              </w:rPr>
              <w:t xml:space="preserve"> 0  </w:t>
            </w:r>
            <w:r>
              <w:rPr>
                <w:rFonts w:hint="eastAsia" w:ascii="宋体" w:hAnsi="宋体" w:cs="宋体"/>
                <w:b/>
                <w:bCs/>
                <w:color w:val="000000" w:themeColor="text1"/>
                <w:szCs w:val="21"/>
                <w14:textFill>
                  <w14:solidFill>
                    <w14:schemeClr w14:val="tx1"/>
                  </w14:solidFill>
                </w14:textFill>
              </w:rPr>
              <w:t>项。</w:t>
            </w:r>
          </w:p>
          <w:p w14:paraId="48A0D22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技术要求评审中允许负偏离的条款数为</w:t>
            </w:r>
            <w:r>
              <w:rPr>
                <w:rFonts w:hint="eastAsia" w:ascii="宋体" w:hAnsi="宋体" w:cs="宋体"/>
                <w:b/>
                <w:bCs/>
                <w:color w:val="000000" w:themeColor="text1"/>
                <w:szCs w:val="21"/>
                <w:u w:val="single"/>
                <w14:textFill>
                  <w14:solidFill>
                    <w14:schemeClr w14:val="tx1"/>
                  </w14:solidFill>
                </w14:textFill>
              </w:rPr>
              <w:t xml:space="preserve"> 3  </w:t>
            </w:r>
            <w:r>
              <w:rPr>
                <w:rFonts w:hint="eastAsia" w:ascii="宋体" w:hAnsi="宋体" w:cs="宋体"/>
                <w:b/>
                <w:bCs/>
                <w:color w:val="000000" w:themeColor="text1"/>
                <w:szCs w:val="21"/>
                <w14:textFill>
                  <w14:solidFill>
                    <w14:schemeClr w14:val="tx1"/>
                  </w14:solidFill>
                </w14:textFill>
              </w:rPr>
              <w:t>项。</w:t>
            </w:r>
          </w:p>
        </w:tc>
      </w:tr>
      <w:tr w14:paraId="51ECE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7D1E3C1">
            <w:pPr>
              <w:spacing w:line="360" w:lineRule="auto"/>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8045" w:type="dxa"/>
            <w:tcBorders>
              <w:top w:val="single" w:color="000000" w:sz="4" w:space="0"/>
              <w:left w:val="single" w:color="000000" w:sz="4" w:space="0"/>
              <w:bottom w:val="single" w:color="000000" w:sz="4" w:space="0"/>
              <w:right w:val="single" w:color="000000" w:sz="4" w:space="0"/>
            </w:tcBorders>
            <w:vAlign w:val="center"/>
          </w:tcPr>
          <w:p w14:paraId="0A1B3C82">
            <w:pPr>
              <w:spacing w:line="360" w:lineRule="auto"/>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☑本项目不收取履约保证金。</w:t>
            </w:r>
          </w:p>
        </w:tc>
      </w:tr>
      <w:tr w14:paraId="0249B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99D111D">
            <w:pPr>
              <w:spacing w:line="360" w:lineRule="auto"/>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.1</w:t>
            </w:r>
          </w:p>
        </w:tc>
        <w:tc>
          <w:tcPr>
            <w:tcW w:w="8045" w:type="dxa"/>
            <w:tcBorders>
              <w:top w:val="single" w:color="000000" w:sz="4" w:space="0"/>
              <w:left w:val="single" w:color="000000" w:sz="4" w:space="0"/>
              <w:bottom w:val="single" w:color="000000" w:sz="4" w:space="0"/>
              <w:right w:val="single" w:color="000000" w:sz="4" w:space="0"/>
            </w:tcBorders>
            <w:vAlign w:val="center"/>
          </w:tcPr>
          <w:p w14:paraId="69A62B26">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签订合同携带的证明材料： </w:t>
            </w:r>
          </w:p>
          <w:p w14:paraId="26D231B0">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68C90174">
            <w:pPr>
              <w:spacing w:line="360" w:lineRule="auto"/>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w:t>
            </w:r>
            <w:r>
              <w:rPr>
                <w:rFonts w:ascii="宋体" w:hAnsi="宋体"/>
                <w:color w:val="000000" w:themeColor="text1"/>
                <w:szCs w:val="21"/>
                <w14:textFill>
                  <w14:solidFill>
                    <w14:schemeClr w14:val="tx1"/>
                  </w14:solidFill>
                </w14:textFill>
              </w:rPr>
              <w:t>身份证明原件</w:t>
            </w:r>
            <w:r>
              <w:rPr>
                <w:rFonts w:hint="eastAsia" w:ascii="宋体" w:hAnsi="宋体"/>
                <w:color w:val="000000" w:themeColor="text1"/>
                <w:szCs w:val="21"/>
                <w14:textFill>
                  <w14:solidFill>
                    <w14:schemeClr w14:val="tx1"/>
                  </w14:solidFill>
                </w14:textFill>
              </w:rPr>
              <w:t>及</w:t>
            </w:r>
            <w:r>
              <w:rPr>
                <w:rFonts w:ascii="宋体" w:hAnsi="宋体"/>
                <w:color w:val="000000" w:themeColor="text1"/>
                <w:szCs w:val="21"/>
                <w14:textFill>
                  <w14:solidFill>
                    <w14:schemeClr w14:val="tx1"/>
                  </w14:solidFill>
                </w14:textFill>
              </w:rPr>
              <w:t>身份证原件</w:t>
            </w:r>
            <w:r>
              <w:rPr>
                <w:rFonts w:hint="eastAsia" w:ascii="宋体" w:hAnsi="宋体"/>
                <w:color w:val="000000" w:themeColor="text1"/>
                <w:szCs w:val="21"/>
                <w14:textFill>
                  <w14:solidFill>
                    <w14:schemeClr w14:val="tx1"/>
                  </w14:solidFill>
                </w14:textFill>
              </w:rPr>
              <w:t>等其他证明材料。</w:t>
            </w:r>
          </w:p>
        </w:tc>
      </w:tr>
      <w:tr w14:paraId="720BF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19D6BE2">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1.2</w:t>
            </w:r>
          </w:p>
        </w:tc>
        <w:tc>
          <w:tcPr>
            <w:tcW w:w="8045" w:type="dxa"/>
            <w:tcBorders>
              <w:top w:val="single" w:color="000000" w:sz="4" w:space="0"/>
              <w:left w:val="single" w:color="000000" w:sz="4" w:space="0"/>
              <w:bottom w:val="single" w:color="000000" w:sz="4" w:space="0"/>
              <w:right w:val="single" w:color="000000" w:sz="4" w:space="0"/>
            </w:tcBorders>
            <w:vAlign w:val="center"/>
          </w:tcPr>
          <w:p w14:paraId="6F409717">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接收质疑函方式：以书面形式。</w:t>
            </w:r>
          </w:p>
          <w:p w14:paraId="1BF143F8">
            <w:pPr>
              <w:pStyle w:val="2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质疑联系部门及联系方式：</w:t>
            </w:r>
            <w:r>
              <w:rPr>
                <w:rFonts w:hint="eastAsia" w:hAnsi="宋体" w:cs="宋体"/>
                <w:color w:val="000000" w:themeColor="text1"/>
                <w:sz w:val="21"/>
                <w:u w:val="single"/>
                <w14:textFill>
                  <w14:solidFill>
                    <w14:schemeClr w14:val="tx1"/>
                  </w14:solidFill>
                </w14:textFill>
              </w:rPr>
              <w:t>云之龙咨询集团有限公司</w:t>
            </w:r>
            <w:r>
              <w:rPr>
                <w:rFonts w:hint="eastAsia" w:hAnsi="宋体" w:cs="宋体"/>
                <w:color w:val="000000" w:themeColor="text1"/>
                <w:sz w:val="21"/>
                <w14:textFill>
                  <w14:solidFill>
                    <w14:schemeClr w14:val="tx1"/>
                  </w14:solidFill>
                </w14:textFill>
              </w:rPr>
              <w:t>，联系电话：0771-7835598、0771-7833699，通讯地址：广西崇左市友谊大道与城南八路交叉口东南角处（崇左建设大厦/百成财富2#楼十三层）云之龙咨询集团有限公司。</w:t>
            </w:r>
          </w:p>
          <w:p w14:paraId="11C94941">
            <w:pPr>
              <w:pStyle w:val="2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业务时间：工作日每天8时00分到12时00分，15时00分到18时 00分。</w:t>
            </w:r>
          </w:p>
        </w:tc>
      </w:tr>
      <w:tr w14:paraId="2A66E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F76C754">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w:t>
            </w:r>
          </w:p>
        </w:tc>
        <w:tc>
          <w:tcPr>
            <w:tcW w:w="8045" w:type="dxa"/>
            <w:tcBorders>
              <w:top w:val="single" w:color="000000" w:sz="4" w:space="0"/>
              <w:left w:val="single" w:color="000000" w:sz="4" w:space="0"/>
              <w:bottom w:val="single" w:color="000000" w:sz="4" w:space="0"/>
              <w:right w:val="single" w:color="000000" w:sz="4" w:space="0"/>
            </w:tcBorders>
            <w:vAlign w:val="center"/>
          </w:tcPr>
          <w:p w14:paraId="1AC9CA7E">
            <w:pPr>
              <w:pStyle w:val="2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1.采购代理费支付方式：</w:t>
            </w:r>
          </w:p>
          <w:p w14:paraId="4A6A099B">
            <w:pPr>
              <w:pStyle w:val="2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采购代理服务费：</w:t>
            </w:r>
            <w:r>
              <w:rPr>
                <w:rFonts w:hint="eastAsia" w:hAnsi="宋体" w:cs="宋体"/>
                <w:color w:val="000000" w:themeColor="text1"/>
                <w:sz w:val="21"/>
                <w14:textFill>
                  <w14:solidFill>
                    <w14:schemeClr w14:val="tx1"/>
                  </w14:solidFill>
                </w14:textFill>
              </w:rPr>
              <w:t>☑以分标（☑中标金额）为计费额，</w:t>
            </w:r>
            <w:r>
              <w:rPr>
                <w:rFonts w:hint="eastAsia" w:hAnsi="宋体" w:cs="宋体"/>
                <w:color w:val="000000" w:themeColor="text1"/>
                <w:sz w:val="21"/>
                <w14:textFill>
                  <w14:solidFill>
                    <w14:schemeClr w14:val="tx1"/>
                  </w14:solidFill>
                </w14:textFill>
              </w:rPr>
              <w:t>参照桂价费〔2011〕55号文件（货物类）标准执行（若采购代理服务费不足5000元，按5000元计收），方式为成交供应商向采购代理机构支付。</w:t>
            </w:r>
          </w:p>
          <w:p w14:paraId="60FF643C">
            <w:pPr>
              <w:pStyle w:val="225"/>
              <w:spacing w:line="360" w:lineRule="auto"/>
              <w:rPr>
                <w:color w:val="000000" w:themeColor="text1"/>
                <w14:textFill>
                  <w14:solidFill>
                    <w14:schemeClr w14:val="tx1"/>
                  </w14:solidFill>
                </w14:textFill>
              </w:rPr>
            </w:pPr>
            <w:r>
              <w:rPr>
                <w:rFonts w:hint="eastAsia" w:hAnsi="宋体" w:cs="宋体"/>
                <w:color w:val="000000" w:themeColor="text1"/>
                <w:sz w:val="21"/>
                <w14:textFill>
                  <w14:solidFill>
                    <w14:schemeClr w14:val="tx1"/>
                  </w14:solidFill>
                </w14:textFill>
              </w:rPr>
              <w:t>2.采购代理费收取银行账户</w:t>
            </w:r>
            <w:r>
              <w:rPr>
                <w:rFonts w:hint="eastAsia"/>
                <w:color w:val="000000" w:themeColor="text1"/>
                <w14:textFill>
                  <w14:solidFill>
                    <w14:schemeClr w14:val="tx1"/>
                  </w14:solidFill>
                </w14:textFill>
              </w:rPr>
              <w:t>：</w:t>
            </w:r>
          </w:p>
          <w:p w14:paraId="40B54556">
            <w:pPr>
              <w:spacing w:line="400" w:lineRule="exact"/>
              <w:rPr>
                <w:rFonts w:hAnsi="宋体" w:cs="宋体"/>
                <w:b/>
                <w:bCs/>
                <w:color w:val="000000" w:themeColor="text1"/>
                <w:u w:val="single"/>
                <w14:textFill>
                  <w14:solidFill>
                    <w14:schemeClr w14:val="tx1"/>
                  </w14:solidFill>
                </w14:textFill>
              </w:rPr>
            </w:pPr>
            <w:r>
              <w:rPr>
                <w:rFonts w:hint="eastAsia" w:hAnsi="宋体" w:cs="宋体"/>
                <w:b/>
                <w:bCs/>
                <w:color w:val="000000" w:themeColor="text1"/>
                <w:u w:val="single"/>
                <w14:textFill>
                  <w14:solidFill>
                    <w14:schemeClr w14:val="tx1"/>
                  </w14:solidFill>
                </w14:textFill>
              </w:rPr>
              <w:t>公司名称：云之龙咨询集团有限公司崇左分公司</w:t>
            </w:r>
          </w:p>
          <w:p w14:paraId="0531D188">
            <w:pPr>
              <w:spacing w:line="400" w:lineRule="exact"/>
              <w:rPr>
                <w:rFonts w:hAnsi="宋体" w:cs="宋体"/>
                <w:b/>
                <w:bCs/>
                <w:color w:val="000000" w:themeColor="text1"/>
                <w:u w:val="single"/>
                <w14:textFill>
                  <w14:solidFill>
                    <w14:schemeClr w14:val="tx1"/>
                  </w14:solidFill>
                </w14:textFill>
              </w:rPr>
            </w:pPr>
            <w:r>
              <w:rPr>
                <w:rFonts w:hint="eastAsia" w:hAnsi="宋体" w:cs="宋体"/>
                <w:b/>
                <w:bCs/>
                <w:color w:val="000000" w:themeColor="text1"/>
                <w:u w:val="single"/>
                <w14:textFill>
                  <w14:solidFill>
                    <w14:schemeClr w14:val="tx1"/>
                  </w14:solidFill>
                </w14:textFill>
              </w:rPr>
              <w:t>账号：8113001013000157995</w:t>
            </w:r>
          </w:p>
          <w:p w14:paraId="6340075A">
            <w:pPr>
              <w:spacing w:line="400" w:lineRule="exact"/>
              <w:rPr>
                <w:rFonts w:hAnsi="宋体" w:cs="宋体"/>
                <w:color w:val="000000" w:themeColor="text1"/>
                <w:u w:val="single"/>
                <w14:textFill>
                  <w14:solidFill>
                    <w14:schemeClr w14:val="tx1"/>
                  </w14:solidFill>
                </w14:textFill>
              </w:rPr>
            </w:pPr>
            <w:r>
              <w:rPr>
                <w:rFonts w:hint="eastAsia" w:hAnsi="宋体" w:cs="宋体"/>
                <w:b/>
                <w:bCs/>
                <w:color w:val="000000" w:themeColor="text1"/>
                <w:u w:val="single"/>
                <w14:textFill>
                  <w14:solidFill>
                    <w14:schemeClr w14:val="tx1"/>
                  </w14:solidFill>
                </w14:textFill>
              </w:rPr>
              <w:t>开户行：中信银行股份有限公司南宁园湖支行</w:t>
            </w:r>
          </w:p>
        </w:tc>
      </w:tr>
      <w:tr w14:paraId="29753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82C1356">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3.1</w:t>
            </w:r>
          </w:p>
        </w:tc>
        <w:tc>
          <w:tcPr>
            <w:tcW w:w="8045" w:type="dxa"/>
            <w:tcBorders>
              <w:top w:val="single" w:color="000000" w:sz="4" w:space="0"/>
              <w:left w:val="single" w:color="000000" w:sz="4" w:space="0"/>
              <w:bottom w:val="single" w:color="000000" w:sz="4" w:space="0"/>
              <w:right w:val="single" w:color="000000" w:sz="4" w:space="0"/>
            </w:tcBorders>
            <w:vAlign w:val="center"/>
          </w:tcPr>
          <w:p w14:paraId="5DEEB3D1">
            <w:pPr>
              <w:pStyle w:val="2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解释：</w:t>
            </w:r>
            <w:r>
              <w:rPr>
                <w:rFonts w:hAnsi="宋体" w:cs="宋体"/>
                <w:color w:val="000000" w:themeColor="text1"/>
                <w:sz w:val="21"/>
                <w14:textFill>
                  <w14:solidFill>
                    <w14:schemeClr w14:val="tx1"/>
                  </w14:solidFill>
                </w14:textFill>
              </w:rPr>
              <w:t>构成本</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的各个组成文件应互为解释，互为说明；除</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中有特别规定外，仅适用于</w:t>
            </w:r>
            <w:r>
              <w:rPr>
                <w:rFonts w:hint="eastAsia" w:hAnsi="宋体" w:cs="宋体"/>
                <w:color w:val="000000" w:themeColor="text1"/>
                <w:sz w:val="21"/>
                <w14:textFill>
                  <w14:solidFill>
                    <w14:schemeClr w14:val="tx1"/>
                  </w14:solidFill>
                </w14:textFill>
              </w:rPr>
              <w:t>竞标</w:t>
            </w:r>
            <w:r>
              <w:rPr>
                <w:rFonts w:hAnsi="宋体" w:cs="宋体"/>
                <w:color w:val="000000" w:themeColor="text1"/>
                <w:sz w:val="21"/>
                <w14:textFill>
                  <w14:solidFill>
                    <w14:schemeClr w14:val="tx1"/>
                  </w14:solidFill>
                </w14:textFill>
              </w:rPr>
              <w:t>阶段的规定，</w:t>
            </w:r>
            <w:r>
              <w:rPr>
                <w:rFonts w:hint="eastAsia" w:hAnsi="宋体" w:cs="宋体"/>
                <w:color w:val="000000" w:themeColor="text1"/>
                <w:sz w:val="21"/>
                <w14:textFill>
                  <w14:solidFill>
                    <w14:schemeClr w14:val="tx1"/>
                  </w14:solidFill>
                </w14:textFill>
              </w:rPr>
              <w:t>按照更正公告（澄清公告）</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竞争性谈判</w:t>
            </w:r>
            <w:r>
              <w:rPr>
                <w:rFonts w:hAnsi="宋体" w:cs="宋体"/>
                <w:color w:val="000000" w:themeColor="text1"/>
                <w:sz w:val="21"/>
                <w14:textFill>
                  <w14:solidFill>
                    <w14:schemeClr w14:val="tx1"/>
                  </w14:solidFill>
                </w14:textFill>
              </w:rPr>
              <w:t>公告、</w:t>
            </w:r>
            <w:r>
              <w:rPr>
                <w:rFonts w:hint="eastAsia" w:hAnsi="宋体" w:cs="宋体"/>
                <w:color w:val="000000" w:themeColor="text1"/>
                <w:sz w:val="21"/>
                <w14:textFill>
                  <w14:solidFill>
                    <w14:schemeClr w14:val="tx1"/>
                  </w14:solidFill>
                </w14:textFill>
              </w:rPr>
              <w:t>供应商</w:t>
            </w:r>
            <w:r>
              <w:rPr>
                <w:rFonts w:hAnsi="宋体" w:cs="宋体"/>
                <w:color w:val="000000" w:themeColor="text1"/>
                <w:sz w:val="21"/>
                <w14:textFill>
                  <w14:solidFill>
                    <w14:schemeClr w14:val="tx1"/>
                  </w14:solidFill>
                </w14:textFill>
              </w:rPr>
              <w:t>须知</w:t>
            </w:r>
            <w:r>
              <w:rPr>
                <w:rFonts w:hint="eastAsia" w:hAnsi="宋体" w:cs="宋体"/>
                <w:color w:val="000000" w:themeColor="text1"/>
                <w:sz w:val="21"/>
                <w14:textFill>
                  <w14:solidFill>
                    <w14:schemeClr w14:val="tx1"/>
                  </w14:solidFill>
                </w14:textFill>
              </w:rPr>
              <w:t>、采购需求</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评审程序和评定成交的标准</w:t>
            </w:r>
            <w:r>
              <w:rPr>
                <w:rFonts w:hAnsi="宋体" w:cs="宋体"/>
                <w:color w:val="000000" w:themeColor="text1"/>
                <w:sz w:val="21"/>
                <w14:textFill>
                  <w14:solidFill>
                    <w14:schemeClr w14:val="tx1"/>
                  </w14:solidFill>
                </w14:textFill>
              </w:rPr>
              <w:t>、</w:t>
            </w:r>
            <w:r>
              <w:rPr>
                <w:rFonts w:hint="eastAsia" w:hAnsi="宋体" w:cs="宋体"/>
                <w:color w:val="000000" w:themeColor="text1"/>
                <w:sz w:val="21"/>
                <w14:textFill>
                  <w14:solidFill>
                    <w14:schemeClr w14:val="tx1"/>
                  </w14:solidFill>
                </w14:textFill>
              </w:rPr>
              <w:t>响应</w:t>
            </w:r>
            <w:r>
              <w:rPr>
                <w:rFonts w:hAnsi="宋体" w:cs="宋体"/>
                <w:color w:val="000000" w:themeColor="text1"/>
                <w:sz w:val="21"/>
                <w14:textFill>
                  <w14:solidFill>
                    <w14:schemeClr w14:val="tx1"/>
                  </w14:solidFill>
                </w14:textFill>
              </w:rPr>
              <w:t>文件格式</w:t>
            </w:r>
            <w:r>
              <w:rPr>
                <w:rFonts w:hint="eastAsia" w:hAnsi="宋体" w:cs="宋体"/>
                <w:color w:val="000000" w:themeColor="text1"/>
                <w:sz w:val="21"/>
                <w14:textFill>
                  <w14:solidFill>
                    <w14:schemeClr w14:val="tx1"/>
                  </w14:solidFill>
                </w14:textFill>
              </w:rPr>
              <w:t>、合同文本</w:t>
            </w:r>
            <w:r>
              <w:rPr>
                <w:rFonts w:hAnsi="宋体" w:cs="宋体"/>
                <w:color w:val="000000" w:themeColor="text1"/>
                <w:sz w:val="21"/>
                <w14:textFill>
                  <w14:solidFill>
                    <w14:schemeClr w14:val="tx1"/>
                  </w14:solidFill>
                </w14:textFill>
              </w:rPr>
              <w:t>的先后顺序解释；同一组成文件中就同一事项的规定或约定不一致的，以编排顺序在后者为准；同一组成文件不同版本之间有不一致的，以形成时间在后者为准；</w:t>
            </w:r>
            <w:r>
              <w:rPr>
                <w:rFonts w:hint="eastAsia" w:hAnsi="宋体" w:cs="宋体"/>
                <w:color w:val="000000" w:themeColor="text1"/>
                <w:sz w:val="21"/>
                <w14:textFill>
                  <w14:solidFill>
                    <w14:schemeClr w14:val="tx1"/>
                  </w14:solidFill>
                </w14:textFill>
              </w:rPr>
              <w:t>更正公告（澄清公告）</w:t>
            </w:r>
            <w:r>
              <w:rPr>
                <w:rFonts w:hAnsi="宋体" w:cs="宋体"/>
                <w:color w:val="000000" w:themeColor="text1"/>
                <w:sz w:val="21"/>
                <w14:textFill>
                  <w14:solidFill>
                    <w14:schemeClr w14:val="tx1"/>
                  </w14:solidFill>
                </w14:textFill>
              </w:rPr>
              <w:t>与同步更新的</w:t>
            </w:r>
            <w:r>
              <w:rPr>
                <w:rFonts w:hint="eastAsia" w:hAnsi="宋体" w:cs="宋体"/>
                <w:color w:val="000000" w:themeColor="text1"/>
                <w:sz w:val="21"/>
                <w14:textFill>
                  <w14:solidFill>
                    <w14:schemeClr w14:val="tx1"/>
                  </w14:solidFill>
                </w14:textFill>
              </w:rPr>
              <w:t>谈判文件</w:t>
            </w:r>
            <w:r>
              <w:rPr>
                <w:rFonts w:hAnsi="宋体" w:cs="宋体"/>
                <w:color w:val="000000" w:themeColor="text1"/>
                <w:sz w:val="21"/>
                <w14:textFill>
                  <w14:solidFill>
                    <w14:schemeClr w14:val="tx1"/>
                  </w14:solidFill>
                </w14:textFill>
              </w:rPr>
              <w:t>不一致时以</w:t>
            </w:r>
            <w:r>
              <w:rPr>
                <w:rFonts w:hint="eastAsia" w:hAnsi="宋体" w:cs="宋体"/>
                <w:color w:val="000000" w:themeColor="text1"/>
                <w:sz w:val="21"/>
                <w14:textFill>
                  <w14:solidFill>
                    <w14:schemeClr w14:val="tx1"/>
                  </w14:solidFill>
                </w14:textFill>
              </w:rPr>
              <w:t>更正公告（澄清公告）</w:t>
            </w:r>
            <w:r>
              <w:rPr>
                <w:rFonts w:hAnsi="宋体" w:cs="宋体"/>
                <w:color w:val="000000" w:themeColor="text1"/>
                <w:sz w:val="21"/>
                <w14:textFill>
                  <w14:solidFill>
                    <w14:schemeClr w14:val="tx1"/>
                  </w14:solidFill>
                </w14:textFill>
              </w:rPr>
              <w:t>为准。按本款前述规定仍不能形成结论的，由</w:t>
            </w:r>
            <w:r>
              <w:rPr>
                <w:rFonts w:hint="eastAsia" w:hAnsi="宋体" w:cs="宋体"/>
                <w:color w:val="000000" w:themeColor="text1"/>
                <w:sz w:val="21"/>
                <w14:textFill>
                  <w14:solidFill>
                    <w14:schemeClr w14:val="tx1"/>
                  </w14:solidFill>
                </w14:textFill>
              </w:rPr>
              <w:t>采购</w:t>
            </w:r>
            <w:r>
              <w:rPr>
                <w:rFonts w:hAnsi="宋体" w:cs="宋体"/>
                <w:color w:val="000000" w:themeColor="text1"/>
                <w:sz w:val="21"/>
                <w14:textFill>
                  <w14:solidFill>
                    <w14:schemeClr w14:val="tx1"/>
                  </w14:solidFill>
                </w14:textFill>
              </w:rPr>
              <w:t>人</w:t>
            </w:r>
            <w:r>
              <w:rPr>
                <w:rFonts w:hint="eastAsia" w:hAnsi="宋体" w:cs="宋体"/>
                <w:color w:val="000000" w:themeColor="text1"/>
                <w:sz w:val="21"/>
                <w14:textFill>
                  <w14:solidFill>
                    <w14:schemeClr w14:val="tx1"/>
                  </w14:solidFill>
                </w14:textFill>
              </w:rPr>
              <w:t>或者采购代理机构</w:t>
            </w:r>
            <w:r>
              <w:rPr>
                <w:rFonts w:hAnsi="宋体" w:cs="宋体"/>
                <w:color w:val="000000" w:themeColor="text1"/>
                <w:sz w:val="21"/>
                <w14:textFill>
                  <w14:solidFill>
                    <w14:schemeClr w14:val="tx1"/>
                  </w14:solidFill>
                </w14:textFill>
              </w:rPr>
              <w:t>负责解释。</w:t>
            </w:r>
          </w:p>
        </w:tc>
      </w:tr>
      <w:tr w14:paraId="6E132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FC4BF68">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3.2</w:t>
            </w:r>
          </w:p>
        </w:tc>
        <w:tc>
          <w:tcPr>
            <w:tcW w:w="8045" w:type="dxa"/>
            <w:tcBorders>
              <w:top w:val="single" w:color="000000" w:sz="4" w:space="0"/>
              <w:left w:val="single" w:color="000000" w:sz="4" w:space="0"/>
              <w:bottom w:val="single" w:color="000000" w:sz="4" w:space="0"/>
              <w:right w:val="single" w:color="000000" w:sz="4" w:space="0"/>
            </w:tcBorders>
            <w:vAlign w:val="center"/>
          </w:tcPr>
          <w:p w14:paraId="09EFA298">
            <w:pPr>
              <w:pStyle w:val="2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1.本谈判文件中描述供应商的“公章”是指根据我国对公章的管理规定，使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493D6255">
            <w:pPr>
              <w:pStyle w:val="225"/>
              <w:spacing w:line="360" w:lineRule="auto"/>
              <w:rPr>
                <w:rFonts w:hAnsi="宋体" w:cs="宋体"/>
                <w:bCs/>
                <w:color w:val="000000" w:themeColor="text1"/>
                <w:sz w:val="21"/>
                <w14:textFill>
                  <w14:solidFill>
                    <w14:schemeClr w14:val="tx1"/>
                  </w14:solidFill>
                </w14:textFill>
              </w:rPr>
            </w:pPr>
            <w:r>
              <w:rPr>
                <w:rFonts w:hint="eastAsia" w:hAnsi="宋体" w:cs="宋体"/>
                <w:bCs/>
                <w:color w:val="000000" w:themeColor="text1"/>
                <w:sz w:val="21"/>
                <w14:textFill>
                  <w14:solidFill>
                    <w14:schemeClr w14:val="tx1"/>
                  </w14:solidFill>
                </w14:textFill>
              </w:rPr>
              <w:t>2.本谈判文件所称的“</w:t>
            </w:r>
            <w:r>
              <w:rPr>
                <w:rFonts w:hint="eastAsia" w:hAnsi="宋体"/>
                <w:color w:val="000000" w:themeColor="text1"/>
                <w:sz w:val="21"/>
                <w14:textFill>
                  <w14:solidFill>
                    <w14:schemeClr w14:val="tx1"/>
                  </w14:solidFill>
                </w14:textFill>
              </w:rPr>
              <w:t>电子签章”“</w:t>
            </w:r>
            <w:r>
              <w:rPr>
                <w:rFonts w:hint="eastAsia" w:hAnsi="宋体" w:cs="宋体"/>
                <w:bCs/>
                <w:color w:val="000000" w:themeColor="text1"/>
                <w:sz w:val="21"/>
                <w14:textFill>
                  <w14:solidFill>
                    <w14:schemeClr w14:val="tx1"/>
                  </w14:solidFill>
                </w14:textFill>
              </w:rPr>
              <w:t>电子签名”</w:t>
            </w:r>
            <w:r>
              <w:rPr>
                <w:rFonts w:hint="eastAsia" w:hAnsi="宋体"/>
                <w:color w:val="000000" w:themeColor="text1"/>
                <w:sz w:val="21"/>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52F22ACC">
            <w:pPr>
              <w:pStyle w:val="225"/>
              <w:spacing w:line="360" w:lineRule="auto"/>
              <w:rPr>
                <w:rFonts w:hAnsi="宋体" w:cs="宋体"/>
                <w:bCs/>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3.供应商为其他组织或者自然人时，本谈判文件规定的法定代表人指负责人或者自然人。本谈判文件所称负责人是指参加竞标的其他组织</w:t>
            </w:r>
            <w:r>
              <w:rPr>
                <w:rFonts w:hint="eastAsia" w:hAnsi="宋体" w:cs="宋体"/>
                <w:bCs/>
                <w:color w:val="000000" w:themeColor="text1"/>
                <w:sz w:val="21"/>
                <w14:textFill>
                  <w14:solidFill>
                    <w14:schemeClr w14:val="tx1"/>
                  </w14:solidFill>
                </w14:textFill>
              </w:rPr>
              <w:t>营业执照或者执业许可证等证照上</w:t>
            </w:r>
            <w:r>
              <w:rPr>
                <w:rFonts w:hint="eastAsia" w:hAnsi="宋体" w:cs="宋体"/>
                <w:color w:val="000000" w:themeColor="text1"/>
                <w:sz w:val="21"/>
                <w14:textFill>
                  <w14:solidFill>
                    <w14:schemeClr w14:val="tx1"/>
                  </w14:solidFill>
                </w14:textFill>
              </w:rPr>
              <w:t>的负责人，本谈判文件所称自然人指参与竞标的自然人本人，</w:t>
            </w:r>
            <w:r>
              <w:rPr>
                <w:rFonts w:hint="eastAsia" w:hAnsi="宋体" w:cs="宋体"/>
                <w:bCs/>
                <w:color w:val="000000" w:themeColor="text1"/>
                <w:sz w:val="21"/>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14:paraId="2F60BEBC">
            <w:pPr>
              <w:pStyle w:val="225"/>
              <w:spacing w:line="360" w:lineRule="auto"/>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4.本谈判文件中描述供应商的“签字”是指供应商的法定代表人或者委托代理人亲自在文件规定签署处亲笔写上个人的名字的行为，私章、签字章、印鉴、影印等其他形式均不能代替亲笔签字。</w:t>
            </w:r>
          </w:p>
          <w:p w14:paraId="2D81F7FB">
            <w:pPr>
              <w:pStyle w:val="225"/>
              <w:spacing w:line="360" w:lineRule="auto"/>
              <w:rPr>
                <w:rFonts w:hAnsi="宋体" w:cs="宋体"/>
                <w:color w:val="000000" w:themeColor="text1"/>
                <w:sz w:val="21"/>
                <w14:textFill>
                  <w14:solidFill>
                    <w14:schemeClr w14:val="tx1"/>
                  </w14:solidFill>
                </w14:textFill>
              </w:rPr>
            </w:pPr>
            <w:r>
              <w:rPr>
                <w:rFonts w:hAnsi="宋体" w:cs="宋体"/>
                <w:color w:val="000000" w:themeColor="text1"/>
                <w:sz w:val="21"/>
                <w14:textFill>
                  <w14:solidFill>
                    <w14:schemeClr w14:val="tx1"/>
                  </w14:solidFill>
                </w14:textFill>
              </w:rPr>
              <w:t>5.</w:t>
            </w:r>
            <w:r>
              <w:rPr>
                <w:rFonts w:hint="eastAsia" w:hAnsi="宋体" w:cs="宋体"/>
                <w:color w:val="000000" w:themeColor="text1"/>
                <w:sz w:val="21"/>
                <w14:textFill>
                  <w14:solidFill>
                    <w14:schemeClr w14:val="tx1"/>
                  </w14:solidFill>
                </w14:textFill>
              </w:rPr>
              <w:t>本谈判文件所称的“以上”“以下”“以内”“届满”，包括本数；所称的“不满”“超过”“以外”，不包括本数。</w:t>
            </w:r>
          </w:p>
        </w:tc>
      </w:tr>
      <w:tr w14:paraId="0154A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7105A6C3">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33．3</w:t>
            </w:r>
          </w:p>
        </w:tc>
        <w:tc>
          <w:tcPr>
            <w:tcW w:w="8045" w:type="dxa"/>
            <w:tcBorders>
              <w:top w:val="single" w:color="000000" w:sz="4" w:space="0"/>
              <w:left w:val="single" w:color="000000" w:sz="4" w:space="0"/>
              <w:bottom w:val="single" w:color="000000" w:sz="4" w:space="0"/>
              <w:right w:val="single" w:color="000000" w:sz="4" w:space="0"/>
            </w:tcBorders>
            <w:vAlign w:val="center"/>
          </w:tcPr>
          <w:p w14:paraId="00DB89BE">
            <w:pPr>
              <w:pStyle w:val="19"/>
              <w:spacing w:line="400" w:lineRule="exact"/>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本采购项目涉及中小企业采购，现明确以下内容：</w:t>
            </w:r>
          </w:p>
          <w:p w14:paraId="013FFE17">
            <w:pPr>
              <w:pStyle w:val="19"/>
              <w:spacing w:line="400" w:lineRule="exact"/>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1.本项目属于专门面向中小企业采购的项目，货物制造商应为中小微企业或监狱企业或残疾人福利性单位，相关标的详见本竞争性谈判文件“第三章《采购需求》”；</w:t>
            </w:r>
          </w:p>
          <w:p w14:paraId="0F037773">
            <w:pPr>
              <w:pStyle w:val="19"/>
              <w:spacing w:line="400" w:lineRule="exact"/>
              <w:rPr>
                <w:rFonts w:hAnsi="宋体" w:cs="宋体"/>
                <w:color w:val="000000" w:themeColor="text1"/>
                <w:sz w:val="21"/>
                <w14:textFill>
                  <w14:solidFill>
                    <w14:schemeClr w14:val="tx1"/>
                  </w14:solidFill>
                </w14:textFill>
              </w:rPr>
            </w:pPr>
            <w:r>
              <w:rPr>
                <w:rFonts w:hint="eastAsia" w:hAnsi="宋体" w:cs="宋体"/>
                <w:color w:val="000000" w:themeColor="text1"/>
                <w:sz w:val="21"/>
                <w14:textFill>
                  <w14:solidFill>
                    <w14:schemeClr w14:val="tx1"/>
                  </w14:solidFill>
                </w14:textFill>
              </w:rPr>
              <w:t>2.中小企业预留预算金额：2700000</w:t>
            </w:r>
            <w:r>
              <w:rPr>
                <w:rFonts w:hAnsi="宋体" w:cs="宋体"/>
                <w:color w:val="000000" w:themeColor="text1"/>
                <w:sz w:val="21"/>
                <w14:textFill>
                  <w14:solidFill>
                    <w14:schemeClr w14:val="tx1"/>
                  </w14:solidFill>
                </w14:textFill>
              </w:rPr>
              <w:t>.00</w:t>
            </w:r>
            <w:r>
              <w:rPr>
                <w:rFonts w:hint="eastAsia" w:hAnsi="宋体" w:cs="宋体"/>
                <w:color w:val="000000" w:themeColor="text1"/>
                <w:sz w:val="21"/>
                <w14:textFill>
                  <w14:solidFill>
                    <w14:schemeClr w14:val="tx1"/>
                  </w14:solidFill>
                </w14:textFill>
              </w:rPr>
              <w:t>元；中小企业预留份额：100%；</w:t>
            </w:r>
          </w:p>
          <w:p w14:paraId="130A3382">
            <w:pPr>
              <w:pStyle w:val="19"/>
              <w:spacing w:line="400" w:lineRule="exact"/>
              <w:rPr>
                <w:rFonts w:hAnsi="宋体" w:cs="宋体"/>
                <w:color w:val="000000" w:themeColor="text1"/>
                <w:sz w:val="21"/>
                <w14:textFill>
                  <w14:solidFill>
                    <w14:schemeClr w14:val="tx1"/>
                  </w14:solidFill>
                </w14:textFill>
              </w:rPr>
            </w:pPr>
            <w:r>
              <w:rPr>
                <w:rFonts w:hAnsi="宋体" w:cs="宋体"/>
                <w:color w:val="000000" w:themeColor="text1"/>
                <w:sz w:val="21"/>
                <w14:textFill>
                  <w14:solidFill>
                    <w14:schemeClr w14:val="tx1"/>
                  </w14:solidFill>
                </w14:textFill>
              </w:rPr>
              <w:t>3</w:t>
            </w:r>
            <w:r>
              <w:rPr>
                <w:rFonts w:hint="eastAsia" w:hAnsi="宋体" w:cs="宋体"/>
                <w:color w:val="000000" w:themeColor="text1"/>
                <w:sz w:val="21"/>
                <w14:textFill>
                  <w14:solidFill>
                    <w14:schemeClr w14:val="tx1"/>
                  </w14:solidFill>
                </w14:textFill>
              </w:rPr>
              <w:t>.本项目不接受联合体，不允许分包；</w:t>
            </w:r>
          </w:p>
          <w:p w14:paraId="0966BA50">
            <w:pPr>
              <w:pStyle w:val="19"/>
              <w:spacing w:line="400" w:lineRule="exact"/>
              <w:rPr>
                <w:rFonts w:hAnsi="宋体" w:cs="宋体"/>
                <w:color w:val="000000" w:themeColor="text1"/>
                <w:sz w:val="21"/>
                <w14:textFill>
                  <w14:solidFill>
                    <w14:schemeClr w14:val="tx1"/>
                  </w14:solidFill>
                </w14:textFill>
              </w:rPr>
            </w:pPr>
            <w:r>
              <w:rPr>
                <w:rFonts w:hAnsi="宋体" w:cs="宋体"/>
                <w:color w:val="000000" w:themeColor="text1"/>
                <w:sz w:val="21"/>
                <w14:textFill>
                  <w14:solidFill>
                    <w14:schemeClr w14:val="tx1"/>
                  </w14:solidFill>
                </w14:textFill>
              </w:rPr>
              <w:t>4</w:t>
            </w:r>
            <w:r>
              <w:rPr>
                <w:rFonts w:hint="eastAsia" w:hAnsi="宋体" w:cs="宋体"/>
                <w:color w:val="000000" w:themeColor="text1"/>
                <w:sz w:val="21"/>
                <w14:textFill>
                  <w14:solidFill>
                    <w14:schemeClr w14:val="tx1"/>
                  </w14:solidFill>
                </w14:textFill>
              </w:rPr>
              <w:t>.本项目属于专门面向中小企业采购的项目，不再进行价格扣除及用扣除后的价格参加评审；</w:t>
            </w:r>
          </w:p>
          <w:p w14:paraId="4506541C">
            <w:pPr>
              <w:pStyle w:val="19"/>
              <w:spacing w:line="400" w:lineRule="exact"/>
              <w:rPr>
                <w:rFonts w:hAnsi="宋体" w:cs="宋体"/>
                <w:color w:val="000000" w:themeColor="text1"/>
                <w:sz w:val="21"/>
                <w14:textFill>
                  <w14:solidFill>
                    <w14:schemeClr w14:val="tx1"/>
                  </w14:solidFill>
                </w14:textFill>
              </w:rPr>
            </w:pPr>
            <w:r>
              <w:rPr>
                <w:rFonts w:hAnsi="宋体" w:cs="宋体"/>
                <w:color w:val="000000" w:themeColor="text1"/>
                <w:sz w:val="21"/>
                <w14:textFill>
                  <w14:solidFill>
                    <w14:schemeClr w14:val="tx1"/>
                  </w14:solidFill>
                </w14:textFill>
              </w:rPr>
              <w:t>5</w:t>
            </w:r>
            <w:r>
              <w:rPr>
                <w:rFonts w:hint="eastAsia" w:hAnsi="宋体" w:cs="宋体"/>
                <w:color w:val="000000" w:themeColor="text1"/>
                <w:sz w:val="21"/>
                <w14:textFill>
                  <w14:solidFill>
                    <w14:schemeClr w14:val="tx1"/>
                  </w14:solidFill>
                </w14:textFill>
              </w:rPr>
              <w:t>.因本项目属于专门面向中小企业采购的项目，规定依据《政府采购促进中小企业发展管理办法》规定享受扶持政策获得政府采购合同的，中小企业不得将合同分包给大中型企业，中型企业不得将合同分包给大型企业；</w:t>
            </w:r>
          </w:p>
          <w:p w14:paraId="1ED58B7B">
            <w:pPr>
              <w:pStyle w:val="19"/>
              <w:spacing w:line="400" w:lineRule="exact"/>
              <w:rPr>
                <w:rFonts w:hAnsi="宋体" w:cs="宋体"/>
                <w:color w:val="000000" w:themeColor="text1"/>
                <w:sz w:val="21"/>
                <w14:textFill>
                  <w14:solidFill>
                    <w14:schemeClr w14:val="tx1"/>
                  </w14:solidFill>
                </w14:textFill>
              </w:rPr>
            </w:pPr>
            <w:r>
              <w:rPr>
                <w:rFonts w:hAnsi="宋体" w:cs="宋体"/>
                <w:color w:val="000000" w:themeColor="text1"/>
                <w:sz w:val="21"/>
                <w14:textFill>
                  <w14:solidFill>
                    <w14:schemeClr w14:val="tx1"/>
                  </w14:solidFill>
                </w14:textFill>
              </w:rPr>
              <w:t>6</w:t>
            </w:r>
            <w:r>
              <w:rPr>
                <w:rFonts w:hint="eastAsia" w:hAnsi="宋体" w:cs="宋体"/>
                <w:color w:val="000000" w:themeColor="text1"/>
                <w:sz w:val="21"/>
                <w14:textFill>
                  <w14:solidFill>
                    <w14:schemeClr w14:val="tx1"/>
                  </w14:solidFill>
                </w14:textFill>
              </w:rPr>
              <w:t>.本项目采购标的对应的中小企业划分标准所属行业为：详见第三章《采购需求》。</w:t>
            </w:r>
          </w:p>
        </w:tc>
      </w:tr>
      <w:tr w14:paraId="34236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86F3FC8">
            <w:pPr>
              <w:spacing w:line="360" w:lineRule="auto"/>
              <w:jc w:val="center"/>
              <w:rPr>
                <w:rFonts w:ascii="宋体" w:hAnsi="宋体" w:cs="宋体"/>
                <w:color w:val="000000" w:themeColor="text1"/>
                <w:szCs w:val="21"/>
                <w14:textFill>
                  <w14:solidFill>
                    <w14:schemeClr w14:val="tx1"/>
                  </w14:solidFill>
                </w14:textFill>
              </w:rPr>
            </w:pPr>
          </w:p>
        </w:tc>
        <w:tc>
          <w:tcPr>
            <w:tcW w:w="8045" w:type="dxa"/>
            <w:tcBorders>
              <w:top w:val="single" w:color="000000" w:sz="4" w:space="0"/>
              <w:left w:val="single" w:color="000000" w:sz="4" w:space="0"/>
              <w:bottom w:val="single" w:color="000000" w:sz="4" w:space="0"/>
              <w:right w:val="single" w:color="000000" w:sz="4" w:space="0"/>
            </w:tcBorders>
            <w:vAlign w:val="center"/>
          </w:tcPr>
          <w:p w14:paraId="4EEEA456">
            <w:pPr>
              <w:pStyle w:val="225"/>
              <w:spacing w:line="360" w:lineRule="auto"/>
              <w:rPr>
                <w:rFonts w:hAnsi="宋体" w:cs="宋体"/>
                <w:color w:val="000000" w:themeColor="text1"/>
                <w:sz w:val="21"/>
                <w14:textFill>
                  <w14:solidFill>
                    <w14:schemeClr w14:val="tx1"/>
                  </w14:solidFill>
                </w14:textFill>
              </w:rPr>
            </w:pPr>
            <w:r>
              <w:rPr>
                <w:rFonts w:hint="eastAsia" w:hAnsi="宋体" w:cs="宋体"/>
                <w:b/>
                <w:bCs/>
                <w:color w:val="000000" w:themeColor="text1"/>
                <w:sz w:val="21"/>
                <w14:textFill>
                  <w14:solidFill>
                    <w14:schemeClr w14:val="tx1"/>
                  </w14:solidFill>
                </w14:textFill>
              </w:rPr>
              <w:t>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tc>
      </w:tr>
    </w:tbl>
    <w:p w14:paraId="4CBD53D0">
      <w:pPr>
        <w:spacing w:line="400" w:lineRule="exact"/>
        <w:jc w:val="center"/>
        <w:rPr>
          <w:rFonts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clear="all"/>
      </w:r>
      <w:r>
        <w:rPr>
          <w:rFonts w:hint="eastAsia" w:ascii="宋体" w:hAnsi="宋体"/>
          <w:b/>
          <w:color w:val="000000" w:themeColor="text1"/>
          <w:sz w:val="32"/>
          <w:szCs w:val="32"/>
          <w14:textFill>
            <w14:solidFill>
              <w14:schemeClr w14:val="tx1"/>
            </w14:solidFill>
          </w14:textFill>
        </w:rPr>
        <w:t>供应商须知正文</w:t>
      </w:r>
    </w:p>
    <w:p w14:paraId="16452ECD">
      <w:pPr>
        <w:spacing w:line="400" w:lineRule="exact"/>
        <w:jc w:val="center"/>
        <w:rPr>
          <w:rFonts w:ascii="宋体" w:hAnsi="宋体"/>
          <w:b/>
          <w:color w:val="000000" w:themeColor="text1"/>
          <w:sz w:val="32"/>
          <w:szCs w:val="32"/>
          <w14:textFill>
            <w14:solidFill>
              <w14:schemeClr w14:val="tx1"/>
            </w14:solidFill>
          </w14:textFill>
        </w:rPr>
      </w:pPr>
    </w:p>
    <w:p w14:paraId="772138F3">
      <w:pPr>
        <w:spacing w:line="400" w:lineRule="exact"/>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5092B13F">
      <w:pPr>
        <w:spacing w:line="400" w:lineRule="exact"/>
        <w:rPr>
          <w:rFonts w:ascii="宋体" w:hAnsi="宋体"/>
          <w:color w:val="000000" w:themeColor="text1"/>
          <w:szCs w:val="21"/>
          <w14:textFill>
            <w14:solidFill>
              <w14:schemeClr w14:val="tx1"/>
            </w14:solidFill>
          </w14:textFill>
        </w:rPr>
      </w:pPr>
    </w:p>
    <w:p w14:paraId="26A6982D">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 适用范围</w:t>
      </w:r>
    </w:p>
    <w:p w14:paraId="6028CB7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18127B4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hint="eastAsia" w:ascii="宋体" w:hAnsi="宋体" w:cs="宋体"/>
          <w:color w:val="000000" w:themeColor="text1"/>
          <w:spacing w:val="-6"/>
          <w:szCs w:val="21"/>
          <w14:textFill>
            <w14:solidFill>
              <w14:schemeClr w14:val="tx1"/>
            </w14:solidFill>
          </w14:textFill>
        </w:rPr>
        <w:t>本竞争性谈判文件（以下简称谈判文件）适用于本项目的所有采购程序和环节（法律、法规另有规定的，从其规定）。</w:t>
      </w:r>
    </w:p>
    <w:p w14:paraId="180F6374">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 定义</w:t>
      </w:r>
    </w:p>
    <w:p w14:paraId="21670FC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2.1“采购人”是指依法进行采购的国家机关、事业单位、团体组织。</w:t>
      </w:r>
    </w:p>
    <w:p w14:paraId="09D495A4">
      <w:pPr>
        <w:spacing w:line="360" w:lineRule="auto"/>
        <w:ind w:firstLine="420"/>
        <w:rPr>
          <w:rFonts w:ascii="宋体" w:hAnsi="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2.2“采购代理机构”</w:t>
      </w:r>
      <w:r>
        <w:rPr>
          <w:rFonts w:hint="eastAsia" w:ascii="宋体" w:hAnsi="宋体"/>
          <w:b/>
          <w:color w:val="000000" w:themeColor="text1"/>
          <w:szCs w:val="21"/>
          <w14:textFill>
            <w14:solidFill>
              <w14:schemeClr w14:val="tx1"/>
            </w14:solidFill>
          </w14:textFill>
        </w:rPr>
        <w:t>是指政府采购集中采购机构和集中采购机构以外的采购代理机构。</w:t>
      </w:r>
    </w:p>
    <w:p w14:paraId="3B7D7A5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2.3“供应商”是指向采购人提供货物、工程或者服务的法人、其他组织或者自然人。</w:t>
      </w:r>
    </w:p>
    <w:p w14:paraId="57CB133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2.4“货物”是指各种形态和种类的物品，包括原材料、燃料、设备、产品等。</w:t>
      </w:r>
    </w:p>
    <w:p w14:paraId="24AC833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2.5“竞标”是指按照本项目竞争性谈判公告或者邀请函规定的方式供应商获取谈判文件、提交响应文件并希望获得成交资格的行为。</w:t>
      </w:r>
    </w:p>
    <w:p w14:paraId="0931A55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2.6“售后服务” 是指包含但不限于供应商须承担的备品备件、包装、运输、装卸、保险、货到就位以及安装、调试、培训、保修和其他类似的义务。</w:t>
      </w:r>
    </w:p>
    <w:p w14:paraId="50A12A2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2.7“书面形式”是指合同书、信件和数据电文（包括电报、电传、传真、电子数据交换和电子邮件）等可以有形地表现所载内容的形式。</w:t>
      </w:r>
    </w:p>
    <w:p w14:paraId="51DB572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2.8“响应文件”</w:t>
      </w:r>
      <w:r>
        <w:rPr>
          <w:rFonts w:hint="eastAsia" w:ascii="宋体" w:hAnsi="宋体" w:cs="宋体"/>
          <w:color w:val="000000" w:themeColor="text1"/>
          <w:spacing w:val="-6"/>
          <w:szCs w:val="21"/>
          <w14:textFill>
            <w14:solidFill>
              <w14:schemeClr w14:val="tx1"/>
            </w14:solidFill>
          </w14:textFill>
        </w:rPr>
        <w:t>是指：供应商根据本谈判文件要求，编制包含资格证明、报价、商务技术等所有内容的文件。</w:t>
      </w:r>
    </w:p>
    <w:p w14:paraId="66AAB74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 “实质性要求”是指采购需求中带“▲”的条款或者不能负偏离的条款或者已经指明不满足按响应文件无效处理的条款。</w:t>
      </w:r>
    </w:p>
    <w:p w14:paraId="3E46D9C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2.10“正偏离”，是指响应文件对谈判文件“采购需求”中有关条款作出优于条款要求并有利于采购人的响应情形；</w:t>
      </w:r>
    </w:p>
    <w:p w14:paraId="3F1E0BE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2.11“负偏离”，是指响应文件对谈判文件“采购需求”中有关条款作出的响应不满足条款要求，导致采购人要求不能得到满足的情形。</w:t>
      </w:r>
    </w:p>
    <w:p w14:paraId="7EBB578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2.12“允许负偏离的条款”是指采购需求中的不属于“实质性要求”的条款。</w:t>
      </w:r>
    </w:p>
    <w:p w14:paraId="7419181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2.13“首次报价”是指供应商提交的首次响应文件中的竞标报价。</w:t>
      </w:r>
    </w:p>
    <w:p w14:paraId="01BD88DE">
      <w:pPr>
        <w:spacing w:line="360" w:lineRule="auto"/>
        <w:ind w:firstLine="482"/>
        <w:contextualSpacing/>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3. 供应商的资格条件</w:t>
      </w:r>
    </w:p>
    <w:p w14:paraId="5F3858C8">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0FB2C9FA">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4. 竞标费用</w:t>
      </w:r>
    </w:p>
    <w:p w14:paraId="58FB33B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竞标费用：供应商应承担参与本次采购活动有关的所有费用，包括但不限于获取谈判文件、勘查现场、编制和提交响应文件、参加谈判与应答、签订合同等，不论竞标结果如何，均应自行承担。</w:t>
      </w:r>
    </w:p>
    <w:p w14:paraId="37FBE0A7">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5.联合体竞标</w:t>
      </w:r>
    </w:p>
    <w:p w14:paraId="54E6331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5.1本项目是否接受联合体竞标，详见“供应商须知前附表”。</w:t>
      </w:r>
    </w:p>
    <w:p w14:paraId="1E43040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5.2</w:t>
      </w:r>
      <w:r>
        <w:rPr>
          <w:rFonts w:hint="eastAsia" w:ascii="宋体" w:hAnsi="宋体"/>
          <w:bCs/>
          <w:color w:val="000000" w:themeColor="text1"/>
          <w:szCs w:val="2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0BFF2285">
      <w:pPr>
        <w:spacing w:line="360" w:lineRule="auto"/>
        <w:ind w:firstLine="420"/>
        <w:rPr>
          <w:rFonts w:ascii="宋体" w:hAnsi="宋体"/>
          <w:bCs/>
          <w:color w:val="000000" w:themeColor="text1"/>
          <w:szCs w:val="21"/>
          <w14:textFill>
            <w14:solidFill>
              <w14:schemeClr w14:val="tx1"/>
            </w14:solidFill>
          </w14:textFill>
        </w:rPr>
      </w:pPr>
      <w:bookmarkStart w:id="60" w:name="_Hlk66782192"/>
      <w:r>
        <w:rPr>
          <w:rFonts w:hint="eastAsia" w:ascii="宋体" w:hAnsi="宋体"/>
          <w:bCs/>
          <w:color w:val="000000" w:themeColor="text1"/>
          <w:szCs w:val="21"/>
          <w14:textFill>
            <w14:solidFill>
              <w14:schemeClr w14:val="tx1"/>
            </w14:solidFill>
          </w14:textFill>
        </w:rPr>
        <w:t>5.3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0"/>
    </w:p>
    <w:p w14:paraId="55DBF9D8">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 xml:space="preserve">6.转包与分包             </w:t>
      </w:r>
    </w:p>
    <w:p w14:paraId="730CAFC7">
      <w:pPr>
        <w:pStyle w:val="206"/>
        <w:keepNext w:val="0"/>
        <w:keepLines w:val="0"/>
        <w:spacing w:before="0" w:after="0" w:line="360" w:lineRule="auto"/>
        <w:ind w:left="420"/>
        <w:rPr>
          <w:rFonts w:ascii="宋体" w:hAnsi="宋体"/>
          <w:b w:val="0"/>
          <w:color w:val="000000" w:themeColor="text1"/>
          <w:sz w:val="21"/>
          <w:szCs w:val="21"/>
          <w14:textFill>
            <w14:solidFill>
              <w14:schemeClr w14:val="tx1"/>
            </w14:solidFill>
          </w14:textFill>
        </w:rPr>
      </w:pPr>
      <w:bookmarkStart w:id="61" w:name="_Toc254970532"/>
      <w:bookmarkStart w:id="62" w:name="_Toc254970673"/>
      <w:r>
        <w:rPr>
          <w:rFonts w:hint="eastAsia" w:ascii="宋体" w:hAnsi="宋体"/>
          <w:b w:val="0"/>
          <w:color w:val="000000" w:themeColor="text1"/>
          <w:sz w:val="21"/>
          <w:szCs w:val="21"/>
          <w14:textFill>
            <w14:solidFill>
              <w14:schemeClr w14:val="tx1"/>
            </w14:solidFill>
          </w14:textFill>
        </w:rPr>
        <w:t>6.1本项目不允许转包。</w:t>
      </w:r>
    </w:p>
    <w:p w14:paraId="48C05D1A">
      <w:pPr>
        <w:pStyle w:val="206"/>
        <w:keepNext w:val="0"/>
        <w:keepLines w:val="0"/>
        <w:spacing w:before="0" w:after="0" w:line="360" w:lineRule="auto"/>
        <w:ind w:firstLine="315"/>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6C0995F">
      <w:pPr>
        <w:pStyle w:val="206"/>
        <w:keepNext w:val="0"/>
        <w:keepLines w:val="0"/>
        <w:spacing w:before="0" w:after="0" w:line="360" w:lineRule="auto"/>
        <w:ind w:firstLine="315"/>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75C88CB4">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7.特别说明</w:t>
      </w:r>
      <w:bookmarkEnd w:id="61"/>
      <w:bookmarkEnd w:id="62"/>
    </w:p>
    <w:p w14:paraId="29CAC243">
      <w:pPr>
        <w:spacing w:line="360" w:lineRule="auto"/>
        <w:ind w:firstLine="420"/>
        <w:rPr>
          <w:rFonts w:ascii="宋体" w:hAnsi="宋体" w:cs="宋体"/>
          <w:color w:val="000000" w:themeColor="text1"/>
          <w:szCs w:val="21"/>
          <w14:textFill>
            <w14:solidFill>
              <w14:schemeClr w14:val="tx1"/>
            </w14:solidFill>
          </w14:textFill>
        </w:rPr>
      </w:pPr>
      <w:bookmarkStart w:id="63" w:name="_8.1提供相同品牌产品且通过资格审查、符合性审查的不同投标人参加同一合"/>
      <w:bookmarkEnd w:id="63"/>
      <w:r>
        <w:rPr>
          <w:rFonts w:hint="eastAsia" w:ascii="宋体" w:hAnsi="宋体" w:cs="宋体"/>
          <w:color w:val="000000" w:themeColor="text1"/>
          <w:szCs w:val="21"/>
          <w14:textFill>
            <w14:solidFill>
              <w14:schemeClr w14:val="tx1"/>
            </w14:solidFill>
          </w14:textFill>
        </w:rPr>
        <w:fldChar w:fldCharType="begin"/>
      </w:r>
      <w:r>
        <w:rPr>
          <w:rFonts w:hint="eastAsia" w:ascii="宋体" w:hAnsi="宋体" w:cs="宋体"/>
          <w:color w:val="000000" w:themeColor="text1"/>
          <w:szCs w:val="21"/>
          <w14:textFill>
            <w14:solidFill>
              <w14:schemeClr w14:val="tx1"/>
            </w14:solidFill>
          </w14:textFill>
        </w:rPr>
        <w:instrText xml:space="preserve"> HYPERLINK  \l "_8.1" </w:instrText>
      </w:r>
      <w:r>
        <w:rPr>
          <w:rFonts w:hint="eastAsia" w:ascii="宋体" w:hAnsi="宋体" w:cs="宋体"/>
          <w:color w:val="000000" w:themeColor="text1"/>
          <w:szCs w:val="2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7.1</w:t>
      </w:r>
      <w:r>
        <w:rPr>
          <w:rFonts w:hint="eastAsia" w:ascii="宋体" w:hAnsi="宋体" w:cs="宋体"/>
          <w:color w:val="000000" w:themeColor="text1"/>
          <w:szCs w:val="21"/>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628B5B5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非单一产品采购项目，多家供应商提供的核心产品品牌相同的，按前款规定处理。</w:t>
      </w:r>
    </w:p>
    <w:p w14:paraId="173BA14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w:t>
      </w:r>
      <w:r>
        <w:rPr>
          <w:rFonts w:hint="eastAsia" w:ascii="宋体" w:hAnsi="宋体"/>
          <w:color w:val="000000" w:themeColor="text1"/>
          <w:szCs w:val="21"/>
          <w14:textFill>
            <w14:solidFill>
              <w14:schemeClr w14:val="tx1"/>
            </w14:solidFill>
          </w14:textFill>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14:textFill>
            <w14:solidFill>
              <w14:schemeClr w14:val="tx1"/>
            </w14:solidFill>
          </w14:textFill>
        </w:rPr>
        <w:t>。</w:t>
      </w:r>
    </w:p>
    <w:p w14:paraId="65A7BD2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7.3供应商应仔细阅读谈判文件的所有内容，按照谈判文件的要求提交响应文件，并对所提供的全部资料的真实性承担法律责任。</w:t>
      </w:r>
    </w:p>
    <w:p w14:paraId="6F101AC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57E0BC3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7.5在政府采购活动中，采购人员及相关人员与供应商有下列利害关系之一的，应当回避：</w:t>
      </w:r>
    </w:p>
    <w:p w14:paraId="63A1FF3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（1）参加采购活动前3年内与供应商存在劳动关系；</w:t>
      </w:r>
    </w:p>
    <w:p w14:paraId="58C8F4B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（2）参加采购活动前3年内担任供应商的董事、监事；</w:t>
      </w:r>
    </w:p>
    <w:p w14:paraId="3061D7F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（3）参加采购活动前3年内是供应商的控股股东或者实际控制人；</w:t>
      </w:r>
    </w:p>
    <w:p w14:paraId="34A8033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（4）与供应商的法定代表人或者负责人有夫妻、直系血亲、三代以内旁系血亲或者近姻亲关系；</w:t>
      </w:r>
    </w:p>
    <w:p w14:paraId="2C911E7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（5）与供应商有其他可能影响政府采购活动公平、公正进行的关系。</w:t>
      </w:r>
    </w:p>
    <w:p w14:paraId="5649A26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1E7281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7.6有下列情形之一的视为供应商相互串通竞标，响应文件将被视为无效：</w:t>
      </w:r>
    </w:p>
    <w:p w14:paraId="7BFA1E25">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（1）不同供应商的响应文件由同一单位或者个人编制；或不同供应商报名的IP地址一致的；</w:t>
      </w:r>
    </w:p>
    <w:p w14:paraId="4563743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（2）不同供应商委托同一单位或者个人办理竞标事宜；</w:t>
      </w:r>
    </w:p>
    <w:p w14:paraId="136D544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（3）不同的供应商的响应文件载明的项目管理员为同一个人；</w:t>
      </w:r>
    </w:p>
    <w:p w14:paraId="6447889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（4）不同供应商的响应文件异常一致或者报价呈规律性差异；</w:t>
      </w:r>
    </w:p>
    <w:p w14:paraId="274F6C9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（5）不同供应商的响应文件相互混装；</w:t>
      </w:r>
    </w:p>
    <w:p w14:paraId="2D06642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（6）不同供应商的竞标保证金从同一单位或者个人账户转出。</w:t>
      </w:r>
    </w:p>
    <w:p w14:paraId="693D10F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7.7供应商有下列情形之一的，属于恶意串通行为</w:t>
      </w:r>
      <w:bookmarkStart w:id="64" w:name="_Hlk54682620"/>
      <w:r>
        <w:rPr>
          <w:rFonts w:hint="eastAsia" w:ascii="宋体" w:hAnsi="宋体" w:cs="宋体"/>
          <w:color w:val="000000" w:themeColor="text1"/>
          <w:szCs w:val="21"/>
          <w14:textFill>
            <w14:solidFill>
              <w14:schemeClr w14:val="tx1"/>
            </w14:solidFill>
          </w14:textFill>
        </w:rPr>
        <w:t>，将报同级监督管理部门</w:t>
      </w:r>
      <w:bookmarkEnd w:id="64"/>
      <w:r>
        <w:rPr>
          <w:rFonts w:hint="eastAsia" w:ascii="宋体" w:hAnsi="宋体" w:cs="宋体"/>
          <w:color w:val="000000" w:themeColor="text1"/>
          <w:szCs w:val="21"/>
          <w14:textFill>
            <w14:solidFill>
              <w14:schemeClr w14:val="tx1"/>
            </w14:solidFill>
          </w14:textFill>
        </w:rPr>
        <w:t>：</w:t>
      </w:r>
    </w:p>
    <w:p w14:paraId="66BFF98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（1）供应商直接或者间接从采购人或者采购代理机构处获得其他供应商的相关信息并修改其响应文件；</w:t>
      </w:r>
    </w:p>
    <w:p w14:paraId="6DD4227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（2）供应商按照采购人或者采购代理机构的授意撤换、修改响应文件；</w:t>
      </w:r>
    </w:p>
    <w:p w14:paraId="7E3BA73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（3）供应商之间协商报价、技术方案等响应文件或者响应文件的实质性内容；</w:t>
      </w:r>
    </w:p>
    <w:p w14:paraId="518BD85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（4）属于同一集团、协会、商会等组织成员的供应商按照该组织要求协同参加政府采购活动；</w:t>
      </w:r>
    </w:p>
    <w:p w14:paraId="7CF7E50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4D1988A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（6）供应商之间商定部分供应商放弃参加政府采购活动或者放弃成交；</w:t>
      </w:r>
    </w:p>
    <w:p w14:paraId="679BF2C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14:paraId="64BE08D8">
      <w:pPr>
        <w:pStyle w:val="207"/>
        <w:spacing w:line="360" w:lineRule="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7.8</w:t>
      </w:r>
      <w:r>
        <w:rPr>
          <w:rFonts w:hint="eastAsia" w:ascii="宋体" w:hAnsi="宋体"/>
          <w:color w:val="000000" w:themeColor="text1"/>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9664206">
      <w:pPr>
        <w:pStyle w:val="207"/>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产品在中国境内生产的组件成本占比应当达到规定比例，计算公式为：</w:t>
      </w:r>
    </w:p>
    <w:p w14:paraId="12FFCE2D">
      <w:pPr>
        <w:widowControl/>
        <w:shd w:val="clear" w:color="auto" w:fill="FFFFFF"/>
        <w:spacing w:before="30" w:after="30" w:line="360" w:lineRule="auto"/>
        <w:jc w:val="center"/>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drawing>
          <wp:inline distT="0" distB="0" distL="0" distR="0">
            <wp:extent cx="4831080" cy="763270"/>
            <wp:effectExtent l="0" t="0" r="762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4831080" cy="763270"/>
                    </a:xfrm>
                    <a:prstGeom prst="rect">
                      <a:avLst/>
                    </a:prstGeom>
                    <a:noFill/>
                    <a:ln>
                      <a:noFill/>
                    </a:ln>
                  </pic:spPr>
                </pic:pic>
              </a:graphicData>
            </a:graphic>
          </wp:inline>
        </w:drawing>
      </w:r>
    </w:p>
    <w:p w14:paraId="7A9560B2">
      <w:pPr>
        <w:pStyle w:val="207"/>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FAB9063">
      <w:pPr>
        <w:pStyle w:val="207"/>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03CF0C65">
      <w:pPr>
        <w:pStyle w:val="207"/>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91B3DC8">
      <w:pPr>
        <w:spacing w:line="360" w:lineRule="auto"/>
        <w:ind w:left="1" w:firstLine="417"/>
        <w:jc w:val="center"/>
        <w:rPr>
          <w:rFonts w:ascii="宋体" w:hAnsi="宋体"/>
          <w:color w:val="000000" w:themeColor="text1"/>
          <w14:textFill>
            <w14:solidFill>
              <w14:schemeClr w14:val="tx1"/>
            </w14:solidFill>
          </w14:textFill>
        </w:rPr>
      </w:pPr>
    </w:p>
    <w:p w14:paraId="651DF93F">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二、谈判文件</w:t>
      </w:r>
    </w:p>
    <w:p w14:paraId="49EFCCB0">
      <w:pPr>
        <w:spacing w:line="360" w:lineRule="auto"/>
        <w:jc w:val="center"/>
        <w:rPr>
          <w:rFonts w:ascii="宋体" w:hAnsi="宋体"/>
          <w:color w:val="000000" w:themeColor="text1"/>
          <w:szCs w:val="21"/>
          <w14:textFill>
            <w14:solidFill>
              <w14:schemeClr w14:val="tx1"/>
            </w14:solidFill>
          </w14:textFill>
        </w:rPr>
      </w:pPr>
    </w:p>
    <w:p w14:paraId="0F8C5DDF">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8.谈判文件的构成</w:t>
      </w:r>
    </w:p>
    <w:p w14:paraId="16F9F700">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（1）竞争性谈判公告/竞标邀请函；</w:t>
      </w:r>
    </w:p>
    <w:p w14:paraId="0E857D51">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（2）供应商须知； </w:t>
      </w:r>
    </w:p>
    <w:p w14:paraId="32253663">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（3）采购需求；</w:t>
      </w:r>
    </w:p>
    <w:p w14:paraId="58A44303">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（4）响应文件格式</w:t>
      </w:r>
    </w:p>
    <w:p w14:paraId="30ABBC22">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（5）合同文本；</w:t>
      </w:r>
    </w:p>
    <w:p w14:paraId="475D295C">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（6）评审程序和评定成交的标准；</w:t>
      </w:r>
    </w:p>
    <w:p w14:paraId="5C08936C">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9.供应商的询问</w:t>
      </w:r>
    </w:p>
    <w:p w14:paraId="500C90B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供应商应认真阅读谈判文件的采购需求，如供应商对谈判文件有疑问的，如要求采购人作出澄清或者修改的，供应商应在</w:t>
      </w:r>
      <w:r>
        <w:rPr>
          <w:rFonts w:ascii="宋体" w:hAnsi="宋体"/>
          <w:color w:val="000000" w:themeColor="text1"/>
          <w:szCs w:val="21"/>
          <w14:textFill>
            <w14:solidFill>
              <w14:schemeClr w14:val="tx1"/>
            </w14:solidFill>
          </w14:textFill>
        </w:rPr>
        <w:t>提交首次响应文件截止之日前</w:t>
      </w:r>
      <w:r>
        <w:rPr>
          <w:rFonts w:hint="eastAsia" w:ascii="宋体" w:hAnsi="宋体"/>
          <w:color w:val="000000" w:themeColor="text1"/>
          <w:szCs w:val="21"/>
          <w14:textFill>
            <w14:solidFill>
              <w14:schemeClr w14:val="tx1"/>
            </w14:solidFill>
          </w14:textFill>
        </w:rPr>
        <w:t>，以书面形式向</w:t>
      </w:r>
      <w:r>
        <w:rPr>
          <w:rFonts w:ascii="宋体" w:hAnsi="宋体"/>
          <w:color w:val="000000" w:themeColor="text1"/>
          <w:szCs w:val="21"/>
          <w14:textFill>
            <w14:solidFill>
              <w14:schemeClr w14:val="tx1"/>
            </w14:solidFill>
          </w14:textFill>
        </w:rPr>
        <w:t>采购人、采购代理机构</w:t>
      </w:r>
      <w:r>
        <w:rPr>
          <w:rFonts w:hint="eastAsia" w:ascii="宋体" w:hAnsi="宋体"/>
          <w:color w:val="000000" w:themeColor="text1"/>
          <w:szCs w:val="21"/>
          <w14:textFill>
            <w14:solidFill>
              <w14:schemeClr w14:val="tx1"/>
            </w14:solidFill>
          </w14:textFill>
        </w:rPr>
        <w:t>提出。</w:t>
      </w:r>
    </w:p>
    <w:p w14:paraId="0D19A231">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10.谈判文件的澄清和修改</w:t>
      </w:r>
    </w:p>
    <w:p w14:paraId="2B6FEB1F">
      <w:pPr>
        <w:spacing w:line="360" w:lineRule="auto"/>
        <w:ind w:firstLine="42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7F9BDC60">
      <w:pPr>
        <w:spacing w:line="360" w:lineRule="auto"/>
        <w:rPr>
          <w:rFonts w:ascii="宋体" w:hAnsi="宋体"/>
          <w:color w:val="000000" w:themeColor="text1"/>
          <w:szCs w:val="21"/>
          <w14:textFill>
            <w14:solidFill>
              <w14:schemeClr w14:val="tx1"/>
            </w14:solidFill>
          </w14:textFill>
        </w:rPr>
      </w:pPr>
    </w:p>
    <w:p w14:paraId="19624018">
      <w:pPr>
        <w:spacing w:line="360" w:lineRule="auto"/>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三、响应文件的编制</w:t>
      </w:r>
    </w:p>
    <w:p w14:paraId="69419DE0">
      <w:pPr>
        <w:spacing w:line="360" w:lineRule="auto"/>
        <w:rPr>
          <w:rFonts w:ascii="宋体" w:hAnsi="宋体"/>
          <w:color w:val="000000" w:themeColor="text1"/>
          <w:szCs w:val="21"/>
          <w14:textFill>
            <w14:solidFill>
              <w14:schemeClr w14:val="tx1"/>
            </w14:solidFill>
          </w14:textFill>
        </w:rPr>
      </w:pPr>
    </w:p>
    <w:p w14:paraId="15528D51">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11.响应文件的编制原则</w:t>
      </w:r>
    </w:p>
    <w:p w14:paraId="1B04285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供应商必须按照谈判文件的要求编制响应文件，并对其提交的响应文件的真实性、合法性承担法律责任。响应文件必须对谈判文件作出实质性响应。</w:t>
      </w:r>
    </w:p>
    <w:p w14:paraId="098BF86F">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12.响应文件的组成</w:t>
      </w:r>
    </w:p>
    <w:p w14:paraId="59C66C9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2C412537">
      <w:pPr>
        <w:spacing w:line="360" w:lineRule="auto"/>
        <w:ind w:left="840" w:hanging="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资格证明文件：详见“供应商须知前附表”</w:t>
      </w:r>
    </w:p>
    <w:p w14:paraId="5A3D7D94">
      <w:pPr>
        <w:spacing w:line="360" w:lineRule="auto"/>
        <w:ind w:left="840" w:hanging="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2报价文件：详见“供应商须知前附表”</w:t>
      </w:r>
    </w:p>
    <w:p w14:paraId="0407855D">
      <w:pPr>
        <w:spacing w:line="360" w:lineRule="auto"/>
        <w:ind w:left="840" w:hanging="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12.1.3商务技术文件：详见“供应商须知前附表”</w:t>
      </w:r>
    </w:p>
    <w:p w14:paraId="2F93F829">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13.计量单位</w:t>
      </w:r>
    </w:p>
    <w:p w14:paraId="5AA3F94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谈判文件已有明确规定的，使用谈判文件规定的计量单位；谈判文件没有规定的，应采用中华人民共和国法定计量单位，货币种类为人民币，否则视同未响应。</w:t>
      </w:r>
    </w:p>
    <w:p w14:paraId="5F9F4ECB">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14.竞标的风险</w:t>
      </w:r>
    </w:p>
    <w:p w14:paraId="7D9EA37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供应商没有按照谈判文件要求提供全部资料，或者供应商没有对谈判文件在各方面作出实质性响应可能导致其响应文件按无效处理，是供应商应当考虑的风险。</w:t>
      </w:r>
    </w:p>
    <w:p w14:paraId="49F16D96">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15.竞标报价</w:t>
      </w:r>
    </w:p>
    <w:p w14:paraId="4E05E23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15.1竞标报价应按谈判文件中“竞标报价表”格式填写。</w:t>
      </w:r>
    </w:p>
    <w:p w14:paraId="52C53AB1">
      <w:pPr>
        <w:tabs>
          <w:tab w:val="left" w:pos="2492"/>
        </w:tabs>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15.2竞标报价的内容详见“供应商须知前附表”。</w:t>
      </w:r>
    </w:p>
    <w:p w14:paraId="73696DCB">
      <w:pPr>
        <w:spacing w:line="360" w:lineRule="auto"/>
        <w:ind w:left="42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15.3竞标报价要求</w:t>
      </w:r>
    </w:p>
    <w:p w14:paraId="2EA5E84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5.3.1</w:t>
      </w:r>
      <w:r>
        <w:rPr>
          <w:rFonts w:hint="eastAsia" w:ascii="宋体" w:hAnsi="宋体" w:cs="宋体"/>
          <w:color w:val="000000" w:themeColor="text1"/>
          <w:szCs w:val="21"/>
          <w14:textFill>
            <w14:solidFill>
              <w14:schemeClr w14:val="tx1"/>
            </w14:solidFill>
          </w14:textFill>
        </w:rPr>
        <w:t>供应商的竞标报价应符合以下要求，否则响应文件按无效响应处理：</w:t>
      </w:r>
    </w:p>
    <w:p w14:paraId="2DCBC17C">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（1）供应商必须就“采购需求”中所竞标的每个分标的全部内容分别作完整唯一总价报价，</w:t>
      </w:r>
    </w:p>
    <w:p w14:paraId="7CCA6A8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7C662EA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7719E7D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竞标报价（包含首次报价、最后报价）超过所竞标分标规定的采购预算金额或者最高限价的，其响应文件将按无效处理。</w:t>
      </w:r>
    </w:p>
    <w:p w14:paraId="37DFC4C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竞标报价（包含首次报价、最后报价）超过分项采购预算金额或者最高限价的，其响应文件将按无效处理。</w:t>
      </w:r>
    </w:p>
    <w:p w14:paraId="1E8BC2A8">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16.竞标有效期</w:t>
      </w:r>
    </w:p>
    <w:p w14:paraId="72B776C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353AE2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16.2 竞标有效期应由供应商按“供应商须知前附表”规定的期限作出响应。</w:t>
      </w:r>
      <w:r>
        <w:rPr>
          <w:rFonts w:hint="eastAsia" w:ascii="宋体" w:hAnsi="宋体"/>
          <w:color w:val="000000" w:themeColor="text1"/>
          <w:szCs w:val="21"/>
          <w14:textFill>
            <w14:solidFill>
              <w14:schemeClr w14:val="tx1"/>
            </w14:solidFill>
          </w14:textFill>
        </w:rPr>
        <w:t>承诺的竞标有效期低于采购文件规定期限的，供应商的响应文件作无效处理。</w:t>
      </w:r>
    </w:p>
    <w:p w14:paraId="3C4C87C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16.3供应商的响应文件在竞标有效期内均保持有效。</w:t>
      </w:r>
    </w:p>
    <w:p w14:paraId="5F028C74">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17.竞标保证金</w:t>
      </w:r>
    </w:p>
    <w:p w14:paraId="7FD32BD5">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17.1供应商须按“供应商须知前附表”的规定提交竞标保证金。</w:t>
      </w:r>
    </w:p>
    <w:p w14:paraId="63458795">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17.2竞标保证金的退还</w:t>
      </w:r>
    </w:p>
    <w:p w14:paraId="7D6F4D0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未</w:t>
      </w:r>
      <w:r>
        <w:rPr>
          <w:rFonts w:hint="eastAsia" w:ascii="宋体" w:hAnsi="宋体" w:cs="宋体"/>
          <w:color w:val="000000" w:themeColor="text1"/>
          <w:spacing w:val="-6"/>
          <w:szCs w:val="21"/>
          <w14:textFill>
            <w14:solidFill>
              <w14:schemeClr w14:val="tx1"/>
            </w14:solidFill>
          </w14:textFill>
        </w:rPr>
        <w:t>成交供应商的竞标保证金自成交通知书发出之日起5个工作日内退还</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 xml:space="preserve">成交供应商的竞标保证金自签订合同之日起5个工作日内退还。 </w:t>
      </w:r>
    </w:p>
    <w:p w14:paraId="31EBB11C">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17.3竞标保证金不计息。</w:t>
      </w:r>
    </w:p>
    <w:p w14:paraId="39F63A71">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17.4供应商有下列情形之一的，竞标保证金将不予退还： </w:t>
      </w:r>
    </w:p>
    <w:p w14:paraId="362CCE87">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（1）供应商在提交响应文件截止时间后撤回响应文件的；</w:t>
      </w:r>
    </w:p>
    <w:p w14:paraId="6FFBE3D6">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（2）未按规定提交履约保证金的；</w:t>
      </w:r>
    </w:p>
    <w:p w14:paraId="2D607DEE">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（3）供应商在响应文件中提供虚假材料的；</w:t>
      </w:r>
    </w:p>
    <w:p w14:paraId="69CBF09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（4）除因不可抗力或者谈判文件认可的情形以外，成交供应商不与采购人签订合同的；</w:t>
      </w:r>
    </w:p>
    <w:p w14:paraId="4FD9EEF4">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（5）供应商与采购人、其他供应商或者采购代理机构恶意串通的；</w:t>
      </w:r>
    </w:p>
    <w:p w14:paraId="76B0EA84">
      <w:pPr>
        <w:spacing w:line="360" w:lineRule="auto"/>
        <w:ind w:left="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（6）法律法规规定的其他情形。</w:t>
      </w:r>
    </w:p>
    <w:p w14:paraId="7C21CF06">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18. 响应文件编制的要求</w:t>
      </w:r>
    </w:p>
    <w:p w14:paraId="381009C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5A54B13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7E20AB6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18.3响应文件须由供应商在规定位置签字、盖章（具体以供应商须知前附表或响应文件格式规定为准），否则按无效响应处理。</w:t>
      </w:r>
    </w:p>
    <w:p w14:paraId="465D8A3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0D8CC93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D10C76E">
      <w:pPr>
        <w:spacing w:line="360" w:lineRule="auto"/>
        <w:ind w:firstLine="482"/>
        <w:rPr>
          <w:rFonts w:ascii="黑体" w:hAnsi="黑体" w:eastAsia="黑体"/>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19.电子</w:t>
      </w:r>
      <w:r>
        <w:rPr>
          <w:rFonts w:hint="eastAsia" w:ascii="黑体" w:hAnsi="黑体" w:eastAsia="黑体"/>
          <w:b/>
          <w:color w:val="000000" w:themeColor="text1"/>
          <w:sz w:val="24"/>
          <w14:textFill>
            <w14:solidFill>
              <w14:schemeClr w14:val="tx1"/>
            </w14:solidFill>
          </w14:textFill>
        </w:rPr>
        <w:t>备份响应文件</w:t>
      </w:r>
    </w:p>
    <w:p w14:paraId="37BFAF7D">
      <w:pPr>
        <w:spacing w:line="360" w:lineRule="auto"/>
        <w:ind w:firstLine="420"/>
        <w:rPr>
          <w:rFonts w:ascii="黑体" w:hAnsi="黑体" w:eastAsia="黑体"/>
          <w:color w:val="000000" w:themeColor="text1"/>
          <w:sz w:val="24"/>
          <w14:textFill>
            <w14:solidFill>
              <w14:schemeClr w14:val="tx1"/>
            </w14:solidFill>
          </w14:textFill>
        </w:rPr>
      </w:pPr>
      <w:r>
        <w:rPr>
          <w:rFonts w:hint="eastAsia"/>
          <w:color w:val="000000" w:themeColor="text1"/>
          <w14:textFill>
            <w14:solidFill>
              <w14:schemeClr w14:val="tx1"/>
            </w14:solidFill>
          </w14:textFill>
        </w:rPr>
        <w:t>电子备份响应文件是指通过在线编制生成且后缀名为“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”的文件，是否接受电子备份响应文件详见</w:t>
      </w:r>
      <w:r>
        <w:rPr>
          <w:rFonts w:hint="eastAsia" w:hAnsi="宋体"/>
          <w:bCs/>
          <w:color w:val="000000" w:themeColor="text1"/>
          <w:szCs w:val="21"/>
          <w14:textFill>
            <w14:solidFill>
              <w14:schemeClr w14:val="tx1"/>
            </w14:solidFill>
          </w14:textFill>
        </w:rPr>
        <w:t>“供应商须知前附表”。</w:t>
      </w:r>
    </w:p>
    <w:p w14:paraId="4FBC10DF">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20.响应文件的提交</w:t>
      </w:r>
    </w:p>
    <w:p w14:paraId="7CE01945">
      <w:pPr>
        <w:spacing w:line="360" w:lineRule="auto"/>
        <w:ind w:firstLine="420"/>
        <w:rPr>
          <w:rFonts w:hAnsi="宋体"/>
          <w:b/>
          <w:color w:val="000000" w:themeColor="text1"/>
          <w14:textFill>
            <w14:solidFill>
              <w14:schemeClr w14:val="tx1"/>
            </w14:solidFill>
          </w14:textFill>
        </w:rPr>
      </w:pPr>
      <w:r>
        <w:rPr>
          <w:rFonts w:hint="eastAsia" w:hAnsi="宋体"/>
          <w:bCs/>
          <w:color w:val="000000" w:themeColor="text1"/>
          <w:szCs w:val="21"/>
          <w14:textFill>
            <w14:solidFill>
              <w14:schemeClr w14:val="tx1"/>
            </w14:solidFill>
          </w14:textFill>
        </w:rPr>
        <w:t>20.1供应商必须按“供应商须知前附表”规定的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w:t>
      </w:r>
      <w:r>
        <w:rPr>
          <w:rFonts w:hAnsi="宋体"/>
          <w:bCs/>
          <w:color w:val="000000" w:themeColor="text1"/>
          <w:szCs w:val="21"/>
          <w14:textFill>
            <w14:solidFill>
              <w14:schemeClr w14:val="tx1"/>
            </w14:solidFill>
          </w14:textFill>
        </w:rPr>
        <w:t>在</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时间前</w:t>
      </w:r>
      <w:r>
        <w:rPr>
          <w:rFonts w:hint="eastAsia" w:hAnsi="宋体"/>
          <w:bCs/>
          <w:color w:val="000000" w:themeColor="text1"/>
          <w:szCs w:val="21"/>
          <w14:textFill>
            <w14:solidFill>
              <w14:schemeClr w14:val="tx1"/>
            </w14:solidFill>
          </w14:textFill>
        </w:rPr>
        <w:t>通过有效数字证书（CA认证锁）进行电子签章、加密，然后通过网络将加密的电子响应文件提交至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广西政府采购云平台</w:t>
      </w:r>
      <w:r>
        <w:rPr>
          <w:rFonts w:hint="eastAsia" w:hAnsi="宋体"/>
          <w:bCs/>
          <w:color w:val="000000" w:themeColor="text1"/>
          <w:szCs w:val="21"/>
          <w14:textFill>
            <w14:solidFill>
              <w14:schemeClr w14:val="tx1"/>
            </w14:solidFill>
          </w14:textFill>
        </w:rPr>
        <w:t xml:space="preserve">。 </w:t>
      </w:r>
      <w:r>
        <w:rPr>
          <w:rFonts w:hint="eastAsia" w:hAnsi="宋体"/>
          <w:b/>
          <w:color w:val="000000" w:themeColor="text1"/>
          <w14:textFill>
            <w14:solidFill>
              <w14:schemeClr w14:val="tx1"/>
            </w14:solidFill>
          </w14:textFill>
        </w:rPr>
        <w:t xml:space="preserve"> </w:t>
      </w:r>
    </w:p>
    <w:p w14:paraId="3C36593D">
      <w:pPr>
        <w:spacing w:line="360" w:lineRule="auto"/>
        <w:ind w:firstLine="422"/>
        <w:rPr>
          <w:rFonts w:ascii="宋体" w:hAnsi="宋体"/>
          <w:b/>
          <w:color w:val="000000" w:themeColor="text1"/>
          <w:szCs w:val="20"/>
          <w14:textFill>
            <w14:solidFill>
              <w14:schemeClr w14:val="tx1"/>
            </w14:solidFill>
          </w14:textFill>
        </w:rPr>
      </w:pPr>
      <w:r>
        <w:rPr>
          <w:rFonts w:hint="eastAsia" w:ascii="宋体" w:hAnsi="宋体"/>
          <w:b/>
          <w:color w:val="000000" w:themeColor="text1"/>
          <w:szCs w:val="21"/>
          <w14:textFill>
            <w14:solidFill>
              <w14:schemeClr w14:val="tx1"/>
            </w14:solidFill>
          </w14:textFill>
        </w:rPr>
        <w:t>20.</w:t>
      </w:r>
      <w:r>
        <w:rPr>
          <w:rFonts w:ascii="宋体" w:hAnsi="宋体"/>
          <w:b/>
          <w:color w:val="000000" w:themeColor="text1"/>
          <w:szCs w:val="21"/>
          <w14:textFill>
            <w14:solidFill>
              <w14:schemeClr w14:val="tx1"/>
            </w14:solidFill>
          </w14:textFill>
        </w:rPr>
        <w:t>2</w:t>
      </w:r>
      <w:r>
        <w:rPr>
          <w:rFonts w:hint="eastAsia" w:ascii="宋体" w:hAnsi="宋体"/>
          <w:b/>
          <w:color w:val="000000" w:themeColor="text1"/>
          <w:szCs w:val="21"/>
          <w14:textFill>
            <w14:solidFill>
              <w14:schemeClr w14:val="tx1"/>
            </w14:solidFill>
          </w14:textFill>
        </w:rPr>
        <w:t>未在规定时间内提交或者未按照谈判文件要求加密的电子响应文件，广西政府采购云平台将拒收。</w:t>
      </w:r>
    </w:p>
    <w:p w14:paraId="0C0A45AA">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21.首次响应文件的补充、修改与撤回</w:t>
      </w:r>
    </w:p>
    <w:p w14:paraId="011F4FB2">
      <w:pPr>
        <w:spacing w:line="360" w:lineRule="auto"/>
        <w:ind w:firstLine="420"/>
        <w:jc w:val="left"/>
        <w:rPr>
          <w:rFonts w:ascii="宋体" w:hAnsi="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1.1</w:t>
      </w:r>
      <w:r>
        <w:rPr>
          <w:rFonts w:hint="eastAsia" w:ascii="宋体" w:hAnsi="宋体"/>
          <w:bCs/>
          <w:color w:val="000000" w:themeColor="text1"/>
          <w:szCs w:val="21"/>
          <w14:textFill>
            <w14:solidFill>
              <w14:schemeClr w14:val="tx1"/>
            </w14:solidFill>
          </w14:textFill>
        </w:rPr>
        <w:t>供应商应当在</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ascii="宋体" w:hAnsi="宋体"/>
          <w:bCs/>
          <w:color w:val="000000" w:themeColor="text1"/>
          <w:szCs w:val="21"/>
          <w14:textFill>
            <w14:solidFill>
              <w14:schemeClr w14:val="tx1"/>
            </w14:solidFill>
          </w14:textFill>
        </w:rPr>
        <w:t>前完成电子响应文件的提交（上传），</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hAnsi="宋体"/>
          <w:bCs/>
          <w:color w:val="000000" w:themeColor="text1"/>
          <w:szCs w:val="21"/>
          <w14:textFill>
            <w14:solidFill>
              <w14:schemeClr w14:val="tx1"/>
            </w14:solidFill>
          </w14:textFill>
        </w:rPr>
        <w:t>前</w:t>
      </w:r>
      <w:r>
        <w:rPr>
          <w:rFonts w:hint="eastAsia" w:ascii="宋体" w:hAnsi="宋体"/>
          <w:bCs/>
          <w:color w:val="000000" w:themeColor="text1"/>
          <w:szCs w:val="21"/>
          <w14:textFill>
            <w14:solidFill>
              <w14:schemeClr w14:val="tx1"/>
            </w14:solidFill>
          </w14:textFill>
        </w:rPr>
        <w:t>可以补充、修改或者撤回响应文件。补充或者修改响应文件的，应当先行撤回原响应文件，补充、修改后重新提交（上传），</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hAnsi="宋体"/>
          <w:bCs/>
          <w:color w:val="000000" w:themeColor="text1"/>
          <w:szCs w:val="21"/>
          <w14:textFill>
            <w14:solidFill>
              <w14:schemeClr w14:val="tx1"/>
            </w14:solidFill>
          </w14:textFill>
        </w:rPr>
        <w:t>前</w:t>
      </w:r>
      <w:r>
        <w:rPr>
          <w:rFonts w:hint="eastAsia" w:ascii="宋体" w:hAnsi="宋体"/>
          <w:bCs/>
          <w:color w:val="000000" w:themeColor="text1"/>
          <w:szCs w:val="21"/>
          <w14:textFill>
            <w14:solidFill>
              <w14:schemeClr w14:val="tx1"/>
            </w14:solidFill>
          </w14:textFill>
        </w:rPr>
        <w:t>未完成提交（上传）的，视为撤回响应文件。</w:t>
      </w:r>
      <w:r>
        <w:rPr>
          <w:rFonts w:hint="eastAsia" w:hAnsi="宋体"/>
          <w:bCs/>
          <w:color w:val="000000" w:themeColor="text1"/>
          <w:szCs w:val="21"/>
          <w14:textFill>
            <w14:solidFill>
              <w14:schemeClr w14:val="tx1"/>
            </w14:solidFill>
          </w14:textFill>
        </w:rPr>
        <w:t>提交响应文件截止</w:t>
      </w:r>
      <w:r>
        <w:rPr>
          <w:rFonts w:hAnsi="宋体"/>
          <w:bCs/>
          <w:color w:val="000000" w:themeColor="text1"/>
          <w:szCs w:val="21"/>
          <w14:textFill>
            <w14:solidFill>
              <w14:schemeClr w14:val="tx1"/>
            </w14:solidFill>
          </w14:textFill>
        </w:rPr>
        <w:t>时间</w:t>
      </w:r>
      <w:r>
        <w:rPr>
          <w:rFonts w:hint="eastAsia" w:ascii="宋体" w:hAnsi="宋体"/>
          <w:bCs/>
          <w:color w:val="000000" w:themeColor="text1"/>
          <w:szCs w:val="21"/>
          <w14:textFill>
            <w14:solidFill>
              <w14:schemeClr w14:val="tx1"/>
            </w14:solidFill>
          </w14:textFill>
        </w:rPr>
        <w:t>以后提交（上传）的响应文件，广西政府采购云平台将予以拒收。</w:t>
      </w:r>
      <w:r>
        <w:rPr>
          <w:rFonts w:hint="eastAsia" w:ascii="宋体" w:hAnsi="宋体" w:cs="宋体"/>
          <w:color w:val="000000" w:themeColor="text1"/>
          <w:szCs w:val="21"/>
          <w14:textFill>
            <w14:solidFill>
              <w14:schemeClr w14:val="tx1"/>
            </w14:solidFill>
          </w14:textFill>
        </w:rPr>
        <w:t>（补充、修改或者撤回方式可</w:t>
      </w:r>
      <w:r>
        <w:rPr>
          <w:rFonts w:hint="eastAsia" w:ascii="宋体" w:hAnsi="宋体"/>
          <w:color w:val="000000" w:themeColor="text1"/>
          <w:szCs w:val="21"/>
          <w14:textFill>
            <w14:solidFill>
              <w14:schemeClr w14:val="tx1"/>
            </w14:solidFill>
          </w14:textFill>
        </w:rPr>
        <w:t>登录</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进入“服务中心”中查看</w:t>
      </w:r>
      <w:r>
        <w:rPr>
          <w:rFonts w:hint="eastAsia" w:ascii="宋体" w:hAnsi="宋体" w:cs="宋体"/>
          <w:color w:val="000000" w:themeColor="text1"/>
          <w:szCs w:val="21"/>
          <w14:textFill>
            <w14:solidFill>
              <w14:schemeClr w14:val="tx1"/>
            </w14:solidFill>
          </w14:textFill>
        </w:rPr>
        <w:t xml:space="preserve"> “电子投标文件制作与投送教程”）</w:t>
      </w:r>
    </w:p>
    <w:p w14:paraId="29411756">
      <w:pPr>
        <w:pStyle w:val="258"/>
        <w:spacing w:before="0"/>
        <w:ind w:firstLine="420"/>
        <w:rPr>
          <w:rFonts w:ascii="宋体" w:hAns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1</w:t>
      </w:r>
      <w:r>
        <w:rPr>
          <w:rFonts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14:textFill>
            <w14:solidFill>
              <w14:schemeClr w14:val="tx1"/>
            </w14:solidFill>
          </w14:textFill>
        </w:rPr>
        <w:t>2在提交响应文件截止时间前，除供应商补充、修改或者撤回响应文件外，任何单位和个人不得解密或提取响应文件。</w:t>
      </w:r>
    </w:p>
    <w:p w14:paraId="41291682">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22.响应文件的退回</w:t>
      </w:r>
    </w:p>
    <w:p w14:paraId="60515D8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2C7D82D8">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23.截止时间后的撤回</w:t>
      </w:r>
    </w:p>
    <w:p w14:paraId="661175E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供应商在响应文件提交截止时间后向采购人、采购代理机构书面申请撤回响应文件的，将根据本须知正文第17.4条的规定不予退还其竞标保证金。</w:t>
      </w:r>
    </w:p>
    <w:p w14:paraId="46E50C2A">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四、评审及谈判</w:t>
      </w:r>
    </w:p>
    <w:p w14:paraId="5C107AA7">
      <w:pPr>
        <w:spacing w:line="360" w:lineRule="auto"/>
        <w:ind w:left="420" w:firstLine="420"/>
        <w:rPr>
          <w:rFonts w:ascii="宋体" w:hAnsi="宋体"/>
          <w:color w:val="000000" w:themeColor="text1"/>
          <w:szCs w:val="21"/>
          <w14:textFill>
            <w14:solidFill>
              <w14:schemeClr w14:val="tx1"/>
            </w14:solidFill>
          </w14:textFill>
        </w:rPr>
      </w:pPr>
    </w:p>
    <w:p w14:paraId="7F3E38DF">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24.谈判小组成立</w:t>
      </w:r>
    </w:p>
    <w:p w14:paraId="1118CBE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7F5357B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3B59493F">
      <w:pPr>
        <w:spacing w:line="360" w:lineRule="auto"/>
        <w:ind w:firstLine="420"/>
        <w:rPr>
          <w:rFonts w:hAnsi="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基于广西政府采购云平台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6B5BC53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24.4参加过采购项目前期咨询论证的专家，不得参加该采购项目的评审活动。</w:t>
      </w:r>
    </w:p>
    <w:p w14:paraId="3AAA7659">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 xml:space="preserve"> 首次响应文件的开启和解密</w:t>
      </w:r>
    </w:p>
    <w:p w14:paraId="388B0F5F">
      <w:pPr>
        <w:spacing w:line="360" w:lineRule="auto"/>
        <w:ind w:firstLine="420"/>
        <w:rPr>
          <w:rFonts w:ascii="黑体" w:hAnsi="黑体" w:eastAsia="黑体" w:cs="宋体"/>
          <w:b/>
          <w:bCs/>
          <w:color w:val="000000" w:themeColor="text1"/>
          <w:sz w:val="24"/>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间通过电子交易平台组织响应文件开启，供应商的法定代表人或其委托代理人须携带加密时所用的CA锁，按平台提示和谈判文件的规定登录到广西政府采购云平台电子开标大厅签到，</w:t>
      </w:r>
      <w:r>
        <w:rPr>
          <w:rFonts w:hint="eastAsia"/>
          <w:color w:val="000000" w:themeColor="text1"/>
          <w14:textFill>
            <w14:solidFill>
              <w14:schemeClr w14:val="tx1"/>
            </w14:solidFill>
          </w14:textFill>
        </w:rPr>
        <w:t>采购代理机构依托广西政府采购云平台向各供应商发出电子加密响应文件【开始解密】通知，由供应商按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w:t>
      </w:r>
      <w:r>
        <w:rPr>
          <w:b/>
          <w:color w:val="000000" w:themeColor="text1"/>
          <w14:textFill>
            <w14:solidFill>
              <w14:schemeClr w14:val="tx1"/>
            </w14:solidFill>
          </w14:textFill>
        </w:rPr>
        <w:t>规定的时间内解密</w:t>
      </w:r>
      <w:r>
        <w:rPr>
          <w:rFonts w:hint="eastAsia"/>
          <w:b/>
          <w:color w:val="000000" w:themeColor="text1"/>
          <w14:textFill>
            <w14:solidFill>
              <w14:schemeClr w14:val="tx1"/>
            </w14:solidFill>
          </w14:textFill>
        </w:rPr>
        <w:t>响应文件</w:t>
      </w:r>
      <w:r>
        <w:rPr>
          <w:b/>
          <w:color w:val="000000" w:themeColor="text1"/>
          <w14:textFill>
            <w14:solidFill>
              <w14:schemeClr w14:val="tx1"/>
            </w14:solidFill>
          </w14:textFill>
        </w:rPr>
        <w:t>或</w:t>
      </w:r>
      <w:r>
        <w:rPr>
          <w:rFonts w:hint="eastAsia"/>
          <w:b/>
          <w:color w:val="000000" w:themeColor="text1"/>
          <w14:textFill>
            <w14:solidFill>
              <w14:schemeClr w14:val="tx1"/>
            </w14:solidFill>
          </w14:textFill>
        </w:rPr>
        <w:t>者</w:t>
      </w:r>
      <w:r>
        <w:rPr>
          <w:b/>
          <w:color w:val="000000" w:themeColor="text1"/>
          <w14:textFill>
            <w14:solidFill>
              <w14:schemeClr w14:val="tx1"/>
            </w14:solidFill>
          </w14:textFill>
        </w:rPr>
        <w:t>解密失败的</w:t>
      </w:r>
      <w:r>
        <w:rPr>
          <w:rFonts w:hint="eastAsia"/>
          <w:b/>
          <w:color w:val="000000" w:themeColor="text1"/>
          <w14:textFill>
            <w14:solidFill>
              <w14:schemeClr w14:val="tx1"/>
            </w14:solidFill>
          </w14:textFill>
        </w:rPr>
        <w:t>，供应商</w:t>
      </w:r>
      <w:r>
        <w:rPr>
          <w:rFonts w:hint="eastAsia" w:ascii="宋体" w:hAnsi="宋体"/>
          <w:b/>
          <w:color w:val="000000" w:themeColor="text1"/>
          <w:szCs w:val="21"/>
          <w14:textFill>
            <w14:solidFill>
              <w14:schemeClr w14:val="tx1"/>
            </w14:solidFill>
          </w14:textFill>
        </w:rPr>
        <w:t>的响应文件作无效处理</w:t>
      </w:r>
      <w:r>
        <w:rPr>
          <w:b/>
          <w:color w:val="000000" w:themeColor="text1"/>
          <w14:textFill>
            <w14:solidFill>
              <w14:schemeClr w14:val="tx1"/>
            </w14:solidFill>
          </w14:textFill>
        </w:rPr>
        <w:t>。</w:t>
      </w:r>
    </w:p>
    <w:p w14:paraId="49D97D96">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 评审程序和评定成交的标准</w:t>
      </w:r>
    </w:p>
    <w:p w14:paraId="37B3C7AC">
      <w:pPr>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26.1谈判小组按照“第四章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color w:val="000000" w:themeColor="text1"/>
          <w:szCs w:val="21"/>
          <w14:textFill>
            <w14:solidFill>
              <w14:schemeClr w14:val="tx1"/>
            </w14:solidFill>
          </w14:textFill>
        </w:rPr>
        <w:t>“供应商须知前附表”。</w:t>
      </w:r>
    </w:p>
    <w:p w14:paraId="06FFE5B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 xml:space="preserve">6.2 </w:t>
      </w:r>
      <w:r>
        <w:rPr>
          <w:rFonts w:hint="eastAsia" w:ascii="宋体" w:hAnsi="宋体"/>
          <w:color w:val="000000" w:themeColor="text1"/>
          <w:szCs w:val="21"/>
          <w14:textFill>
            <w14:solidFill>
              <w14:schemeClr w14:val="tx1"/>
            </w14:solidFill>
          </w14:textFill>
        </w:rPr>
        <w:t>商务/技术要求允许负偏离的条款数详见“供应商须知前附表”。</w:t>
      </w:r>
    </w:p>
    <w:p w14:paraId="221C0A8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28CC923E">
      <w:pPr>
        <w:spacing w:line="360" w:lineRule="auto"/>
        <w:ind w:firstLine="420"/>
        <w:rPr>
          <w:rFonts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6.</w:t>
      </w:r>
      <w:r>
        <w:rPr>
          <w:rFonts w:hint="eastAsia" w:ascii="宋体"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4B132D03">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（1）电子交易平台发生故障而无法登录访问的； </w:t>
      </w:r>
    </w:p>
    <w:p w14:paraId="39B2B9C9">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（2）电子交易平台应用或数据库出现错误，不能进行正常操作的；</w:t>
      </w:r>
    </w:p>
    <w:p w14:paraId="188E2ADD">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（3）电子交易平台发现严重安全漏洞，有潜在泄密危险的；</w:t>
      </w:r>
    </w:p>
    <w:p w14:paraId="210F27C5">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（4）病毒发作导致不能进行正常操作的； </w:t>
      </w:r>
    </w:p>
    <w:p w14:paraId="5D756EF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（5）其他无法保证电子交易的公平、公正和安全的情况。</w:t>
      </w:r>
    </w:p>
    <w:p w14:paraId="7D2F78C8">
      <w:pPr>
        <w:spacing w:line="360" w:lineRule="auto"/>
        <w:ind w:firstLine="420"/>
        <w:rPr>
          <w:rFonts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26.</w:t>
      </w:r>
      <w:r>
        <w:rPr>
          <w:rFonts w:ascii="宋体"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1399C8D">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3A37857F">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7F091C6B">
      <w:pPr>
        <w:spacing w:line="360" w:lineRule="auto"/>
        <w:ind w:firstLine="420"/>
        <w:contextualSpacing/>
        <w:rPr>
          <w:rFonts w:ascii="宋体" w:hAnsi="宋体" w:cs="Courier New"/>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000000" w:themeColor="text1"/>
          <w:szCs w:val="21"/>
          <w14:textFill>
            <w14:solidFill>
              <w14:schemeClr w14:val="tx1"/>
            </w14:solidFill>
          </w14:textFill>
        </w:rPr>
        <w:t xml:space="preserve">成交供应商享受《政府采购促进中小企业发展管理办法》（财库〔2020〕46号）规定的中小企业扶持政策的，采购人、采购代理机构应当随成交结果公开成交供应商的《中小企业声明函》。 </w:t>
      </w:r>
      <w:r>
        <w:rPr>
          <w:rFonts w:ascii="宋体" w:hAnsi="宋体" w:cs="Courier New"/>
          <w:color w:val="000000" w:themeColor="text1"/>
          <w:szCs w:val="21"/>
          <w14:textFill>
            <w14:solidFill>
              <w14:schemeClr w14:val="tx1"/>
            </w14:solidFill>
          </w14:textFill>
        </w:rPr>
        <w:t xml:space="preserve"> </w:t>
      </w:r>
    </w:p>
    <w:p w14:paraId="1B94396C">
      <w:pPr>
        <w:spacing w:line="360" w:lineRule="auto"/>
        <w:ind w:firstLine="420"/>
        <w:contextualSpacing/>
        <w:rPr>
          <w:rFonts w:ascii="宋体" w:hAnsi="宋体" w:cs="Courier New"/>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27</w:t>
      </w:r>
      <w:r>
        <w:rPr>
          <w:rFonts w:hint="eastAsia" w:ascii="宋体" w:hAnsi="宋体" w:cs="Courier New"/>
          <w:color w:val="000000" w:themeColor="text1"/>
          <w:szCs w:val="21"/>
          <w14:textFill>
            <w14:solidFill>
              <w14:schemeClr w14:val="tx1"/>
            </w14:solidFill>
          </w14:textFill>
        </w:rPr>
        <w:t>.3 采购人、采购代理机构应当随成交结果公开成交供应商的《关于符合本国产品标准的声明函》或有关证明文件。</w:t>
      </w:r>
    </w:p>
    <w:p w14:paraId="206BA427">
      <w:pPr>
        <w:pStyle w:val="214"/>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27.</w:t>
      </w:r>
      <w:r>
        <w:rPr>
          <w:rFonts w:ascii="宋体" w:hAnsi="宋体" w:cs="Courier New"/>
          <w:color w:val="000000" w:themeColor="text1"/>
          <w:szCs w:val="21"/>
          <w14:textFill>
            <w14:solidFill>
              <w14:schemeClr w14:val="tx1"/>
            </w14:solidFill>
          </w14:textFill>
        </w:rPr>
        <w:t>4</w:t>
      </w:r>
      <w:r>
        <w:rPr>
          <w:rFonts w:hint="eastAsia" w:ascii="宋体" w:hAnsi="宋体"/>
          <w:bCs/>
          <w:color w:val="000000" w:themeColor="text1"/>
          <w:szCs w:val="21"/>
          <w14:textFill>
            <w14:solidFill>
              <w14:schemeClr w14:val="tx1"/>
            </w14:solidFill>
          </w14:textFill>
        </w:rPr>
        <w:t>出现下列情形之一的，采购人或者采购代理机构应当终止竞争性谈判采购活动，发布项目终止公告并说明原因，重新开展采购活动：</w:t>
      </w:r>
    </w:p>
    <w:p w14:paraId="5C851D52">
      <w:pPr>
        <w:pStyle w:val="214"/>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（1）因情况变化，不再符合规定的竞争性谈判采购方式适用情形的；</w:t>
      </w:r>
    </w:p>
    <w:p w14:paraId="79C2B29F">
      <w:pPr>
        <w:pStyle w:val="214"/>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（2）出现影响采购公正的违法、违规行为的；</w:t>
      </w:r>
    </w:p>
    <w:p w14:paraId="3D4B63D1">
      <w:pPr>
        <w:pStyle w:val="214"/>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（3）在采购过程中符合竞争要求的供应商或者报价未超过采购预算的供应商不足3家的，但“第四章 评审程序和评定成交的标准”第3.7条规定的情形除外。</w:t>
      </w:r>
    </w:p>
    <w:p w14:paraId="10410BB1">
      <w:pPr>
        <w:pStyle w:val="214"/>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27.</w:t>
      </w:r>
      <w:r>
        <w:rPr>
          <w:rFonts w:ascii="宋体" w:hAnsi="宋体"/>
          <w:bCs/>
          <w:color w:val="000000" w:themeColor="text1"/>
          <w:szCs w:val="21"/>
          <w14:textFill>
            <w14:solidFill>
              <w14:schemeClr w14:val="tx1"/>
            </w14:solidFill>
          </w14:textFill>
        </w:rPr>
        <w:t>5</w:t>
      </w:r>
      <w:r>
        <w:rPr>
          <w:rFonts w:hint="eastAsia" w:ascii="宋体" w:hAnsi="宋体"/>
          <w:bCs/>
          <w:color w:val="000000" w:themeColor="text1"/>
          <w:szCs w:val="21"/>
          <w14:textFill>
            <w14:solidFill>
              <w14:schemeClr w14:val="tx1"/>
            </w14:solidFill>
          </w14:textFill>
        </w:rPr>
        <w:t>在采购活动中因重大变故，采购任务取消的，采购人或者采购代理机构应当终止采购活动，通知所有参加采购活动的供应商，并将项目实施情况和采购任务取消原因报送本级财政部门。</w:t>
      </w:r>
    </w:p>
    <w:p w14:paraId="2A6A32B5">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47282671">
      <w:pPr>
        <w:pStyle w:val="214"/>
        <w:spacing w:line="360" w:lineRule="auto"/>
        <w:ind w:firstLine="420"/>
        <w:rPr>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.1履约保证金的金额、提交方式、退付的时间和条件详见 “供应商须知前附表”。成交供应商未按规定提交履约保证金的，视为拒绝</w:t>
      </w:r>
      <w:r>
        <w:rPr>
          <w:rFonts w:ascii="宋体" w:hAnsi="宋体" w:cs="宋体"/>
          <w:color w:val="000000" w:themeColor="text1"/>
          <w:szCs w:val="2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6A578AF9">
      <w:pPr>
        <w:spacing w:line="360" w:lineRule="auto"/>
        <w:ind w:firstLine="424"/>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.2在履约保证金退还日期前，若成交供应商的开户名称、开户银行、账号有变动的，请以书面形式通知履约保证金收取单位，否则由此产生的后果由成交供应商自负。</w:t>
      </w:r>
    </w:p>
    <w:p w14:paraId="3B7B6F10">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09609547">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29.1签订电子采购合同：成交供应商领取电子成交通知书后，在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594B7DD0">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4026772B">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29.2签订合同时间：按成交通知书规定的时间与采购人签订合同。</w:t>
      </w:r>
    </w:p>
    <w:p w14:paraId="1EB687F6">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B8AABF3">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1F38355">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29.5采购人或成交供应商不得单方面向合同另一方提出任何谈判文件没有约定的条件或不合理的要求，作为签订合同的条件；也不得协商另行订立背离谈判文件和合同实质性内容的协议。</w:t>
      </w:r>
    </w:p>
    <w:p w14:paraId="26024FF6">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29.6如签订合同并生效后，供应商无故拒绝或延期，除按照合同条款处理外，将承担相应的法律责任。</w:t>
      </w:r>
    </w:p>
    <w:p w14:paraId="41C2626A">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9465260">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79D30CD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0A1218D">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31</w:t>
      </w:r>
      <w:r>
        <w:rPr>
          <w:rFonts w:hint="eastAsia" w:ascii="黑体" w:hAnsi="黑体" w:eastAsia="黑体" w:cs="宋体"/>
          <w:b/>
          <w:bCs/>
          <w:color w:val="000000" w:themeColor="text1"/>
          <w:sz w:val="24"/>
          <w14:textFill>
            <w14:solidFill>
              <w14:schemeClr w14:val="tx1"/>
            </w14:solidFill>
          </w14:textFill>
        </w:rPr>
        <w:t>. 询问、质疑和投诉</w:t>
      </w:r>
    </w:p>
    <w:p w14:paraId="3090D898">
      <w:pPr>
        <w:pStyle w:val="207"/>
        <w:spacing w:after="120" w:line="360" w:lineRule="auto"/>
        <w:rPr>
          <w:rFonts w:ascii="宋体" w:hAns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p>
    <w:p w14:paraId="3FD205CD">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000000" w:themeColor="text1"/>
          <w:shd w:val="clear" w:color="auto" w:fill="FFFFFF"/>
          <w14:textFill>
            <w14:solidFill>
              <w14:schemeClr w14:val="tx1"/>
            </w14:solidFill>
          </w14:textFill>
        </w:rPr>
        <w:t>接收质疑函的方式、联系部门、联系电话和通讯地址等信息</w:t>
      </w:r>
      <w:r>
        <w:rPr>
          <w:rFonts w:hint="eastAsia" w:ascii="宋体" w:hAnsi="宋体" w:cs="宋体"/>
          <w:color w:val="000000" w:themeColor="text1"/>
          <w:szCs w:val="21"/>
          <w14:textFill>
            <w14:solidFill>
              <w14:schemeClr w14:val="tx1"/>
            </w14:solidFill>
          </w14:textFill>
        </w:rPr>
        <w:t>详见“供应商须知前附表”</w:t>
      </w:r>
      <w:r>
        <w:rPr>
          <w:rFonts w:hint="eastAsia" w:ascii="宋体" w:hAnsi="宋体" w:cs="宋体"/>
          <w:color w:val="000000" w:themeColor="text1"/>
          <w14:textFill>
            <w14:solidFill>
              <w14:schemeClr w14:val="tx1"/>
            </w14:solidFill>
          </w14:textFill>
        </w:rPr>
        <w:t>。具体质疑起算时间如下：</w:t>
      </w:r>
    </w:p>
    <w:p w14:paraId="7735675B">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（1）对可以质疑的谈判文件提出质疑的，为获取谈判文件之日；</w:t>
      </w:r>
    </w:p>
    <w:p w14:paraId="56CAFEC0">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（2）对采购过程提出质疑的，为各采购程序环节结束之日；</w:t>
      </w:r>
    </w:p>
    <w:p w14:paraId="449BECC8">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（3）对成交结果提出质疑的，为成交结果公告期限届满之日。</w:t>
      </w:r>
    </w:p>
    <w:p w14:paraId="2CD7971D">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5CD00EF">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.4供应商提出质疑应当提交质疑函和必要的证明材料，针对同一采购程序环节的质疑必须在法定质疑期内一次性提出。质疑函应当包括下列内容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04A9C305">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（1）供应商的姓名或者名称、地址、邮编、联系人及联系电话；</w:t>
      </w:r>
    </w:p>
    <w:p w14:paraId="7FAB4365">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（2）质疑项目的名称、编号；</w:t>
      </w:r>
    </w:p>
    <w:p w14:paraId="68457CD0">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（3）具体、明确的质疑事项和与质疑事项相关的请求；</w:t>
      </w:r>
    </w:p>
    <w:p w14:paraId="4CD232F8">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（4）事实依据；</w:t>
      </w:r>
    </w:p>
    <w:p w14:paraId="36FA3427">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（5）必要的法律依据；</w:t>
      </w:r>
    </w:p>
    <w:p w14:paraId="37AF90C3">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（6）提出质疑的日期。</w:t>
      </w:r>
    </w:p>
    <w:p w14:paraId="65516573">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7EADDA18">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6E94CB71">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5D4DB0A6">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087EC13A">
      <w:pPr>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01C77749">
      <w:pPr>
        <w:spacing w:line="360" w:lineRule="auto"/>
        <w:ind w:firstLine="420"/>
        <w:rPr>
          <w:rFonts w:ascii="宋体" w:hAnsi="宋体" w:cs="宋体"/>
          <w:b/>
          <w:bCs/>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C37DB3F">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3</w:t>
      </w: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其他内容</w:t>
      </w:r>
    </w:p>
    <w:p w14:paraId="65E2F4C6">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.1代理服务费收取标准详见“供应商须知前附表”，供应商为联合体的，可以由联合体中的一方或者多方共同交纳代理服务费：</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2868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ED54E8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费率</w:t>
            </w:r>
          </w:p>
          <w:p w14:paraId="68339CB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659" w:type="dxa"/>
            <w:tcBorders>
              <w:top w:val="single" w:color="auto" w:sz="4" w:space="0"/>
              <w:left w:val="single" w:color="auto" w:sz="4" w:space="0"/>
              <w:bottom w:val="single" w:color="auto" w:sz="4" w:space="0"/>
              <w:right w:val="single" w:color="auto" w:sz="4" w:space="0"/>
            </w:tcBorders>
            <w:vAlign w:val="center"/>
          </w:tcPr>
          <w:p w14:paraId="1F10E1DE">
            <w:pPr>
              <w:spacing w:line="360" w:lineRule="auto"/>
              <w:ind w:firstLine="105"/>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tcBorders>
              <w:top w:val="single" w:color="auto" w:sz="4" w:space="0"/>
              <w:left w:val="single" w:color="auto" w:sz="4" w:space="0"/>
              <w:bottom w:val="single" w:color="auto" w:sz="4" w:space="0"/>
              <w:right w:val="single" w:color="auto" w:sz="4" w:space="0"/>
            </w:tcBorders>
            <w:vAlign w:val="center"/>
          </w:tcPr>
          <w:p w14:paraId="65B5C80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tcBorders>
              <w:top w:val="single" w:color="auto" w:sz="4" w:space="0"/>
              <w:left w:val="single" w:color="auto" w:sz="4" w:space="0"/>
              <w:bottom w:val="single" w:color="auto" w:sz="4" w:space="0"/>
              <w:right w:val="single" w:color="auto" w:sz="4" w:space="0"/>
            </w:tcBorders>
            <w:vAlign w:val="center"/>
          </w:tcPr>
          <w:p w14:paraId="09C6BDB6">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5830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0B9B85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100万元以下</w:t>
            </w:r>
          </w:p>
        </w:tc>
        <w:tc>
          <w:tcPr>
            <w:tcW w:w="1659" w:type="dxa"/>
            <w:tcBorders>
              <w:top w:val="single" w:color="auto" w:sz="4" w:space="0"/>
              <w:left w:val="single" w:color="auto" w:sz="4" w:space="0"/>
              <w:bottom w:val="single" w:color="auto" w:sz="4" w:space="0"/>
              <w:right w:val="single" w:color="auto" w:sz="4" w:space="0"/>
            </w:tcBorders>
          </w:tcPr>
          <w:p w14:paraId="7FE10ECE">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1.5%                </w:t>
            </w:r>
          </w:p>
        </w:tc>
        <w:tc>
          <w:tcPr>
            <w:tcW w:w="1532" w:type="dxa"/>
            <w:tcBorders>
              <w:top w:val="single" w:color="auto" w:sz="4" w:space="0"/>
              <w:left w:val="single" w:color="auto" w:sz="4" w:space="0"/>
              <w:bottom w:val="single" w:color="auto" w:sz="4" w:space="0"/>
              <w:right w:val="single" w:color="auto" w:sz="4" w:space="0"/>
            </w:tcBorders>
          </w:tcPr>
          <w:p w14:paraId="7802000D">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1546" w:type="dxa"/>
            <w:tcBorders>
              <w:top w:val="single" w:color="auto" w:sz="4" w:space="0"/>
              <w:left w:val="single" w:color="auto" w:sz="4" w:space="0"/>
              <w:bottom w:val="single" w:color="auto" w:sz="4" w:space="0"/>
              <w:right w:val="single" w:color="auto" w:sz="4" w:space="0"/>
            </w:tcBorders>
          </w:tcPr>
          <w:p w14:paraId="7FC8DF71">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1.0% </w:t>
            </w:r>
          </w:p>
        </w:tc>
      </w:tr>
      <w:tr w14:paraId="4AE8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6469654">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100万～500万元</w:t>
            </w:r>
          </w:p>
        </w:tc>
        <w:tc>
          <w:tcPr>
            <w:tcW w:w="1659" w:type="dxa"/>
            <w:tcBorders>
              <w:top w:val="single" w:color="auto" w:sz="4" w:space="0"/>
              <w:left w:val="single" w:color="auto" w:sz="4" w:space="0"/>
              <w:bottom w:val="single" w:color="auto" w:sz="4" w:space="0"/>
              <w:right w:val="single" w:color="auto" w:sz="4" w:space="0"/>
            </w:tcBorders>
          </w:tcPr>
          <w:p w14:paraId="3D01F746">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1.1%                 </w:t>
            </w:r>
          </w:p>
        </w:tc>
        <w:tc>
          <w:tcPr>
            <w:tcW w:w="1532" w:type="dxa"/>
            <w:tcBorders>
              <w:top w:val="single" w:color="auto" w:sz="4" w:space="0"/>
              <w:left w:val="single" w:color="auto" w:sz="4" w:space="0"/>
              <w:bottom w:val="single" w:color="auto" w:sz="4" w:space="0"/>
              <w:right w:val="single" w:color="auto" w:sz="4" w:space="0"/>
            </w:tcBorders>
          </w:tcPr>
          <w:p w14:paraId="0F77FB58">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0.8%</w:t>
            </w:r>
          </w:p>
        </w:tc>
        <w:tc>
          <w:tcPr>
            <w:tcW w:w="1546" w:type="dxa"/>
            <w:tcBorders>
              <w:top w:val="single" w:color="auto" w:sz="4" w:space="0"/>
              <w:left w:val="single" w:color="auto" w:sz="4" w:space="0"/>
              <w:bottom w:val="single" w:color="auto" w:sz="4" w:space="0"/>
              <w:right w:val="single" w:color="auto" w:sz="4" w:space="0"/>
            </w:tcBorders>
          </w:tcPr>
          <w:p w14:paraId="08F21A51">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0.7% </w:t>
            </w:r>
          </w:p>
        </w:tc>
      </w:tr>
      <w:tr w14:paraId="2330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B72A0E7">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500万～1000万元</w:t>
            </w:r>
          </w:p>
        </w:tc>
        <w:tc>
          <w:tcPr>
            <w:tcW w:w="1659" w:type="dxa"/>
            <w:tcBorders>
              <w:top w:val="single" w:color="auto" w:sz="4" w:space="0"/>
              <w:left w:val="single" w:color="auto" w:sz="4" w:space="0"/>
              <w:bottom w:val="single" w:color="auto" w:sz="4" w:space="0"/>
              <w:right w:val="single" w:color="auto" w:sz="4" w:space="0"/>
            </w:tcBorders>
          </w:tcPr>
          <w:p w14:paraId="07938D1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0.8%                </w:t>
            </w:r>
          </w:p>
        </w:tc>
        <w:tc>
          <w:tcPr>
            <w:tcW w:w="1532" w:type="dxa"/>
            <w:tcBorders>
              <w:top w:val="single" w:color="auto" w:sz="4" w:space="0"/>
              <w:left w:val="single" w:color="auto" w:sz="4" w:space="0"/>
              <w:bottom w:val="single" w:color="auto" w:sz="4" w:space="0"/>
              <w:right w:val="single" w:color="auto" w:sz="4" w:space="0"/>
            </w:tcBorders>
          </w:tcPr>
          <w:p w14:paraId="42999183">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0.45%</w:t>
            </w:r>
          </w:p>
        </w:tc>
        <w:tc>
          <w:tcPr>
            <w:tcW w:w="1546" w:type="dxa"/>
            <w:tcBorders>
              <w:top w:val="single" w:color="auto" w:sz="4" w:space="0"/>
              <w:left w:val="single" w:color="auto" w:sz="4" w:space="0"/>
              <w:bottom w:val="single" w:color="auto" w:sz="4" w:space="0"/>
              <w:right w:val="single" w:color="auto" w:sz="4" w:space="0"/>
            </w:tcBorders>
          </w:tcPr>
          <w:p w14:paraId="187031B9">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0.55%</w:t>
            </w:r>
          </w:p>
        </w:tc>
      </w:tr>
      <w:tr w14:paraId="76D3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DEACBB0">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1000万～5000万元</w:t>
            </w:r>
          </w:p>
        </w:tc>
        <w:tc>
          <w:tcPr>
            <w:tcW w:w="1659" w:type="dxa"/>
            <w:tcBorders>
              <w:top w:val="single" w:color="auto" w:sz="4" w:space="0"/>
              <w:left w:val="single" w:color="auto" w:sz="4" w:space="0"/>
              <w:bottom w:val="single" w:color="auto" w:sz="4" w:space="0"/>
              <w:right w:val="single" w:color="auto" w:sz="4" w:space="0"/>
            </w:tcBorders>
          </w:tcPr>
          <w:p w14:paraId="0394CEE5">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0.5%                </w:t>
            </w:r>
          </w:p>
        </w:tc>
        <w:tc>
          <w:tcPr>
            <w:tcW w:w="1532" w:type="dxa"/>
            <w:tcBorders>
              <w:top w:val="single" w:color="auto" w:sz="4" w:space="0"/>
              <w:left w:val="single" w:color="auto" w:sz="4" w:space="0"/>
              <w:bottom w:val="single" w:color="auto" w:sz="4" w:space="0"/>
              <w:right w:val="single" w:color="auto" w:sz="4" w:space="0"/>
            </w:tcBorders>
          </w:tcPr>
          <w:p w14:paraId="7ED1E441">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0.25%</w:t>
            </w:r>
          </w:p>
        </w:tc>
        <w:tc>
          <w:tcPr>
            <w:tcW w:w="1546" w:type="dxa"/>
            <w:tcBorders>
              <w:top w:val="single" w:color="auto" w:sz="4" w:space="0"/>
              <w:left w:val="single" w:color="auto" w:sz="4" w:space="0"/>
              <w:bottom w:val="single" w:color="auto" w:sz="4" w:space="0"/>
              <w:right w:val="single" w:color="auto" w:sz="4" w:space="0"/>
            </w:tcBorders>
          </w:tcPr>
          <w:p w14:paraId="552E933D">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0.35% </w:t>
            </w:r>
          </w:p>
        </w:tc>
      </w:tr>
      <w:tr w14:paraId="5B63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83AF2A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5000万元～1亿元</w:t>
            </w:r>
          </w:p>
        </w:tc>
        <w:tc>
          <w:tcPr>
            <w:tcW w:w="1659" w:type="dxa"/>
            <w:tcBorders>
              <w:top w:val="single" w:color="auto" w:sz="4" w:space="0"/>
              <w:left w:val="single" w:color="auto" w:sz="4" w:space="0"/>
              <w:bottom w:val="single" w:color="auto" w:sz="4" w:space="0"/>
              <w:right w:val="single" w:color="auto" w:sz="4" w:space="0"/>
            </w:tcBorders>
          </w:tcPr>
          <w:p w14:paraId="787B2476">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0.25%                 </w:t>
            </w:r>
          </w:p>
        </w:tc>
        <w:tc>
          <w:tcPr>
            <w:tcW w:w="1532" w:type="dxa"/>
            <w:tcBorders>
              <w:top w:val="single" w:color="auto" w:sz="4" w:space="0"/>
              <w:left w:val="single" w:color="auto" w:sz="4" w:space="0"/>
              <w:bottom w:val="single" w:color="auto" w:sz="4" w:space="0"/>
              <w:right w:val="single" w:color="auto" w:sz="4" w:space="0"/>
            </w:tcBorders>
          </w:tcPr>
          <w:p w14:paraId="2732CD7D">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0.1%</w:t>
            </w:r>
          </w:p>
        </w:tc>
        <w:tc>
          <w:tcPr>
            <w:tcW w:w="1546" w:type="dxa"/>
            <w:tcBorders>
              <w:top w:val="single" w:color="auto" w:sz="4" w:space="0"/>
              <w:left w:val="single" w:color="auto" w:sz="4" w:space="0"/>
              <w:bottom w:val="single" w:color="auto" w:sz="4" w:space="0"/>
              <w:right w:val="single" w:color="auto" w:sz="4" w:space="0"/>
            </w:tcBorders>
          </w:tcPr>
          <w:p w14:paraId="6301E962">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0.2%</w:t>
            </w:r>
          </w:p>
        </w:tc>
      </w:tr>
      <w:tr w14:paraId="5DF9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9637AE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1亿～5亿元</w:t>
            </w:r>
          </w:p>
        </w:tc>
        <w:tc>
          <w:tcPr>
            <w:tcW w:w="1659" w:type="dxa"/>
            <w:tcBorders>
              <w:top w:val="single" w:color="auto" w:sz="4" w:space="0"/>
              <w:left w:val="single" w:color="auto" w:sz="4" w:space="0"/>
              <w:bottom w:val="single" w:color="auto" w:sz="4" w:space="0"/>
              <w:right w:val="single" w:color="auto" w:sz="4" w:space="0"/>
            </w:tcBorders>
          </w:tcPr>
          <w:p w14:paraId="486F5F17">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0.05%</w:t>
            </w:r>
          </w:p>
        </w:tc>
        <w:tc>
          <w:tcPr>
            <w:tcW w:w="1532" w:type="dxa"/>
            <w:tcBorders>
              <w:top w:val="single" w:color="auto" w:sz="4" w:space="0"/>
              <w:left w:val="single" w:color="auto" w:sz="4" w:space="0"/>
              <w:bottom w:val="single" w:color="auto" w:sz="4" w:space="0"/>
              <w:right w:val="single" w:color="auto" w:sz="4" w:space="0"/>
            </w:tcBorders>
          </w:tcPr>
          <w:p w14:paraId="739FC766">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0.05%</w:t>
            </w:r>
          </w:p>
        </w:tc>
        <w:tc>
          <w:tcPr>
            <w:tcW w:w="1546" w:type="dxa"/>
            <w:tcBorders>
              <w:top w:val="single" w:color="auto" w:sz="4" w:space="0"/>
              <w:left w:val="single" w:color="auto" w:sz="4" w:space="0"/>
              <w:bottom w:val="single" w:color="auto" w:sz="4" w:space="0"/>
              <w:right w:val="single" w:color="auto" w:sz="4" w:space="0"/>
            </w:tcBorders>
          </w:tcPr>
          <w:p w14:paraId="53B1904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0.05%</w:t>
            </w:r>
          </w:p>
        </w:tc>
      </w:tr>
      <w:tr w14:paraId="546A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966823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5亿～10亿元</w:t>
            </w:r>
          </w:p>
        </w:tc>
        <w:tc>
          <w:tcPr>
            <w:tcW w:w="1659" w:type="dxa"/>
            <w:tcBorders>
              <w:top w:val="single" w:color="auto" w:sz="4" w:space="0"/>
              <w:left w:val="single" w:color="auto" w:sz="4" w:space="0"/>
              <w:bottom w:val="single" w:color="auto" w:sz="4" w:space="0"/>
              <w:right w:val="single" w:color="auto" w:sz="4" w:space="0"/>
            </w:tcBorders>
          </w:tcPr>
          <w:p w14:paraId="2C9EE9ED">
            <w:pPr>
              <w:spacing w:line="360" w:lineRule="auto"/>
              <w:ind w:firstLine="10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0.035%</w:t>
            </w:r>
          </w:p>
        </w:tc>
        <w:tc>
          <w:tcPr>
            <w:tcW w:w="1532" w:type="dxa"/>
            <w:tcBorders>
              <w:top w:val="single" w:color="auto" w:sz="4" w:space="0"/>
              <w:left w:val="single" w:color="auto" w:sz="4" w:space="0"/>
              <w:bottom w:val="single" w:color="auto" w:sz="4" w:space="0"/>
              <w:right w:val="single" w:color="auto" w:sz="4" w:space="0"/>
            </w:tcBorders>
          </w:tcPr>
          <w:p w14:paraId="6780F06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0.035%</w:t>
            </w:r>
          </w:p>
        </w:tc>
        <w:tc>
          <w:tcPr>
            <w:tcW w:w="1546" w:type="dxa"/>
            <w:tcBorders>
              <w:top w:val="single" w:color="auto" w:sz="4" w:space="0"/>
              <w:left w:val="single" w:color="auto" w:sz="4" w:space="0"/>
              <w:bottom w:val="single" w:color="auto" w:sz="4" w:space="0"/>
              <w:right w:val="single" w:color="auto" w:sz="4" w:space="0"/>
            </w:tcBorders>
          </w:tcPr>
          <w:p w14:paraId="589482CD">
            <w:pPr>
              <w:spacing w:line="360" w:lineRule="auto"/>
              <w:ind w:firstLine="10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0.035%</w:t>
            </w:r>
          </w:p>
        </w:tc>
      </w:tr>
      <w:tr w14:paraId="2350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32C683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10亿～50亿元</w:t>
            </w:r>
          </w:p>
        </w:tc>
        <w:tc>
          <w:tcPr>
            <w:tcW w:w="1659" w:type="dxa"/>
            <w:tcBorders>
              <w:top w:val="single" w:color="auto" w:sz="4" w:space="0"/>
              <w:left w:val="single" w:color="auto" w:sz="4" w:space="0"/>
              <w:bottom w:val="single" w:color="auto" w:sz="4" w:space="0"/>
              <w:right w:val="single" w:color="auto" w:sz="4" w:space="0"/>
            </w:tcBorders>
          </w:tcPr>
          <w:p w14:paraId="79A6787D">
            <w:pPr>
              <w:spacing w:line="360" w:lineRule="auto"/>
              <w:ind w:firstLine="10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c>
          <w:tcPr>
            <w:tcW w:w="1532" w:type="dxa"/>
            <w:tcBorders>
              <w:top w:val="single" w:color="auto" w:sz="4" w:space="0"/>
              <w:left w:val="single" w:color="auto" w:sz="4" w:space="0"/>
              <w:bottom w:val="single" w:color="auto" w:sz="4" w:space="0"/>
              <w:right w:val="single" w:color="auto" w:sz="4" w:space="0"/>
            </w:tcBorders>
          </w:tcPr>
          <w:p w14:paraId="02695F4E">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c>
          <w:tcPr>
            <w:tcW w:w="1546" w:type="dxa"/>
            <w:tcBorders>
              <w:top w:val="single" w:color="auto" w:sz="4" w:space="0"/>
              <w:left w:val="single" w:color="auto" w:sz="4" w:space="0"/>
              <w:bottom w:val="single" w:color="auto" w:sz="4" w:space="0"/>
              <w:right w:val="single" w:color="auto" w:sz="4" w:space="0"/>
            </w:tcBorders>
          </w:tcPr>
          <w:p w14:paraId="1F79EB9C">
            <w:pPr>
              <w:spacing w:line="360" w:lineRule="auto"/>
              <w:ind w:firstLine="10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0.008%</w:t>
            </w:r>
          </w:p>
        </w:tc>
      </w:tr>
      <w:tr w14:paraId="2C65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2BCE631">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50亿～100亿元</w:t>
            </w:r>
          </w:p>
        </w:tc>
        <w:tc>
          <w:tcPr>
            <w:tcW w:w="1659" w:type="dxa"/>
            <w:tcBorders>
              <w:top w:val="single" w:color="auto" w:sz="4" w:space="0"/>
              <w:left w:val="single" w:color="auto" w:sz="4" w:space="0"/>
              <w:bottom w:val="single" w:color="auto" w:sz="4" w:space="0"/>
              <w:right w:val="single" w:color="auto" w:sz="4" w:space="0"/>
            </w:tcBorders>
          </w:tcPr>
          <w:p w14:paraId="03D7C2F1">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0.006%</w:t>
            </w:r>
          </w:p>
        </w:tc>
        <w:tc>
          <w:tcPr>
            <w:tcW w:w="1532" w:type="dxa"/>
            <w:tcBorders>
              <w:top w:val="single" w:color="auto" w:sz="4" w:space="0"/>
              <w:left w:val="single" w:color="auto" w:sz="4" w:space="0"/>
              <w:bottom w:val="single" w:color="auto" w:sz="4" w:space="0"/>
              <w:right w:val="single" w:color="auto" w:sz="4" w:space="0"/>
            </w:tcBorders>
          </w:tcPr>
          <w:p w14:paraId="075E4290">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0.006%</w:t>
            </w:r>
          </w:p>
        </w:tc>
        <w:tc>
          <w:tcPr>
            <w:tcW w:w="1546" w:type="dxa"/>
            <w:tcBorders>
              <w:top w:val="single" w:color="auto" w:sz="4" w:space="0"/>
              <w:left w:val="single" w:color="auto" w:sz="4" w:space="0"/>
              <w:bottom w:val="single" w:color="auto" w:sz="4" w:space="0"/>
              <w:right w:val="single" w:color="auto" w:sz="4" w:space="0"/>
            </w:tcBorders>
          </w:tcPr>
          <w:p w14:paraId="462C4BD4">
            <w:pPr>
              <w:spacing w:line="360" w:lineRule="auto"/>
              <w:ind w:firstLine="10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0.006%</w:t>
            </w:r>
          </w:p>
        </w:tc>
      </w:tr>
      <w:tr w14:paraId="0E68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BB7C3D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100亿元以上</w:t>
            </w:r>
          </w:p>
        </w:tc>
        <w:tc>
          <w:tcPr>
            <w:tcW w:w="1659" w:type="dxa"/>
            <w:tcBorders>
              <w:top w:val="single" w:color="auto" w:sz="4" w:space="0"/>
              <w:left w:val="single" w:color="auto" w:sz="4" w:space="0"/>
              <w:bottom w:val="single" w:color="auto" w:sz="4" w:space="0"/>
              <w:right w:val="single" w:color="auto" w:sz="4" w:space="0"/>
            </w:tcBorders>
          </w:tcPr>
          <w:p w14:paraId="33E04FB8">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0.004%</w:t>
            </w:r>
          </w:p>
        </w:tc>
        <w:tc>
          <w:tcPr>
            <w:tcW w:w="1532" w:type="dxa"/>
            <w:tcBorders>
              <w:top w:val="single" w:color="auto" w:sz="4" w:space="0"/>
              <w:left w:val="single" w:color="auto" w:sz="4" w:space="0"/>
              <w:bottom w:val="single" w:color="auto" w:sz="4" w:space="0"/>
              <w:right w:val="single" w:color="auto" w:sz="4" w:space="0"/>
            </w:tcBorders>
          </w:tcPr>
          <w:p w14:paraId="3F5F060F">
            <w:pPr>
              <w:spacing w:line="360" w:lineRule="auto"/>
              <w:ind w:firstLine="21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0.004%</w:t>
            </w:r>
          </w:p>
        </w:tc>
        <w:tc>
          <w:tcPr>
            <w:tcW w:w="1546" w:type="dxa"/>
            <w:tcBorders>
              <w:top w:val="single" w:color="auto" w:sz="4" w:space="0"/>
              <w:left w:val="single" w:color="auto" w:sz="4" w:space="0"/>
              <w:bottom w:val="single" w:color="auto" w:sz="4" w:space="0"/>
              <w:right w:val="single" w:color="auto" w:sz="4" w:space="0"/>
            </w:tcBorders>
          </w:tcPr>
          <w:p w14:paraId="3B783A7A">
            <w:pPr>
              <w:spacing w:line="360" w:lineRule="auto"/>
              <w:ind w:firstLine="10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0.004%</w:t>
            </w:r>
          </w:p>
        </w:tc>
      </w:tr>
    </w:tbl>
    <w:p w14:paraId="4D136CAC">
      <w:pPr>
        <w:spacing w:line="360" w:lineRule="auto"/>
        <w:ind w:firstLine="420"/>
        <w:contextualSpacing/>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注： </w:t>
      </w:r>
    </w:p>
    <w:p w14:paraId="7D3CDD5E">
      <w:pPr>
        <w:spacing w:line="360" w:lineRule="auto"/>
        <w:ind w:firstLine="420"/>
        <w:contextualSpacing/>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ascii="宋体" w:hAnsi="宋体" w:cs="宋体"/>
          <w:color w:val="000000" w:themeColor="text1"/>
          <w14:textFill>
            <w14:solidFill>
              <w14:schemeClr w14:val="tx1"/>
            </w14:solidFill>
          </w14:textFill>
        </w:rPr>
        <w:t>按本表费率计算的收费为</w:t>
      </w:r>
      <w:r>
        <w:rPr>
          <w:rFonts w:hint="eastAsia" w:ascii="宋体" w:hAnsi="宋体" w:cs="宋体"/>
          <w:color w:val="000000" w:themeColor="text1"/>
          <w14:textFill>
            <w14:solidFill>
              <w14:schemeClr w14:val="tx1"/>
            </w14:solidFill>
          </w14:textFill>
        </w:rPr>
        <w:t>采购</w:t>
      </w:r>
      <w:r>
        <w:rPr>
          <w:rFonts w:ascii="宋体" w:hAnsi="宋体" w:cs="宋体"/>
          <w:color w:val="000000" w:themeColor="text1"/>
          <w14:textFill>
            <w14:solidFill>
              <w14:schemeClr w14:val="tx1"/>
            </w14:solidFill>
          </w14:textFill>
        </w:rPr>
        <w:t>代理的收费基准价格</w:t>
      </w:r>
      <w:r>
        <w:rPr>
          <w:rFonts w:hint="eastAsia" w:ascii="宋体" w:hAnsi="宋体" w:cs="宋体"/>
          <w:color w:val="000000" w:themeColor="text1"/>
          <w14:textFill>
            <w14:solidFill>
              <w14:schemeClr w14:val="tx1"/>
            </w14:solidFill>
          </w14:textFill>
        </w:rPr>
        <w:t>；</w:t>
      </w:r>
    </w:p>
    <w:p w14:paraId="23056C04">
      <w:pPr>
        <w:spacing w:line="360" w:lineRule="auto"/>
        <w:ind w:firstLine="420"/>
        <w:contextualSpacing/>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（2）采购</w:t>
      </w:r>
      <w:r>
        <w:rPr>
          <w:rFonts w:ascii="宋体" w:hAnsi="宋体" w:cs="宋体"/>
          <w:color w:val="000000" w:themeColor="text1"/>
          <w14:textFill>
            <w14:solidFill>
              <w14:schemeClr w14:val="tx1"/>
            </w14:solidFill>
          </w14:textFill>
        </w:rPr>
        <w:t>代理收费按差额定率累进法计算。</w:t>
      </w:r>
    </w:p>
    <w:p w14:paraId="220D9B83">
      <w:pPr>
        <w:spacing w:line="360" w:lineRule="auto"/>
        <w:ind w:firstLine="420"/>
        <w:contextualSpacing/>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例如：某</w:t>
      </w:r>
      <w:r>
        <w:rPr>
          <w:rFonts w:hint="eastAsia" w:ascii="宋体" w:hAnsi="宋体" w:cs="宋体"/>
          <w:color w:val="000000" w:themeColor="text1"/>
          <w14:textFill>
            <w14:solidFill>
              <w14:schemeClr w14:val="tx1"/>
            </w14:solidFill>
          </w14:textFill>
        </w:rPr>
        <w:t>货物采购</w:t>
      </w:r>
      <w:r>
        <w:rPr>
          <w:rFonts w:ascii="宋体" w:hAnsi="宋体" w:cs="宋体"/>
          <w:color w:val="000000" w:themeColor="text1"/>
          <w14:textFill>
            <w14:solidFill>
              <w14:schemeClr w14:val="tx1"/>
            </w14:solidFill>
          </w14:textFill>
        </w:rPr>
        <w:t>代理业务</w:t>
      </w:r>
      <w:r>
        <w:rPr>
          <w:rFonts w:hint="eastAsia" w:ascii="宋体" w:hAnsi="宋体" w:cs="宋体"/>
          <w:color w:val="000000" w:themeColor="text1"/>
          <w14:textFill>
            <w14:solidFill>
              <w14:schemeClr w14:val="tx1"/>
            </w14:solidFill>
          </w14:textFill>
        </w:rPr>
        <w:t>成交</w:t>
      </w:r>
      <w:r>
        <w:rPr>
          <w:rFonts w:ascii="宋体" w:hAnsi="宋体" w:cs="宋体"/>
          <w:color w:val="000000" w:themeColor="text1"/>
          <w14:textFill>
            <w14:solidFill>
              <w14:schemeClr w14:val="tx1"/>
            </w14:solidFill>
          </w14:textFill>
        </w:rPr>
        <w:t>金额</w:t>
      </w:r>
      <w:r>
        <w:rPr>
          <w:rFonts w:hint="eastAsia" w:ascii="宋体" w:hAnsi="宋体" w:cs="宋体"/>
          <w:color w:val="000000" w:themeColor="text1"/>
          <w14:textFill>
            <w14:solidFill>
              <w14:schemeClr w14:val="tx1"/>
            </w14:solidFill>
          </w14:textFill>
        </w:rPr>
        <w:t>或者暂定价</w:t>
      </w:r>
      <w:r>
        <w:rPr>
          <w:rFonts w:ascii="宋体" w:hAnsi="宋体" w:cs="宋体"/>
          <w:color w:val="000000" w:themeColor="text1"/>
          <w14:textFill>
            <w14:solidFill>
              <w14:schemeClr w14:val="tx1"/>
            </w14:solidFill>
          </w14:textFill>
        </w:rPr>
        <w:t>为150万元，计算</w:t>
      </w:r>
      <w:r>
        <w:rPr>
          <w:rFonts w:hint="eastAsia" w:ascii="宋体" w:hAnsi="宋体" w:cs="宋体"/>
          <w:color w:val="000000" w:themeColor="text1"/>
          <w14:textFill>
            <w14:solidFill>
              <w14:schemeClr w14:val="tx1"/>
            </w14:solidFill>
          </w14:textFill>
        </w:rPr>
        <w:t>采购</w:t>
      </w:r>
      <w:r>
        <w:rPr>
          <w:rFonts w:ascii="宋体" w:hAnsi="宋体" w:cs="宋体"/>
          <w:color w:val="000000" w:themeColor="text1"/>
          <w14:textFill>
            <w14:solidFill>
              <w14:schemeClr w14:val="tx1"/>
            </w14:solidFill>
          </w14:textFill>
        </w:rPr>
        <w:t>代理收费额如下：</w:t>
      </w:r>
    </w:p>
    <w:p w14:paraId="7F13C40E">
      <w:pPr>
        <w:spacing w:line="360" w:lineRule="auto"/>
        <w:ind w:firstLine="420"/>
        <w:contextualSpacing/>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100 万元 ×l.5 %＝ 1.5 万元</w:t>
      </w:r>
    </w:p>
    <w:p w14:paraId="34555AA0">
      <w:pPr>
        <w:spacing w:line="360" w:lineRule="auto"/>
        <w:ind w:firstLine="420"/>
        <w:contextualSpacing/>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150 － 100 ）万元 ×1.1%＝ 0.55 万元</w:t>
      </w:r>
    </w:p>
    <w:p w14:paraId="49828A9C">
      <w:pPr>
        <w:spacing w:line="360" w:lineRule="auto"/>
        <w:ind w:firstLine="420"/>
        <w:contextualSpacing/>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合计收费＝ 1.5 ＋ 0.55＝ 2.05 （万元）</w:t>
      </w:r>
    </w:p>
    <w:p w14:paraId="300C5E63">
      <w:pPr>
        <w:spacing w:line="360" w:lineRule="auto"/>
        <w:ind w:firstLine="482"/>
        <w:contextualSpacing/>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 需要补充的其他内容</w:t>
      </w:r>
    </w:p>
    <w:p w14:paraId="658DBC07">
      <w:pPr>
        <w:pStyle w:val="225"/>
        <w:spacing w:line="360" w:lineRule="auto"/>
        <w:ind w:firstLine="420"/>
        <w:contextualSpacing/>
        <w:rPr>
          <w:rFonts w:hAnsi="宋体"/>
          <w:color w:val="000000" w:themeColor="text1"/>
          <w:sz w:val="21"/>
          <w14:textFill>
            <w14:solidFill>
              <w14:schemeClr w14:val="tx1"/>
            </w14:solidFill>
          </w14:textFill>
        </w:rPr>
      </w:pPr>
      <w:r>
        <w:rPr>
          <w:rFonts w:hAnsi="宋体"/>
          <w:color w:val="000000" w:themeColor="text1"/>
          <w:sz w:val="21"/>
          <w14:textFill>
            <w14:solidFill>
              <w14:schemeClr w14:val="tx1"/>
            </w14:solidFill>
          </w14:textFill>
        </w:rPr>
        <w:t>33.1</w:t>
      </w:r>
      <w:r>
        <w:rPr>
          <w:rFonts w:hint="eastAsia" w:hAnsi="宋体" w:cs="宋体"/>
          <w:color w:val="000000" w:themeColor="text1"/>
          <w:sz w:val="21"/>
          <w14:textFill>
            <w14:solidFill>
              <w14:schemeClr w14:val="tx1"/>
            </w14:solidFill>
          </w14:textFill>
        </w:rPr>
        <w:t>本谈判文件解释规则详见</w:t>
      </w:r>
      <w:r>
        <w:rPr>
          <w:rFonts w:hint="eastAsia" w:hAnsi="宋体"/>
          <w:color w:val="000000" w:themeColor="text1"/>
          <w:sz w:val="21"/>
          <w14:textFill>
            <w14:solidFill>
              <w14:schemeClr w14:val="tx1"/>
            </w14:solidFill>
          </w14:textFill>
        </w:rPr>
        <w:t>“供应商须知前附表”。</w:t>
      </w:r>
    </w:p>
    <w:p w14:paraId="09733E00">
      <w:pPr>
        <w:spacing w:line="360" w:lineRule="auto"/>
        <w:ind w:firstLine="420"/>
        <w:contextualSpacing/>
        <w:rPr>
          <w:rFonts w:hAnsi="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33.2</w:t>
      </w:r>
      <w:r>
        <w:rPr>
          <w:rFonts w:hint="eastAsia" w:ascii="宋体" w:hAnsi="宋体" w:cs="宋体"/>
          <w:color w:val="000000" w:themeColor="text1"/>
          <w:szCs w:val="21"/>
          <w14:textFill>
            <w14:solidFill>
              <w14:schemeClr w14:val="tx1"/>
            </w14:solidFill>
          </w14:textFill>
        </w:rPr>
        <w:t xml:space="preserve"> 其他事</w:t>
      </w:r>
      <w:r>
        <w:rPr>
          <w:rFonts w:hint="eastAsia" w:hAnsi="宋体"/>
          <w:color w:val="000000" w:themeColor="text1"/>
          <w14:textFill>
            <w14:solidFill>
              <w14:schemeClr w14:val="tx1"/>
            </w14:solidFill>
          </w14:textFill>
        </w:rPr>
        <w:t>项详见“供应商须知前附表”。</w:t>
      </w:r>
    </w:p>
    <w:p w14:paraId="251E373B">
      <w:pPr>
        <w:pStyle w:val="225"/>
        <w:spacing w:line="360" w:lineRule="auto"/>
        <w:ind w:firstLine="400"/>
        <w:contextualSpacing/>
        <w:rPr>
          <w:rFonts w:hAnsi="宋体"/>
          <w:color w:val="000000" w:themeColor="text1"/>
          <w:sz w:val="21"/>
          <w14:textFill>
            <w14:solidFill>
              <w14:schemeClr w14:val="tx1"/>
            </w14:solidFill>
          </w14:textFill>
        </w:rPr>
      </w:pPr>
      <w:r>
        <w:rPr>
          <w:rFonts w:hint="eastAsia" w:hAnsi="宋体"/>
          <w:color w:val="000000" w:themeColor="text1"/>
          <w14:textFill>
            <w14:solidFill>
              <w14:schemeClr w14:val="tx1"/>
            </w14:solidFill>
          </w14:textFill>
        </w:rPr>
        <w:t>3</w:t>
      </w:r>
      <w:r>
        <w:rPr>
          <w:rFonts w:hAnsi="宋体"/>
          <w:color w:val="000000" w:themeColor="text1"/>
          <w14:textFill>
            <w14:solidFill>
              <w14:schemeClr w14:val="tx1"/>
            </w14:solidFill>
          </w14:textFill>
        </w:rPr>
        <w:t>3.3</w:t>
      </w:r>
      <w:r>
        <w:rPr>
          <w:rFonts w:hint="eastAsia" w:hAnsi="宋体"/>
          <w:color w:val="000000" w:themeColor="text1"/>
          <w:sz w:val="21"/>
          <w14:textFill>
            <w14:solidFill>
              <w14:schemeClr w14:val="tx1"/>
            </w14:solidFill>
          </w14:textFill>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133992E0">
      <w:pPr>
        <w:pStyle w:val="225"/>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22C456F2">
      <w:pPr>
        <w:pStyle w:val="225"/>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（2）在工程采购项目中，工程由中小企业承建，即工程施工单位为中小企业，不对其中涉及的货物的制造商和服务的承接商作出要求；</w:t>
      </w:r>
    </w:p>
    <w:p w14:paraId="614844E6">
      <w:pPr>
        <w:pStyle w:val="225"/>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2C88143B">
      <w:pPr>
        <w:pStyle w:val="225"/>
        <w:spacing w:line="360" w:lineRule="auto"/>
        <w:ind w:firstLine="420"/>
        <w:contextualSpacing/>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7B7CEBC1">
      <w:pPr>
        <w:spacing w:line="360" w:lineRule="auto"/>
        <w:ind w:firstLine="420"/>
        <w:contextualSpacing/>
        <w:rPr>
          <w:rFonts w:ascii="宋体" w:hAnsi="宋体" w:cs="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依据本谈判文件规定享受扶持政策获得政府采购合同的，小微企业不得将合同分包给大中型企业，中型企业不得将合同分包给大型企业。</w:t>
      </w:r>
    </w:p>
    <w:p w14:paraId="026D4088">
      <w:pPr>
        <w:pStyle w:val="218"/>
        <w:ind w:left="1" w:firstLine="3"/>
        <w:rPr>
          <w:rFonts w:hAnsi="宋体"/>
          <w:color w:val="000000" w:themeColor="text1"/>
          <w14:textFill>
            <w14:solidFill>
              <w14:schemeClr w14:val="tx1"/>
            </w14:solidFill>
          </w14:textFill>
        </w:rPr>
      </w:pPr>
      <w:r>
        <w:rPr>
          <w:rFonts w:ascii="黑体" w:hAnsi="黑体" w:eastAsia="黑体" w:cs="黑体"/>
          <w:bCs/>
          <w:color w:val="000000" w:themeColor="text1"/>
          <w:sz w:val="32"/>
          <w:szCs w:val="32"/>
          <w14:textFill>
            <w14:solidFill>
              <w14:schemeClr w14:val="tx1"/>
            </w14:solidFill>
          </w14:textFill>
        </w:rPr>
        <w:br w:type="page" w:clear="all"/>
      </w:r>
    </w:p>
    <w:p w14:paraId="345146CC">
      <w:pPr>
        <w:pStyle w:val="203"/>
        <w:jc w:val="center"/>
        <w:rPr>
          <w:color w:val="000000" w:themeColor="text1"/>
          <w14:textFill>
            <w14:solidFill>
              <w14:schemeClr w14:val="tx1"/>
            </w14:solidFill>
          </w14:textFill>
        </w:rPr>
      </w:pPr>
      <w:bookmarkStart w:id="65" w:name="_Toc6462"/>
      <w:r>
        <w:rPr>
          <w:rFonts w:hint="eastAsia"/>
          <w:color w:val="000000" w:themeColor="text1"/>
          <w14:textFill>
            <w14:solidFill>
              <w14:schemeClr w14:val="tx1"/>
            </w14:solidFill>
          </w14:textFill>
        </w:rPr>
        <w:t>第三章 采购需求</w:t>
      </w:r>
      <w:bookmarkEnd w:id="65"/>
    </w:p>
    <w:p w14:paraId="2D15CC17">
      <w:pPr>
        <w:spacing w:line="360" w:lineRule="auto"/>
        <w:contextualSpacing/>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w:t>
      </w:r>
    </w:p>
    <w:p w14:paraId="38435FE1">
      <w:pPr>
        <w:spacing w:line="500" w:lineRule="exact"/>
        <w:ind w:firstLine="420"/>
        <w:jc w:val="left"/>
        <w:rPr>
          <w:rFonts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1.为落实政府采购政策需满足的要求</w:t>
      </w:r>
    </w:p>
    <w:p w14:paraId="0BC20632">
      <w:pPr>
        <w:spacing w:line="500" w:lineRule="exact"/>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（1）本竞争性谈判采购文件所称中小企业必须符合《政府采购促进中小企业发展管理办法》（财库〔2020〕46号）的规定。</w:t>
      </w:r>
    </w:p>
    <w:p w14:paraId="2D745C45">
      <w:pPr>
        <w:spacing w:line="500" w:lineRule="exact"/>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w:t>
      </w:r>
    </w:p>
    <w:p w14:paraId="64048E11">
      <w:pPr>
        <w:spacing w:line="500" w:lineRule="exact"/>
        <w:ind w:firstLine="424"/>
        <w:jc w:val="left"/>
        <w:rPr>
          <w:rFonts w:hint="eastAsia"/>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根据《关于调整网络安全专用产品安全管理有关事项的公告》（2023年第1号）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w:t>
      </w:r>
      <w:r>
        <w:rPr>
          <w:color w:val="000000" w:themeColor="text1"/>
          <w14:textFill>
            <w14:solidFill>
              <w14:schemeClr w14:val="tx1"/>
            </w14:solidFill>
          </w14:textFill>
        </w:rPr>
        <w:t>http://www.cac.gov.cn/index.htm</w:t>
      </w:r>
      <w:r>
        <w:rPr>
          <w:rFonts w:hint="eastAsia"/>
          <w:color w:val="000000" w:themeColor="text1"/>
          <w14:textFill>
            <w14:solidFill>
              <w14:schemeClr w14:val="tx1"/>
            </w14:solidFill>
          </w14:textFill>
        </w:rPr>
        <w:t>）最新发布的《网络关键设备和网络安全专用产品安全认证和安全检测结果》截图证明材料，不在《网络关键设备和网络安全专用产品安全认证和安全检测结果》中或“所投网络安全专用产品如列入《网络关键设备和网络安全专用产品目录》，须提供由具备资格的机构出具的安全认证合格或安全检测符合要求的证明；对于2023年7月1日前已获得的销售许可证，在有效期内可继续使用。”如属于《网络关键设备和网络安全专用产品目录》中“二、网络安全专用产品”内“产品类别”中的所描述的产品，但不属于所列“产品描述”情形的，应提供相应的说明及证明材料。</w:t>
      </w:r>
    </w:p>
    <w:p w14:paraId="1DCB1B90">
      <w:pPr>
        <w:spacing w:line="500" w:lineRule="exact"/>
        <w:ind w:firstLine="424"/>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74DD40C">
      <w:pPr>
        <w:spacing w:line="500" w:lineRule="exact"/>
        <w:ind w:firstLine="424"/>
        <w:jc w:val="left"/>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根据《关于在政府采购活动中对有关美国企业采取相关措施的通知》（财库〔2026〕10号）的规定，供应商提供的产品不得为财库〔2026〕10号文件附件规定的46家美国企业（不包括在华美资企业）生产的产品。</w:t>
      </w:r>
    </w:p>
    <w:p w14:paraId="13ED20AF">
      <w:pPr>
        <w:spacing w:line="500" w:lineRule="exact"/>
        <w:ind w:firstLine="424"/>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 “实质性要求”是指采购需求中带“▲”的条款或者不能负偏离的条款或者已经指明不满足响应文件按无效处理的条款。</w:t>
      </w:r>
    </w:p>
    <w:p w14:paraId="0B0B83FD">
      <w:pPr>
        <w:spacing w:line="500" w:lineRule="exact"/>
        <w:ind w:firstLine="424"/>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 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53D32D0B">
      <w:pPr>
        <w:spacing w:line="500" w:lineRule="exact"/>
        <w:ind w:firstLine="424"/>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4.供应商必须自行为其竞标产品侵犯他人的知识产权或者专利成果的行为承担相应法律责任。</w:t>
      </w:r>
    </w:p>
    <w:p w14:paraId="6773D84F">
      <w:pPr>
        <w:spacing w:line="360" w:lineRule="auto"/>
        <w:ind w:firstLine="426"/>
        <w:jc w:val="left"/>
        <w:rPr>
          <w:rFonts w:ascii="宋体" w:hAnsi="宋体" w:cs="Arial"/>
          <w:bCs/>
          <w:color w:val="000000" w:themeColor="text1"/>
          <w:szCs w:val="21"/>
          <w:u w:val="single"/>
          <w14:textFill>
            <w14:solidFill>
              <w14:schemeClr w14:val="tx1"/>
            </w14:solidFill>
          </w14:textFill>
        </w:rPr>
      </w:pPr>
      <w:r>
        <w:rPr>
          <w:rFonts w:hint="eastAsia"/>
          <w:b/>
          <w:bCs/>
          <w:color w:val="000000" w:themeColor="text1"/>
          <w14:textFill>
            <w14:solidFill>
              <w14:schemeClr w14:val="tx1"/>
            </w14:solidFill>
          </w14:textFill>
        </w:rPr>
        <w:t>5</w:t>
      </w:r>
      <w:r>
        <w:rPr>
          <w:rFonts w:hint="eastAsia" w:ascii="宋体" w:hAnsi="宋体" w:cs="宋体"/>
          <w:b/>
          <w:bCs/>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本项目采购预算：</w:t>
      </w:r>
      <w:r>
        <w:rPr>
          <w:rFonts w:hint="eastAsia" w:ascii="宋体" w:hAnsi="宋体"/>
          <w:b/>
          <w:color w:val="000000" w:themeColor="text1"/>
          <w:szCs w:val="21"/>
          <w:u w:val="single"/>
          <w14:textFill>
            <w14:solidFill>
              <w14:schemeClr w14:val="tx1"/>
            </w14:solidFill>
          </w14:textFill>
        </w:rPr>
        <w:t>2700000元</w:t>
      </w:r>
    </w:p>
    <w:p w14:paraId="623E3C51">
      <w:pPr>
        <w:spacing w:line="360" w:lineRule="auto"/>
        <w:ind w:firstLine="426"/>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6.本项目为专门面向中小企业采购的项目，中小企业划分标准所属行业及划分见本章附件2。</w:t>
      </w:r>
    </w:p>
    <w:p w14:paraId="089CE5AB">
      <w:pPr>
        <w:spacing w:line="360" w:lineRule="auto"/>
        <w:ind w:firstLine="426"/>
        <w:jc w:val="left"/>
        <w:rPr>
          <w:rFonts w:ascii="宋体" w:hAnsi="宋体"/>
          <w:b/>
          <w:color w:val="000000" w:themeColor="text1"/>
          <w:szCs w:val="21"/>
          <w:u w:val="single"/>
          <w14:textFill>
            <w14:solidFill>
              <w14:schemeClr w14:val="tx1"/>
            </w14:solidFill>
          </w14:textFill>
        </w:rPr>
      </w:pPr>
      <w:r>
        <w:rPr>
          <w:rFonts w:hint="eastAsia"/>
          <w:b/>
          <w:bCs/>
          <w:color w:val="000000" w:themeColor="text1"/>
          <w14:textFill>
            <w14:solidFill>
              <w14:schemeClr w14:val="tx1"/>
            </w14:solidFill>
          </w14:textFill>
        </w:rPr>
        <w:t>7.核心产品：</w:t>
      </w:r>
      <w:r>
        <w:rPr>
          <w:rFonts w:hint="eastAsia" w:ascii="宋体" w:hAnsi="宋体"/>
          <w:b/>
          <w:color w:val="000000" w:themeColor="text1"/>
          <w:szCs w:val="21"/>
          <w:u w:val="single"/>
          <w14:textFill>
            <w14:solidFill>
              <w14:schemeClr w14:val="tx1"/>
            </w14:solidFill>
          </w14:textFill>
        </w:rPr>
        <w:t>标的19吸附式点刺激低频治疗仪</w:t>
      </w:r>
    </w:p>
    <w:tbl>
      <w:tblPr>
        <w:tblStyle w:val="40"/>
        <w:tblW w:w="97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0"/>
        <w:gridCol w:w="992"/>
        <w:gridCol w:w="73"/>
        <w:gridCol w:w="777"/>
        <w:gridCol w:w="709"/>
        <w:gridCol w:w="5035"/>
        <w:gridCol w:w="1346"/>
      </w:tblGrid>
      <w:tr w14:paraId="73AA8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850" w:type="dxa"/>
            <w:vAlign w:val="center"/>
          </w:tcPr>
          <w:p w14:paraId="0623765D">
            <w:pPr>
              <w:tabs>
                <w:tab w:val="left" w:pos="180"/>
                <w:tab w:val="left" w:pos="1620"/>
              </w:tabs>
              <w:spacing w:line="380" w:lineRule="exact"/>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序号</w:t>
            </w:r>
          </w:p>
        </w:tc>
        <w:tc>
          <w:tcPr>
            <w:tcW w:w="992" w:type="dxa"/>
            <w:vAlign w:val="center"/>
          </w:tcPr>
          <w:p w14:paraId="19808BD4">
            <w:pPr>
              <w:tabs>
                <w:tab w:val="left" w:pos="180"/>
                <w:tab w:val="left" w:pos="1620"/>
              </w:tabs>
              <w:spacing w:line="380" w:lineRule="exact"/>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标的的名称</w:t>
            </w:r>
          </w:p>
        </w:tc>
        <w:tc>
          <w:tcPr>
            <w:tcW w:w="850" w:type="dxa"/>
            <w:gridSpan w:val="2"/>
            <w:vAlign w:val="center"/>
          </w:tcPr>
          <w:p w14:paraId="738106C6">
            <w:pPr>
              <w:tabs>
                <w:tab w:val="left" w:pos="180"/>
                <w:tab w:val="left" w:pos="1620"/>
              </w:tabs>
              <w:spacing w:line="380" w:lineRule="exact"/>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数量及单位</w:t>
            </w:r>
          </w:p>
        </w:tc>
        <w:tc>
          <w:tcPr>
            <w:tcW w:w="709" w:type="dxa"/>
            <w:vAlign w:val="center"/>
          </w:tcPr>
          <w:p w14:paraId="37EDD410">
            <w:pPr>
              <w:tabs>
                <w:tab w:val="left" w:pos="180"/>
                <w:tab w:val="left" w:pos="1620"/>
              </w:tabs>
              <w:spacing w:line="380" w:lineRule="exact"/>
              <w:jc w:val="center"/>
              <w:rPr>
                <w:rFonts w:ascii="宋体" w:hAnsi="宋体" w:cs="宋体"/>
                <w:b/>
                <w:bCs/>
                <w:color w:val="000000" w:themeColor="text1"/>
                <w:szCs w:val="21"/>
                <w14:textFill>
                  <w14:solidFill>
                    <w14:schemeClr w14:val="tx1"/>
                  </w14:solidFill>
                </w14:textFill>
              </w:rPr>
            </w:pPr>
            <w:r>
              <w:rPr>
                <w:rFonts w:hint="eastAsia" w:ascii="宋体" w:hAnsi="宋体" w:cs="Arial"/>
                <w:b/>
                <w:bCs/>
                <w:color w:val="000000" w:themeColor="text1"/>
                <w:szCs w:val="21"/>
                <w14:textFill>
                  <w14:solidFill>
                    <w14:schemeClr w14:val="tx1"/>
                  </w14:solidFill>
                </w14:textFill>
              </w:rPr>
              <w:t>所属行业</w:t>
            </w:r>
          </w:p>
        </w:tc>
        <w:tc>
          <w:tcPr>
            <w:tcW w:w="5035" w:type="dxa"/>
            <w:tcBorders>
              <w:right w:val="single" w:color="auto" w:sz="4" w:space="0"/>
            </w:tcBorders>
            <w:vAlign w:val="center"/>
          </w:tcPr>
          <w:p w14:paraId="39ED46A6">
            <w:pPr>
              <w:tabs>
                <w:tab w:val="left" w:pos="180"/>
                <w:tab w:val="left" w:pos="1620"/>
              </w:tabs>
              <w:spacing w:line="380" w:lineRule="exact"/>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技术要求</w:t>
            </w:r>
          </w:p>
        </w:tc>
        <w:tc>
          <w:tcPr>
            <w:tcW w:w="1346" w:type="dxa"/>
            <w:tcBorders>
              <w:left w:val="single" w:color="auto" w:sz="4" w:space="0"/>
            </w:tcBorders>
            <w:vAlign w:val="center"/>
          </w:tcPr>
          <w:p w14:paraId="5EBC2A2A">
            <w:pPr>
              <w:tabs>
                <w:tab w:val="left" w:pos="180"/>
                <w:tab w:val="left" w:pos="1620"/>
              </w:tabs>
              <w:spacing w:line="380" w:lineRule="exact"/>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预算单价（元）</w:t>
            </w:r>
          </w:p>
        </w:tc>
      </w:tr>
      <w:tr w14:paraId="29162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6F3B8DF8">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992" w:type="dxa"/>
            <w:vAlign w:val="center"/>
          </w:tcPr>
          <w:p w14:paraId="5AC261CC">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医用诊疗床</w:t>
            </w:r>
          </w:p>
        </w:tc>
        <w:tc>
          <w:tcPr>
            <w:tcW w:w="850" w:type="dxa"/>
            <w:gridSpan w:val="2"/>
            <w:vAlign w:val="center"/>
          </w:tcPr>
          <w:p w14:paraId="6E2EAEF1">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3台</w:t>
            </w:r>
          </w:p>
        </w:tc>
        <w:tc>
          <w:tcPr>
            <w:tcW w:w="709" w:type="dxa"/>
            <w:vAlign w:val="center"/>
          </w:tcPr>
          <w:p w14:paraId="0FFA399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shd w:val="clear" w:color="auto" w:fill="auto"/>
            <w:vAlign w:val="center"/>
          </w:tcPr>
          <w:p w14:paraId="0D80B213">
            <w:pPr>
              <w:widowControl/>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1.床面总规格（长×宽）≥2040mm×1120mm；</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2.床体靠背参考尺寸≥720mm×1120mm，角度调节范围为0～80°，便于进行坐位训练时为患者提供背部支撑。</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3.床体升降高度可调≥450mm～920mm，便于使用轮椅的患者进行床-椅转移。</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4.床体腰腿段参考尺寸≥1300mm×1120mm，床面宽大，可用于进行各种垫上训练。</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5.床体净重110kg(±15%)。</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6.床体最大承重≥180kg。</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▲7.脚踏控制结构，便于床体的转移；进行手法治疗时，床体依靠四个立柱支撑，保证站立过程中床体的不可移动及安全性；</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8.床体具有由患者停止床功能控制的装置。</w:t>
            </w:r>
          </w:p>
        </w:tc>
        <w:tc>
          <w:tcPr>
            <w:tcW w:w="1346" w:type="dxa"/>
            <w:tcBorders>
              <w:left w:val="single" w:color="auto" w:sz="4" w:space="0"/>
            </w:tcBorders>
            <w:shd w:val="clear" w:color="auto" w:fill="auto"/>
            <w:vAlign w:val="center"/>
          </w:tcPr>
          <w:p w14:paraId="1D3C3050">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38000.00</w:t>
            </w:r>
          </w:p>
        </w:tc>
      </w:tr>
      <w:tr w14:paraId="142DC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0" w:type="dxa"/>
            <w:vAlign w:val="center"/>
          </w:tcPr>
          <w:p w14:paraId="51585AE4">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992" w:type="dxa"/>
            <w:vAlign w:val="center"/>
          </w:tcPr>
          <w:p w14:paraId="45A3B312">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医用诊疗床</w:t>
            </w:r>
          </w:p>
        </w:tc>
        <w:tc>
          <w:tcPr>
            <w:tcW w:w="850" w:type="dxa"/>
            <w:gridSpan w:val="2"/>
            <w:vAlign w:val="center"/>
          </w:tcPr>
          <w:p w14:paraId="34199600">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549C5D62">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shd w:val="clear" w:color="auto" w:fill="auto"/>
            <w:vAlign w:val="center"/>
          </w:tcPr>
          <w:p w14:paraId="0DB75B36">
            <w:pPr>
              <w:widowControl/>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1.产品要求为两折六段床，段位分为头段、腰段、腿段三大段，头段拆分为头部及两侧扶手，腿段拆分为左右两部分。</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2.床面总规格（长×宽）≥2020mm×630mm，其中：</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(1)头段≥360mm×480mm，</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(2)腰段≥560mm×630mm；</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(3)腿段（单侧）≥300mm×930mm。</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▲3.配备双侧扶手，扶手参考尺寸≥107mm×424mm，为患者俯卧治疗提供手臂支撑，提高治疗稳定性。</w:t>
            </w:r>
          </w:p>
          <w:p w14:paraId="4E32DB97">
            <w:pPr>
              <w:widowControl/>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4.床体三段位的角度可调，满足临床不同的治疗体位的需求：</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(1)头段调节角度：-25°～46°；</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(2)腰段调节角度：0°～20°；</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(3)腿段调节角度：0°～90°。</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5.床体升降高度可调：480mm～950mm，适合不同身高治疗师进行手法操作。</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6.床体净重：110× (1±15% ) kg。</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7.床体最大承重不低于180kg。</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8.床体头段提供呼吸孔，供患者俯卧位时头部的放置。</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▲9.脚踏控制结构，便于床体的转移；进行手法治疗时，床体依靠四个立柱支撑，保证站立过程中床体的不可移动及安全性；</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10.床体具有由患者停止床功能控制的装置。</w:t>
            </w:r>
          </w:p>
        </w:tc>
        <w:tc>
          <w:tcPr>
            <w:tcW w:w="1346" w:type="dxa"/>
            <w:tcBorders>
              <w:left w:val="single" w:color="auto" w:sz="4" w:space="0"/>
            </w:tcBorders>
            <w:vAlign w:val="center"/>
          </w:tcPr>
          <w:p w14:paraId="101F19CF">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45000.00</w:t>
            </w:r>
          </w:p>
        </w:tc>
      </w:tr>
      <w:tr w14:paraId="250A0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850" w:type="dxa"/>
            <w:vAlign w:val="center"/>
          </w:tcPr>
          <w:p w14:paraId="3B4C8220">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992" w:type="dxa"/>
            <w:vAlign w:val="center"/>
          </w:tcPr>
          <w:p w14:paraId="0128D7A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PT凳</w:t>
            </w:r>
          </w:p>
        </w:tc>
        <w:tc>
          <w:tcPr>
            <w:tcW w:w="850" w:type="dxa"/>
            <w:gridSpan w:val="2"/>
            <w:vAlign w:val="center"/>
          </w:tcPr>
          <w:p w14:paraId="16E6B75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6张</w:t>
            </w:r>
          </w:p>
        </w:tc>
        <w:tc>
          <w:tcPr>
            <w:tcW w:w="709" w:type="dxa"/>
            <w:shd w:val="clear" w:color="auto" w:fill="auto"/>
            <w:vAlign w:val="center"/>
          </w:tcPr>
          <w:p w14:paraId="2C14D7AE">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36A30757">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1.用途：治疗师对患者进行手法治疗时可移动式的坐具，高度可调。</w:t>
            </w:r>
          </w:p>
          <w:p w14:paraId="275D5DA0">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2.参考规格（cm）≥60×43×42-53cm</w:t>
            </w:r>
          </w:p>
        </w:tc>
        <w:tc>
          <w:tcPr>
            <w:tcW w:w="1346" w:type="dxa"/>
            <w:tcBorders>
              <w:left w:val="single" w:color="auto" w:sz="4" w:space="0"/>
            </w:tcBorders>
            <w:vAlign w:val="center"/>
          </w:tcPr>
          <w:p w14:paraId="43DD8A28">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880.00</w:t>
            </w:r>
          </w:p>
        </w:tc>
      </w:tr>
      <w:tr w14:paraId="1EEAF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0BF65341">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992" w:type="dxa"/>
            <w:vAlign w:val="center"/>
          </w:tcPr>
          <w:p w14:paraId="03E4A189">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站立架</w:t>
            </w:r>
          </w:p>
        </w:tc>
        <w:tc>
          <w:tcPr>
            <w:tcW w:w="850" w:type="dxa"/>
            <w:gridSpan w:val="2"/>
            <w:vAlign w:val="center"/>
          </w:tcPr>
          <w:p w14:paraId="7515ABB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5B6A1028">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shd w:val="clear" w:color="auto" w:fill="auto"/>
            <w:vAlign w:val="center"/>
          </w:tcPr>
          <w:p w14:paraId="0EFAA5AD">
            <w:pPr>
              <w:spacing w:line="380" w:lineRule="exact"/>
              <w:jc w:val="left"/>
              <w:rPr>
                <w:rFonts w:ascii="宋体" w:hAnsi="宋体" w:cs="宋体"/>
                <w:color w:val="000000" w:themeColor="text1"/>
                <w:sz w:val="28"/>
                <w:szCs w:val="28"/>
                <w14:textFill>
                  <w14:solidFill>
                    <w14:schemeClr w14:val="tx1"/>
                  </w14:solidFill>
                </w14:textFill>
              </w:rPr>
            </w:pPr>
            <w:r>
              <w:rPr>
                <w:rFonts w:hint="eastAsia" w:ascii="宋体" w:hAnsi="宋体"/>
                <w:color w:val="000000" w:themeColor="text1"/>
                <w:szCs w:val="21"/>
                <w14:textFill>
                  <w14:solidFill>
                    <w14:schemeClr w14:val="tx1"/>
                  </w14:solidFill>
                </w14:textFill>
              </w:rPr>
              <w:t>1.规格：≥130×130×105cm；</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2.结构形式：台面、肘部垫、臀部垫和绑带、膝部垫、支架</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3.钢件表面喷塑，颜色为白色；支撑台面板为多层板，厚度18mm。</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4.肘部垫宽度(mm)：≥50</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5.肘部垫额定承载质量(kg)：≥80</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6.臀部垫和绑带额定承载质量(kg)：≥135</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7.桌面为木制，木件表面油漆5º；</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8.绑带最大负载重量≥135kg</w:t>
            </w:r>
          </w:p>
        </w:tc>
        <w:tc>
          <w:tcPr>
            <w:tcW w:w="1346" w:type="dxa"/>
            <w:tcBorders>
              <w:left w:val="single" w:color="auto" w:sz="4" w:space="0"/>
            </w:tcBorders>
            <w:vAlign w:val="center"/>
          </w:tcPr>
          <w:p w14:paraId="40B29AD7">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3980.00</w:t>
            </w:r>
          </w:p>
        </w:tc>
      </w:tr>
      <w:tr w14:paraId="49594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382E7628">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992" w:type="dxa"/>
            <w:vAlign w:val="center"/>
          </w:tcPr>
          <w:p w14:paraId="6977B3F8">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上下肢主被动康复训练器（上下肢）</w:t>
            </w:r>
          </w:p>
        </w:tc>
        <w:tc>
          <w:tcPr>
            <w:tcW w:w="850" w:type="dxa"/>
            <w:gridSpan w:val="2"/>
            <w:vAlign w:val="center"/>
          </w:tcPr>
          <w:p w14:paraId="30403053">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298AA3F7">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46C0FCF8">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1.上下肢型主被动康复训练器，双电机设计，可供患者进行上肢或下肢肢体运动功能训练。</w:t>
            </w:r>
          </w:p>
          <w:p w14:paraId="74B57F72">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2.上肢训练工作臂可180°旋转，进行上肢或下肢训练；</w:t>
            </w:r>
          </w:p>
          <w:p w14:paraId="71E731F2">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3.上肢训练器高度可调节：0</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150mm可调，满足不同身长患者选择最佳高度进行训练；</w:t>
            </w:r>
          </w:p>
          <w:p w14:paraId="4D7402BB">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4.小腿支架长度可调：根据患者的小腿长，选择最佳固定位置，有效防止膝关节外倾；</w:t>
            </w:r>
          </w:p>
          <w:p w14:paraId="76999679">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5.显示屏：≥8英寸液晶电容屏，旋转角度可自由调节及锁定，显示直观，操作简便；</w:t>
            </w:r>
          </w:p>
          <w:p w14:paraId="7D2E984A">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▲6.不少于主被动训练、助力训练、对称训练、等速训练、精细训练五种训练模式可供选择，主动模式与被动模式可智能切换，满足临床不同治疗需求；</w:t>
            </w:r>
          </w:p>
          <w:p w14:paraId="7F95444B">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7.具备肌张力显示、痉挛识别及缓解、痉挛缓解速率可调等功能，痉挛识别灵敏度10级可调；</w:t>
            </w:r>
          </w:p>
          <w:p w14:paraId="1C69E35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8.设备具有手动急停开关，触发后可停止设备所有电动产生的机械运动。</w:t>
            </w:r>
          </w:p>
          <w:p w14:paraId="254432D7">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9.训练时间可调：1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120min可调，满足不同患者的训练时长的需求；</w:t>
            </w:r>
          </w:p>
          <w:p w14:paraId="445F2398">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10.速度调节范围：被动运动中，运动速度5</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60r/min可调；</w:t>
            </w:r>
          </w:p>
          <w:p w14:paraId="10E54E9F">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11.阻力等级：主动模式与助力模式下，电机阻力0</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24档可调；</w:t>
            </w:r>
          </w:p>
          <w:p w14:paraId="4805D96A">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12.训练方向转换：训练过程中，具备方向转换功能，满足不同方面的训练；</w:t>
            </w:r>
          </w:p>
          <w:p w14:paraId="2372A56E">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13.训练结果分析：训练结束后，系统自动分析出总训练时间、训练里程、功率、能量消耗等数据；</w:t>
            </w:r>
          </w:p>
          <w:p w14:paraId="00413259">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▲14.设备可导出患者训练数据。</w:t>
            </w:r>
          </w:p>
          <w:p w14:paraId="60353B73">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▲15.设备具有蓝牙连接功能，可通过蓝牙和心率传感器连接，训练过程中实时显示心率值</w:t>
            </w:r>
          </w:p>
        </w:tc>
        <w:tc>
          <w:tcPr>
            <w:tcW w:w="1346" w:type="dxa"/>
            <w:tcBorders>
              <w:left w:val="single" w:color="auto" w:sz="4" w:space="0"/>
            </w:tcBorders>
            <w:vAlign w:val="center"/>
          </w:tcPr>
          <w:p w14:paraId="753690AE">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168000.00</w:t>
            </w:r>
          </w:p>
        </w:tc>
      </w:tr>
      <w:tr w14:paraId="66B3A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01DDD293">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992" w:type="dxa"/>
            <w:vAlign w:val="center"/>
          </w:tcPr>
          <w:p w14:paraId="35E3FE3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四肢联动康复训练器</w:t>
            </w:r>
          </w:p>
        </w:tc>
        <w:tc>
          <w:tcPr>
            <w:tcW w:w="850" w:type="dxa"/>
            <w:gridSpan w:val="2"/>
            <w:vAlign w:val="center"/>
          </w:tcPr>
          <w:p w14:paraId="069C28E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2FDAC545">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76CEB23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1.承重≥200kg；</w:t>
            </w:r>
          </w:p>
          <w:p w14:paraId="7298EDF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2.手柄支臂可调节范围0</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46cm；</w:t>
            </w:r>
          </w:p>
          <w:p w14:paraId="6FEEA0F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3.手柄采用手托式设计；</w:t>
            </w:r>
          </w:p>
          <w:p w14:paraId="30A1AAB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4.手柄旋转角度≥5 档可调；</w:t>
            </w:r>
          </w:p>
          <w:p w14:paraId="451E6AD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5.具有电磁控阻力装置；</w:t>
            </w:r>
          </w:p>
          <w:p w14:paraId="3AF4D34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6.电磁阻力等级≥10 级可调，同时训练过程中阻力可调节</w:t>
            </w:r>
          </w:p>
          <w:p w14:paraId="5D5B291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7.训练时间 1-99min 可设置；</w:t>
            </w:r>
          </w:p>
          <w:p w14:paraId="0D43EAF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8.训练过程中可实时显示功率、卡路里、速度、累计的训练距离和圈数等参数，并具备数据统计功能；</w:t>
            </w:r>
          </w:p>
          <w:p w14:paraId="019AB60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9.座椅可左右各旋转至少90°；</w:t>
            </w:r>
          </w:p>
          <w:p w14:paraId="2745839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10.具备一键锁定功能，可锁定手部支臂和踏板；</w:t>
            </w:r>
          </w:p>
          <w:p w14:paraId="30D5B39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11.座椅距离可前后调节距离至少为30cm，适用不同身高腿长的患者使用；</w:t>
            </w:r>
          </w:p>
          <w:p w14:paraId="1157594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▲12.具备设备网络状态显示功能</w:t>
            </w:r>
          </w:p>
        </w:tc>
        <w:tc>
          <w:tcPr>
            <w:tcW w:w="1346" w:type="dxa"/>
            <w:tcBorders>
              <w:left w:val="single" w:color="auto" w:sz="4" w:space="0"/>
            </w:tcBorders>
            <w:vAlign w:val="center"/>
          </w:tcPr>
          <w:p w14:paraId="5F08911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128000.00</w:t>
            </w:r>
          </w:p>
        </w:tc>
      </w:tr>
      <w:tr w14:paraId="4525F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1498CEA6">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992" w:type="dxa"/>
            <w:vAlign w:val="center"/>
          </w:tcPr>
          <w:p w14:paraId="453C7F82">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悬吊康复训练器</w:t>
            </w:r>
          </w:p>
        </w:tc>
        <w:tc>
          <w:tcPr>
            <w:tcW w:w="850" w:type="dxa"/>
            <w:gridSpan w:val="2"/>
            <w:vAlign w:val="center"/>
          </w:tcPr>
          <w:p w14:paraId="3CF489D3">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0C583733">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2F4A674F">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▲1.单轨设计，便于移动和调节；单条轨道长度应为2.5m，误差±5% </w:t>
            </w:r>
          </w:p>
          <w:p w14:paraId="546A1BF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2.悬吊轨道系统最大承重≥200kg；</w:t>
            </w:r>
          </w:p>
          <w:p w14:paraId="05C08E08">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3.落地架最大承重≥200kg；尺寸2240mm(W)×2600mm(L)×2450mm(H)，误差±5%</w:t>
            </w:r>
          </w:p>
          <w:p w14:paraId="47158992">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4.落地架在空载和最大承重下，在任意方向10度的角度不发生失衡。 </w:t>
            </w:r>
          </w:p>
          <w:p w14:paraId="204B7684">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5.落地架设有挂钩，可以挂放全部的相关配件，不需要另外在墙上安装挂钩。</w:t>
            </w:r>
          </w:p>
          <w:p w14:paraId="0A0E5C94">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▲6.落地架设有专门的挂孔，用于挂放滑轮组件，不需要挂放在悬吊架上，节省挂点。</w:t>
            </w:r>
          </w:p>
          <w:p w14:paraId="64025D33">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7.落地架为可组装式的结构</w:t>
            </w:r>
          </w:p>
          <w:p w14:paraId="49BE59A6">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8.悬吊架单边最大承重≥100kg；</w:t>
            </w:r>
          </w:p>
          <w:p w14:paraId="26821344">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9.绳索具备稳定的滑动锁定解锁装置，可任意调节；</w:t>
            </w:r>
          </w:p>
          <w:p w14:paraId="6729E900">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10.配备三个悬吊架和一个滑轮组件，满足临床治疗需求；</w:t>
            </w:r>
          </w:p>
          <w:p w14:paraId="4DDC81E9">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▲11.悬吊单轨道的锁定装置——下垂绳索拉拽式锁定解锁装置，轻拉垂绳便可打开、关闭锁定装置；</w:t>
            </w:r>
          </w:p>
          <w:p w14:paraId="1F70AA7A">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12.宽带、窄带等配件采用防滑设计，给予患者支撑稳定；</w:t>
            </w:r>
          </w:p>
          <w:p w14:paraId="4048D433">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13.悬吊悬挂件两段绳长一体化调节，节省调节时间；</w:t>
            </w:r>
          </w:p>
          <w:p w14:paraId="4501861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14.配备全套操作系统，提高临床实用性。</w:t>
            </w:r>
          </w:p>
        </w:tc>
        <w:tc>
          <w:tcPr>
            <w:tcW w:w="1346" w:type="dxa"/>
            <w:tcBorders>
              <w:left w:val="single" w:color="auto" w:sz="4" w:space="0"/>
            </w:tcBorders>
            <w:vAlign w:val="center"/>
          </w:tcPr>
          <w:p w14:paraId="6682DB5A">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108000.00</w:t>
            </w:r>
          </w:p>
        </w:tc>
      </w:tr>
      <w:tr w14:paraId="051CE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5D6FE193">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992" w:type="dxa"/>
            <w:vAlign w:val="center"/>
          </w:tcPr>
          <w:p w14:paraId="282D9FE4">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迈步互动训练系统</w:t>
            </w:r>
          </w:p>
        </w:tc>
        <w:tc>
          <w:tcPr>
            <w:tcW w:w="850" w:type="dxa"/>
            <w:gridSpan w:val="2"/>
            <w:vAlign w:val="center"/>
          </w:tcPr>
          <w:p w14:paraId="795BBF59">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4FC8AB2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605AA758">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10个感应点，捕捉正前、左前、右前，正中左脚、正中右脚、左侧、右侧、正后、左后、右后位置</w:t>
            </w:r>
          </w:p>
          <w:p w14:paraId="10D2D34F">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▲2.多种训练模式：单脚负重、单脚迈步、侧迈步、踏步训练，增强自动态平衡能力</w:t>
            </w:r>
          </w:p>
          <w:p w14:paraId="0301263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▲3.训练结合趣味性的虚拟情景反馈游戏，包括打地鼠游戏、塔防游戏、跑酷游戏等</w:t>
            </w:r>
          </w:p>
          <w:p w14:paraId="5E24AFE6">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4.双扶手设计的站立架，坚固，预防跌倒</w:t>
            </w:r>
          </w:p>
          <w:p w14:paraId="407CFE2C">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5.显示器≥40英寸，满足训练者视觉反馈的需要 </w:t>
            </w:r>
          </w:p>
          <w:p w14:paraId="162FB2E2">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6.与计算机有线连接，保证数据稳定传输</w:t>
            </w:r>
          </w:p>
          <w:p w14:paraId="3EEE33DC">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7.双重显示连接状态：指示灯及软件界面图标</w:t>
            </w:r>
          </w:p>
          <w:p w14:paraId="53485BC2">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8.提供详细的训练报告版本，记录训练者康复进度，以图表、数据等形式显示 </w:t>
            </w:r>
          </w:p>
          <w:p w14:paraId="19F4FD57">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 软件为全中文操作界面，且操作过程配有文字和图片演示</w:t>
            </w:r>
          </w:p>
          <w:p w14:paraId="66A7C09B">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10.兼容可搭配天轨悬吊系统、平衡系统、步态系统进行补充训练</w:t>
            </w:r>
          </w:p>
        </w:tc>
        <w:tc>
          <w:tcPr>
            <w:tcW w:w="1346" w:type="dxa"/>
            <w:tcBorders>
              <w:left w:val="single" w:color="auto" w:sz="4" w:space="0"/>
            </w:tcBorders>
            <w:vAlign w:val="center"/>
          </w:tcPr>
          <w:p w14:paraId="4C94D785">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49800.00</w:t>
            </w:r>
          </w:p>
        </w:tc>
      </w:tr>
      <w:tr w14:paraId="50D3A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4009C9CA">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992" w:type="dxa"/>
            <w:vAlign w:val="center"/>
          </w:tcPr>
          <w:p w14:paraId="528F2977">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认知康复训练与评估软件</w:t>
            </w:r>
          </w:p>
        </w:tc>
        <w:tc>
          <w:tcPr>
            <w:tcW w:w="850" w:type="dxa"/>
            <w:gridSpan w:val="2"/>
            <w:vAlign w:val="center"/>
          </w:tcPr>
          <w:p w14:paraId="5936A753">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20BE06FA">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351E66E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1.认知能力评估：包括蒙特利尔认知评估量表(MoCA)、精神状态检查量表(MMSE)、神经行为认知状况测试量表（NCSE）</w:t>
            </w:r>
          </w:p>
          <w:p w14:paraId="6A5EB40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2.认知能力训练：包括注意训练、记忆训练、知觉训练、思维训练四大方面，20多款游戏</w:t>
            </w:r>
          </w:p>
          <w:p w14:paraId="4E2EA53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3.注意训练：至少包含持续训练、选择训练、转移训练、分配训练、广度训练</w:t>
            </w:r>
          </w:p>
          <w:p w14:paraId="6E856C9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4.记忆训练：至少包含即刻回忆、延迟回忆、延迟再认</w:t>
            </w:r>
          </w:p>
          <w:p w14:paraId="0FA505B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5.知觉训练：至少包含空间关系、视觉失认、单侧忽略</w:t>
            </w:r>
          </w:p>
          <w:p w14:paraId="48D87A4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6.思维训练：至少包含逻辑推理、概念形成、概念同化</w:t>
            </w:r>
          </w:p>
          <w:p w14:paraId="33D7858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7.物联网功能，可进行数据的上传、下载、同步服务</w:t>
            </w:r>
          </w:p>
          <w:p w14:paraId="6E2A6B6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8.上传与下载：本地数据库与云端数据库组成双数据库，可双向交互信，配网后，本地用户数据可自动上传到云端；也可从云端下载数据到本地</w:t>
            </w:r>
          </w:p>
          <w:p w14:paraId="6C68173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9.同步：当前客户端软件的数据可自动同步到另外一个接入同一个物联网的客户端软件</w:t>
            </w:r>
          </w:p>
          <w:p w14:paraId="704F013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10.具备用户管理模块，可切换、搜索、编辑、新增、删除用户</w:t>
            </w:r>
          </w:p>
          <w:p w14:paraId="21EEF81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11.训练游戏自带操作教程  </w:t>
            </w:r>
          </w:p>
          <w:p w14:paraId="67B08B7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12.训练游戏难度自适应，可根据患者的训练情况自动调整训练难度</w:t>
            </w:r>
          </w:p>
          <w:p w14:paraId="7AE2E01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13.可根据评估结果自定义训练方案，可选择、添加和删除方案，以及重命名方案名称</w:t>
            </w:r>
          </w:p>
          <w:p w14:paraId="6CBAE0D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14.评定报告、训练报告、方案报告存储在历史记录中，并能查看、打印、删除记录</w:t>
            </w:r>
          </w:p>
          <w:p w14:paraId="58506AE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15.软件自带密码锁屏功能，医生可自行设置锁屏密码 </w:t>
            </w:r>
          </w:p>
        </w:tc>
        <w:tc>
          <w:tcPr>
            <w:tcW w:w="1346" w:type="dxa"/>
            <w:tcBorders>
              <w:left w:val="single" w:color="auto" w:sz="4" w:space="0"/>
            </w:tcBorders>
            <w:vAlign w:val="center"/>
          </w:tcPr>
          <w:p w14:paraId="2021EED2">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150000.00</w:t>
            </w:r>
          </w:p>
        </w:tc>
      </w:tr>
      <w:tr w14:paraId="0EA60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637B7C28">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992" w:type="dxa"/>
            <w:vAlign w:val="center"/>
          </w:tcPr>
          <w:p w14:paraId="1356EECA">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智能砂磨板</w:t>
            </w:r>
          </w:p>
        </w:tc>
        <w:tc>
          <w:tcPr>
            <w:tcW w:w="850" w:type="dxa"/>
            <w:gridSpan w:val="2"/>
            <w:vAlign w:val="center"/>
          </w:tcPr>
          <w:p w14:paraId="0913703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49C47D44">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120675A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▲1.提供不少于7款的趣味互动游戏</w:t>
            </w:r>
          </w:p>
          <w:p w14:paraId="1CDBE98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▲2.设备之间可互联进行竞赛训练</w:t>
            </w:r>
          </w:p>
          <w:p w14:paraId="3B9B78F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3.砂磨板倾斜度、高度手动可调</w:t>
            </w:r>
          </w:p>
          <w:p w14:paraId="567BDAF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4.不少于384个光点阵列，间距≤40mm</w:t>
            </w:r>
          </w:p>
          <w:p w14:paraId="688D1E8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5.提供≥4种智能磨具</w:t>
            </w:r>
          </w:p>
          <w:p w14:paraId="08D8521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6.轨迹引导训练模式，轨迹可自定义设计</w:t>
            </w:r>
          </w:p>
          <w:p w14:paraId="6DD1452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7.提供不少于10种常用训练轨迹，包括单方向、往返方向、多方向组合、直线、曲线等轨迹</w:t>
            </w:r>
          </w:p>
          <w:p w14:paraId="105676A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8.记录用户信息的数据库，无纸化管理</w:t>
            </w:r>
          </w:p>
          <w:p w14:paraId="6012D92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9.自动生成并保存训练报告，训练数据全纪录，跟踪康复进度</w:t>
            </w:r>
          </w:p>
          <w:p w14:paraId="4E22A4D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10.多种训练轨迹可组合成训练方案</w:t>
            </w:r>
          </w:p>
        </w:tc>
        <w:tc>
          <w:tcPr>
            <w:tcW w:w="1346" w:type="dxa"/>
            <w:tcBorders>
              <w:left w:val="single" w:color="auto" w:sz="4" w:space="0"/>
            </w:tcBorders>
            <w:vAlign w:val="center"/>
          </w:tcPr>
          <w:p w14:paraId="221B5C0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78000.00</w:t>
            </w:r>
          </w:p>
        </w:tc>
      </w:tr>
      <w:tr w14:paraId="1B0CD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1333A432">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992" w:type="dxa"/>
            <w:vAlign w:val="center"/>
          </w:tcPr>
          <w:p w14:paraId="3F2ED60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气动式关节康复系统</w:t>
            </w:r>
          </w:p>
        </w:tc>
        <w:tc>
          <w:tcPr>
            <w:tcW w:w="850" w:type="dxa"/>
            <w:gridSpan w:val="2"/>
            <w:vAlign w:val="center"/>
          </w:tcPr>
          <w:p w14:paraId="02D679EF">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791064B1">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04F3D43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一、适应范围：适用于对关节功能障碍患者进行康复训练。</w:t>
            </w:r>
          </w:p>
          <w:p w14:paraId="1920FA6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二、功能参数</w:t>
            </w:r>
          </w:p>
          <w:p w14:paraId="213312A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1.屏幕为8</w:t>
            </w:r>
            <w:r>
              <w:rPr>
                <w:rFonts w:hint="eastAsia" w:ascii="宋体" w:hAnsi="宋体"/>
                <w:color w:val="000000" w:themeColor="text1"/>
                <w:szCs w:val="21"/>
                <w:lang w:eastAsia="zh-CN"/>
                <w14:textFill>
                  <w14:solidFill>
                    <w14:schemeClr w14:val="tx1"/>
                  </w14:solidFill>
                </w14:textFill>
              </w:rPr>
              <w:t>英</w:t>
            </w:r>
            <w:r>
              <w:rPr>
                <w:rFonts w:hint="eastAsia" w:ascii="宋体" w:hAnsi="宋体"/>
                <w:color w:val="000000" w:themeColor="text1"/>
                <w:szCs w:val="21"/>
                <w14:textFill>
                  <w14:solidFill>
                    <w14:schemeClr w14:val="tx1"/>
                  </w14:solidFill>
                </w14:textFill>
              </w:rPr>
              <w:t>寸液晶触摸屏，全中文导航:通过主界面直接选择到训练界面。</w:t>
            </w:r>
          </w:p>
          <w:p w14:paraId="3F5EF38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2.单/双/三通道切换，可最多同时连接3只手套供3人同时使用。</w:t>
            </w:r>
          </w:p>
          <w:p w14:paraId="38B11C4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3.常规训练模式：抓握训练、手控训练、手指操训练、对指训练、自主训练、ADL日常生活能力训练。</w:t>
            </w:r>
          </w:p>
          <w:p w14:paraId="7D964C9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▲4.脚腕训练和手腕训练：进行下肢康复和手脚协同康复（主机界面直接操作）：</w:t>
            </w:r>
          </w:p>
          <w:p w14:paraId="0A045E2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主从式镜像训练：通过健手佩戴镜像手套，通过至少五条传感器，在健手做出手势动作时，患手佩戴手指训练手套，可以做出同样动作，可精确到单根手指的主从式镜像训练，训练的同时屏幕配合对应训练动画；</w:t>
            </w:r>
          </w:p>
          <w:p w14:paraId="649C9AD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6.主动游戏训练：通过患手带上镜像训练手套，做出要求手指和主机互动进行主动游戏训练和手势对比训练，可精确单根或几根手指的精细化控制训练：</w:t>
            </w:r>
          </w:p>
          <w:p w14:paraId="66EDFFE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▲7.按摩训练：通过按摩手套配件，对手部进行按摩训练；</w:t>
            </w:r>
          </w:p>
          <w:p w14:paraId="538019A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8.互动训练：人发出指定的语音指令，控制机器做于指训练，语音引导：机器工作时，伴有语音提示；</w:t>
            </w:r>
          </w:p>
          <w:p w14:paraId="74655E2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9.4级肌张力及腕部辅助功能：利用动态牵引和静态固定的原理降低腕关节肌张力保持腕关节活动度，同时针对手部4级及以上肌张力患者进行指关节松动训练肌张力。活动范围：最</w:t>
            </w:r>
            <w:r>
              <w:rPr>
                <w:rFonts w:hint="eastAsia" w:ascii="宋体" w:hAnsi="宋体"/>
                <w:color w:val="000000" w:themeColor="text1"/>
                <w:szCs w:val="21"/>
                <w:lang w:eastAsia="zh-CN"/>
                <w14:textFill>
                  <w14:solidFill>
                    <w14:schemeClr w14:val="tx1"/>
                  </w14:solidFill>
                </w14:textFill>
              </w:rPr>
              <w:t>大</w:t>
            </w:r>
            <w:r>
              <w:rPr>
                <w:rFonts w:hint="eastAsia" w:ascii="宋体" w:hAnsi="宋体"/>
                <w:color w:val="000000" w:themeColor="text1"/>
                <w:szCs w:val="21"/>
                <w14:textFill>
                  <w14:solidFill>
                    <w14:schemeClr w14:val="tx1"/>
                  </w14:solidFill>
                </w14:textFill>
              </w:rPr>
              <w:t>背伸角度90°</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误差≤5%），最大掌屈角度90°（误差≤5%）。</w:t>
            </w:r>
          </w:p>
          <w:p w14:paraId="6FDAF93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10.训练时间：1-99分钟可调，预设时倒</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0分钟、20分钟、30分钟可选。</w:t>
            </w:r>
          </w:p>
          <w:p w14:paraId="3E98234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▲11.训练强度：可通过主机和手套结构</w:t>
            </w:r>
            <w:r>
              <w:rPr>
                <w:color w:val="000000" w:themeColor="text1"/>
                <w14:textFill>
                  <w14:solidFill>
                    <w14:schemeClr w14:val="tx1"/>
                  </w14:solidFill>
                </w14:textFill>
              </w:rPr>
              <w:t>进行</w:t>
            </w:r>
            <w:r>
              <w:rPr>
                <w:rFonts w:hint="eastAsia" w:ascii="宋体" w:hAnsi="宋体"/>
                <w:color w:val="000000" w:themeColor="text1"/>
                <w:szCs w:val="21"/>
                <w14:textFill>
                  <w14:solidFill>
                    <w14:schemeClr w14:val="tx1"/>
                  </w14:solidFill>
                </w14:textFill>
              </w:rPr>
              <w:t>双重调节，主机压力：中、高两档可调，手套调节功能：手套拉伸装置具备三档的物理调节功能。</w:t>
            </w:r>
          </w:p>
          <w:p w14:paraId="6D8E225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12.运行速度范围 60°〜180°/s。</w:t>
            </w:r>
          </w:p>
          <w:p w14:paraId="00C89C1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▲13.主机输出安全压力-85KPa~150KPa。</w:t>
            </w:r>
          </w:p>
          <w:p w14:paraId="2B188CE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14.训练手套四指活动范围-35°〜230</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14:paraId="67E2210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15.保持压力调节：1秒一12秒可选择。</w:t>
            </w:r>
          </w:p>
          <w:p w14:paraId="691A0E3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三、性能参数</w:t>
            </w:r>
          </w:p>
          <w:p w14:paraId="279FBE6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1.核心配件：采用两个气泵独立控制，一个控制抓握，一个控制背伸，气泵的连续工作寿命≥1500小时。</w:t>
            </w:r>
          </w:p>
          <w:p w14:paraId="3658434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2.手套材质：潜水布料，弹性高、透气性高，手工立体缝纫（非粘性剂粘合）。</w:t>
            </w:r>
          </w:p>
          <w:p w14:paraId="73197D5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3.主机结构：ABS一体化成型，主机配备正反双向风扇的散热功能。</w:t>
            </w:r>
          </w:p>
          <w:p w14:paraId="33EA533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4.工作条件：相对湿度：≤80％。使用电源电压：100V〜240V， 50Hz/60Hz</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100VA。</w:t>
            </w:r>
          </w:p>
        </w:tc>
        <w:tc>
          <w:tcPr>
            <w:tcW w:w="1346" w:type="dxa"/>
            <w:tcBorders>
              <w:left w:val="single" w:color="auto" w:sz="4" w:space="0"/>
            </w:tcBorders>
            <w:vAlign w:val="center"/>
          </w:tcPr>
          <w:p w14:paraId="3F86378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158000.00</w:t>
            </w:r>
          </w:p>
        </w:tc>
      </w:tr>
      <w:tr w14:paraId="6AB0B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568A65F7">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992" w:type="dxa"/>
            <w:vAlign w:val="center"/>
          </w:tcPr>
          <w:p w14:paraId="16769D2F">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脑循环电刺激仪</w:t>
            </w:r>
          </w:p>
        </w:tc>
        <w:tc>
          <w:tcPr>
            <w:tcW w:w="850" w:type="dxa"/>
            <w:gridSpan w:val="2"/>
            <w:vAlign w:val="center"/>
          </w:tcPr>
          <w:p w14:paraId="5F78CF7E">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38BCF030">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43572BF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▲1.具有≥2通道头部电刺激搭配≥4通道肢体神经肌肉电刺激；</w:t>
            </w:r>
          </w:p>
          <w:p w14:paraId="023F7ED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▲2.头箍式电极可伸缩调节； </w:t>
            </w:r>
          </w:p>
          <w:p w14:paraId="58F220E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3.触摸屏+一键飞梭； </w:t>
            </w:r>
          </w:p>
          <w:p w14:paraId="5BE5F2A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▲4.头箍电刺激装置脉冲宽度400us±120us，脉冲周期18ms～46ms，频率21Hz～56Hz； </w:t>
            </w:r>
          </w:p>
          <w:p w14:paraId="1F99BC6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5.头箍电刺激装置输出强度0mA～30mA可调； </w:t>
            </w:r>
          </w:p>
          <w:p w14:paraId="67DD211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6.≥8种内置肢体神经肌肉电刺激处方；</w:t>
            </w:r>
          </w:p>
          <w:p w14:paraId="294C5F1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7.肢体神经肌肉电刺激装置脉冲频率4000±400Hz，调制频率在0.03～1.2Hz范围内； </w:t>
            </w:r>
          </w:p>
          <w:p w14:paraId="71E9552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8.治疗时间 1～99min 连续可调，步长 1min</w:t>
            </w:r>
          </w:p>
        </w:tc>
        <w:tc>
          <w:tcPr>
            <w:tcW w:w="1346" w:type="dxa"/>
            <w:tcBorders>
              <w:left w:val="single" w:color="auto" w:sz="4" w:space="0"/>
            </w:tcBorders>
            <w:vAlign w:val="center"/>
          </w:tcPr>
          <w:p w14:paraId="1F751B9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58000.00</w:t>
            </w:r>
          </w:p>
        </w:tc>
      </w:tr>
      <w:tr w14:paraId="5C2EA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18D441DE">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992" w:type="dxa"/>
            <w:vAlign w:val="center"/>
          </w:tcPr>
          <w:p w14:paraId="21EFA011">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低频神经肌肉电刺激仪</w:t>
            </w:r>
          </w:p>
        </w:tc>
        <w:tc>
          <w:tcPr>
            <w:tcW w:w="850" w:type="dxa"/>
            <w:gridSpan w:val="2"/>
            <w:vAlign w:val="center"/>
          </w:tcPr>
          <w:p w14:paraId="00DC6B6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2台</w:t>
            </w:r>
          </w:p>
        </w:tc>
        <w:tc>
          <w:tcPr>
            <w:tcW w:w="709" w:type="dxa"/>
            <w:shd w:val="clear" w:color="auto" w:fill="auto"/>
            <w:vAlign w:val="center"/>
          </w:tcPr>
          <w:p w14:paraId="2311A70A">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7741E2D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▲1.具有≥8 路电流输出功能，每路可连接二个电极片。</w:t>
            </w:r>
          </w:p>
          <w:p w14:paraId="35A7CD3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2.内置≥5 英寸液晶触摸显示屏。</w:t>
            </w:r>
          </w:p>
          <w:p w14:paraId="0177E83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3.脉冲宽度 80～400us 范围内可调，调节步长 10us。</w:t>
            </w:r>
          </w:p>
          <w:p w14:paraId="7014FCF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4.频率 1～180Hz 范围内连续可调，步长 1Hz。</w:t>
            </w:r>
          </w:p>
          <w:p w14:paraId="70389DC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5.仪器的上升时间：0s～2s，步长为 0.5s。</w:t>
            </w:r>
          </w:p>
          <w:p w14:paraId="4709431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6.仪器的维持时间：0s～20s，步长为 1s。</w:t>
            </w:r>
          </w:p>
          <w:p w14:paraId="495FAFE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7.仪器的下降时间：0s～2s，步长为 0.5s。</w:t>
            </w:r>
          </w:p>
          <w:p w14:paraId="76ED30D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8.仪器的断电时间：2s～50s，步长为 1s。</w:t>
            </w:r>
          </w:p>
          <w:p w14:paraId="0477EA8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9.治疗时间 1～99min 可调，步长 1min，默认 20min。</w:t>
            </w:r>
          </w:p>
          <w:p w14:paraId="076DBE2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10.输出电流：≥140mA(峰值电流)，可调，步长 1mA。</w:t>
            </w:r>
          </w:p>
          <w:p w14:paraId="18238D1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▲11.具有同步/异步输出功能。</w:t>
            </w:r>
          </w:p>
          <w:p w14:paraId="26E99A4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12.具有报警功能。</w:t>
            </w:r>
          </w:p>
        </w:tc>
        <w:tc>
          <w:tcPr>
            <w:tcW w:w="1346" w:type="dxa"/>
            <w:tcBorders>
              <w:left w:val="single" w:color="auto" w:sz="4" w:space="0"/>
            </w:tcBorders>
            <w:vAlign w:val="center"/>
          </w:tcPr>
          <w:p w14:paraId="6AD0829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48000.00</w:t>
            </w:r>
          </w:p>
        </w:tc>
      </w:tr>
      <w:tr w14:paraId="38552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055B737C">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992" w:type="dxa"/>
            <w:vAlign w:val="center"/>
          </w:tcPr>
          <w:p w14:paraId="206A1CF0">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低频痉挛肌电刺激治疗仪</w:t>
            </w:r>
          </w:p>
        </w:tc>
        <w:tc>
          <w:tcPr>
            <w:tcW w:w="850" w:type="dxa"/>
            <w:gridSpan w:val="2"/>
            <w:vAlign w:val="center"/>
          </w:tcPr>
          <w:p w14:paraId="21E4E234">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2台</w:t>
            </w:r>
          </w:p>
        </w:tc>
        <w:tc>
          <w:tcPr>
            <w:tcW w:w="709" w:type="dxa"/>
            <w:shd w:val="clear" w:color="auto" w:fill="auto"/>
            <w:vAlign w:val="center"/>
          </w:tcPr>
          <w:p w14:paraId="64C6B583">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362E4D8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▲1.具有≥4通道输出功能，每通道可连接4个电极片； </w:t>
            </w:r>
          </w:p>
          <w:p w14:paraId="29607C2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2.内置≥5 英寸触摸屏显示屏</w:t>
            </w:r>
          </w:p>
          <w:p w14:paraId="7587844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▲3.具有≥8 种内置处方，具有自定义处方功能</w:t>
            </w:r>
          </w:p>
          <w:p w14:paraId="6AEBC7F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4.脉冲宽度 100～500μs 范围内可调，调节步长 10μs</w:t>
            </w:r>
          </w:p>
          <w:p w14:paraId="7263B6A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5.输出周期 1～2s 连续可调，步长 0.1s，精度≤±10%</w:t>
            </w:r>
          </w:p>
          <w:p w14:paraId="7662459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6.延迟时间 0.1～1.5s 连续可调，步长 0.1s，精度≤±10%</w:t>
            </w:r>
          </w:p>
          <w:p w14:paraId="3314522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7.治疗时间 1～99min 可调，步长 1min，精度≤±2%</w:t>
            </w:r>
          </w:p>
          <w:p w14:paraId="2DA060B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8.输出强度：0～140mA（峰值电流范围），步长 1mA</w:t>
            </w:r>
          </w:p>
          <w:p w14:paraId="7CABD97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9.具有报警功能</w:t>
            </w:r>
          </w:p>
        </w:tc>
        <w:tc>
          <w:tcPr>
            <w:tcW w:w="1346" w:type="dxa"/>
            <w:tcBorders>
              <w:left w:val="single" w:color="auto" w:sz="4" w:space="0"/>
            </w:tcBorders>
            <w:vAlign w:val="center"/>
          </w:tcPr>
          <w:p w14:paraId="67C2D43E">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48000.00</w:t>
            </w:r>
          </w:p>
        </w:tc>
      </w:tr>
      <w:tr w14:paraId="6DBB5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36CEFFE3">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992" w:type="dxa"/>
            <w:vAlign w:val="center"/>
          </w:tcPr>
          <w:p w14:paraId="3E3B82CE">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磁振热治疗仪</w:t>
            </w:r>
          </w:p>
        </w:tc>
        <w:tc>
          <w:tcPr>
            <w:tcW w:w="850" w:type="dxa"/>
            <w:gridSpan w:val="2"/>
            <w:vAlign w:val="center"/>
          </w:tcPr>
          <w:p w14:paraId="0C15DC6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3DB5EEEE">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079BF62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1.具有独立≥4通道输出，参数可独立调节</w:t>
            </w:r>
          </w:p>
          <w:p w14:paraId="054014C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2.磁场强度：磁感应强度在 10mT~50mT 的范围内可调，步长为 10mT，误差为±10%；</w:t>
            </w:r>
          </w:p>
          <w:p w14:paraId="06692C5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3.振动频率：30</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60Hz范围可调； </w:t>
            </w:r>
          </w:p>
          <w:p w14:paraId="0BD70BF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4.治疗温度：40℃ 、46℃ 、52℃ 、58℃共 4 级可调，精度：±3℃；</w:t>
            </w:r>
          </w:p>
          <w:p w14:paraId="53F25D4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5.具有无热治疗模式；</w:t>
            </w:r>
          </w:p>
          <w:p w14:paraId="13F0DA7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▲6.具有≥13种处方</w:t>
            </w:r>
          </w:p>
          <w:p w14:paraId="19F8C14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7.治疗时间：1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99min可调，以1min为单位设定；</w:t>
            </w:r>
          </w:p>
          <w:p w14:paraId="771B51F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8.具有多种安全保护装置。</w:t>
            </w:r>
          </w:p>
        </w:tc>
        <w:tc>
          <w:tcPr>
            <w:tcW w:w="1346" w:type="dxa"/>
            <w:tcBorders>
              <w:left w:val="single" w:color="auto" w:sz="4" w:space="0"/>
            </w:tcBorders>
            <w:vAlign w:val="center"/>
          </w:tcPr>
          <w:p w14:paraId="6E23C7F8">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78000.00</w:t>
            </w:r>
          </w:p>
        </w:tc>
      </w:tr>
      <w:tr w14:paraId="349B0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46E3EC28">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992" w:type="dxa"/>
            <w:vAlign w:val="center"/>
          </w:tcPr>
          <w:p w14:paraId="30E78EFA">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空气波压力循环治疗仪</w:t>
            </w:r>
          </w:p>
        </w:tc>
        <w:tc>
          <w:tcPr>
            <w:tcW w:w="850" w:type="dxa"/>
            <w:gridSpan w:val="2"/>
            <w:vAlign w:val="center"/>
          </w:tcPr>
          <w:p w14:paraId="3E64DB7F">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3E45665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0773CAD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1.内置≥5.7英寸LCD液晶触摸显示屏； </w:t>
            </w:r>
          </w:p>
          <w:p w14:paraId="003A16B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▲2.≥8种专业空气波充气模式，M1~M8模式可自由选择，满足不同患者使用，可根据患者病情选择治疗模式；</w:t>
            </w:r>
          </w:p>
          <w:p w14:paraId="4F8543B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▲3.单气压通道，单电疗通道，双通道设计，电疗气压两用一体机； </w:t>
            </w:r>
          </w:p>
          <w:p w14:paraId="4682AA6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▲4.内置两种神经肌肉电刺激模式；</w:t>
            </w:r>
          </w:p>
          <w:p w14:paraId="1DD0162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5.设备压强可在5-25</w:t>
            </w:r>
            <w:r>
              <w:rPr>
                <w:color w:val="000000" w:themeColor="text1"/>
                <w14:textFill>
                  <w14:solidFill>
                    <w14:schemeClr w14:val="tx1"/>
                  </w14:solidFill>
                </w14:textFill>
              </w:rPr>
              <w:t>kPa</w:t>
            </w:r>
            <w:r>
              <w:rPr>
                <w:rFonts w:hint="eastAsia" w:ascii="宋体" w:hAnsi="宋体"/>
                <w:color w:val="000000" w:themeColor="text1"/>
                <w:szCs w:val="21"/>
                <w14:textFill>
                  <w14:solidFill>
                    <w14:schemeClr w14:val="tx1"/>
                  </w14:solidFill>
                </w14:textFill>
              </w:rPr>
              <w:t>（38-188mmHg）范围内连续可调，气压单位</w:t>
            </w:r>
            <w:r>
              <w:rPr>
                <w:color w:val="000000" w:themeColor="text1"/>
                <w14:textFill>
                  <w14:solidFill>
                    <w14:schemeClr w14:val="tx1"/>
                  </w14:solidFill>
                </w14:textFill>
              </w:rPr>
              <w:t>kPa</w:t>
            </w:r>
            <w:r>
              <w:rPr>
                <w:rFonts w:hint="eastAsia" w:ascii="宋体" w:hAnsi="宋体"/>
                <w:color w:val="000000" w:themeColor="text1"/>
                <w:szCs w:val="21"/>
                <w14:textFill>
                  <w14:solidFill>
                    <w14:schemeClr w14:val="tx1"/>
                  </w14:solidFill>
                </w14:textFill>
              </w:rPr>
              <w:t>和mmHg可进行转换；</w:t>
            </w:r>
          </w:p>
          <w:p w14:paraId="52ED81E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6.治疗时间1min-99min连续可调； </w:t>
            </w:r>
          </w:p>
          <w:p w14:paraId="7C9D17D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▲7.仪器设备充气时，每腔压力实时监测，实时显示当前腔道压力；</w:t>
            </w:r>
          </w:p>
          <w:p w14:paraId="31A8714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8.具有过压保护功能；</w:t>
            </w:r>
          </w:p>
          <w:p w14:paraId="260F0A2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9.若在充气时，突然出现停电、断电的现象，仪器会自动泄压保护； </w:t>
            </w:r>
          </w:p>
        </w:tc>
        <w:tc>
          <w:tcPr>
            <w:tcW w:w="1346" w:type="dxa"/>
            <w:tcBorders>
              <w:left w:val="single" w:color="auto" w:sz="4" w:space="0"/>
            </w:tcBorders>
            <w:vAlign w:val="center"/>
          </w:tcPr>
          <w:p w14:paraId="2A059E6A">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58000.00</w:t>
            </w:r>
          </w:p>
        </w:tc>
      </w:tr>
      <w:tr w14:paraId="5D020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39A7B9E0">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992" w:type="dxa"/>
            <w:vAlign w:val="center"/>
          </w:tcPr>
          <w:p w14:paraId="729288FC">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气压弹道式体外冲击波治疗仪</w:t>
            </w:r>
          </w:p>
        </w:tc>
        <w:tc>
          <w:tcPr>
            <w:tcW w:w="850" w:type="dxa"/>
            <w:gridSpan w:val="2"/>
            <w:vAlign w:val="center"/>
          </w:tcPr>
          <w:p w14:paraId="7A9E17B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1E01B8F4">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432135E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1.冲击波强度1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4bar可调；冲击频率调节范围1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17Hz</w:t>
            </w:r>
          </w:p>
          <w:p w14:paraId="6C1D501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2.内置治疗图示，提供专业治疗方案建议；</w:t>
            </w:r>
          </w:p>
          <w:p w14:paraId="3B9610D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3.可自由编辑并储存自定义处方，针对不同患者情况个性化治疗；</w:t>
            </w:r>
          </w:p>
          <w:p w14:paraId="070FFE0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4.放射状冲击波源；</w:t>
            </w:r>
          </w:p>
          <w:p w14:paraId="0B909C0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5.具有单次冲击模式，调试治疗强度及定位；</w:t>
            </w:r>
          </w:p>
          <w:p w14:paraId="45BD567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6.机重≤10kg，便于携带移动治疗；具有手柄挂架，便于手柄的放置。</w:t>
            </w:r>
          </w:p>
          <w:p w14:paraId="0BABAC8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▲7.≥7英寸彩色液晶中英文触摸屏设计，显示直观；</w:t>
            </w:r>
          </w:p>
          <w:p w14:paraId="5405F2C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8.治疗手柄采用人体工程学设计，便于医生各角度握持；手柄上具有开关保险装置，防止误操作；</w:t>
            </w:r>
          </w:p>
          <w:p w14:paraId="033FD0A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9.配有至少两种发散式治疗头，能量穿透深度不窄于17</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25mm；另可选配针状治疗头、深部治疗头及聚焦式治疗头等，适配不同患者需求。</w:t>
            </w:r>
          </w:p>
          <w:p w14:paraId="4234630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10.支持中、英等六种语言界面；</w:t>
            </w:r>
          </w:p>
          <w:p w14:paraId="6EC7942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11.支持USB接口一键升级；</w:t>
            </w:r>
          </w:p>
          <w:p w14:paraId="798C7FA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▲12.设备支持物联网功能，可实现数据传输互联功能。</w:t>
            </w:r>
          </w:p>
        </w:tc>
        <w:tc>
          <w:tcPr>
            <w:tcW w:w="1346" w:type="dxa"/>
            <w:tcBorders>
              <w:left w:val="single" w:color="auto" w:sz="4" w:space="0"/>
            </w:tcBorders>
            <w:vAlign w:val="center"/>
          </w:tcPr>
          <w:p w14:paraId="1E0911F1">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184220.00</w:t>
            </w:r>
          </w:p>
        </w:tc>
      </w:tr>
      <w:tr w14:paraId="5E65F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31839851">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992" w:type="dxa"/>
            <w:vAlign w:val="center"/>
          </w:tcPr>
          <w:p w14:paraId="20773950">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超短波治疗机</w:t>
            </w:r>
          </w:p>
        </w:tc>
        <w:tc>
          <w:tcPr>
            <w:tcW w:w="850" w:type="dxa"/>
            <w:gridSpan w:val="2"/>
            <w:vAlign w:val="center"/>
          </w:tcPr>
          <w:p w14:paraId="18DE7C65">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2A56E95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634350E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1.使用电源：AC220V±22V，50Hz±1Hz；</w:t>
            </w:r>
          </w:p>
          <w:p w14:paraId="2882952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2.仪器类别：I类BF型；</w:t>
            </w:r>
          </w:p>
          <w:p w14:paraId="34A051E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▲3.工作频率：40.68MHz，误差±1.5%；</w:t>
            </w:r>
          </w:p>
          <w:p w14:paraId="0573043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4.输入功率：≤1000VA；</w:t>
            </w:r>
          </w:p>
          <w:p w14:paraId="287601D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5.输出功率：200W最大，误差±20%；</w:t>
            </w:r>
          </w:p>
          <w:p w14:paraId="52311D4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6.输出强度：50W、100W、150W、200W连续可调，三模式12档可选；</w:t>
            </w:r>
          </w:p>
          <w:p w14:paraId="413CD88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7.输出指示：液晶屏实时显示预热状态、治疗状态、治疗时间、结束状态等；</w:t>
            </w:r>
          </w:p>
          <w:p w14:paraId="564C760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8.治疗时间：0～99min可调，液晶屏实时显示；</w:t>
            </w:r>
          </w:p>
          <w:p w14:paraId="4E59F95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▲9.输出模式：≥3种模式，具有脉冲、连续、断续波输出；</w:t>
            </w:r>
          </w:p>
          <w:p w14:paraId="6CBE400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10.连续波模式：持续输出，“频率”、“脉宽”参数显示和设定无效；</w:t>
            </w:r>
          </w:p>
          <w:p w14:paraId="59AC830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▲11.断续波输出：以50%占空比的脉冲方式输出，输出频率10～200Hz，步进10Hz，误差±10%；</w:t>
            </w:r>
          </w:p>
          <w:p w14:paraId="4A2B558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12.脉冲波输出：以设定的频率和设定的脉冲宽度输出，脉冲宽度200～1000us，步进50us，误差±10%；</w:t>
            </w:r>
          </w:p>
          <w:p w14:paraId="7B7CAF1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▲13.显示装置：电容式高清真彩液晶屏，仪器治疗参数和设备状态全程实时显示；</w:t>
            </w:r>
          </w:p>
          <w:p w14:paraId="79554AF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14.液晶触控：液晶触摸控制，人机界面简洁大气，管理系统智能化；</w:t>
            </w:r>
          </w:p>
          <w:p w14:paraId="582A92B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15.智能一键：一键开机预热、治疗模式、输出强度，启用、暂停、停止等快捷键；</w:t>
            </w:r>
          </w:p>
          <w:p w14:paraId="744B695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16.操作提示：液晶触摸屏按键操作提示音、输出提示音、结束提示音等；</w:t>
            </w:r>
          </w:p>
          <w:p w14:paraId="0C15404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17.输出电极：≥3种规格电极板，大、中、小各一对，适合不同治疗部位使用；</w:t>
            </w:r>
          </w:p>
          <w:p w14:paraId="264F4EB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18.输出导线：特制铜质电缆线。</w:t>
            </w:r>
          </w:p>
          <w:p w14:paraId="4B8C80E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19.导线长度：长度≥1.1米，满足临床需求和使用；</w:t>
            </w:r>
          </w:p>
          <w:p w14:paraId="683ADCE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20.导线性能：缆线外塑模厚达8mm，导线交叉不打火、绝缘和屏蔽优；</w:t>
            </w:r>
          </w:p>
          <w:p w14:paraId="3538D3A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21.调谐方式：旋钮式输出回路谐振频率调谐；</w:t>
            </w:r>
          </w:p>
          <w:p w14:paraId="601D33D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22.场强指示：配置场强指示附件，指示电极板输出功率分布和强弱；</w:t>
            </w:r>
          </w:p>
          <w:p w14:paraId="5B5AAE7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23.电流指示：最大量程为300mA，精度不低于2.5级；</w:t>
            </w:r>
          </w:p>
          <w:p w14:paraId="40E3487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24.样式：落地推车式；</w:t>
            </w:r>
          </w:p>
          <w:p w14:paraId="6A60038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25.存放装置：配置有电极板存放装置</w:t>
            </w:r>
          </w:p>
        </w:tc>
        <w:tc>
          <w:tcPr>
            <w:tcW w:w="1346" w:type="dxa"/>
            <w:tcBorders>
              <w:left w:val="single" w:color="auto" w:sz="4" w:space="0"/>
            </w:tcBorders>
            <w:vAlign w:val="center"/>
          </w:tcPr>
          <w:p w14:paraId="0073328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68000.00</w:t>
            </w:r>
          </w:p>
        </w:tc>
      </w:tr>
      <w:tr w14:paraId="06AC5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09AE4732">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992" w:type="dxa"/>
            <w:vAlign w:val="center"/>
          </w:tcPr>
          <w:p w14:paraId="7DEE0FA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吸附式点刺激低频治疗仪</w:t>
            </w:r>
          </w:p>
        </w:tc>
        <w:tc>
          <w:tcPr>
            <w:tcW w:w="850" w:type="dxa"/>
            <w:gridSpan w:val="2"/>
            <w:vAlign w:val="center"/>
          </w:tcPr>
          <w:p w14:paraId="30DC1067">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056E0DDF">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6A16DE4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1.内嵌≥10英寸彩色触摸显示屏，并配备无级飞梭旋钮；</w:t>
            </w:r>
          </w:p>
          <w:p w14:paraId="0A5B3C5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2.脉冲频率范围：1Hz～999Hz；</w:t>
            </w:r>
          </w:p>
          <w:p w14:paraId="6925AB1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3.仪器最大输出电流有效值应不大于50mA；</w:t>
            </w:r>
          </w:p>
          <w:p w14:paraId="65209B7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4.可输出高压低频电流，电压峰值不大于300V。</w:t>
            </w:r>
          </w:p>
          <w:p w14:paraId="2EFA155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5.吸附式锥状电极，压力调节范围5kPa～40kPa。</w:t>
            </w:r>
          </w:p>
          <w:p w14:paraId="4B11083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▲6.具备无创针灸模式、低频电疗模式、电温针模式三大治疗模式。</w:t>
            </w:r>
          </w:p>
          <w:p w14:paraId="6774F18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7.可自定义方案，自定义方案数量不限。</w:t>
            </w:r>
          </w:p>
          <w:p w14:paraId="0C61E5A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8.治疗结束后有声音提醒功能。</w:t>
            </w:r>
          </w:p>
          <w:p w14:paraId="22B471A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9.治疗时间调节范围：1min ～99min；</w:t>
            </w:r>
          </w:p>
          <w:p w14:paraId="7F7873F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▲10.不少于9个独立通道18个电极。</w:t>
            </w:r>
          </w:p>
          <w:p w14:paraId="4B05F7A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11.具有多重安全保护功能：在输出电流/电压超过最大值时，设备会启动断路保护功能，避免患者损伤；</w:t>
            </w:r>
          </w:p>
          <w:p w14:paraId="3EFB174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12.脉冲宽度可调节范围为：50µs～500µs；</w:t>
            </w:r>
          </w:p>
          <w:p w14:paraId="41B9464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13.具备病例库功能，医生可以检索及查询不同患者的治疗记录信息。</w:t>
            </w:r>
          </w:p>
          <w:p w14:paraId="7BC8F35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▲14.具备联网功能，实现数据联通，医院进行设备管理及信息管理</w:t>
            </w:r>
          </w:p>
        </w:tc>
        <w:tc>
          <w:tcPr>
            <w:tcW w:w="1346" w:type="dxa"/>
            <w:tcBorders>
              <w:left w:val="single" w:color="auto" w:sz="4" w:space="0"/>
            </w:tcBorders>
            <w:vAlign w:val="center"/>
          </w:tcPr>
          <w:p w14:paraId="672B641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178000.00</w:t>
            </w:r>
          </w:p>
        </w:tc>
      </w:tr>
      <w:tr w14:paraId="27A94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1DD525CC">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992" w:type="dxa"/>
            <w:vAlign w:val="center"/>
          </w:tcPr>
          <w:p w14:paraId="1517D71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红外偏振光治疗仪</w:t>
            </w:r>
          </w:p>
        </w:tc>
        <w:tc>
          <w:tcPr>
            <w:tcW w:w="850" w:type="dxa"/>
            <w:gridSpan w:val="2"/>
            <w:vAlign w:val="center"/>
          </w:tcPr>
          <w:p w14:paraId="4EA3F209">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02892B33">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634AF48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1.具有≥2 通道偏振光输出，输出参数可独立调节；</w:t>
            </w:r>
          </w:p>
          <w:p w14:paraId="4D93D74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2.具有智能化触控操作系统，五大治疗模式可自由切换；</w:t>
            </w:r>
          </w:p>
          <w:p w14:paraId="3BB7AA4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3.具有≥10 英寸彩色液晶触摸屏；</w:t>
            </w:r>
          </w:p>
          <w:p w14:paraId="100BF83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4.波长范围：600nm~1600nm；</w:t>
            </w:r>
          </w:p>
          <w:p w14:paraId="363E96C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5.功率调节≥ 15 档位可调，步进 5%；</w:t>
            </w:r>
          </w:p>
          <w:p w14:paraId="1A2AEB4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6.治疗时间 1-20min 范围内可调，调整步距为 1min，治疗时间结束时有声音提示；</w:t>
            </w:r>
          </w:p>
          <w:p w14:paraId="7B90788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7.峰值时间 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9s 可调，低值时间 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9s 可调；</w:t>
            </w:r>
          </w:p>
          <w:p w14:paraId="706CB14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8.具有≥5 种规格治疗头；</w:t>
            </w:r>
          </w:p>
        </w:tc>
        <w:tc>
          <w:tcPr>
            <w:tcW w:w="1346" w:type="dxa"/>
            <w:tcBorders>
              <w:left w:val="single" w:color="auto" w:sz="4" w:space="0"/>
            </w:tcBorders>
            <w:vAlign w:val="center"/>
          </w:tcPr>
          <w:p w14:paraId="14DAC44C">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198000.00</w:t>
            </w:r>
          </w:p>
        </w:tc>
      </w:tr>
      <w:tr w14:paraId="13C18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24C95BA2">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p>
        </w:tc>
        <w:tc>
          <w:tcPr>
            <w:tcW w:w="992" w:type="dxa"/>
            <w:vAlign w:val="center"/>
          </w:tcPr>
          <w:p w14:paraId="5BCD0E45">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中频干扰电治疗仪</w:t>
            </w:r>
          </w:p>
        </w:tc>
        <w:tc>
          <w:tcPr>
            <w:tcW w:w="850" w:type="dxa"/>
            <w:gridSpan w:val="2"/>
            <w:vAlign w:val="center"/>
          </w:tcPr>
          <w:p w14:paraId="64A964A6">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5187309C">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4A60B79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▲1.两路六组（共12个电极）输出，可三维、二维输出相互转换；</w:t>
            </w:r>
          </w:p>
          <w:p w14:paraId="7B713EA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2.吸附式电极，负压吸引压80</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300mmHg连续可调；</w:t>
            </w:r>
          </w:p>
          <w:p w14:paraId="427C879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3.吸引模式：连续模式、脉冲模式（快速、中速、慢速）和自动模式；</w:t>
            </w:r>
          </w:p>
          <w:p w14:paraId="3E6ABBA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4.吸引压智能调节，治疗停止后自动降低到30mmHg，便于取下电极，1min后自动变为OFF，20s后又变为上次治疗所设定吸引压值；</w:t>
            </w:r>
          </w:p>
          <w:p w14:paraId="1FAD723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5.顶板自动加热功能；</w:t>
            </w:r>
          </w:p>
          <w:p w14:paraId="5C03C0E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6.输出波形（治疗波形）为正弦波、正弦调制波；</w:t>
            </w:r>
          </w:p>
          <w:p w14:paraId="170C7A1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▲7.输出频率（基频）为1kHz～11kHz可调节，步长0.5kHz；</w:t>
            </w:r>
          </w:p>
          <w:p w14:paraId="54B3CCB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▲8.差频频率在0.1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200Hz可调；</w:t>
            </w:r>
          </w:p>
          <w:p w14:paraId="10C09F6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9.输出电流有效值应在0mA～100mA范围内连续可调；</w:t>
            </w:r>
          </w:p>
          <w:p w14:paraId="48B125D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10.动态节律为4s～10s可调，步长1s；</w:t>
            </w:r>
          </w:p>
          <w:p w14:paraId="4F056BA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11.差频变化周期为15s～30s可调，步长1s；</w:t>
            </w:r>
          </w:p>
          <w:p w14:paraId="1DFF57C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12.差频变化范围为：低、中、高、极高、低高、广域、超广域以及自定义，8种治疗模式可调；</w:t>
            </w:r>
          </w:p>
          <w:p w14:paraId="67D862E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13.具有方案库功能；</w:t>
            </w:r>
          </w:p>
          <w:p w14:paraId="73566B4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14.具有自定义方案保存功能，可以个性化定制治疗方案并保存到方案库；</w:t>
            </w:r>
          </w:p>
          <w:p w14:paraId="555DF08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15.治疗过程中吸附电极脱落报警且输出归零， 防止击伤患者及无效治疗；</w:t>
            </w:r>
          </w:p>
          <w:p w14:paraId="0FE09F2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16.多重安全保护：过电流保护、过电压保护、断路保护、顶板加热双重温度保护。</w:t>
            </w:r>
          </w:p>
        </w:tc>
        <w:tc>
          <w:tcPr>
            <w:tcW w:w="1346" w:type="dxa"/>
            <w:tcBorders>
              <w:left w:val="single" w:color="auto" w:sz="4" w:space="0"/>
            </w:tcBorders>
            <w:vAlign w:val="center"/>
          </w:tcPr>
          <w:p w14:paraId="374601D8">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188000.00</w:t>
            </w:r>
          </w:p>
        </w:tc>
      </w:tr>
      <w:tr w14:paraId="1142C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02452380">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w:t>
            </w:r>
          </w:p>
        </w:tc>
        <w:tc>
          <w:tcPr>
            <w:tcW w:w="992" w:type="dxa"/>
            <w:vAlign w:val="center"/>
          </w:tcPr>
          <w:p w14:paraId="316F8CF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低中频电疗及超声治疗仪</w:t>
            </w:r>
          </w:p>
        </w:tc>
        <w:tc>
          <w:tcPr>
            <w:tcW w:w="850" w:type="dxa"/>
            <w:gridSpan w:val="2"/>
            <w:vAlign w:val="center"/>
          </w:tcPr>
          <w:p w14:paraId="1F809530">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22E823A9">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3EACE05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1.设备由超声层、电疗层组成，每个功能层之间可进行拆卸，便于按需选择外带与转移。</w:t>
            </w:r>
          </w:p>
          <w:p w14:paraId="09272A3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2.治疗通道：≥4路电刺激通道、≥2路超声通道。</w:t>
            </w:r>
          </w:p>
          <w:p w14:paraId="3E8A89A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3.超声治疗头具备IPX7的防水等级，可进行水下超声治疗。</w:t>
            </w:r>
          </w:p>
          <w:p w14:paraId="63D0463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4.内嵌≥10.1英寸彩色液晶触摸显示屏，并配备无级飞梭旋钮，操作精准快捷；</w:t>
            </w:r>
          </w:p>
          <w:p w14:paraId="4823087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5.可适配多种电极以用于不同部位的治疗，包括但不限于自粘式电极、吸附电极、板状电极。</w:t>
            </w:r>
          </w:p>
          <w:p w14:paraId="0309B96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6.电刺激功能和超声功能可同时或者独立输出，可同时进行多部位或多患者治疗。</w:t>
            </w:r>
          </w:p>
          <w:p w14:paraId="271B0A1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7.电刺激输出具有开路保护功能；</w:t>
            </w:r>
          </w:p>
          <w:p w14:paraId="535E4A5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8.超声输出时具备开路检测功能；</w:t>
            </w:r>
          </w:p>
          <w:p w14:paraId="635657A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9.超声治疗头具备超温保护功能。</w:t>
            </w:r>
          </w:p>
          <w:p w14:paraId="026E558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10.设备使用期限不小于9年。</w:t>
            </w:r>
          </w:p>
          <w:p w14:paraId="5DD4C38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11.电刺激输出治疗时间1-60min可调，步长1min；超声输出治疗时间1-30min可调，步长1min；</w:t>
            </w:r>
          </w:p>
          <w:p w14:paraId="465F2DC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12.内置临床方案（其中包括超声治疗方案、电疗方案、超声电疗联合治疗方案），且治疗方案中附有人体解剖图及操作指引；</w:t>
            </w:r>
          </w:p>
          <w:p w14:paraId="4C6BFA3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13.可自定义方案，自定义方案数量≥1000；</w:t>
            </w:r>
          </w:p>
          <w:p w14:paraId="656A0DE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14.病例库管理功能，实现患者信息数据化管理。可以新建、编辑和删除患者信息，系统管理全科病人信息。</w:t>
            </w:r>
          </w:p>
          <w:p w14:paraId="30A44A8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15.具备联网功能，可以查看设备的联网状态（在线、离线）。</w:t>
            </w:r>
          </w:p>
          <w:p w14:paraId="29CC27A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电刺激模块参数：</w:t>
            </w:r>
          </w:p>
          <w:p w14:paraId="181A599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.具有直流电、间动电流、经皮神经肌肉电刺激、2-5方波脉冲电流、感应电流、微电流、调制中频电流、中频电流、俄罗斯电流、高压电等多种电流输出模式；</w:t>
            </w:r>
          </w:p>
          <w:p w14:paraId="45EB852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具有传统直流电、间断直流电、间动电流（密波、疏波、疏密波、间升波、CP-iso间动电流）、经皮神经肌肉电刺激（非对称电流、双相对称电流、交替不对称电流、巴斯特非对称电流、巴斯特双相对称电流、巴斯特交替不对称）、2-5脉冲方波电流、感应电流（方波脉冲电流、三角波脉冲电流）、微电流、调制中频电流、中频干扰电流（传统干扰电流、自动两极向量、手动两级向量、等平面向量）、俄罗斯电流等不少于30种电刺激波形；中频电流载波频率：2kHz-10kHz，误差±20%。</w:t>
            </w:r>
          </w:p>
          <w:p w14:paraId="775F920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.中频电流载波频率：2kHz-10kHz，误差±20%。</w:t>
            </w:r>
          </w:p>
          <w:p w14:paraId="2871786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.在500Ω的负载电阻下，输出电流有效值不超过100mA。</w:t>
            </w:r>
          </w:p>
          <w:p w14:paraId="2425A07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.电刺激输出包含恒流和恒压两种输出方式。</w:t>
            </w:r>
          </w:p>
          <w:p w14:paraId="528A289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.脉冲群调制：  </w:t>
            </w:r>
          </w:p>
          <w:p w14:paraId="1944BCA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1)上升时间：0s～9s；</w:t>
            </w:r>
          </w:p>
          <w:p w14:paraId="7D06B75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2)保持时间：0s～60s；</w:t>
            </w:r>
          </w:p>
          <w:p w14:paraId="05B4B94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3)下降时间：0s～9s；</w:t>
            </w:r>
          </w:p>
          <w:p w14:paraId="0133F06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4)间隔时间：0s～120s；</w:t>
            </w:r>
          </w:p>
          <w:p w14:paraId="409B11B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5)延迟时间（仅双通道输出时）：0.1～80s。</w:t>
            </w:r>
          </w:p>
          <w:p w14:paraId="1804437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.可针对基础电流进行频率调制，具备恒定、扫引、交替三种调制模式，可降低患者耐受性。</w:t>
            </w:r>
          </w:p>
          <w:p w14:paraId="769D46A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.可输出单相电流，且电流方向可自由定义，具备电流方向手动和自动转换功能，为用户提供安全、有效且舒适的治疗体验。</w:t>
            </w:r>
          </w:p>
          <w:p w14:paraId="0AAC82B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超声模块：</w:t>
            </w:r>
          </w:p>
          <w:p w14:paraId="172028C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.超声治疗头具备单头双频功能，可输出超声工作频率：1MHz和3MHz，误差±10%。</w:t>
            </w:r>
          </w:p>
          <w:p w14:paraId="47C878B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.配备两种尺寸的超声治疗头，可满足不同面积部位的治疗。</w:t>
            </w:r>
          </w:p>
          <w:p w14:paraId="70CCB17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.超声输出模式：连续输出和脉冲输出。</w:t>
            </w:r>
          </w:p>
          <w:p w14:paraId="77C1150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.脉冲频率至少有3档可调：16Hz、48Hz和100Hz，误差±5%；</w:t>
            </w:r>
          </w:p>
          <w:p w14:paraId="4550452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.超声输出占空比10-50%连续可调，步进10%，误差±5%。</w:t>
            </w:r>
          </w:p>
          <w:p w14:paraId="33797EA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.有效辐射面积：1cm²和3.2cm²，误差±20%；</w:t>
            </w:r>
          </w:p>
          <w:p w14:paraId="56FD6B5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.连续模式下，超声治疗头额定输出功率：2W、8W；脉冲模式下，超声治疗头最大输出功率3W、15W；</w:t>
            </w:r>
          </w:p>
          <w:p w14:paraId="530BE72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.连续模式下，超声治疗头有效声强范围在0～2W/</w:t>
            </w:r>
            <w:r>
              <w:rPr>
                <w:color w:val="000000" w:themeColor="text1"/>
                <w14:textFill>
                  <w14:solidFill>
                    <w14:schemeClr w14:val="tx1"/>
                  </w14:solidFill>
                </w14:textFill>
              </w:rPr>
              <w:t>cm²</w:t>
            </w:r>
            <w:r>
              <w:rPr>
                <w:rFonts w:hint="eastAsia" w:ascii="宋体" w:hAnsi="宋体"/>
                <w:color w:val="000000" w:themeColor="text1"/>
                <w:szCs w:val="21"/>
                <w14:textFill>
                  <w14:solidFill>
                    <w14:schemeClr w14:val="tx1"/>
                  </w14:solidFill>
                </w14:textFill>
              </w:rPr>
              <w:t>、0～2.5W/</w:t>
            </w:r>
            <w:r>
              <w:rPr>
                <w:color w:val="000000" w:themeColor="text1"/>
                <w14:textFill>
                  <w14:solidFill>
                    <w14:schemeClr w14:val="tx1"/>
                  </w14:solidFill>
                </w14:textFill>
              </w:rPr>
              <w:t>cm²</w:t>
            </w:r>
            <w:r>
              <w:rPr>
                <w:rFonts w:hint="eastAsia" w:ascii="宋体" w:hAnsi="宋体"/>
                <w:color w:val="000000" w:themeColor="text1"/>
                <w:szCs w:val="21"/>
                <w14:textFill>
                  <w14:solidFill>
                    <w14:schemeClr w14:val="tx1"/>
                  </w14:solidFill>
                </w14:textFill>
              </w:rPr>
              <w:t>；脉冲模式下，最大有效声强范围在0～3W/</w:t>
            </w:r>
            <w:r>
              <w:rPr>
                <w:color w:val="000000" w:themeColor="text1"/>
                <w14:textFill>
                  <w14:solidFill>
                    <w14:schemeClr w14:val="tx1"/>
                  </w14:solidFill>
                </w14:textFill>
              </w:rPr>
              <w:t>cm²</w:t>
            </w:r>
            <w:r>
              <w:rPr>
                <w:rFonts w:hint="eastAsia" w:ascii="宋体" w:hAnsi="宋体"/>
                <w:color w:val="000000" w:themeColor="text1"/>
                <w:szCs w:val="21"/>
                <w14:textFill>
                  <w14:solidFill>
                    <w14:schemeClr w14:val="tx1"/>
                  </w14:solidFill>
                </w14:textFill>
              </w:rPr>
              <w:t>、0～5W/</w:t>
            </w:r>
            <w:r>
              <w:rPr>
                <w:color w:val="000000" w:themeColor="text1"/>
                <w14:textFill>
                  <w14:solidFill>
                    <w14:schemeClr w14:val="tx1"/>
                  </w14:solidFill>
                </w14:textFill>
              </w:rPr>
              <w:t>cm²</w:t>
            </w:r>
            <w:r>
              <w:rPr>
                <w:rFonts w:hint="eastAsia" w:ascii="宋体" w:hAnsi="宋体"/>
                <w:color w:val="000000" w:themeColor="text1"/>
                <w:szCs w:val="21"/>
                <w14:textFill>
                  <w14:solidFill>
                    <w14:schemeClr w14:val="tx1"/>
                  </w14:solidFill>
                </w14:textFill>
              </w:rPr>
              <w:t>；</w:t>
            </w:r>
          </w:p>
          <w:p w14:paraId="0AAFE1B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.波束不均系数≤6；</w:t>
            </w:r>
          </w:p>
          <w:p w14:paraId="187310C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.具备两种波束类型：准直型、发散型；</w:t>
            </w:r>
          </w:p>
          <w:p w14:paraId="11589B2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.有效声强不大于3.0W / cm ²。</w:t>
            </w:r>
          </w:p>
        </w:tc>
        <w:tc>
          <w:tcPr>
            <w:tcW w:w="1346" w:type="dxa"/>
            <w:tcBorders>
              <w:left w:val="single" w:color="auto" w:sz="4" w:space="0"/>
            </w:tcBorders>
            <w:vAlign w:val="center"/>
          </w:tcPr>
          <w:p w14:paraId="0F462694">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168000.00</w:t>
            </w:r>
          </w:p>
        </w:tc>
      </w:tr>
      <w:tr w14:paraId="7A638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48E77110">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w:t>
            </w:r>
          </w:p>
        </w:tc>
        <w:tc>
          <w:tcPr>
            <w:tcW w:w="992" w:type="dxa"/>
            <w:vAlign w:val="center"/>
          </w:tcPr>
          <w:p w14:paraId="71E94B13">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磁场刺激仪</w:t>
            </w:r>
          </w:p>
        </w:tc>
        <w:tc>
          <w:tcPr>
            <w:tcW w:w="850" w:type="dxa"/>
            <w:gridSpan w:val="2"/>
            <w:vAlign w:val="center"/>
          </w:tcPr>
          <w:p w14:paraId="1DF2170F">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1台</w:t>
            </w:r>
          </w:p>
        </w:tc>
        <w:tc>
          <w:tcPr>
            <w:tcW w:w="709" w:type="dxa"/>
            <w:shd w:val="clear" w:color="auto" w:fill="auto"/>
            <w:vAlign w:val="center"/>
          </w:tcPr>
          <w:p w14:paraId="6B6B575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10037E7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1．安全设计结构：刺激发生器与液冷系统采用分体式设计，实现液电分离，提升使用安全性。</w:t>
            </w:r>
          </w:p>
          <w:p w14:paraId="7117D32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▲2.动态参数调节：治疗过程中可实时调整刺激强度与刺激频率，无需结束治疗调整，便于临床方案灵活优化。</w:t>
            </w:r>
          </w:p>
          <w:p w14:paraId="3A0D62C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▲3.网络互联能力：支持设备联网状态监测，可与 HIS 系统、康复管理平台等实现数据互通。</w:t>
            </w:r>
          </w:p>
          <w:p w14:paraId="2E9348D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 磁场输出性能</w:t>
            </w:r>
          </w:p>
          <w:p w14:paraId="635DD35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(1) 磁感应强度范围：1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6T，误差控制，误差± 20%</w:t>
            </w:r>
          </w:p>
          <w:p w14:paraId="21829BA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(2) 脉冲宽度：120μs，误差 ±10%；</w:t>
            </w:r>
          </w:p>
          <w:p w14:paraId="2A99719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(3) 脉冲上升时间：60μs，误差 ±10μs；</w:t>
            </w:r>
          </w:p>
          <w:p w14:paraId="5BA687B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(4) 输出频率调节：0.1</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85Hz 连续可调，≥1Hz步长为 1Hz；≤1Hz时可选步长为0.01Hz、0.1Hz。</w:t>
            </w:r>
          </w:p>
          <w:p w14:paraId="1EB2431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5.电生理监测模块：内置双通道运动诱发电位（MEP）实时监测系统。</w:t>
            </w:r>
          </w:p>
          <w:p w14:paraId="37C5872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6.人机交互界面：主机搭载≥ 10 英寸彩色触控显示屏，支持独立操作控制。</w:t>
            </w:r>
          </w:p>
          <w:p w14:paraId="2FDDBD6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7.辅助显示设备：标配≥21 寸一体机电脑，区别于笔记本电脑，固定在台面。</w:t>
            </w:r>
          </w:p>
          <w:p w14:paraId="68B8E08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8.超温保护机制：当刺激线圈表面温度超过 41℃时，自动停止磁场输出。</w:t>
            </w:r>
          </w:p>
          <w:p w14:paraId="178A846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9.数据管理系统</w:t>
            </w:r>
          </w:p>
          <w:p w14:paraId="3805D90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(1) 病例库功能：支持患者信息存储、导出及评估报告打印；</w:t>
            </w:r>
          </w:p>
          <w:p w14:paraId="5362CBB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(2) 方案自定义：允许基于临床需求编辑个性化治疗方案；</w:t>
            </w:r>
          </w:p>
          <w:p w14:paraId="102CEDF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(3) 快速检索：可通过患者姓名 / 病历号查询信息，方案库支持关键词检索、收藏置顶；</w:t>
            </w:r>
          </w:p>
          <w:p w14:paraId="26B2CE9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(4) 海量存储：支持患者基本信息、治疗方案及记录的实时查询、编辑与备份导出。</w:t>
            </w:r>
          </w:p>
          <w:p w14:paraId="34AC3BD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 实时显示连接线圈的温度，显示精度可达0.1℃。</w:t>
            </w:r>
          </w:p>
          <w:p w14:paraId="4E81724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11.刺激模式多样性：支持单脉冲经颅磁刺激(single-pulse TMS</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spTMS)、重复经颅磁刺激（repetitive transcranial magnetic stimulation</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rTMS）及爆发模式(theta burst stimulation</w:t>
            </w:r>
            <w:r>
              <w:rPr>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TBS)等多种治疗模式切换。</w:t>
            </w:r>
          </w:p>
          <w:p w14:paraId="570A550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12.定位辅助功能：提供专业 3D 解剖图谱，支持自定义图片上传及放大查看，辅助精准靶点定位。</w:t>
            </w:r>
          </w:p>
          <w:p w14:paraId="426CC6B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13.外部接口兼容性：配备 TTL 触发接口，支持兼容神经导航、肌电图、脑电图、机械臂等设备。</w:t>
            </w:r>
          </w:p>
          <w:p w14:paraId="620FED7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14.冷却系统可视化：四档水位高度实时显示液位状态，可实时观测冷却液液位及线圈温度状态。</w:t>
            </w:r>
          </w:p>
          <w:p w14:paraId="1814B9C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 预适应强度功能：具备≥3 档预适应强度调节档位，可按需开启 / 关闭，降低患者对刺激的应激反应，提升治疗顺应性。</w:t>
            </w:r>
          </w:p>
          <w:p w14:paraId="6E28DEB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16.磁刺激可调参数包括刺激频率、刺激强度、刺激个数、间歇时间等参数可完全独立调节，无强制关联。</w:t>
            </w:r>
          </w:p>
          <w:p w14:paraId="30F3F16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▲17.频率调制能力：至少具有五种刺激方式，满足不同病症患者的个性化治疗需求。</w:t>
            </w:r>
          </w:p>
          <w:p w14:paraId="198028BA">
            <w:pPr>
              <w:pStyle w:val="14"/>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▲18明确刺激线圈和高压储能电容的使用次数</w:t>
            </w:r>
            <w:r>
              <w:rPr>
                <w:rFonts w:hint="eastAsia"/>
                <w:color w:val="000000" w:themeColor="text1"/>
                <w14:textFill>
                  <w14:solidFill>
                    <w14:schemeClr w14:val="tx1"/>
                  </w14:solidFill>
                </w14:textFill>
              </w:rPr>
              <w:t>不低于</w:t>
            </w:r>
            <w:r>
              <w:rPr>
                <w:rFonts w:hint="eastAsia" w:ascii="宋体" w:hAnsi="宋体"/>
                <w:color w:val="000000" w:themeColor="text1"/>
                <w:szCs w:val="21"/>
                <w14:textFill>
                  <w14:solidFill>
                    <w14:schemeClr w14:val="tx1"/>
                  </w14:solidFill>
                </w14:textFill>
              </w:rPr>
              <w:t>8500000次。</w:t>
            </w:r>
          </w:p>
        </w:tc>
        <w:tc>
          <w:tcPr>
            <w:tcW w:w="1346" w:type="dxa"/>
            <w:tcBorders>
              <w:left w:val="single" w:color="auto" w:sz="4" w:space="0"/>
            </w:tcBorders>
            <w:vAlign w:val="center"/>
          </w:tcPr>
          <w:p w14:paraId="64A71F2A">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288000.00</w:t>
            </w:r>
          </w:p>
        </w:tc>
      </w:tr>
      <w:tr w14:paraId="4974D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57156548">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w:t>
            </w:r>
          </w:p>
        </w:tc>
        <w:tc>
          <w:tcPr>
            <w:tcW w:w="992" w:type="dxa"/>
            <w:vAlign w:val="center"/>
          </w:tcPr>
          <w:p w14:paraId="6ADB5DFC">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巴氏球</w:t>
            </w:r>
          </w:p>
        </w:tc>
        <w:tc>
          <w:tcPr>
            <w:tcW w:w="850" w:type="dxa"/>
            <w:gridSpan w:val="2"/>
            <w:vAlign w:val="center"/>
          </w:tcPr>
          <w:p w14:paraId="7CB17CC9">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1个</w:t>
            </w:r>
          </w:p>
        </w:tc>
        <w:tc>
          <w:tcPr>
            <w:tcW w:w="709" w:type="dxa"/>
            <w:shd w:val="clear" w:color="auto" w:fill="auto"/>
            <w:vAlign w:val="center"/>
          </w:tcPr>
          <w:p w14:paraId="400D2F1E">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vAlign w:val="center"/>
          </w:tcPr>
          <w:p w14:paraId="4539AE87">
            <w:pPr>
              <w:spacing w:line="38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功能：用于患者的平衡感觉、反射调节、缓解肌痉挛</w:t>
            </w:r>
          </w:p>
          <w:p w14:paraId="6F10969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规格(cm)：φ75cm允差±10%</w:t>
            </w:r>
          </w:p>
        </w:tc>
        <w:tc>
          <w:tcPr>
            <w:tcW w:w="1346" w:type="dxa"/>
            <w:tcBorders>
              <w:left w:val="single" w:color="auto" w:sz="4" w:space="0"/>
            </w:tcBorders>
            <w:vAlign w:val="center"/>
          </w:tcPr>
          <w:p w14:paraId="6A6F4347">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1720.00</w:t>
            </w:r>
          </w:p>
        </w:tc>
      </w:tr>
      <w:tr w14:paraId="57047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50" w:type="dxa"/>
            <w:vAlign w:val="center"/>
          </w:tcPr>
          <w:p w14:paraId="2322101C">
            <w:pPr>
              <w:tabs>
                <w:tab w:val="left" w:pos="180"/>
                <w:tab w:val="left" w:pos="1620"/>
              </w:tabs>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w:t>
            </w:r>
          </w:p>
        </w:tc>
        <w:tc>
          <w:tcPr>
            <w:tcW w:w="992" w:type="dxa"/>
            <w:vAlign w:val="center"/>
          </w:tcPr>
          <w:p w14:paraId="6CD0CF92">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台车</w:t>
            </w:r>
          </w:p>
        </w:tc>
        <w:tc>
          <w:tcPr>
            <w:tcW w:w="850" w:type="dxa"/>
            <w:gridSpan w:val="2"/>
            <w:vAlign w:val="center"/>
          </w:tcPr>
          <w:p w14:paraId="21B8063B">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8台</w:t>
            </w:r>
          </w:p>
        </w:tc>
        <w:tc>
          <w:tcPr>
            <w:tcW w:w="709" w:type="dxa"/>
            <w:shd w:val="clear" w:color="auto" w:fill="auto"/>
            <w:vAlign w:val="center"/>
          </w:tcPr>
          <w:p w14:paraId="2BD3D861">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工业</w:t>
            </w:r>
          </w:p>
        </w:tc>
        <w:tc>
          <w:tcPr>
            <w:tcW w:w="5035" w:type="dxa"/>
            <w:tcBorders>
              <w:right w:val="single" w:color="auto" w:sz="4" w:space="0"/>
            </w:tcBorders>
            <w:shd w:val="clear" w:color="auto" w:fill="auto"/>
            <w:vAlign w:val="center"/>
          </w:tcPr>
          <w:p w14:paraId="7920DDF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1.置物台面规格:铝合金材质表面阳极氧化处理，长430mm*宽430mm*高4mm允差±10%</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2.立柱规格:铝合金表面阳极氧化处理</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3.台车高度:可升降高度600mm-1050mm允差±10%</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4.底座规格:500mm允差±10%ABS塑料包配重钢盘</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5.脚轮规格:2.5寸允差±10%静音脚轮≥5个(5刹车)</w:t>
            </w:r>
            <w:r>
              <w:rPr>
                <w:rFonts w:hint="eastAsia" w:ascii="宋体" w:hAnsi="宋体"/>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6.挂篮规格:浸塑铁篮长280mm*宽170mm*高120mm允差±10%不锈钢篮长320mm*宽210mm*高140mm允差±10%</w:t>
            </w:r>
          </w:p>
        </w:tc>
        <w:tc>
          <w:tcPr>
            <w:tcW w:w="1346" w:type="dxa"/>
            <w:tcBorders>
              <w:left w:val="single" w:color="auto" w:sz="4" w:space="0"/>
            </w:tcBorders>
            <w:vAlign w:val="center"/>
          </w:tcPr>
          <w:p w14:paraId="7CF17AE4">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4000.00</w:t>
            </w:r>
          </w:p>
        </w:tc>
      </w:tr>
      <w:tr w14:paraId="79964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9782" w:type="dxa"/>
            <w:gridSpan w:val="7"/>
            <w:tcBorders>
              <w:top w:val="single" w:color="auto" w:sz="4" w:space="0"/>
              <w:left w:val="single" w:color="auto" w:sz="4" w:space="0"/>
              <w:bottom w:val="single" w:color="auto" w:sz="4" w:space="0"/>
              <w:right w:val="single" w:color="auto" w:sz="4" w:space="0"/>
            </w:tcBorders>
          </w:tcPr>
          <w:p w14:paraId="61183AD8">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一、商务要求</w:t>
            </w:r>
          </w:p>
        </w:tc>
      </w:tr>
      <w:tr w14:paraId="5269D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166861F8">
            <w:pPr>
              <w:spacing w:line="380" w:lineRule="exact"/>
              <w:jc w:val="center"/>
              <w:rPr>
                <w:rFonts w:ascii="宋体" w:hAnsi="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交货时间和地点</w:t>
            </w:r>
          </w:p>
        </w:tc>
        <w:tc>
          <w:tcPr>
            <w:tcW w:w="7867" w:type="dxa"/>
            <w:gridSpan w:val="4"/>
            <w:tcBorders>
              <w:top w:val="single" w:color="auto" w:sz="4" w:space="0"/>
              <w:left w:val="single" w:color="auto" w:sz="4" w:space="0"/>
              <w:bottom w:val="single" w:color="auto" w:sz="4" w:space="0"/>
              <w:right w:val="single" w:color="auto" w:sz="4" w:space="0"/>
            </w:tcBorders>
          </w:tcPr>
          <w:p w14:paraId="3D831ADF">
            <w:pPr>
              <w:suppressLineNumbers/>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交货时间：自签订合同之日起</w:t>
            </w:r>
            <w:r>
              <w:rPr>
                <w:rFonts w:ascii="宋体" w:hAnsi="宋体" w:cs="宋体"/>
                <w:color w:val="000000" w:themeColor="text1"/>
                <w:szCs w:val="21"/>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天内交货安装调试完毕并交付使用。</w:t>
            </w:r>
          </w:p>
          <w:p w14:paraId="69AAA431">
            <w:pPr>
              <w:suppressLineNumbers/>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2.交付地点：宁明县海渊镇中心卫生院内，采购人指定地点。</w:t>
            </w:r>
          </w:p>
        </w:tc>
      </w:tr>
      <w:tr w14:paraId="5A13D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42061143">
            <w:pPr>
              <w:spacing w:line="380" w:lineRule="exact"/>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合同签订时间</w:t>
            </w:r>
          </w:p>
        </w:tc>
        <w:tc>
          <w:tcPr>
            <w:tcW w:w="7867" w:type="dxa"/>
            <w:gridSpan w:val="4"/>
            <w:tcBorders>
              <w:top w:val="single" w:color="auto" w:sz="4" w:space="0"/>
              <w:left w:val="single" w:color="auto" w:sz="4" w:space="0"/>
              <w:bottom w:val="single" w:color="auto" w:sz="4" w:space="0"/>
              <w:right w:val="single" w:color="auto" w:sz="4" w:space="0"/>
            </w:tcBorders>
            <w:vAlign w:val="center"/>
          </w:tcPr>
          <w:p w14:paraId="7DD11B5E">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自成交通知书发出之日起15日内，因不可抗力原因延迟签订合同的，自不可抗力事由消除之日起5个工作日内完成合同签订事宜。</w:t>
            </w:r>
          </w:p>
        </w:tc>
      </w:tr>
      <w:tr w14:paraId="64AC1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2"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45644145">
            <w:pPr>
              <w:spacing w:line="380" w:lineRule="exact"/>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付款方式</w:t>
            </w:r>
          </w:p>
        </w:tc>
        <w:tc>
          <w:tcPr>
            <w:tcW w:w="7867" w:type="dxa"/>
            <w:gridSpan w:val="4"/>
            <w:tcBorders>
              <w:top w:val="single" w:color="auto" w:sz="4" w:space="0"/>
              <w:left w:val="single" w:color="auto" w:sz="4" w:space="0"/>
              <w:bottom w:val="single" w:color="auto" w:sz="4" w:space="0"/>
              <w:right w:val="single" w:color="auto" w:sz="4" w:space="0"/>
            </w:tcBorders>
            <w:vAlign w:val="center"/>
          </w:tcPr>
          <w:p w14:paraId="54BC6EE4">
            <w:pPr>
              <w:spacing w:line="360" w:lineRule="auto"/>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合同签订后，10个工作日内按合同总价款的</w:t>
            </w:r>
            <w:r>
              <w:rPr>
                <w:rFonts w:hint="eastAsia" w:ascii="宋体" w:hAnsi="宋体" w:cs="宋体"/>
                <w:bCs/>
                <w:color w:val="000000" w:themeColor="text1"/>
                <w:szCs w:val="21"/>
                <w:lang w:val="en-US" w:eastAsia="zh-CN"/>
                <w14:textFill>
                  <w14:solidFill>
                    <w14:schemeClr w14:val="tx1"/>
                  </w14:solidFill>
                </w14:textFill>
              </w:rPr>
              <w:t>3</w:t>
            </w:r>
            <w:r>
              <w:rPr>
                <w:rFonts w:hint="eastAsia" w:ascii="宋体" w:hAnsi="宋体" w:cs="宋体"/>
                <w:bCs/>
                <w:color w:val="000000" w:themeColor="text1"/>
                <w:szCs w:val="21"/>
                <w14:textFill>
                  <w14:solidFill>
                    <w14:schemeClr w14:val="tx1"/>
                  </w14:solidFill>
                </w14:textFill>
              </w:rPr>
              <w:t>0%支付，成交供应商交货并经现场安装调试，采购人验收合格后，由成交供应商开具正式有效发票，采购人收到发票后</w:t>
            </w:r>
            <w:r>
              <w:rPr>
                <w:rFonts w:hint="eastAsia" w:ascii="宋体" w:hAnsi="宋体" w:cs="宋体"/>
                <w:bCs/>
                <w:color w:val="000000" w:themeColor="text1"/>
                <w:szCs w:val="21"/>
                <w:lang w:val="en-US" w:eastAsia="zh-CN"/>
                <w14:textFill>
                  <w14:solidFill>
                    <w14:schemeClr w14:val="tx1"/>
                  </w14:solidFill>
                </w14:textFill>
              </w:rPr>
              <w:t>1</w:t>
            </w:r>
            <w:r>
              <w:rPr>
                <w:rFonts w:ascii="宋体" w:hAnsi="宋体" w:cs="宋体"/>
                <w:bCs/>
                <w:color w:val="000000" w:themeColor="text1"/>
                <w:szCs w:val="21"/>
                <w14:textFill>
                  <w14:solidFill>
                    <w14:schemeClr w14:val="tx1"/>
                  </w14:solidFill>
                </w14:textFill>
              </w:rPr>
              <w:t>0</w:t>
            </w:r>
            <w:r>
              <w:rPr>
                <w:rFonts w:hint="eastAsia" w:ascii="宋体" w:hAnsi="宋体" w:cs="宋体"/>
                <w:bCs/>
                <w:color w:val="000000" w:themeColor="text1"/>
                <w:szCs w:val="21"/>
                <w14:textFill>
                  <w14:solidFill>
                    <w14:schemeClr w14:val="tx1"/>
                  </w14:solidFill>
                </w14:textFill>
              </w:rPr>
              <w:t>个工作日内按合同总价款</w:t>
            </w:r>
            <w:r>
              <w:rPr>
                <w:rFonts w:hint="eastAsia" w:ascii="宋体" w:hAnsi="宋体" w:cs="宋体"/>
                <w:bCs/>
                <w:color w:val="000000" w:themeColor="text1"/>
                <w:szCs w:val="21"/>
                <w:lang w:val="en-US" w:eastAsia="zh-CN"/>
                <w14:textFill>
                  <w14:solidFill>
                    <w14:schemeClr w14:val="tx1"/>
                  </w14:solidFill>
                </w14:textFill>
              </w:rPr>
              <w:t>7</w:t>
            </w:r>
            <w:r>
              <w:rPr>
                <w:rFonts w:hint="eastAsia" w:ascii="宋体" w:hAnsi="宋体" w:cs="宋体"/>
                <w:bCs/>
                <w:color w:val="000000" w:themeColor="text1"/>
                <w:szCs w:val="21"/>
                <w14:textFill>
                  <w14:solidFill>
                    <w14:schemeClr w14:val="tx1"/>
                  </w14:solidFill>
                </w14:textFill>
              </w:rPr>
              <w:t xml:space="preserve">0%支付。 </w:t>
            </w:r>
          </w:p>
          <w:p w14:paraId="3228DCD1">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注：以上的支付款项不计息。</w:t>
            </w:r>
          </w:p>
        </w:tc>
      </w:tr>
      <w:tr w14:paraId="6786F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5"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38B6D046">
            <w:pPr>
              <w:spacing w:line="380" w:lineRule="exact"/>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报价要求</w:t>
            </w:r>
          </w:p>
        </w:tc>
        <w:tc>
          <w:tcPr>
            <w:tcW w:w="7867" w:type="dxa"/>
            <w:gridSpan w:val="4"/>
            <w:tcBorders>
              <w:top w:val="single" w:color="auto" w:sz="4" w:space="0"/>
              <w:left w:val="single" w:color="auto" w:sz="4" w:space="0"/>
              <w:bottom w:val="single" w:color="auto" w:sz="4" w:space="0"/>
              <w:right w:val="single" w:color="auto" w:sz="4" w:space="0"/>
            </w:tcBorders>
          </w:tcPr>
          <w:p w14:paraId="5860D97B">
            <w:pPr>
              <w:suppressLineNumbers/>
              <w:spacing w:line="38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竞标报价包含货物、货物标准附件、备品备件、专用工具、设备安装辅材、施工辅材、包装、运输、装卸、保险、货到就位的各种费用以及安装、调试、产品质保期内维护等本竞争性谈判文件所列设备材料、功能配置需进行补充完善才能完成本项目的或实际采购中产品材料、功能配置有任何遗漏的费用（含本项目需要但本文件中未列出的设备材料、功能配置）、税金、售后服务、技术培训及其他所有成本费用，以及合同明示或暗示的所有责任、义务和一般风险等一切费用。合同履行过程中，采购人不再支付合同以外的其他费用。</w:t>
            </w:r>
          </w:p>
          <w:p w14:paraId="16842B89">
            <w:pPr>
              <w:suppressLineNumbers/>
              <w:spacing w:line="380" w:lineRule="exact"/>
              <w:ind w:firstLine="422"/>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2.每项货物报价金额不能超过预算单价，超预算报价按无效处理。</w:t>
            </w:r>
          </w:p>
        </w:tc>
      </w:tr>
      <w:tr w14:paraId="054EA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7"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3FC502A4">
            <w:pPr>
              <w:spacing w:line="380" w:lineRule="exact"/>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质保期</w:t>
            </w:r>
          </w:p>
        </w:tc>
        <w:tc>
          <w:tcPr>
            <w:tcW w:w="7867" w:type="dxa"/>
            <w:gridSpan w:val="4"/>
            <w:tcBorders>
              <w:top w:val="single" w:color="auto" w:sz="4" w:space="0"/>
              <w:left w:val="single" w:color="auto" w:sz="4" w:space="0"/>
              <w:bottom w:val="single" w:color="auto" w:sz="4" w:space="0"/>
              <w:right w:val="single" w:color="auto" w:sz="4" w:space="0"/>
            </w:tcBorders>
            <w:vAlign w:val="center"/>
          </w:tcPr>
          <w:p w14:paraId="04031523">
            <w:pPr>
              <w:suppressLineNumbers/>
              <w:spacing w:line="38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自安装、验收合格并交付使用之日起主机不少于2年[技术参数及性能（配置）要求中有要求的按其规定]，终身维修。</w:t>
            </w:r>
          </w:p>
        </w:tc>
      </w:tr>
      <w:tr w14:paraId="05564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1"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35209191">
            <w:pPr>
              <w:spacing w:line="38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产品质量要求</w:t>
            </w:r>
          </w:p>
        </w:tc>
        <w:tc>
          <w:tcPr>
            <w:tcW w:w="7867" w:type="dxa"/>
            <w:gridSpan w:val="4"/>
            <w:tcBorders>
              <w:top w:val="single" w:color="auto" w:sz="4" w:space="0"/>
              <w:left w:val="single" w:color="auto" w:sz="4" w:space="0"/>
              <w:bottom w:val="single" w:color="auto" w:sz="4" w:space="0"/>
              <w:right w:val="single" w:color="auto" w:sz="4" w:space="0"/>
            </w:tcBorders>
            <w:vAlign w:val="center"/>
          </w:tcPr>
          <w:p w14:paraId="3D7D2737">
            <w:pPr>
              <w:suppressLineNumbers/>
              <w:spacing w:line="380" w:lineRule="exact"/>
              <w:ind w:firstLine="42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要求竞标货物及其所有零部件必须是符合国家有关质量和安全强制要求和标准的产品。</w:t>
            </w:r>
          </w:p>
        </w:tc>
      </w:tr>
      <w:tr w14:paraId="12E3A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9"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597C41E4">
            <w:pPr>
              <w:spacing w:line="380" w:lineRule="exact"/>
              <w:jc w:val="center"/>
              <w:rPr>
                <w:rFonts w:ascii="宋体" w:hAnsi="宋体" w:cs="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售后服务</w:t>
            </w:r>
          </w:p>
        </w:tc>
        <w:tc>
          <w:tcPr>
            <w:tcW w:w="7867" w:type="dxa"/>
            <w:gridSpan w:val="4"/>
            <w:tcBorders>
              <w:top w:val="single" w:color="auto" w:sz="4" w:space="0"/>
              <w:left w:val="single" w:color="auto" w:sz="4" w:space="0"/>
              <w:bottom w:val="single" w:color="auto" w:sz="4" w:space="0"/>
              <w:right w:val="single" w:color="auto" w:sz="4" w:space="0"/>
            </w:tcBorders>
          </w:tcPr>
          <w:p w14:paraId="0EF8AC03">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供应商提供的医学装备出厂日期不得早于合同签订日期6个月，</w:t>
            </w:r>
            <w:r>
              <w:rPr>
                <w:rFonts w:hint="eastAsia" w:ascii="宋体" w:hAnsi="宋体"/>
                <w:color w:val="000000" w:themeColor="text1"/>
                <w:szCs w:val="21"/>
                <w14:textFill>
                  <w14:solidFill>
                    <w14:schemeClr w14:val="tx1"/>
                  </w14:solidFill>
                </w14:textFill>
              </w:rPr>
              <w:t>提供全部设备必须是具备厂家合法销售渠道的全新合格正品，产品符合国家有关认证标准及安全规定。所有设备必须满足采购文件所述性能配置要求，若产品在运输过程中损坏或擦伤须调换相同产品。产品质量须符合国家相关标准及安全规范。</w:t>
            </w:r>
          </w:p>
          <w:p w14:paraId="74EB9CF1">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成交供应商负责送货上门、进行安装调试。质保期自装机验收合格之日起算，质保期内成交供应商负责维修；质保期内成交供应商负责提供售后服务，不收取维修、差旅、零配件等一切费用。质保期满后，提供终身维修服务，只收取零配件费，配件以厂家最优惠价格提供。</w:t>
            </w:r>
          </w:p>
          <w:p w14:paraId="0DF0D00D">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提供24小时专业技术咨询及服务，成交供应商负责医院操作人员的技术培训和工程人员的维修培训。现场培训操作人员，教会为止，保证使用者能够熟练操作。对工程人员进行日常保养培训，使其能进行日常维护。</w:t>
            </w:r>
          </w:p>
          <w:p w14:paraId="6A6A37FF">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4.接到故障电话后须在</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小时内做出响应，</w:t>
            </w: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小时内到达现场维修。质保期内，48小时内未能解决问题的，提供设备替用品（相同型号），确保医院能正常开展工作，直至问题解决。</w:t>
            </w:r>
          </w:p>
          <w:p w14:paraId="07F31119">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采购人选派相应科室人员到供应商培训基地进修不少于2个月（供应商提供的培训基地须为省级及以上卫生医疗机构，且有完整的培训课程体系)；供应商须派专职运营经理到采购人单位驻点协助为期3个月的科室运营和两年内的不定期指导。</w:t>
            </w:r>
          </w:p>
        </w:tc>
      </w:tr>
      <w:tr w14:paraId="03CD4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782" w:type="dxa"/>
            <w:gridSpan w:val="7"/>
            <w:tcBorders>
              <w:top w:val="single" w:color="auto" w:sz="4" w:space="0"/>
              <w:left w:val="single" w:color="auto" w:sz="4" w:space="0"/>
              <w:bottom w:val="single" w:color="auto" w:sz="4" w:space="0"/>
              <w:right w:val="single" w:color="auto" w:sz="4" w:space="0"/>
            </w:tcBorders>
            <w:vAlign w:val="center"/>
          </w:tcPr>
          <w:p w14:paraId="43C8A776">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二、与实现项目目标相关的其他要求</w:t>
            </w:r>
          </w:p>
        </w:tc>
      </w:tr>
      <w:tr w14:paraId="29589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74BDDBF9">
            <w:pPr>
              <w:tabs>
                <w:tab w:val="left" w:pos="180"/>
                <w:tab w:val="left" w:pos="1620"/>
              </w:tabs>
              <w:spacing w:line="380" w:lineRule="exact"/>
              <w:ind w:firstLine="422"/>
              <w:rPr>
                <w:rFonts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知识产权</w:t>
            </w:r>
          </w:p>
        </w:tc>
        <w:tc>
          <w:tcPr>
            <w:tcW w:w="7867" w:type="dxa"/>
            <w:gridSpan w:val="4"/>
            <w:tcBorders>
              <w:top w:val="single" w:color="auto" w:sz="4" w:space="0"/>
              <w:left w:val="single" w:color="auto" w:sz="4" w:space="0"/>
              <w:bottom w:val="single" w:color="auto" w:sz="4" w:space="0"/>
              <w:right w:val="single" w:color="auto" w:sz="4" w:space="0"/>
            </w:tcBorders>
            <w:vAlign w:val="center"/>
          </w:tcPr>
          <w:p w14:paraId="32ACC6EF">
            <w:pPr>
              <w:suppressLineNumbers/>
              <w:tabs>
                <w:tab w:val="left" w:pos="180"/>
                <w:tab w:val="left" w:pos="1620"/>
              </w:tabs>
              <w:spacing w:line="380" w:lineRule="exact"/>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采购人在中华人民共和国境内使用供应商提供的服务时免受第三方提出的侵犯其专利权或其他知识产权的起诉。如果第三方提出侵权指控，成交供应商应承担由此而引起的一切法律责任和费用。</w:t>
            </w:r>
          </w:p>
        </w:tc>
      </w:tr>
      <w:tr w14:paraId="6C5E3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46054D84">
            <w:pPr>
              <w:tabs>
                <w:tab w:val="left" w:pos="180"/>
                <w:tab w:val="left" w:pos="1620"/>
              </w:tabs>
              <w:spacing w:line="380" w:lineRule="exact"/>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验收标准</w:t>
            </w:r>
          </w:p>
        </w:tc>
        <w:tc>
          <w:tcPr>
            <w:tcW w:w="7867" w:type="dxa"/>
            <w:gridSpan w:val="4"/>
            <w:tcBorders>
              <w:top w:val="single" w:color="auto" w:sz="4" w:space="0"/>
              <w:left w:val="single" w:color="auto" w:sz="4" w:space="0"/>
              <w:bottom w:val="single" w:color="auto" w:sz="4" w:space="0"/>
              <w:right w:val="single" w:color="auto" w:sz="4" w:space="0"/>
            </w:tcBorders>
            <w:vAlign w:val="center"/>
          </w:tcPr>
          <w:p w14:paraId="547BA8E1">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成交人所提供的设备是全新、完整、未使用过的产品，否则视为不合格产品，不予签收，由此产生的所有费用由成交人承担，其产品符合国家、行业有关规定。产品到达现场后，成交人应在采购人在场情况下当面开箱，共同清点、检查外观，并做好开箱记录，双方签字确认。成交人应保证货物到达采购人所在地完好无损，如有缺漏、损坏，由成交人负责调换、补齐或赔偿。</w:t>
            </w:r>
          </w:p>
          <w:p w14:paraId="270A971B">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成交人交货前应对产品作出全面检查和对验收文件进行整理，并列出清单，作为采购人收货验收和使用的技术条件依据，检验的结果应随货物交采购人。成交人不能完整交付货物及本款规定的单证和工具的，必须负责补齐，否则视为未按合同约定交货。</w:t>
            </w:r>
          </w:p>
          <w:p w14:paraId="5C53B8B4">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3.成交人需负责安装、调试（测试），并培训采购人的使用操作人员，直到设备、软件运行符合技术要求，采购人方可验收。</w:t>
            </w:r>
          </w:p>
          <w:p w14:paraId="12E1BFB0">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4.采购人组织验收，成交人必须到场配合，验收合格后双方签署验收。</w:t>
            </w:r>
          </w:p>
          <w:p w14:paraId="798384CC">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5.其他未尽事宜可参照相关法律规定执行。</w:t>
            </w:r>
          </w:p>
          <w:p w14:paraId="458A7959">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6.验收产生的费用成交人负责。</w:t>
            </w:r>
          </w:p>
        </w:tc>
      </w:tr>
      <w:tr w14:paraId="63B0E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7"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74E14257">
            <w:pPr>
              <w:tabs>
                <w:tab w:val="left" w:pos="180"/>
                <w:tab w:val="left" w:pos="1620"/>
              </w:tabs>
              <w:spacing w:line="380" w:lineRule="exact"/>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其他要求</w:t>
            </w:r>
          </w:p>
        </w:tc>
        <w:tc>
          <w:tcPr>
            <w:tcW w:w="7867" w:type="dxa"/>
            <w:gridSpan w:val="4"/>
            <w:tcBorders>
              <w:top w:val="single" w:color="auto" w:sz="4" w:space="0"/>
              <w:left w:val="single" w:color="auto" w:sz="4" w:space="0"/>
              <w:bottom w:val="single" w:color="auto" w:sz="4" w:space="0"/>
              <w:right w:val="single" w:color="auto" w:sz="4" w:space="0"/>
            </w:tcBorders>
          </w:tcPr>
          <w:p w14:paraId="00BAFC05">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1.本表未明确的技术要求和规范，按国家、行业的相关标准执行。</w:t>
            </w:r>
          </w:p>
          <w:p w14:paraId="2062FB66">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2.采购人保留对所采购的货物的成果检验的权利。如成交人不具备实施本项目的技术能力和服务能力，虚假应标的，采购单位有权不予验收，可解除双方的供货合同，并且保留追究成交人虚假应标的法律责任。</w:t>
            </w:r>
          </w:p>
          <w:p w14:paraId="105338A6">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3.承诺签订合同时提供产品彩页或第三方检测机构出具的检测报告或产品白皮书或厂家参数确认文件等。</w:t>
            </w:r>
          </w:p>
        </w:tc>
      </w:tr>
      <w:tr w14:paraId="21F27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5" w:hRule="atLeast"/>
          <w:jc w:val="center"/>
        </w:trPr>
        <w:tc>
          <w:tcPr>
            <w:tcW w:w="1915" w:type="dxa"/>
            <w:gridSpan w:val="3"/>
            <w:tcBorders>
              <w:top w:val="single" w:color="auto" w:sz="4" w:space="0"/>
              <w:left w:val="single" w:color="auto" w:sz="4" w:space="0"/>
              <w:bottom w:val="single" w:color="auto" w:sz="4" w:space="0"/>
              <w:right w:val="single" w:color="auto" w:sz="4" w:space="0"/>
            </w:tcBorders>
            <w:vAlign w:val="center"/>
          </w:tcPr>
          <w:p w14:paraId="1498C1AC">
            <w:pPr>
              <w:spacing w:line="380" w:lineRule="exact"/>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进口产品说明</w:t>
            </w:r>
          </w:p>
        </w:tc>
        <w:tc>
          <w:tcPr>
            <w:tcW w:w="7867" w:type="dxa"/>
            <w:gridSpan w:val="4"/>
            <w:tcBorders>
              <w:top w:val="single" w:color="auto" w:sz="4" w:space="0"/>
              <w:left w:val="single" w:color="auto" w:sz="4" w:space="0"/>
              <w:bottom w:val="single" w:color="auto" w:sz="4" w:space="0"/>
              <w:right w:val="single" w:color="auto" w:sz="4" w:space="0"/>
            </w:tcBorders>
            <w:vAlign w:val="center"/>
          </w:tcPr>
          <w:p w14:paraId="434AA6EC">
            <w:pPr>
              <w:suppressLineNumbers/>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本项目货物不接受进口产品（即通过中国海关报关验放进入中国境内且产自关境外的产品）参与竞标，</w:t>
            </w:r>
            <w:r>
              <w:rPr>
                <w:rFonts w:hint="eastAsia" w:ascii="宋体" w:hAnsi="宋体"/>
                <w:b/>
                <w:color w:val="000000" w:themeColor="text1"/>
                <w:szCs w:val="21"/>
                <w14:textFill>
                  <w14:solidFill>
                    <w14:schemeClr w14:val="tx1"/>
                  </w14:solidFill>
                </w14:textFill>
              </w:rPr>
              <w:t>如有进口产品参与竞标的，其响应文件按无效处理</w:t>
            </w:r>
            <w:r>
              <w:rPr>
                <w:rFonts w:hint="eastAsia" w:ascii="宋体" w:hAnsi="宋体"/>
                <w:color w:val="000000" w:themeColor="text1"/>
                <w:szCs w:val="21"/>
                <w14:textFill>
                  <w14:solidFill>
                    <w14:schemeClr w14:val="tx1"/>
                  </w14:solidFill>
                </w14:textFill>
              </w:rPr>
              <w:t>。</w:t>
            </w:r>
          </w:p>
        </w:tc>
      </w:tr>
    </w:tbl>
    <w:p w14:paraId="6CF8CCBB">
      <w:pPr>
        <w:spacing w:line="360" w:lineRule="auto"/>
        <w:ind w:firstLine="426"/>
        <w:jc w:val="left"/>
        <w:rPr>
          <w:b/>
          <w:bCs/>
          <w:color w:val="000000" w:themeColor="text1"/>
          <w14:textFill>
            <w14:solidFill>
              <w14:schemeClr w14:val="tx1"/>
            </w14:solidFill>
          </w14:textFill>
        </w:rPr>
      </w:pPr>
    </w:p>
    <w:p w14:paraId="1FD31999">
      <w:pPr>
        <w:spacing w:line="428" w:lineRule="exact"/>
        <w:ind w:left="119"/>
        <w:rPr>
          <w:rFonts w:ascii="黑体" w:hAnsi="黑体" w:eastAsia="黑体" w:cs="黑体"/>
          <w:color w:val="000000" w:themeColor="text1"/>
          <w:sz w:val="32"/>
          <w:szCs w:val="32"/>
          <w14:textFill>
            <w14:solidFill>
              <w14:schemeClr w14:val="tx1"/>
            </w14:solidFill>
          </w14:textFill>
        </w:rPr>
      </w:pPr>
    </w:p>
    <w:p w14:paraId="0089B935">
      <w:pPr>
        <w:spacing w:line="428" w:lineRule="exact"/>
        <w:ind w:left="119"/>
        <w:rPr>
          <w:rFonts w:ascii="黑体" w:hAnsi="黑体" w:eastAsia="黑体" w:cs="黑体"/>
          <w:color w:val="000000" w:themeColor="text1"/>
          <w:sz w:val="32"/>
          <w:szCs w:val="32"/>
          <w14:textFill>
            <w14:solidFill>
              <w14:schemeClr w14:val="tx1"/>
            </w14:solidFill>
          </w14:textFill>
        </w:rPr>
      </w:pPr>
    </w:p>
    <w:p w14:paraId="3E92E9B1">
      <w:pPr>
        <w:spacing w:line="428" w:lineRule="exact"/>
        <w:ind w:left="119"/>
        <w:rPr>
          <w:rFonts w:ascii="黑体" w:hAnsi="黑体" w:eastAsia="黑体" w:cs="黑体"/>
          <w:color w:val="000000" w:themeColor="text1"/>
          <w:sz w:val="32"/>
          <w:szCs w:val="32"/>
          <w14:textFill>
            <w14:solidFill>
              <w14:schemeClr w14:val="tx1"/>
            </w14:solidFill>
          </w14:textFill>
        </w:rPr>
      </w:pPr>
    </w:p>
    <w:p w14:paraId="251BF110">
      <w:pPr>
        <w:spacing w:line="428" w:lineRule="exact"/>
        <w:ind w:left="119"/>
        <w:rPr>
          <w:rFonts w:ascii="黑体" w:hAnsi="黑体" w:eastAsia="黑体" w:cs="黑体"/>
          <w:color w:val="000000" w:themeColor="text1"/>
          <w:sz w:val="32"/>
          <w:szCs w:val="32"/>
          <w14:textFill>
            <w14:solidFill>
              <w14:schemeClr w14:val="tx1"/>
            </w14:solidFill>
          </w14:textFill>
        </w:rPr>
      </w:pPr>
    </w:p>
    <w:p w14:paraId="3BFBB5E0">
      <w:pPr>
        <w:spacing w:line="428" w:lineRule="exact"/>
        <w:ind w:left="119"/>
        <w:rPr>
          <w:rFonts w:ascii="黑体" w:hAnsi="黑体" w:eastAsia="黑体" w:cs="黑体"/>
          <w:color w:val="000000" w:themeColor="text1"/>
          <w:sz w:val="32"/>
          <w:szCs w:val="32"/>
          <w14:textFill>
            <w14:solidFill>
              <w14:schemeClr w14:val="tx1"/>
            </w14:solidFill>
          </w14:textFill>
        </w:rPr>
      </w:pPr>
    </w:p>
    <w:p w14:paraId="427D1BA8">
      <w:pPr>
        <w:spacing w:line="428" w:lineRule="exact"/>
        <w:ind w:left="119"/>
        <w:rPr>
          <w:rFonts w:ascii="黑体" w:hAnsi="黑体" w:eastAsia="黑体" w:cs="黑体"/>
          <w:color w:val="000000" w:themeColor="text1"/>
          <w:sz w:val="32"/>
          <w:szCs w:val="32"/>
          <w14:textFill>
            <w14:solidFill>
              <w14:schemeClr w14:val="tx1"/>
            </w14:solidFill>
          </w14:textFill>
        </w:rPr>
      </w:pPr>
    </w:p>
    <w:p w14:paraId="549AC83B">
      <w:pPr>
        <w:spacing w:line="428" w:lineRule="exact"/>
        <w:ind w:left="119"/>
        <w:rPr>
          <w:rFonts w:ascii="黑体" w:hAnsi="黑体" w:eastAsia="黑体" w:cs="黑体"/>
          <w:color w:val="000000" w:themeColor="text1"/>
          <w:sz w:val="32"/>
          <w:szCs w:val="32"/>
          <w14:textFill>
            <w14:solidFill>
              <w14:schemeClr w14:val="tx1"/>
            </w14:solidFill>
          </w14:textFill>
        </w:rPr>
      </w:pPr>
    </w:p>
    <w:p w14:paraId="51007538">
      <w:pPr>
        <w:spacing w:line="428" w:lineRule="exact"/>
        <w:ind w:left="119"/>
        <w:rPr>
          <w:rFonts w:ascii="黑体" w:hAnsi="黑体" w:eastAsia="黑体" w:cs="黑体"/>
          <w:color w:val="000000" w:themeColor="text1"/>
          <w:sz w:val="32"/>
          <w:szCs w:val="32"/>
          <w14:textFill>
            <w14:solidFill>
              <w14:schemeClr w14:val="tx1"/>
            </w14:solidFill>
          </w14:textFill>
        </w:rPr>
      </w:pPr>
    </w:p>
    <w:p w14:paraId="199DD3DE">
      <w:pPr>
        <w:spacing w:line="428" w:lineRule="exact"/>
        <w:ind w:left="119"/>
        <w:rPr>
          <w:rFonts w:ascii="黑体" w:hAnsi="黑体" w:eastAsia="黑体" w:cs="黑体"/>
          <w:color w:val="000000" w:themeColor="text1"/>
          <w:sz w:val="32"/>
          <w:szCs w:val="32"/>
          <w14:textFill>
            <w14:solidFill>
              <w14:schemeClr w14:val="tx1"/>
            </w14:solidFill>
          </w14:textFill>
        </w:rPr>
      </w:pPr>
    </w:p>
    <w:p w14:paraId="56D59C0D">
      <w:pPr>
        <w:spacing w:line="428" w:lineRule="exact"/>
        <w:ind w:left="119"/>
        <w:rPr>
          <w:rFonts w:ascii="黑体" w:hAnsi="黑体" w:eastAsia="黑体" w:cs="黑体"/>
          <w:color w:val="000000" w:themeColor="text1"/>
          <w:sz w:val="32"/>
          <w:szCs w:val="32"/>
          <w14:textFill>
            <w14:solidFill>
              <w14:schemeClr w14:val="tx1"/>
            </w14:solidFill>
          </w14:textFill>
        </w:rPr>
      </w:pPr>
    </w:p>
    <w:p w14:paraId="5BD08599">
      <w:pPr>
        <w:spacing w:line="428" w:lineRule="exact"/>
        <w:ind w:left="119"/>
        <w:rPr>
          <w:rFonts w:ascii="黑体" w:hAnsi="黑体" w:eastAsia="黑体" w:cs="黑体"/>
          <w:color w:val="000000" w:themeColor="text1"/>
          <w:sz w:val="32"/>
          <w:szCs w:val="32"/>
          <w14:textFill>
            <w14:solidFill>
              <w14:schemeClr w14:val="tx1"/>
            </w14:solidFill>
          </w14:textFill>
        </w:rPr>
      </w:pPr>
    </w:p>
    <w:p w14:paraId="69A2277B">
      <w:pPr>
        <w:spacing w:line="428" w:lineRule="exact"/>
        <w:ind w:left="119"/>
        <w:rPr>
          <w:rFonts w:ascii="黑体" w:hAnsi="黑体" w:eastAsia="黑体" w:cs="黑体"/>
          <w:color w:val="000000" w:themeColor="text1"/>
          <w:sz w:val="32"/>
          <w:szCs w:val="32"/>
          <w14:textFill>
            <w14:solidFill>
              <w14:schemeClr w14:val="tx1"/>
            </w14:solidFill>
          </w14:textFill>
        </w:rPr>
      </w:pPr>
    </w:p>
    <w:p w14:paraId="0CD17EEA">
      <w:pPr>
        <w:spacing w:line="428" w:lineRule="exact"/>
        <w:ind w:left="119"/>
        <w:rPr>
          <w:rFonts w:ascii="黑体" w:hAnsi="黑体" w:eastAsia="黑体" w:cs="黑体"/>
          <w:color w:val="000000" w:themeColor="text1"/>
          <w:sz w:val="32"/>
          <w:szCs w:val="32"/>
          <w14:textFill>
            <w14:solidFill>
              <w14:schemeClr w14:val="tx1"/>
            </w14:solidFill>
          </w14:textFill>
        </w:rPr>
      </w:pPr>
    </w:p>
    <w:p w14:paraId="5BFE99B1">
      <w:pPr>
        <w:spacing w:line="428" w:lineRule="exact"/>
        <w:ind w:left="119"/>
        <w:rPr>
          <w:rFonts w:ascii="黑体" w:hAnsi="黑体" w:eastAsia="黑体" w:cs="黑体"/>
          <w:color w:val="000000" w:themeColor="text1"/>
          <w:sz w:val="32"/>
          <w:szCs w:val="32"/>
          <w14:textFill>
            <w14:solidFill>
              <w14:schemeClr w14:val="tx1"/>
            </w14:solidFill>
          </w14:textFill>
        </w:rPr>
      </w:pPr>
    </w:p>
    <w:p w14:paraId="515B0E77">
      <w:pPr>
        <w:spacing w:line="428" w:lineRule="exact"/>
        <w:ind w:left="119"/>
        <w:rPr>
          <w:rFonts w:ascii="黑体" w:hAnsi="黑体" w:eastAsia="黑体" w:cs="黑体"/>
          <w:color w:val="000000" w:themeColor="text1"/>
          <w:sz w:val="32"/>
          <w:szCs w:val="32"/>
          <w14:textFill>
            <w14:solidFill>
              <w14:schemeClr w14:val="tx1"/>
            </w14:solidFill>
          </w14:textFill>
        </w:rPr>
      </w:pPr>
    </w:p>
    <w:p w14:paraId="2D46CC0A">
      <w:pPr>
        <w:spacing w:line="428" w:lineRule="exact"/>
        <w:ind w:left="119"/>
        <w:rPr>
          <w:rFonts w:ascii="黑体" w:hAnsi="黑体" w:eastAsia="黑体" w:cs="黑体"/>
          <w:color w:val="000000" w:themeColor="text1"/>
          <w:sz w:val="32"/>
          <w:szCs w:val="32"/>
          <w14:textFill>
            <w14:solidFill>
              <w14:schemeClr w14:val="tx1"/>
            </w14:solidFill>
          </w14:textFill>
        </w:rPr>
      </w:pPr>
    </w:p>
    <w:p w14:paraId="100E6930">
      <w:pPr>
        <w:spacing w:line="428" w:lineRule="exact"/>
        <w:ind w:left="119"/>
        <w:rPr>
          <w:rFonts w:ascii="黑体" w:hAnsi="黑体" w:eastAsia="黑体" w:cs="黑体"/>
          <w:color w:val="000000" w:themeColor="text1"/>
          <w:sz w:val="32"/>
          <w:szCs w:val="32"/>
          <w14:textFill>
            <w14:solidFill>
              <w14:schemeClr w14:val="tx1"/>
            </w14:solidFill>
          </w14:textFill>
        </w:rPr>
      </w:pPr>
    </w:p>
    <w:p w14:paraId="13E609D7">
      <w:pPr>
        <w:spacing w:line="428" w:lineRule="exact"/>
        <w:ind w:left="119"/>
        <w:rPr>
          <w:rFonts w:ascii="黑体" w:hAnsi="黑体" w:eastAsia="黑体" w:cs="黑体"/>
          <w:color w:val="000000" w:themeColor="text1"/>
          <w:sz w:val="32"/>
          <w:szCs w:val="32"/>
          <w14:textFill>
            <w14:solidFill>
              <w14:schemeClr w14:val="tx1"/>
            </w14:solidFill>
          </w14:textFill>
        </w:rPr>
      </w:pPr>
    </w:p>
    <w:p w14:paraId="7B1447CE">
      <w:pPr>
        <w:spacing w:line="428" w:lineRule="exact"/>
        <w:ind w:left="119"/>
        <w:rPr>
          <w:rFonts w:ascii="黑体" w:hAnsi="黑体" w:eastAsia="黑体" w:cs="黑体"/>
          <w:color w:val="000000" w:themeColor="text1"/>
          <w:sz w:val="32"/>
          <w:szCs w:val="32"/>
          <w14:textFill>
            <w14:solidFill>
              <w14:schemeClr w14:val="tx1"/>
            </w14:solidFill>
          </w14:textFill>
        </w:rPr>
      </w:pPr>
    </w:p>
    <w:p w14:paraId="5413ADB5">
      <w:pPr>
        <w:spacing w:line="428" w:lineRule="exact"/>
        <w:ind w:left="119"/>
        <w:rPr>
          <w:rFonts w:ascii="黑体" w:hAnsi="黑体" w:eastAsia="黑体" w:cs="黑体"/>
          <w:color w:val="000000" w:themeColor="text1"/>
          <w:sz w:val="32"/>
          <w:szCs w:val="32"/>
          <w14:textFill>
            <w14:solidFill>
              <w14:schemeClr w14:val="tx1"/>
            </w14:solidFill>
          </w14:textFill>
        </w:rPr>
      </w:pPr>
    </w:p>
    <w:p w14:paraId="11FBECF9">
      <w:pPr>
        <w:spacing w:line="428" w:lineRule="exact"/>
        <w:ind w:left="119"/>
        <w:rPr>
          <w:rFonts w:ascii="黑体" w:hAnsi="黑体" w:eastAsia="黑体" w:cs="黑体"/>
          <w:color w:val="000000" w:themeColor="text1"/>
          <w:sz w:val="32"/>
          <w:szCs w:val="32"/>
          <w14:textFill>
            <w14:solidFill>
              <w14:schemeClr w14:val="tx1"/>
            </w14:solidFill>
          </w14:textFill>
        </w:rPr>
      </w:pPr>
    </w:p>
    <w:p w14:paraId="08BEB55F">
      <w:pPr>
        <w:spacing w:line="428" w:lineRule="exact"/>
        <w:ind w:left="119"/>
        <w:rPr>
          <w:rFonts w:ascii="黑体" w:hAnsi="黑体" w:eastAsia="黑体" w:cs="黑体"/>
          <w:color w:val="000000" w:themeColor="text1"/>
          <w:sz w:val="32"/>
          <w:szCs w:val="32"/>
          <w14:textFill>
            <w14:solidFill>
              <w14:schemeClr w14:val="tx1"/>
            </w14:solidFill>
          </w14:textFill>
        </w:rPr>
      </w:pPr>
    </w:p>
    <w:p w14:paraId="1740B7BC">
      <w:pPr>
        <w:spacing w:line="428" w:lineRule="exact"/>
        <w:ind w:left="119"/>
        <w:rPr>
          <w:rFonts w:ascii="黑体" w:hAnsi="黑体" w:eastAsia="黑体" w:cs="黑体"/>
          <w:color w:val="000000" w:themeColor="text1"/>
          <w:sz w:val="32"/>
          <w:szCs w:val="32"/>
          <w14:textFill>
            <w14:solidFill>
              <w14:schemeClr w14:val="tx1"/>
            </w14:solidFill>
          </w14:textFill>
        </w:rPr>
      </w:pPr>
    </w:p>
    <w:p w14:paraId="28D55FF2">
      <w:pPr>
        <w:spacing w:line="428" w:lineRule="exact"/>
        <w:rPr>
          <w:rFonts w:ascii="黑体" w:hAnsi="黑体" w:eastAsia="黑体" w:cs="黑体"/>
          <w:color w:val="000000" w:themeColor="text1"/>
          <w:sz w:val="32"/>
          <w:szCs w:val="32"/>
          <w14:textFill>
            <w14:solidFill>
              <w14:schemeClr w14:val="tx1"/>
            </w14:solidFill>
          </w14:textFill>
        </w:rPr>
      </w:pPr>
    </w:p>
    <w:p w14:paraId="1CCE86AE">
      <w:pPr>
        <w:spacing w:line="428" w:lineRule="exact"/>
        <w:ind w:left="119"/>
        <w:rPr>
          <w:rFonts w:ascii="Arial Unicode MS" w:hAnsi="Arial Unicode MS" w:eastAsia="黑体" w:cs="Arial Unicode M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14:paraId="3A118ACB">
      <w:pPr>
        <w:spacing w:before="7"/>
        <w:rPr>
          <w:rFonts w:ascii="Arial Unicode MS" w:hAnsi="Arial Unicode MS" w:eastAsia="Arial Unicode MS" w:cs="Arial Unicode MS"/>
          <w:color w:val="000000" w:themeColor="text1"/>
          <w:sz w:val="17"/>
          <w:szCs w:val="17"/>
          <w14:textFill>
            <w14:solidFill>
              <w14:schemeClr w14:val="tx1"/>
            </w14:solidFill>
          </w14:textFill>
        </w:rPr>
      </w:pPr>
    </w:p>
    <w:p w14:paraId="4E064F75">
      <w:pPr>
        <w:spacing w:line="528" w:lineRule="exact"/>
        <w:ind w:left="1871"/>
        <w:rPr>
          <w:rFonts w:ascii="Arial Unicode MS" w:hAnsi="Arial Unicode MS" w:eastAsia="Arial Unicode MS" w:cs="Arial Unicode M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节能产品政府采购品目清单</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4110"/>
      </w:tblGrid>
      <w:tr w14:paraId="5EAD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32320CE">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55AE6EDA">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名称</w:t>
            </w:r>
          </w:p>
        </w:tc>
        <w:tc>
          <w:tcPr>
            <w:tcW w:w="4110" w:type="dxa"/>
            <w:tcBorders>
              <w:top w:val="single" w:color="000000" w:sz="4" w:space="0"/>
              <w:left w:val="single" w:color="000000" w:sz="4" w:space="0"/>
              <w:bottom w:val="single" w:color="000000" w:sz="4" w:space="0"/>
              <w:right w:val="single" w:color="000000" w:sz="4" w:space="0"/>
            </w:tcBorders>
            <w:vAlign w:val="center"/>
          </w:tcPr>
          <w:p w14:paraId="1FDF903E">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依据的标准</w:t>
            </w:r>
          </w:p>
        </w:tc>
      </w:tr>
      <w:tr w14:paraId="5E11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AAFDB0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771542A">
            <w:pPr>
              <w:jc w:val="center"/>
              <w:rPr>
                <w:rFonts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A02010100</w:t>
            </w:r>
            <w:r>
              <w:rPr>
                <w:rFonts w:hint="eastAsia" w:ascii="宋体" w:hAnsi="宋体" w:cs="宋体"/>
                <w:color w:val="000000" w:themeColor="text1"/>
                <w:szCs w:val="21"/>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21B67579">
            <w:pPr>
              <w:pStyle w:val="284"/>
              <w:spacing w:before="93"/>
              <w:ind w:left="7"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A02010105</w:t>
            </w:r>
            <w:r>
              <w:rPr>
                <w:rFonts w:hint="eastAsia" w:ascii="宋体" w:hAnsi="宋体" w:cs="宋体"/>
                <w:color w:val="000000" w:themeColor="text1"/>
                <w:sz w:val="21"/>
                <w:szCs w:val="21"/>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FC56EDB">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043AC7D7">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3DF7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539C5DE">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468CA9D">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331B144">
            <w:pPr>
              <w:pStyle w:val="284"/>
              <w:spacing w:before="44"/>
              <w:ind w:left="7"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A02010108</w:t>
            </w:r>
            <w:r>
              <w:rPr>
                <w:rFonts w:hint="eastAsia" w:ascii="宋体" w:hAnsi="宋体" w:cs="宋体"/>
                <w:color w:val="000000" w:themeColor="text1"/>
                <w:sz w:val="21"/>
                <w:szCs w:val="21"/>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46A5B71">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7F42BA70">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6E66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7B6D3EF">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BED533D">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A9F15B6">
            <w:pPr>
              <w:pStyle w:val="284"/>
              <w:spacing w:before="64"/>
              <w:ind w:left="7" w:right="5"/>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仿宋_GB2312"/>
                <w:color w:val="000000" w:themeColor="text1"/>
                <w:sz w:val="21"/>
                <w:szCs w:val="21"/>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410DD0E">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55FD3854">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6FB0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885B833">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CF88592">
            <w:pPr>
              <w:pStyle w:val="284"/>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A02020000</w:t>
            </w:r>
            <w:r>
              <w:rPr>
                <w:rFonts w:hint="eastAsia" w:ascii="宋体" w:hAnsi="宋体" w:cs="宋体"/>
                <w:color w:val="000000" w:themeColor="text1"/>
                <w:sz w:val="21"/>
                <w:szCs w:val="21"/>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529146C">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pacing w:val="1"/>
                <w:szCs w:val="21"/>
                <w14:textFill>
                  <w14:solidFill>
                    <w14:schemeClr w14:val="tx1"/>
                  </w14:solidFill>
                </w14:textFill>
              </w:rPr>
              <w:t>A02021000</w:t>
            </w:r>
            <w:r>
              <w:rPr>
                <w:rFonts w:hint="eastAsia" w:ascii="宋体" w:hAnsi="宋体" w:cs="Arial"/>
                <w:color w:val="000000" w:themeColor="text1"/>
                <w:szCs w:val="21"/>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40139A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A02021001 A3黑白打印机</w:t>
            </w:r>
          </w:p>
        </w:tc>
        <w:tc>
          <w:tcPr>
            <w:tcW w:w="4110" w:type="dxa"/>
            <w:tcBorders>
              <w:top w:val="single" w:color="000000" w:sz="4" w:space="0"/>
              <w:left w:val="single" w:color="000000" w:sz="4" w:space="0"/>
              <w:bottom w:val="single" w:color="000000" w:sz="4" w:space="0"/>
              <w:right w:val="single" w:color="000000" w:sz="4" w:space="0"/>
            </w:tcBorders>
          </w:tcPr>
          <w:p w14:paraId="2E0E2512">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386F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DE7074">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A8CFBB7">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DA172C5">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5BCE0D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A02021002 A3彩色打印机</w:t>
            </w:r>
          </w:p>
        </w:tc>
        <w:tc>
          <w:tcPr>
            <w:tcW w:w="4110" w:type="dxa"/>
            <w:tcBorders>
              <w:top w:val="single" w:color="000000" w:sz="4" w:space="0"/>
              <w:left w:val="single" w:color="000000" w:sz="4" w:space="0"/>
              <w:bottom w:val="single" w:color="000000" w:sz="4" w:space="0"/>
              <w:right w:val="single" w:color="000000" w:sz="4" w:space="0"/>
            </w:tcBorders>
          </w:tcPr>
          <w:p w14:paraId="1A0B23FA">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1A72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93C7A19">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024E719">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2C29802">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E4E23BE">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A02021003 A4黑白打印机</w:t>
            </w:r>
          </w:p>
        </w:tc>
        <w:tc>
          <w:tcPr>
            <w:tcW w:w="4110" w:type="dxa"/>
            <w:tcBorders>
              <w:top w:val="single" w:color="000000" w:sz="4" w:space="0"/>
              <w:left w:val="single" w:color="000000" w:sz="4" w:space="0"/>
              <w:bottom w:val="single" w:color="000000" w:sz="4" w:space="0"/>
              <w:right w:val="single" w:color="000000" w:sz="4" w:space="0"/>
            </w:tcBorders>
          </w:tcPr>
          <w:p w14:paraId="16BE37E0">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518D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B89E58F">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4386DD9">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3DB01EF">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3E6217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A02021004 A4彩色打印机</w:t>
            </w:r>
          </w:p>
        </w:tc>
        <w:tc>
          <w:tcPr>
            <w:tcW w:w="4110" w:type="dxa"/>
            <w:tcBorders>
              <w:top w:val="single" w:color="000000" w:sz="4" w:space="0"/>
              <w:left w:val="single" w:color="000000" w:sz="4" w:space="0"/>
              <w:bottom w:val="single" w:color="000000" w:sz="4" w:space="0"/>
              <w:right w:val="single" w:color="000000" w:sz="4" w:space="0"/>
            </w:tcBorders>
          </w:tcPr>
          <w:p w14:paraId="0E9DA9F2">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551E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751F7AC">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E975D6B">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FE7CD33">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AB81CF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A02021005 3D打印机</w:t>
            </w:r>
          </w:p>
        </w:tc>
        <w:tc>
          <w:tcPr>
            <w:tcW w:w="4110" w:type="dxa"/>
            <w:tcBorders>
              <w:top w:val="single" w:color="000000" w:sz="4" w:space="0"/>
              <w:left w:val="single" w:color="000000" w:sz="4" w:space="0"/>
              <w:bottom w:val="single" w:color="000000" w:sz="4" w:space="0"/>
              <w:right w:val="single" w:color="000000" w:sz="4" w:space="0"/>
            </w:tcBorders>
          </w:tcPr>
          <w:p w14:paraId="743CA1F9">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65A3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56C301E">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27EB7E0">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261096F">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FB3A0F1">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A02021006票据打印机</w:t>
            </w:r>
          </w:p>
        </w:tc>
        <w:tc>
          <w:tcPr>
            <w:tcW w:w="4110" w:type="dxa"/>
            <w:tcBorders>
              <w:top w:val="single" w:color="000000" w:sz="4" w:space="0"/>
              <w:left w:val="single" w:color="000000" w:sz="4" w:space="0"/>
              <w:bottom w:val="single" w:color="000000" w:sz="4" w:space="0"/>
              <w:right w:val="single" w:color="000000" w:sz="4" w:space="0"/>
            </w:tcBorders>
          </w:tcPr>
          <w:p w14:paraId="0932318C">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3485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A7A9287">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B5423C0">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5EC6D5E">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A2C8937">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A02021007条码打印机</w:t>
            </w:r>
          </w:p>
        </w:tc>
        <w:tc>
          <w:tcPr>
            <w:tcW w:w="4110" w:type="dxa"/>
            <w:tcBorders>
              <w:top w:val="single" w:color="000000" w:sz="4" w:space="0"/>
              <w:left w:val="single" w:color="000000" w:sz="4" w:space="0"/>
              <w:bottom w:val="single" w:color="000000" w:sz="4" w:space="0"/>
              <w:right w:val="single" w:color="000000" w:sz="4" w:space="0"/>
            </w:tcBorders>
          </w:tcPr>
          <w:p w14:paraId="3998C332">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0A4C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7D8126">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3D0765B">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F595C18">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22EF929">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A02021008地址打印机</w:t>
            </w:r>
          </w:p>
        </w:tc>
        <w:tc>
          <w:tcPr>
            <w:tcW w:w="4110" w:type="dxa"/>
            <w:tcBorders>
              <w:top w:val="single" w:color="000000" w:sz="4" w:space="0"/>
              <w:left w:val="single" w:color="000000" w:sz="4" w:space="0"/>
              <w:bottom w:val="single" w:color="000000" w:sz="4" w:space="0"/>
              <w:right w:val="single" w:color="000000" w:sz="4" w:space="0"/>
            </w:tcBorders>
          </w:tcPr>
          <w:p w14:paraId="7F1957DB">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19C2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234584F">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D2C9296">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2004DB2">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0B1914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A02021099其他打印机</w:t>
            </w:r>
          </w:p>
        </w:tc>
        <w:tc>
          <w:tcPr>
            <w:tcW w:w="4110" w:type="dxa"/>
            <w:tcBorders>
              <w:top w:val="single" w:color="000000" w:sz="4" w:space="0"/>
              <w:left w:val="single" w:color="000000" w:sz="4" w:space="0"/>
              <w:bottom w:val="single" w:color="000000" w:sz="4" w:space="0"/>
              <w:right w:val="single" w:color="000000" w:sz="4" w:space="0"/>
            </w:tcBorders>
          </w:tcPr>
          <w:p w14:paraId="671E8AE2">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0D32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63DA10B">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5581A5B">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FF7FC7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679D07D1">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A02021104液晶显示器</w:t>
            </w:r>
          </w:p>
        </w:tc>
        <w:tc>
          <w:tcPr>
            <w:tcW w:w="4110" w:type="dxa"/>
            <w:tcBorders>
              <w:top w:val="single" w:color="000000" w:sz="4" w:space="0"/>
              <w:left w:val="single" w:color="000000" w:sz="4" w:space="0"/>
              <w:bottom w:val="single" w:color="000000" w:sz="4" w:space="0"/>
              <w:right w:val="single" w:color="000000" w:sz="4" w:space="0"/>
            </w:tcBorders>
            <w:vAlign w:val="center"/>
          </w:tcPr>
          <w:p w14:paraId="0E41CBC0">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《计算机显示器能效限定值及能效等级》（GB21520）</w:t>
            </w:r>
          </w:p>
        </w:tc>
      </w:tr>
      <w:tr w14:paraId="2BDF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89B9226">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342A633">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EEEF009">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F7B464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A02021118扫描仪</w:t>
            </w:r>
          </w:p>
        </w:tc>
        <w:tc>
          <w:tcPr>
            <w:tcW w:w="4110" w:type="dxa"/>
            <w:tcBorders>
              <w:top w:val="single" w:color="000000" w:sz="4" w:space="0"/>
              <w:left w:val="single" w:color="000000" w:sz="4" w:space="0"/>
              <w:bottom w:val="single" w:color="000000" w:sz="4" w:space="0"/>
              <w:right w:val="single" w:color="000000" w:sz="4" w:space="0"/>
            </w:tcBorders>
            <w:vAlign w:val="center"/>
          </w:tcPr>
          <w:p w14:paraId="37434CA3">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参照《复印机、打印机和传真机能效限定值及能效等级》（GB21521）中打印速度为15页/分的针式打印机相关要求</w:t>
            </w:r>
          </w:p>
        </w:tc>
      </w:tr>
      <w:tr w14:paraId="665E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3564CF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60D3016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19E8F727">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95E51E3">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vAlign w:val="center"/>
          </w:tcPr>
          <w:p w14:paraId="52782637">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《投影机能效限定值及能效等级》（GB32028）</w:t>
            </w:r>
          </w:p>
        </w:tc>
      </w:tr>
      <w:tr w14:paraId="3EBC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0EB833C">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46168FC1">
            <w:pPr>
              <w:pStyle w:val="284"/>
              <w:spacing w:before="66"/>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A02020400</w:t>
            </w:r>
            <w:r>
              <w:rPr>
                <w:rFonts w:hint="eastAsia" w:ascii="宋体" w:hAnsi="宋体" w:cs="宋体"/>
                <w:color w:val="000000" w:themeColor="text1"/>
                <w:sz w:val="21"/>
                <w:szCs w:val="21"/>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A95BBB9">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D4F9588">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vAlign w:val="center"/>
          </w:tcPr>
          <w:p w14:paraId="41283668">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4B4B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FB99A8E">
            <w:pPr>
              <w:pStyle w:val="284"/>
              <w:spacing w:before="160"/>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1E6B0A70">
            <w:pPr>
              <w:pStyle w:val="284"/>
              <w:spacing w:before="160"/>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A02051900</w:t>
            </w:r>
            <w:r>
              <w:rPr>
                <w:rFonts w:hint="eastAsia" w:ascii="宋体" w:hAnsi="宋体" w:cs="宋体"/>
                <w:color w:val="000000" w:themeColor="text1"/>
                <w:sz w:val="21"/>
                <w:szCs w:val="21"/>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0B7C1DCB">
            <w:pPr>
              <w:pStyle w:val="284"/>
              <w:spacing w:before="160"/>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05</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338FA394">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28832C66">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《清水离心泵能效限定值及节能评价值》（GB19762）</w:t>
            </w:r>
          </w:p>
        </w:tc>
      </w:tr>
      <w:tr w14:paraId="0DA5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9E7A02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5F76B5A">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A02052300</w:t>
            </w:r>
            <w:r>
              <w:rPr>
                <w:rFonts w:hint="eastAsia" w:ascii="宋体" w:hAnsi="宋体" w:cs="宋体"/>
                <w:color w:val="000000" w:themeColor="text1"/>
                <w:sz w:val="21"/>
                <w:szCs w:val="21"/>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FDE5993">
            <w:pPr>
              <w:pStyle w:val="284"/>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52</w:t>
            </w:r>
            <w:r>
              <w:rPr>
                <w:rFonts w:hint="eastAsia" w:ascii="宋体" w:hAnsi="宋体" w:cs="宋体"/>
                <w:color w:val="000000" w:themeColor="text1"/>
                <w:spacing w:val="1"/>
                <w:sz w:val="21"/>
                <w:szCs w:val="21"/>
                <w14:textFill>
                  <w14:solidFill>
                    <w14:schemeClr w14:val="tx1"/>
                  </w14:solidFill>
                </w14:textFill>
              </w:rPr>
              <w:t>3</w:t>
            </w:r>
            <w:r>
              <w:rPr>
                <w:rFonts w:hint="eastAsia" w:ascii="宋体" w:hAnsi="宋体" w:cs="宋体"/>
                <w:color w:val="000000" w:themeColor="text1"/>
                <w:sz w:val="21"/>
                <w:szCs w:val="21"/>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01F3C3C">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冷水机组</w:t>
            </w:r>
          </w:p>
        </w:tc>
        <w:tc>
          <w:tcPr>
            <w:tcW w:w="4110" w:type="dxa"/>
            <w:tcBorders>
              <w:top w:val="single" w:color="000000" w:sz="4" w:space="0"/>
              <w:left w:val="single" w:color="000000" w:sz="4" w:space="0"/>
              <w:bottom w:val="single" w:color="000000" w:sz="4" w:space="0"/>
              <w:right w:val="single" w:color="000000" w:sz="4" w:space="0"/>
            </w:tcBorders>
          </w:tcPr>
          <w:p w14:paraId="7956AFD9">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《冷水机组能效限定值及能效等级》（GB19577），《低环境温度空气源热泵（冷水）机组能效限定值及能效等级》（GB37480）</w:t>
            </w:r>
          </w:p>
        </w:tc>
      </w:tr>
      <w:tr w14:paraId="0C9E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E228ADA">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E358A7C">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70EA737">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831BF9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溴化锂吸收式冷水机组</w:t>
            </w:r>
          </w:p>
        </w:tc>
        <w:tc>
          <w:tcPr>
            <w:tcW w:w="4110" w:type="dxa"/>
            <w:tcBorders>
              <w:top w:val="single" w:color="000000" w:sz="4" w:space="0"/>
              <w:left w:val="single" w:color="000000" w:sz="4" w:space="0"/>
              <w:bottom w:val="single" w:color="000000" w:sz="4" w:space="0"/>
              <w:right w:val="single" w:color="000000" w:sz="4" w:space="0"/>
            </w:tcBorders>
            <w:vAlign w:val="center"/>
          </w:tcPr>
          <w:p w14:paraId="47902986">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《溴化锂吸收式冷水机组能效限</w:t>
            </w:r>
          </w:p>
          <w:p w14:paraId="0095C476">
            <w:pPr>
              <w:spacing w:before="131" w:line="276" w:lineRule="auto"/>
              <w:ind w:right="4"/>
              <w:rPr>
                <w:rFonts w:ascii="宋体" w:hAnsi="宋体" w:cs="宋体"/>
                <w:color w:val="000000" w:themeColor="text1"/>
                <w:spacing w:val="10"/>
                <w:szCs w:val="21"/>
                <w14:textFill>
                  <w14:solidFill>
                    <w14:schemeClr w14:val="tx1"/>
                  </w14:solidFill>
                </w14:textFill>
              </w:rPr>
            </w:pPr>
            <w:r>
              <w:rPr>
                <w:rFonts w:hint="eastAsia" w:ascii="宋体" w:hAnsi="宋体" w:cs="宋体"/>
                <w:color w:val="000000" w:themeColor="text1"/>
                <w:spacing w:val="10"/>
                <w:szCs w:val="21"/>
                <w14:textFill>
                  <w14:solidFill>
                    <w14:schemeClr w14:val="tx1"/>
                  </w14:solidFill>
                </w14:textFill>
              </w:rPr>
              <w:t>定值及能效等级》（GB29540）</w:t>
            </w:r>
          </w:p>
        </w:tc>
      </w:tr>
      <w:tr w14:paraId="7DC9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C92AD47">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20E57F1">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B50A44C">
            <w:pPr>
              <w:pStyle w:val="284"/>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3FBBD917">
            <w:pPr>
              <w:pStyle w:val="284"/>
              <w:spacing w:before="4"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多联式空调（热泵）机组（制冷量&gt;14000W）</w:t>
            </w:r>
          </w:p>
        </w:tc>
        <w:tc>
          <w:tcPr>
            <w:tcW w:w="4110" w:type="dxa"/>
            <w:tcBorders>
              <w:top w:val="single" w:color="000000" w:sz="4" w:space="0"/>
              <w:left w:val="single" w:color="000000" w:sz="4" w:space="0"/>
              <w:bottom w:val="single" w:color="000000" w:sz="4" w:space="0"/>
              <w:right w:val="single" w:color="000000" w:sz="4" w:space="0"/>
            </w:tcBorders>
          </w:tcPr>
          <w:p w14:paraId="24842D43">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《多联式空调（热泵）机组能效限定值及能源效率等级》（GB21454）</w:t>
            </w:r>
          </w:p>
        </w:tc>
      </w:tr>
      <w:tr w14:paraId="7C22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6AB1F88">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DE56260">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3FBB8AB">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AE85003">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单元式空气调节机</w:t>
            </w:r>
          </w:p>
        </w:tc>
        <w:tc>
          <w:tcPr>
            <w:tcW w:w="4110" w:type="dxa"/>
            <w:tcBorders>
              <w:top w:val="single" w:color="000000" w:sz="4" w:space="0"/>
              <w:left w:val="single" w:color="000000" w:sz="4" w:space="0"/>
              <w:bottom w:val="single" w:color="000000" w:sz="4" w:space="0"/>
              <w:right w:val="single" w:color="000000" w:sz="4" w:space="0"/>
            </w:tcBorders>
          </w:tcPr>
          <w:p w14:paraId="1D525F67">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《单元式空气调节机能效限定值及能效等级》（GB19576）《风管送风式空调机组能效限定值及能效等级》（GB37479）</w:t>
            </w:r>
          </w:p>
        </w:tc>
      </w:tr>
      <w:tr w14:paraId="27A3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CC0E022">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E635316">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37771EB">
            <w:pPr>
              <w:pStyle w:val="284"/>
              <w:spacing w:before="83"/>
              <w:ind w:lef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85A392F">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机房空调</w:t>
            </w:r>
          </w:p>
        </w:tc>
        <w:tc>
          <w:tcPr>
            <w:tcW w:w="4110" w:type="dxa"/>
            <w:tcBorders>
              <w:top w:val="single" w:color="000000" w:sz="4" w:space="0"/>
              <w:left w:val="single" w:color="000000" w:sz="4" w:space="0"/>
              <w:bottom w:val="single" w:color="000000" w:sz="4" w:space="0"/>
              <w:right w:val="single" w:color="000000" w:sz="4" w:space="0"/>
            </w:tcBorders>
          </w:tcPr>
          <w:p w14:paraId="4850A0CE">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w:t>
            </w:r>
          </w:p>
          <w:p w14:paraId="5835EBC8">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及能效等级》（GB19576）</w:t>
            </w:r>
          </w:p>
        </w:tc>
      </w:tr>
      <w:tr w14:paraId="472F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B49DFD3">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C1C82B0">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CCE5609">
            <w:pPr>
              <w:pStyle w:val="284"/>
              <w:spacing w:line="254" w:lineRule="exact"/>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A02052399其他制冷</w:t>
            </w:r>
          </w:p>
          <w:p w14:paraId="62C73E4E">
            <w:pPr>
              <w:pStyle w:val="284"/>
              <w:spacing w:line="254" w:lineRule="exact"/>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0AE2888">
            <w:pPr>
              <w:widowControl/>
              <w:jc w:val="center"/>
              <w:rPr>
                <w:rFonts w:ascii="宋体" w:hAnsi="宋体" w:cs="宋体"/>
                <w:color w:val="000000" w:themeColor="text1"/>
                <w:szCs w:val="21"/>
                <w:lang w:eastAsia="en-US"/>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冷却塔</w:t>
            </w:r>
          </w:p>
        </w:tc>
        <w:tc>
          <w:tcPr>
            <w:tcW w:w="4110" w:type="dxa"/>
            <w:tcBorders>
              <w:top w:val="single" w:color="000000" w:sz="4" w:space="0"/>
              <w:left w:val="single" w:color="000000" w:sz="4" w:space="0"/>
              <w:bottom w:val="single" w:color="000000" w:sz="4" w:space="0"/>
              <w:right w:val="single" w:color="000000" w:sz="4" w:space="0"/>
            </w:tcBorders>
          </w:tcPr>
          <w:p w14:paraId="045595FE">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《机械通风冷却塔第1部分：中小型开式冷却塔》（GB/T7190.1）</w:t>
            </w:r>
          </w:p>
          <w:p w14:paraId="6267E7AB">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《机械通风冷却塔第2部分：大型开式冷却塔》（GB/T7190.2）</w:t>
            </w:r>
          </w:p>
        </w:tc>
      </w:tr>
      <w:tr w14:paraId="67FD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543095D">
            <w:pPr>
              <w:pStyle w:val="284"/>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77CAEB41">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A02060100</w:t>
            </w:r>
            <w:r>
              <w:rPr>
                <w:rFonts w:hint="eastAsia" w:ascii="宋体" w:hAnsi="宋体" w:cs="宋体"/>
                <w:color w:val="000000" w:themeColor="text1"/>
                <w:sz w:val="21"/>
                <w:szCs w:val="21"/>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EB01ED7">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59BEC42">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49C364C3">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《中小型三相异步电动机能效限定值及能效等级》（GB18613）</w:t>
            </w:r>
          </w:p>
        </w:tc>
      </w:tr>
      <w:tr w14:paraId="3A2D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DE343B1">
            <w:pPr>
              <w:pStyle w:val="284"/>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12A8DBB5">
            <w:pPr>
              <w:pStyle w:val="284"/>
              <w:spacing w:before="30"/>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A02060200</w:t>
            </w:r>
            <w:r>
              <w:rPr>
                <w:rFonts w:hint="eastAsia" w:ascii="宋体" w:hAnsi="宋体" w:cs="宋体"/>
                <w:color w:val="000000" w:themeColor="text1"/>
                <w:sz w:val="21"/>
                <w:szCs w:val="21"/>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730172B6">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99AA6A8">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5CF83C4B">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《三相配电变压器能效限定值及能效等级》（GB 20052）</w:t>
            </w:r>
          </w:p>
        </w:tc>
      </w:tr>
      <w:tr w14:paraId="16EA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EA126D4">
            <w:pPr>
              <w:pStyle w:val="284"/>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575B5972">
            <w:pPr>
              <w:pStyle w:val="284"/>
              <w:spacing w:before="126"/>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68360B9">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9229224">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1E4D4F5D">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《管形荧光灯镇流器能效限定值及能效等级》（GB17896）</w:t>
            </w:r>
          </w:p>
        </w:tc>
      </w:tr>
      <w:tr w14:paraId="7F8B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954DEFC">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7FB31A2">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4AABBD49">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39898485">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6BADA47A">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《家用电冰箱耗电量限定值及能效等级》（GB12021.2）</w:t>
            </w:r>
          </w:p>
        </w:tc>
      </w:tr>
      <w:tr w14:paraId="3857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0141AFB">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E5BE820">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6E4DE67">
            <w:pPr>
              <w:pStyle w:val="284"/>
              <w:spacing w:before="171"/>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A02061804</w:t>
            </w:r>
            <w:r>
              <w:rPr>
                <w:rFonts w:hint="eastAsia" w:ascii="宋体" w:hAnsi="宋体" w:cs="宋体"/>
                <w:color w:val="000000" w:themeColor="text1"/>
                <w:sz w:val="21"/>
                <w:szCs w:val="21"/>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534F9E6">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房间空气调节器</w:t>
            </w:r>
          </w:p>
        </w:tc>
        <w:tc>
          <w:tcPr>
            <w:tcW w:w="4110" w:type="dxa"/>
            <w:tcBorders>
              <w:top w:val="single" w:color="000000" w:sz="4" w:space="0"/>
              <w:left w:val="single" w:color="000000" w:sz="4" w:space="0"/>
              <w:bottom w:val="single" w:color="000000" w:sz="4" w:space="0"/>
              <w:right w:val="single" w:color="000000" w:sz="4" w:space="0"/>
            </w:tcBorders>
          </w:tcPr>
          <w:p w14:paraId="1C63B65D">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《房间空气调节器能效限定值及能效等级》（GB21455-2019）</w:t>
            </w:r>
          </w:p>
        </w:tc>
      </w:tr>
      <w:tr w14:paraId="18BE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9225E93">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692F82E">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F47E130">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396DE87">
            <w:pPr>
              <w:pStyle w:val="284"/>
              <w:spacing w:before="4"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多联式空调（热泵）机组（制冷量≤ 14000W）</w:t>
            </w:r>
          </w:p>
        </w:tc>
        <w:tc>
          <w:tcPr>
            <w:tcW w:w="4110" w:type="dxa"/>
            <w:tcBorders>
              <w:top w:val="single" w:color="000000" w:sz="4" w:space="0"/>
              <w:left w:val="single" w:color="000000" w:sz="4" w:space="0"/>
              <w:bottom w:val="single" w:color="000000" w:sz="4" w:space="0"/>
              <w:right w:val="single" w:color="000000" w:sz="4" w:space="0"/>
            </w:tcBorders>
          </w:tcPr>
          <w:p w14:paraId="2DE3D70E">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《多联式空调（热泵）机组能效限定值及能源效率等级》（GB21454）</w:t>
            </w:r>
          </w:p>
        </w:tc>
      </w:tr>
      <w:tr w14:paraId="4655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EA4A935">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DFC3E42">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0ED21F2">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43C350D">
            <w:pPr>
              <w:pStyle w:val="284"/>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单元式空气调节机（制冷量≤ 14000W）</w:t>
            </w:r>
          </w:p>
        </w:tc>
        <w:tc>
          <w:tcPr>
            <w:tcW w:w="4110" w:type="dxa"/>
            <w:tcBorders>
              <w:top w:val="single" w:color="000000" w:sz="4" w:space="0"/>
              <w:left w:val="single" w:color="000000" w:sz="4" w:space="0"/>
              <w:bottom w:val="single" w:color="000000" w:sz="4" w:space="0"/>
              <w:right w:val="single" w:color="000000" w:sz="4" w:space="0"/>
            </w:tcBorders>
          </w:tcPr>
          <w:p w14:paraId="24CC228B">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《单元式空气调节机能效限定值及能源效率等级》（GB19576）《风管送风式空调机组能效限定值及能效等级》（GB37479）</w:t>
            </w:r>
          </w:p>
        </w:tc>
      </w:tr>
      <w:tr w14:paraId="4B77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B825452">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1E9B831">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E4BE093">
            <w:pPr>
              <w:pStyle w:val="284"/>
              <w:spacing w:before="16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A02061810</w:t>
            </w:r>
            <w:r>
              <w:rPr>
                <w:rFonts w:hint="eastAsia" w:ascii="宋体" w:hAnsi="宋体" w:cs="宋体"/>
                <w:color w:val="000000" w:themeColor="text1"/>
                <w:sz w:val="21"/>
                <w:szCs w:val="21"/>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FF37120">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79479DA1">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《电动洗衣机能效水效限定值及等级》（GB12021.4）</w:t>
            </w:r>
          </w:p>
        </w:tc>
      </w:tr>
      <w:tr w14:paraId="345E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73389B4">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F36978E">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C610244">
            <w:pPr>
              <w:pStyle w:val="284"/>
              <w:spacing w:before="161"/>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A02061819</w:t>
            </w:r>
            <w:r>
              <w:rPr>
                <w:rFonts w:hint="eastAsia" w:ascii="宋体" w:hAnsi="宋体" w:cs="宋体"/>
                <w:color w:val="000000" w:themeColor="text1"/>
                <w:sz w:val="21"/>
                <w:szCs w:val="21"/>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0A0E92F">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★电热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4110" w:type="dxa"/>
            <w:tcBorders>
              <w:top w:val="single" w:color="000000" w:sz="4" w:space="0"/>
              <w:left w:val="single" w:color="000000" w:sz="4" w:space="0"/>
              <w:bottom w:val="single" w:color="000000" w:sz="4" w:space="0"/>
              <w:right w:val="single" w:color="000000" w:sz="4" w:space="0"/>
            </w:tcBorders>
          </w:tcPr>
          <w:p w14:paraId="281E7AEE">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《储水式电热水器能效限定值及能效等级》（GB21519）</w:t>
            </w:r>
          </w:p>
        </w:tc>
      </w:tr>
      <w:tr w14:paraId="5BC1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233DD78">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AC4149F">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F57CAF1">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611355A">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燃气热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4110" w:type="dxa"/>
            <w:tcBorders>
              <w:top w:val="single" w:color="000000" w:sz="4" w:space="0"/>
              <w:left w:val="single" w:color="000000" w:sz="4" w:space="0"/>
              <w:bottom w:val="single" w:color="000000" w:sz="4" w:space="0"/>
              <w:right w:val="single" w:color="000000" w:sz="4" w:space="0"/>
            </w:tcBorders>
          </w:tcPr>
          <w:p w14:paraId="5D388134">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《家用燃气快速热水器和燃气采暖热水炉能效限定值及能效等级》（GB20665）</w:t>
            </w:r>
          </w:p>
        </w:tc>
      </w:tr>
      <w:tr w14:paraId="4B98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D636906">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9C0DCDA">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6E57095">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B1CF8B8">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热泵热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4110" w:type="dxa"/>
            <w:tcBorders>
              <w:top w:val="single" w:color="000000" w:sz="4" w:space="0"/>
              <w:left w:val="single" w:color="000000" w:sz="4" w:space="0"/>
              <w:bottom w:val="single" w:color="000000" w:sz="4" w:space="0"/>
              <w:right w:val="single" w:color="000000" w:sz="4" w:space="0"/>
            </w:tcBorders>
          </w:tcPr>
          <w:p w14:paraId="617E7698">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《热泵热水机（器）能效限定值及能效等级》（GB29541）</w:t>
            </w:r>
          </w:p>
        </w:tc>
      </w:tr>
      <w:tr w14:paraId="2340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7FB29D5">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980A4E6">
            <w:pPr>
              <w:widowControl/>
              <w:jc w:val="left"/>
              <w:rPr>
                <w:rFonts w:ascii="宋体" w:hAnsi="宋体" w:cs="宋体"/>
                <w:color w:val="000000" w:themeColor="text1"/>
                <w:szCs w:val="21"/>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742E133">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BC62C9A">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太阳能</w:t>
            </w:r>
            <w:r>
              <w:rPr>
                <w:rFonts w:hint="eastAsia" w:ascii="宋体" w:hAnsi="宋体" w:cs="宋体"/>
                <w:color w:val="000000" w:themeColor="text1"/>
                <w:spacing w:val="2"/>
                <w:sz w:val="21"/>
                <w:szCs w:val="21"/>
                <w14:textFill>
                  <w14:solidFill>
                    <w14:schemeClr w14:val="tx1"/>
                  </w14:solidFill>
                </w14:textFill>
              </w:rPr>
              <w:t>热</w:t>
            </w:r>
            <w:r>
              <w:rPr>
                <w:rFonts w:hint="eastAsia" w:ascii="宋体" w:hAnsi="宋体" w:cs="宋体"/>
                <w:color w:val="000000" w:themeColor="text1"/>
                <w:sz w:val="21"/>
                <w:szCs w:val="21"/>
                <w14:textFill>
                  <w14:solidFill>
                    <w14:schemeClr w14:val="tx1"/>
                  </w14:solidFill>
                </w14:textFill>
              </w:rPr>
              <w:t>水系统</w:t>
            </w:r>
          </w:p>
        </w:tc>
        <w:tc>
          <w:tcPr>
            <w:tcW w:w="4110" w:type="dxa"/>
            <w:tcBorders>
              <w:top w:val="single" w:color="000000" w:sz="4" w:space="0"/>
              <w:left w:val="single" w:color="000000" w:sz="4" w:space="0"/>
              <w:bottom w:val="single" w:color="000000" w:sz="4" w:space="0"/>
              <w:right w:val="single" w:color="000000" w:sz="4" w:space="0"/>
            </w:tcBorders>
          </w:tcPr>
          <w:p w14:paraId="7CAA104B">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《家用太阳能热水系统能效限定值及能效等级》（GB26969）</w:t>
            </w:r>
          </w:p>
        </w:tc>
      </w:tr>
      <w:tr w14:paraId="117F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C30FC6F">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E512683">
            <w:pPr>
              <w:pStyle w:val="284"/>
              <w:spacing w:before="15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06</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7A3F308D">
            <w:pPr>
              <w:pStyle w:val="284"/>
              <w:spacing w:before="133"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5367D91">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767C16B0">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《普通照明用双端荧光灯能效限定值及能效等级》（GB19043）</w:t>
            </w:r>
          </w:p>
        </w:tc>
      </w:tr>
      <w:tr w14:paraId="3EFD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D4008ED">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CA3530C">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0B5E33B">
            <w:pPr>
              <w:pStyle w:val="284"/>
              <w:spacing w:before="92" w:line="276" w:lineRule="auto"/>
              <w:ind w:left="7" w:right="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LE</w:t>
            </w:r>
            <w:r>
              <w:rPr>
                <w:rFonts w:hint="eastAsia" w:ascii="宋体" w:hAnsi="宋体" w:cs="宋体"/>
                <w:color w:val="000000" w:themeColor="text1"/>
                <w:sz w:val="21"/>
                <w:szCs w:val="21"/>
                <w14:textFill>
                  <w14:solidFill>
                    <w14:schemeClr w14:val="tx1"/>
                  </w14:solidFill>
                </w14:textFill>
              </w:rPr>
              <w:t>D</w:t>
            </w:r>
            <w:r>
              <w:rPr>
                <w:rFonts w:hint="eastAsia" w:ascii="宋体" w:hAnsi="宋体" w:cs="宋体"/>
                <w:color w:val="000000" w:themeColor="text1"/>
                <w:spacing w:val="12"/>
                <w:sz w:val="21"/>
                <w:szCs w:val="21"/>
                <w14:textFill>
                  <w14:solidFill>
                    <w14:schemeClr w14:val="tx1"/>
                  </w14:solidFill>
                </w14:textFill>
              </w:rPr>
              <w:t>道</w:t>
            </w:r>
            <w:r>
              <w:rPr>
                <w:rFonts w:hint="eastAsia" w:ascii="宋体" w:hAnsi="宋体" w:cs="宋体"/>
                <w:color w:val="000000" w:themeColor="text1"/>
                <w:spacing w:val="9"/>
                <w:sz w:val="21"/>
                <w:szCs w:val="21"/>
                <w14:textFill>
                  <w14:solidFill>
                    <w14:schemeClr w14:val="tx1"/>
                  </w14:solidFill>
                </w14:textFill>
              </w:rPr>
              <w:t>路</w:t>
            </w:r>
            <w:r>
              <w:rPr>
                <w:rFonts w:hint="eastAsia" w:ascii="宋体" w:hAnsi="宋体" w:cs="宋体"/>
                <w:color w:val="000000" w:themeColor="text1"/>
                <w:spacing w:val="13"/>
                <w:sz w:val="21"/>
                <w:szCs w:val="21"/>
                <w14:textFill>
                  <w14:solidFill>
                    <w14:schemeClr w14:val="tx1"/>
                  </w14:solidFill>
                </w14:textFill>
              </w:rPr>
              <w:t>/</w:t>
            </w:r>
            <w:r>
              <w:rPr>
                <w:rFonts w:hint="eastAsia" w:ascii="宋体" w:hAnsi="宋体" w:cs="宋体"/>
                <w:color w:val="000000" w:themeColor="text1"/>
                <w:spacing w:val="12"/>
                <w:sz w:val="21"/>
                <w:szCs w:val="21"/>
                <w14:textFill>
                  <w14:solidFill>
                    <w14:schemeClr w14:val="tx1"/>
                  </w14:solidFill>
                </w14:textFill>
              </w:rPr>
              <w:t>隧道照</w:t>
            </w:r>
            <w:r>
              <w:rPr>
                <w:rFonts w:hint="eastAsia" w:ascii="宋体" w:hAnsi="宋体" w:cs="宋体"/>
                <w:color w:val="000000" w:themeColor="text1"/>
                <w:sz w:val="21"/>
                <w:szCs w:val="21"/>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7CDB0940">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79FECCA4">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《道路和隧道照明用LED灯具能效限定值及能效等级》（GB37478）</w:t>
            </w:r>
          </w:p>
        </w:tc>
      </w:tr>
      <w:tr w14:paraId="3A5A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2340119">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01AEEF4">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44DDC6E">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LE</w:t>
            </w:r>
            <w:r>
              <w:rPr>
                <w:rFonts w:hint="eastAsia" w:ascii="宋体" w:hAnsi="宋体" w:cs="宋体"/>
                <w:color w:val="000000" w:themeColor="text1"/>
                <w:sz w:val="21"/>
                <w:szCs w:val="21"/>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1A0E6757">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359F465A">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《室内照明用LED产品能效限定值及能效等级》（GB30255）</w:t>
            </w:r>
          </w:p>
        </w:tc>
      </w:tr>
      <w:tr w14:paraId="27E3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82CA231">
            <w:pPr>
              <w:widowControl/>
              <w:jc w:val="left"/>
              <w:rPr>
                <w:rFonts w:ascii="宋体" w:hAnsi="宋体" w:cs="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356FDED">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B585BEA">
            <w:pPr>
              <w:pStyle w:val="284"/>
              <w:spacing w:line="276" w:lineRule="auto"/>
              <w:ind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普</w:t>
            </w:r>
            <w:r>
              <w:rPr>
                <w:rFonts w:hint="eastAsia" w:ascii="宋体" w:hAnsi="宋体" w:cs="宋体"/>
                <w:color w:val="000000" w:themeColor="text1"/>
                <w:spacing w:val="24"/>
                <w:sz w:val="21"/>
                <w:szCs w:val="21"/>
                <w:lang w:eastAsia="zh-CN"/>
                <w14:textFill>
                  <w14:solidFill>
                    <w14:schemeClr w14:val="tx1"/>
                  </w14:solidFill>
                </w14:textFill>
              </w:rPr>
              <w:t>通</w:t>
            </w:r>
            <w:r>
              <w:rPr>
                <w:rFonts w:hint="eastAsia" w:ascii="宋体" w:hAnsi="宋体" w:cs="宋体"/>
                <w:color w:val="000000" w:themeColor="text1"/>
                <w:sz w:val="21"/>
                <w:szCs w:val="21"/>
                <w:lang w:eastAsia="zh-CN"/>
                <w14:textFill>
                  <w14:solidFill>
                    <w14:schemeClr w14:val="tx1"/>
                  </w14:solidFill>
                </w14:textFill>
              </w:rPr>
              <w:t>照明用非</w:t>
            </w:r>
            <w:r>
              <w:rPr>
                <w:rFonts w:hint="eastAsia" w:ascii="宋体" w:hAnsi="宋体" w:cs="宋体"/>
                <w:color w:val="000000" w:themeColor="text1"/>
                <w:spacing w:val="24"/>
                <w:sz w:val="21"/>
                <w:szCs w:val="21"/>
                <w:lang w:eastAsia="zh-CN"/>
                <w14:textFill>
                  <w14:solidFill>
                    <w14:schemeClr w14:val="tx1"/>
                  </w14:solidFill>
                </w14:textFill>
              </w:rPr>
              <w:t>定</w:t>
            </w:r>
            <w:r>
              <w:rPr>
                <w:rFonts w:hint="eastAsia" w:ascii="宋体" w:hAnsi="宋体" w:cs="宋体"/>
                <w:color w:val="000000" w:themeColor="text1"/>
                <w:sz w:val="21"/>
                <w:szCs w:val="21"/>
                <w:lang w:eastAsia="zh-CN"/>
                <w14:textFill>
                  <w14:solidFill>
                    <w14:schemeClr w14:val="tx1"/>
                  </w14:solidFill>
                </w14:textFill>
              </w:rPr>
              <w:t>向自镇流</w:t>
            </w:r>
            <w:r>
              <w:rPr>
                <w:rFonts w:hint="eastAsia" w:ascii="宋体" w:hAnsi="宋体" w:cs="宋体"/>
                <w:color w:val="000000" w:themeColor="text1"/>
                <w:spacing w:val="1"/>
                <w:sz w:val="21"/>
                <w:szCs w:val="21"/>
                <w:lang w:eastAsia="zh-CN"/>
                <w14:textFill>
                  <w14:solidFill>
                    <w14:schemeClr w14:val="tx1"/>
                  </w14:solidFill>
                </w14:textFill>
              </w:rPr>
              <w:t>LE</w:t>
            </w:r>
            <w:r>
              <w:rPr>
                <w:rFonts w:hint="eastAsia" w:ascii="宋体" w:hAnsi="宋体" w:cs="宋体"/>
                <w:color w:val="000000" w:themeColor="text1"/>
                <w:sz w:val="21"/>
                <w:szCs w:val="21"/>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7CB12B9">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049A20A6">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《室内照明用LED产品能效限定值及能效等级》（GB30255）</w:t>
            </w:r>
          </w:p>
        </w:tc>
      </w:tr>
      <w:tr w14:paraId="3CC2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F6F120C">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73143691">
            <w:pPr>
              <w:pStyle w:val="284"/>
              <w:spacing w:before="81"/>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97E3B34">
            <w:pPr>
              <w:pStyle w:val="284"/>
              <w:spacing w:before="81" w:line="276" w:lineRule="auto"/>
              <w:ind w:left="7" w:right="5"/>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
                <w:sz w:val="21"/>
                <w:szCs w:val="21"/>
                <w:lang w:eastAsia="zh-CN"/>
                <w14:textFill>
                  <w14:solidFill>
                    <w14:schemeClr w14:val="tx1"/>
                  </w14:solidFill>
                </w14:textFill>
              </w:rPr>
              <w:t>A02</w:t>
            </w:r>
            <w:r>
              <w:rPr>
                <w:rFonts w:hint="eastAsia" w:ascii="宋体" w:hAnsi="宋体" w:cs="宋体"/>
                <w:color w:val="000000" w:themeColor="text1"/>
                <w:sz w:val="21"/>
                <w:szCs w:val="21"/>
                <w:lang w:eastAsia="zh-CN"/>
                <w14:textFill>
                  <w14:solidFill>
                    <w14:schemeClr w14:val="tx1"/>
                  </w14:solidFill>
                </w14:textFill>
              </w:rPr>
              <w:t>09</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001普通电视设备（</w:t>
            </w:r>
            <w:r>
              <w:rPr>
                <w:rFonts w:hint="eastAsia" w:ascii="宋体" w:hAnsi="宋体" w:cs="宋体"/>
                <w:color w:val="000000" w:themeColor="text1"/>
                <w:spacing w:val="2"/>
                <w:sz w:val="21"/>
                <w:szCs w:val="21"/>
                <w:lang w:eastAsia="zh-CN"/>
                <w14:textFill>
                  <w14:solidFill>
                    <w14:schemeClr w14:val="tx1"/>
                  </w14:solidFill>
                </w14:textFill>
              </w:rPr>
              <w:t>电</w:t>
            </w:r>
            <w:r>
              <w:rPr>
                <w:rFonts w:hint="eastAsia" w:ascii="宋体" w:hAnsi="宋体" w:cs="宋体"/>
                <w:color w:val="000000" w:themeColor="text1"/>
                <w:sz w:val="21"/>
                <w:szCs w:val="21"/>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AB234B3">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119C85B5">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《平板电视能效限定值及能效等级》（GB24850）</w:t>
            </w:r>
          </w:p>
        </w:tc>
      </w:tr>
      <w:tr w14:paraId="6CAE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D5C8F77">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62F8D1B9">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7E928C08">
            <w:pPr>
              <w:pStyle w:val="284"/>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09</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57130957">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监视器</w:t>
            </w:r>
          </w:p>
        </w:tc>
        <w:tc>
          <w:tcPr>
            <w:tcW w:w="4110" w:type="dxa"/>
            <w:tcBorders>
              <w:top w:val="single" w:color="000000" w:sz="4" w:space="0"/>
              <w:left w:val="single" w:color="000000" w:sz="4" w:space="0"/>
              <w:bottom w:val="single" w:color="000000" w:sz="4" w:space="0"/>
              <w:right w:val="single" w:color="000000" w:sz="4" w:space="0"/>
            </w:tcBorders>
          </w:tcPr>
          <w:p w14:paraId="105A20F4">
            <w:pPr>
              <w:pStyle w:val="284"/>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3351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0071B52">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BAFC19F">
            <w:pPr>
              <w:pStyle w:val="284"/>
              <w:spacing w:before="76"/>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A02241000</w:t>
            </w:r>
            <w:r>
              <w:rPr>
                <w:rFonts w:hint="eastAsia" w:ascii="宋体" w:hAnsi="宋体" w:cs="宋体"/>
                <w:color w:val="000000" w:themeColor="text1"/>
                <w:sz w:val="21"/>
                <w:szCs w:val="21"/>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20A3F0BE">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商用燃</w:t>
            </w:r>
            <w:r>
              <w:rPr>
                <w:rFonts w:hint="eastAsia" w:ascii="宋体" w:hAnsi="宋体" w:cs="宋体"/>
                <w:color w:val="000000" w:themeColor="text1"/>
                <w:spacing w:val="2"/>
                <w:sz w:val="21"/>
                <w:szCs w:val="21"/>
                <w14:textFill>
                  <w14:solidFill>
                    <w14:schemeClr w14:val="tx1"/>
                  </w14:solidFill>
                </w14:textFill>
              </w:rPr>
              <w:t>气</w:t>
            </w:r>
            <w:r>
              <w:rPr>
                <w:rFonts w:hint="eastAsia" w:ascii="宋体" w:hAnsi="宋体" w:cs="宋体"/>
                <w:color w:val="000000" w:themeColor="text1"/>
                <w:sz w:val="21"/>
                <w:szCs w:val="21"/>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4C5765CA">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4FE8DC23">
            <w:pPr>
              <w:pStyle w:val="284"/>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《商用燃气灶具能效限定值及能效等级》（GB30531）</w:t>
            </w:r>
          </w:p>
        </w:tc>
      </w:tr>
      <w:tr w14:paraId="0BA9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A9CE33E">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FC6A4F5">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A05020105</w:t>
            </w:r>
            <w:r>
              <w:rPr>
                <w:rFonts w:hint="eastAsia" w:ascii="宋体" w:hAnsi="宋体" w:cs="宋体"/>
                <w:color w:val="000000" w:themeColor="text1"/>
                <w:sz w:val="21"/>
                <w:szCs w:val="21"/>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22B2FFE8">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81023E6">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2E3E065F">
            <w:pPr>
              <w:pStyle w:val="284"/>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《坐便器水效限定值及水效等级》</w:t>
            </w:r>
          </w:p>
          <w:p w14:paraId="1C873FDC">
            <w:pPr>
              <w:pStyle w:val="284"/>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（GB25502）</w:t>
            </w:r>
          </w:p>
        </w:tc>
      </w:tr>
      <w:tr w14:paraId="2CE7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224D81A">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A831531">
            <w:pPr>
              <w:widowControl/>
              <w:jc w:val="left"/>
              <w:rPr>
                <w:rFonts w:ascii="宋体" w:hAnsi="宋体" w:cs="宋体"/>
                <w:color w:val="000000" w:themeColor="text1"/>
                <w:szCs w:val="21"/>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1D0D809">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3FCBCF0">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41E94424">
            <w:pPr>
              <w:pStyle w:val="284"/>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《蹲便器用水效率限定值及用水效率等级》（GB30717）</w:t>
            </w:r>
          </w:p>
        </w:tc>
      </w:tr>
      <w:tr w14:paraId="5D90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71A4D2A">
            <w:pPr>
              <w:widowControl/>
              <w:jc w:val="left"/>
              <w:rPr>
                <w:rFonts w:ascii="宋体" w:hAnsi="宋体"/>
                <w:color w:val="000000" w:themeColor="text1"/>
                <w:szCs w:val="21"/>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70F3879">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DF6493C">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C643D04">
            <w:pPr>
              <w:jc w:val="center"/>
              <w:rPr>
                <w:rFonts w:ascii="宋体" w:hAnsi="宋体"/>
                <w:color w:val="000000" w:themeColor="text1"/>
                <w:szCs w:val="21"/>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6C85A176">
            <w:pPr>
              <w:pStyle w:val="284"/>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《小便器用水效率限定值及用水效率等级》（GB28377）</w:t>
            </w:r>
          </w:p>
        </w:tc>
      </w:tr>
      <w:tr w14:paraId="2ED9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B0F2D4A">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0495EEE">
            <w:pPr>
              <w:pStyle w:val="284"/>
              <w:spacing w:before="153"/>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A05020106</w:t>
            </w:r>
            <w:r>
              <w:rPr>
                <w:rFonts w:hint="eastAsia" w:ascii="宋体" w:hAnsi="宋体" w:cs="宋体"/>
                <w:color w:val="000000" w:themeColor="text1"/>
                <w:sz w:val="21"/>
                <w:szCs w:val="21"/>
                <w14:textFill>
                  <w14:solidFill>
                    <w14:schemeClr w14:val="tx1"/>
                  </w14:solidFill>
                </w14:textFill>
              </w:rPr>
              <w:t>水嘴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69CB8B6D">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0B0D2ED">
            <w:pPr>
              <w:jc w:val="center"/>
              <w:rPr>
                <w:rFonts w:ascii="宋体" w:hAnsi="宋体"/>
                <w:color w:val="000000" w:themeColor="text1"/>
                <w:szCs w:val="21"/>
                <w:lang w:eastAsia="en-US"/>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5A98B160">
            <w:pPr>
              <w:pStyle w:val="284"/>
              <w:spacing w:before="153"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《水嘴用水效率限定值及用水效</w:t>
            </w:r>
            <w:r>
              <w:rPr>
                <w:rFonts w:hint="eastAsia" w:ascii="宋体" w:hAnsi="宋体" w:cs="宋体"/>
                <w:color w:val="000000" w:themeColor="text1"/>
                <w:sz w:val="21"/>
                <w:szCs w:val="21"/>
                <w:lang w:eastAsia="zh-CN"/>
                <w14:textFill>
                  <w14:solidFill>
                    <w14:schemeClr w14:val="tx1"/>
                  </w14:solidFill>
                </w14:textFill>
              </w:rPr>
              <w:t>率等级》（GB 25501）</w:t>
            </w:r>
          </w:p>
        </w:tc>
      </w:tr>
      <w:tr w14:paraId="4498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E64B688">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28BB7CD7">
            <w:pPr>
              <w:pStyle w:val="284"/>
              <w:spacing w:before="11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A05020107</w:t>
            </w:r>
            <w:r>
              <w:rPr>
                <w:rFonts w:hint="eastAsia" w:ascii="宋体" w:hAnsi="宋体" w:cs="宋体"/>
                <w:color w:val="000000" w:themeColor="text1"/>
                <w:sz w:val="21"/>
                <w:szCs w:val="21"/>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3BB0FA47">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F7E5C26">
            <w:pPr>
              <w:jc w:val="center"/>
              <w:rPr>
                <w:rFonts w:ascii="宋体" w:hAnsi="宋体"/>
                <w:color w:val="000000" w:themeColor="text1"/>
                <w:szCs w:val="21"/>
                <w:lang w:eastAsia="en-US"/>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7DA1D5EC">
            <w:pPr>
              <w:pStyle w:val="284"/>
              <w:spacing w:before="112"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《便器冲洗阀用水效率限定值及</w:t>
            </w:r>
            <w:r>
              <w:rPr>
                <w:rFonts w:hint="eastAsia" w:ascii="宋体" w:hAnsi="宋体" w:cs="宋体"/>
                <w:color w:val="000000" w:themeColor="text1"/>
                <w:sz w:val="21"/>
                <w:szCs w:val="21"/>
                <w:lang w:eastAsia="zh-CN"/>
                <w14:textFill>
                  <w14:solidFill>
                    <w14:schemeClr w14:val="tx1"/>
                  </w14:solidFill>
                </w14:textFill>
              </w:rPr>
              <w:t>用水效率等级》（GB28379）</w:t>
            </w:r>
          </w:p>
        </w:tc>
      </w:tr>
      <w:tr w14:paraId="7197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329ABA1">
            <w:pPr>
              <w:pStyle w:val="284"/>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60A9FE94">
            <w:pPr>
              <w:pStyle w:val="284"/>
              <w:spacing w:before="131"/>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A05020110</w:t>
            </w:r>
            <w:r>
              <w:rPr>
                <w:rFonts w:hint="eastAsia" w:ascii="宋体" w:hAnsi="宋体" w:cs="宋体"/>
                <w:color w:val="000000" w:themeColor="text1"/>
                <w:sz w:val="21"/>
                <w:szCs w:val="21"/>
                <w14:textFill>
                  <w14:solidFill>
                    <w14:schemeClr w14:val="tx1"/>
                  </w14:solidFill>
                </w14:textFill>
              </w:rPr>
              <w:t>淋浴器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4984B5B">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18FC8DD">
            <w:pPr>
              <w:jc w:val="center"/>
              <w:rPr>
                <w:rFonts w:ascii="宋体" w:hAnsi="宋体"/>
                <w:color w:val="000000" w:themeColor="text1"/>
                <w:szCs w:val="21"/>
                <w:lang w:eastAsia="en-US"/>
                <w14:textFill>
                  <w14:solidFill>
                    <w14:schemeClr w14:val="tx1"/>
                  </w14:solidFill>
                </w14:textFill>
              </w:rPr>
            </w:pPr>
          </w:p>
        </w:tc>
        <w:tc>
          <w:tcPr>
            <w:tcW w:w="4110" w:type="dxa"/>
            <w:tcBorders>
              <w:top w:val="single" w:color="000000" w:sz="4" w:space="0"/>
              <w:left w:val="single" w:color="000000" w:sz="4" w:space="0"/>
              <w:bottom w:val="single" w:color="000000" w:sz="4" w:space="0"/>
              <w:right w:val="single" w:color="000000" w:sz="4" w:space="0"/>
            </w:tcBorders>
          </w:tcPr>
          <w:p w14:paraId="541981DA">
            <w:pPr>
              <w:pStyle w:val="284"/>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《淋浴器用水效率限定值及用水</w:t>
            </w:r>
            <w:r>
              <w:rPr>
                <w:rFonts w:hint="eastAsia" w:ascii="宋体" w:hAnsi="宋体" w:cs="宋体"/>
                <w:color w:val="000000" w:themeColor="text1"/>
                <w:sz w:val="21"/>
                <w:szCs w:val="21"/>
                <w:lang w:eastAsia="zh-CN"/>
                <w14:textFill>
                  <w14:solidFill>
                    <w14:schemeClr w14:val="tx1"/>
                  </w14:solidFill>
                </w14:textFill>
              </w:rPr>
              <w:t>效率等级》（GB28378）</w:t>
            </w:r>
          </w:p>
        </w:tc>
      </w:tr>
    </w:tbl>
    <w:p w14:paraId="59EBCA2B">
      <w:pPr>
        <w:pStyle w:val="17"/>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pacing w:val="-3"/>
          <w:szCs w:val="21"/>
          <w14:textFill>
            <w14:solidFill>
              <w14:schemeClr w14:val="tx1"/>
            </w14:solidFill>
          </w14:textFill>
        </w:rPr>
        <w:t>注：1.节能产品认证应依据相关国家标准的最新版本，依据国家标准中二级能效（水效）</w:t>
      </w:r>
      <w:r>
        <w:rPr>
          <w:rFonts w:hint="eastAsia" w:ascii="宋体" w:hAnsi="宋体"/>
          <w:color w:val="000000" w:themeColor="text1"/>
          <w:szCs w:val="21"/>
          <w14:textFill>
            <w14:solidFill>
              <w14:schemeClr w14:val="tx1"/>
            </w14:solidFill>
          </w14:textFill>
        </w:rPr>
        <w:t>指标。</w:t>
      </w:r>
    </w:p>
    <w:p w14:paraId="45B7CA62">
      <w:pPr>
        <w:pStyle w:val="17"/>
        <w:spacing w:line="360" w:lineRule="auto"/>
        <w:ind w:firstLine="46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2.以“★”标注的为政府强制采购产品。</w:t>
      </w:r>
    </w:p>
    <w:p w14:paraId="36DBE79F">
      <w:pPr>
        <w:pStyle w:val="17"/>
        <w:spacing w:line="360" w:lineRule="auto"/>
        <w:ind w:firstLine="46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2D518652">
      <w:pPr>
        <w:widowControl/>
        <w:jc w:val="left"/>
        <w:rPr>
          <w:rFonts w:ascii="宋体" w:hAnsi="宋体" w:cs="宋体"/>
          <w:color w:val="000000" w:themeColor="text1"/>
          <w:sz w:val="20"/>
          <w:szCs w:val="20"/>
          <w14:textFill>
            <w14:solidFill>
              <w14:schemeClr w14:val="tx1"/>
            </w14:solidFill>
          </w14:textFill>
        </w:rPr>
      </w:pPr>
    </w:p>
    <w:p w14:paraId="2B9ABD2D">
      <w:pPr>
        <w:widowControl/>
        <w:jc w:val="left"/>
        <w:rPr>
          <w:rFonts w:ascii="宋体" w:hAnsi="宋体" w:cs="宋体"/>
          <w:color w:val="000000" w:themeColor="text1"/>
          <w:sz w:val="20"/>
          <w:szCs w:val="20"/>
          <w14:textFill>
            <w14:solidFill>
              <w14:schemeClr w14:val="tx1"/>
            </w14:solidFill>
          </w14:textFill>
        </w:rPr>
      </w:pPr>
    </w:p>
    <w:p w14:paraId="6A582277">
      <w:pPr>
        <w:widowControl/>
        <w:jc w:val="left"/>
        <w:rPr>
          <w:rFonts w:ascii="黑体" w:hAnsi="黑体" w:eastAsia="黑体" w:cs="黑体"/>
          <w:color w:val="000000" w:themeColor="text1"/>
          <w:sz w:val="32"/>
          <w:szCs w:val="32"/>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br w:type="page" w:clear="all"/>
      </w:r>
      <w:r>
        <w:rPr>
          <w:rFonts w:hint="eastAsia" w:ascii="黑体" w:hAnsi="黑体" w:eastAsia="黑体" w:cs="黑体"/>
          <w:color w:val="000000" w:themeColor="text1"/>
          <w:sz w:val="32"/>
          <w:szCs w:val="32"/>
          <w14:textFill>
            <w14:solidFill>
              <w14:schemeClr w14:val="tx1"/>
            </w14:solidFill>
          </w14:textFill>
        </w:rPr>
        <w:t>附件2：</w:t>
      </w:r>
    </w:p>
    <w:p w14:paraId="522F1522">
      <w:pPr>
        <w:pStyle w:val="17"/>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中小企业划型标准规定</w:t>
      </w:r>
    </w:p>
    <w:p w14:paraId="734A9463">
      <w:pPr>
        <w:pStyle w:val="17"/>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工信部联企业〔2011〕300号</w:t>
      </w:r>
    </w:p>
    <w:p w14:paraId="0F2B8E68">
      <w:pPr>
        <w:pStyle w:val="17"/>
        <w:rPr>
          <w:color w:val="000000" w:themeColor="text1"/>
          <w:szCs w:val="21"/>
          <w14:textFill>
            <w14:solidFill>
              <w14:schemeClr w14:val="tx1"/>
            </w14:solidFill>
          </w14:textFill>
        </w:rPr>
      </w:pPr>
    </w:p>
    <w:p w14:paraId="1502E9C0">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一、根据《中华人民共和国中小企业促进法》和《国务院关于进一步促进中小企业发展的若干意见》</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国发〔2009〕36号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，制定本规定。</w:t>
      </w:r>
    </w:p>
    <w:p w14:paraId="2BCE268B">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二、中小企业划分为中型、小型、微型三种类型，具体标准根据企业从业人员、营业收入、资产总额等指标，结合行业特点制定。</w:t>
      </w:r>
    </w:p>
    <w:p w14:paraId="1EA97A64">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6C90446">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四、各行业划型标准为：</w:t>
      </w:r>
    </w:p>
    <w:p w14:paraId="48B5E93D">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（一）农、林、牧、渔业。营业收入</w:t>
      </w:r>
      <w:r>
        <w:rPr>
          <w:rFonts w:ascii="宋体" w:hAnsi="宋体"/>
          <w:color w:val="000000" w:themeColor="text1"/>
          <w:szCs w:val="21"/>
          <w14:textFill>
            <w14:solidFill>
              <w14:schemeClr w14:val="tx1"/>
            </w14:solidFill>
          </w14:textFill>
        </w:rPr>
        <w:t>20000</w:t>
      </w:r>
      <w:r>
        <w:rPr>
          <w:rFonts w:hint="eastAsia" w:ascii="宋体" w:hAnsi="宋体"/>
          <w:color w:val="000000" w:themeColor="text1"/>
          <w:szCs w:val="21"/>
          <w14:textFill>
            <w14:solidFill>
              <w14:schemeClr w14:val="tx1"/>
            </w14:solidFill>
          </w14:textFill>
        </w:rPr>
        <w:t>万元以下的为中小微型企业。其中，营业收入</w:t>
      </w:r>
      <w:r>
        <w:rPr>
          <w:rFonts w:ascii="宋体" w:hAnsi="宋体"/>
          <w:color w:val="000000" w:themeColor="text1"/>
          <w:szCs w:val="21"/>
          <w14:textFill>
            <w14:solidFill>
              <w14:schemeClr w14:val="tx1"/>
            </w14:solidFill>
          </w14:textFill>
        </w:rPr>
        <w:t>500</w:t>
      </w:r>
      <w:r>
        <w:rPr>
          <w:rFonts w:hint="eastAsia" w:ascii="宋体" w:hAnsi="宋体"/>
          <w:color w:val="000000" w:themeColor="text1"/>
          <w:szCs w:val="21"/>
          <w14:textFill>
            <w14:solidFill>
              <w14:schemeClr w14:val="tx1"/>
            </w14:solidFill>
          </w14:textFill>
        </w:rPr>
        <w:t>万元及以上的为中型企业，营业收入</w:t>
      </w:r>
      <w:r>
        <w:rPr>
          <w:rFonts w:ascii="宋体" w:hAnsi="宋体"/>
          <w:color w:val="000000" w:themeColor="text1"/>
          <w:szCs w:val="21"/>
          <w14:textFill>
            <w14:solidFill>
              <w14:schemeClr w14:val="tx1"/>
            </w14:solidFill>
          </w14:textFill>
        </w:rPr>
        <w:t>50</w:t>
      </w:r>
      <w:r>
        <w:rPr>
          <w:rFonts w:hint="eastAsia" w:ascii="宋体" w:hAnsi="宋体"/>
          <w:color w:val="000000" w:themeColor="text1"/>
          <w:szCs w:val="21"/>
          <w14:textFill>
            <w14:solidFill>
              <w14:schemeClr w14:val="tx1"/>
            </w14:solidFill>
          </w14:textFill>
        </w:rPr>
        <w:t>万元及以上的为小型企业，营业收入</w:t>
      </w:r>
      <w:r>
        <w:rPr>
          <w:rFonts w:ascii="宋体" w:hAnsi="宋体"/>
          <w:color w:val="000000" w:themeColor="text1"/>
          <w:szCs w:val="21"/>
          <w14:textFill>
            <w14:solidFill>
              <w14:schemeClr w14:val="tx1"/>
            </w14:solidFill>
          </w14:textFill>
        </w:rPr>
        <w:t>50</w:t>
      </w:r>
      <w:r>
        <w:rPr>
          <w:rFonts w:hint="eastAsia" w:ascii="宋体" w:hAnsi="宋体"/>
          <w:color w:val="000000" w:themeColor="text1"/>
          <w:szCs w:val="21"/>
          <w14:textFill>
            <w14:solidFill>
              <w14:schemeClr w14:val="tx1"/>
            </w14:solidFill>
          </w14:textFill>
        </w:rPr>
        <w:t>万元以下的为微型企业。</w:t>
      </w:r>
    </w:p>
    <w:p w14:paraId="05C1B403">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（二）工业。从业人员</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40000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2000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万元以下的为微型企业。</w:t>
      </w:r>
    </w:p>
    <w:p w14:paraId="73238B50">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（三）建筑业。营业收入</w:t>
      </w:r>
      <w:r>
        <w:rPr>
          <w:rFonts w:ascii="宋体" w:hAnsi="宋体"/>
          <w:color w:val="000000" w:themeColor="text1"/>
          <w:szCs w:val="21"/>
          <w14:textFill>
            <w14:solidFill>
              <w14:schemeClr w14:val="tx1"/>
            </w14:solidFill>
          </w14:textFill>
        </w:rPr>
        <w:t>80000</w:t>
      </w:r>
      <w:r>
        <w:rPr>
          <w:rFonts w:hint="eastAsia" w:ascii="宋体" w:hAnsi="宋体"/>
          <w:color w:val="000000" w:themeColor="text1"/>
          <w:szCs w:val="21"/>
          <w14:textFill>
            <w14:solidFill>
              <w14:schemeClr w14:val="tx1"/>
            </w14:solidFill>
          </w14:textFill>
        </w:rPr>
        <w:t>万元以下或资产总额</w:t>
      </w:r>
      <w:r>
        <w:rPr>
          <w:rFonts w:ascii="宋体" w:hAnsi="宋体"/>
          <w:color w:val="000000" w:themeColor="text1"/>
          <w:szCs w:val="21"/>
          <w14:textFill>
            <w14:solidFill>
              <w14:schemeClr w14:val="tx1"/>
            </w14:solidFill>
          </w14:textFill>
        </w:rPr>
        <w:t>80000</w:t>
      </w:r>
      <w:r>
        <w:rPr>
          <w:rFonts w:hint="eastAsia" w:ascii="宋体" w:hAnsi="宋体"/>
          <w:color w:val="000000" w:themeColor="text1"/>
          <w:szCs w:val="21"/>
          <w14:textFill>
            <w14:solidFill>
              <w14:schemeClr w14:val="tx1"/>
            </w14:solidFill>
          </w14:textFill>
        </w:rPr>
        <w:t>万元以下的为中小微型企业。其中，营业收入</w:t>
      </w:r>
      <w:r>
        <w:rPr>
          <w:rFonts w:ascii="宋体" w:hAnsi="宋体"/>
          <w:color w:val="000000" w:themeColor="text1"/>
          <w:szCs w:val="21"/>
          <w14:textFill>
            <w14:solidFill>
              <w14:schemeClr w14:val="tx1"/>
            </w14:solidFill>
          </w14:textFill>
        </w:rPr>
        <w:t>6000</w:t>
      </w:r>
      <w:r>
        <w:rPr>
          <w:rFonts w:hint="eastAsia" w:ascii="宋体" w:hAnsi="宋体"/>
          <w:color w:val="000000" w:themeColor="text1"/>
          <w:szCs w:val="21"/>
          <w14:textFill>
            <w14:solidFill>
              <w14:schemeClr w14:val="tx1"/>
            </w14:solidFill>
          </w14:textFill>
        </w:rPr>
        <w:t>万元及以上，且资产总额</w:t>
      </w:r>
      <w:r>
        <w:rPr>
          <w:rFonts w:ascii="宋体" w:hAnsi="宋体"/>
          <w:color w:val="000000" w:themeColor="text1"/>
          <w:szCs w:val="21"/>
          <w14:textFill>
            <w14:solidFill>
              <w14:schemeClr w14:val="tx1"/>
            </w14:solidFill>
          </w14:textFill>
        </w:rPr>
        <w:t>5000</w:t>
      </w:r>
      <w:r>
        <w:rPr>
          <w:rFonts w:hint="eastAsia" w:ascii="宋体" w:hAnsi="宋体"/>
          <w:color w:val="000000" w:themeColor="text1"/>
          <w:szCs w:val="21"/>
          <w14:textFill>
            <w14:solidFill>
              <w14:schemeClr w14:val="tx1"/>
            </w14:solidFill>
          </w14:textFill>
        </w:rPr>
        <w:t>万元及以上的为中型企业；营业收入</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万元及以上，且资产总额</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万元及以上的为小型企业；营业收入</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万元以下或资产总额</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万元以下的为微型企业。</w:t>
      </w:r>
    </w:p>
    <w:p w14:paraId="35A46D0E">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（四）批发业。从业人员</w:t>
      </w:r>
      <w:r>
        <w:rPr>
          <w:rFonts w:ascii="宋体" w:hAnsi="宋体"/>
          <w:color w:val="000000" w:themeColor="text1"/>
          <w:szCs w:val="21"/>
          <w14:textFill>
            <w14:solidFill>
              <w14:schemeClr w14:val="tx1"/>
            </w14:solidFill>
          </w14:textFill>
        </w:rPr>
        <w:t>200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40000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5000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万元以下的为微型企业。</w:t>
      </w:r>
    </w:p>
    <w:p w14:paraId="7FF888A0">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（五）零售业。从业人员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20000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50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500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万元以下的为微型企业。</w:t>
      </w:r>
    </w:p>
    <w:p w14:paraId="7C9E5A75">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（六）交通运输业。从业人员</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30000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3000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200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200</w:t>
      </w:r>
      <w:r>
        <w:rPr>
          <w:rFonts w:hint="eastAsia" w:ascii="宋体" w:hAnsi="宋体"/>
          <w:color w:val="000000" w:themeColor="text1"/>
          <w:szCs w:val="21"/>
          <w14:textFill>
            <w14:solidFill>
              <w14:schemeClr w14:val="tx1"/>
            </w14:solidFill>
          </w14:textFill>
        </w:rPr>
        <w:t>万元以下的为微型企业。</w:t>
      </w:r>
    </w:p>
    <w:p w14:paraId="62012FEA">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（七）仓储业。从业人员</w:t>
      </w:r>
      <w:r>
        <w:rPr>
          <w:rFonts w:ascii="宋体" w:hAnsi="宋体"/>
          <w:color w:val="000000" w:themeColor="text1"/>
          <w:szCs w:val="21"/>
          <w14:textFill>
            <w14:solidFill>
              <w14:schemeClr w14:val="tx1"/>
            </w14:solidFill>
          </w14:textFill>
        </w:rPr>
        <w:t>200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30000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万元以下的为微型企业。</w:t>
      </w:r>
    </w:p>
    <w:p w14:paraId="6298161F">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（八）邮政业。从业人员</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30000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2000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万元以下的为微型企业。</w:t>
      </w:r>
    </w:p>
    <w:p w14:paraId="7F959599">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（九）住宿业。从业人员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2000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万元以下的为微型企业。</w:t>
      </w:r>
    </w:p>
    <w:p w14:paraId="289915D4">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（十）餐饮业。从业人员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2000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万元以下的为微型企业。</w:t>
      </w:r>
    </w:p>
    <w:p w14:paraId="13E73A9D">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（十一）信息传输业。从业人员</w:t>
      </w:r>
      <w:r>
        <w:rPr>
          <w:rFonts w:ascii="宋体" w:hAnsi="宋体"/>
          <w:color w:val="000000" w:themeColor="text1"/>
          <w:szCs w:val="21"/>
          <w14:textFill>
            <w14:solidFill>
              <w14:schemeClr w14:val="tx1"/>
            </w14:solidFill>
          </w14:textFill>
        </w:rPr>
        <w:t>2000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万元以下的为微型企业。</w:t>
      </w:r>
    </w:p>
    <w:p w14:paraId="28C04F49">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（十二）软件和信息技术服务业。从业人员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10000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50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50</w:t>
      </w:r>
      <w:r>
        <w:rPr>
          <w:rFonts w:hint="eastAsia" w:ascii="宋体" w:hAnsi="宋体"/>
          <w:color w:val="000000" w:themeColor="text1"/>
          <w:szCs w:val="21"/>
          <w14:textFill>
            <w14:solidFill>
              <w14:schemeClr w14:val="tx1"/>
            </w14:solidFill>
          </w14:textFill>
        </w:rPr>
        <w:t>万元以下的为微型企业。</w:t>
      </w:r>
    </w:p>
    <w:p w14:paraId="74AE6A79">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（十三）房地产开发经营。营业收入</w:t>
      </w:r>
      <w:r>
        <w:rPr>
          <w:rFonts w:ascii="宋体" w:hAnsi="宋体"/>
          <w:color w:val="000000" w:themeColor="text1"/>
          <w:szCs w:val="21"/>
          <w14:textFill>
            <w14:solidFill>
              <w14:schemeClr w14:val="tx1"/>
            </w14:solidFill>
          </w14:textFill>
        </w:rPr>
        <w:t>200000</w:t>
      </w:r>
      <w:r>
        <w:rPr>
          <w:rFonts w:hint="eastAsia" w:ascii="宋体" w:hAnsi="宋体"/>
          <w:color w:val="000000" w:themeColor="text1"/>
          <w:szCs w:val="21"/>
          <w14:textFill>
            <w14:solidFill>
              <w14:schemeClr w14:val="tx1"/>
            </w14:solidFill>
          </w14:textFill>
        </w:rPr>
        <w:t>万元以下或资产总额</w:t>
      </w:r>
      <w:r>
        <w:rPr>
          <w:rFonts w:ascii="宋体" w:hAnsi="宋体"/>
          <w:color w:val="000000" w:themeColor="text1"/>
          <w:szCs w:val="21"/>
          <w14:textFill>
            <w14:solidFill>
              <w14:schemeClr w14:val="tx1"/>
            </w14:solidFill>
          </w14:textFill>
        </w:rPr>
        <w:t>10000</w:t>
      </w:r>
      <w:r>
        <w:rPr>
          <w:rFonts w:hint="eastAsia" w:ascii="宋体" w:hAnsi="宋体"/>
          <w:color w:val="000000" w:themeColor="text1"/>
          <w:szCs w:val="21"/>
          <w14:textFill>
            <w14:solidFill>
              <w14:schemeClr w14:val="tx1"/>
            </w14:solidFill>
          </w14:textFill>
        </w:rPr>
        <w:t>万元以下的为中小微型企业。其中，营业收入</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万元及以上，且资产总额</w:t>
      </w:r>
      <w:r>
        <w:rPr>
          <w:rFonts w:ascii="宋体" w:hAnsi="宋体"/>
          <w:color w:val="000000" w:themeColor="text1"/>
          <w:szCs w:val="21"/>
          <w14:textFill>
            <w14:solidFill>
              <w14:schemeClr w14:val="tx1"/>
            </w14:solidFill>
          </w14:textFill>
        </w:rPr>
        <w:t>5000</w:t>
      </w:r>
      <w:r>
        <w:rPr>
          <w:rFonts w:hint="eastAsia" w:ascii="宋体" w:hAnsi="宋体"/>
          <w:color w:val="000000" w:themeColor="text1"/>
          <w:szCs w:val="21"/>
          <w14:textFill>
            <w14:solidFill>
              <w14:schemeClr w14:val="tx1"/>
            </w14:solidFill>
          </w14:textFill>
        </w:rPr>
        <w:t>万元及以上的为中型企业；营业收入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万元及以上，且资产总额</w:t>
      </w:r>
      <w:r>
        <w:rPr>
          <w:rFonts w:ascii="宋体" w:hAnsi="宋体"/>
          <w:color w:val="000000" w:themeColor="text1"/>
          <w:szCs w:val="21"/>
          <w14:textFill>
            <w14:solidFill>
              <w14:schemeClr w14:val="tx1"/>
            </w14:solidFill>
          </w14:textFill>
        </w:rPr>
        <w:t>2000</w:t>
      </w:r>
      <w:r>
        <w:rPr>
          <w:rFonts w:hint="eastAsia" w:ascii="宋体" w:hAnsi="宋体"/>
          <w:color w:val="000000" w:themeColor="text1"/>
          <w:szCs w:val="21"/>
          <w14:textFill>
            <w14:solidFill>
              <w14:schemeClr w14:val="tx1"/>
            </w14:solidFill>
          </w14:textFill>
        </w:rPr>
        <w:t>万元及以上的为小型企业；营业收入</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万元以下或资产总额</w:t>
      </w:r>
      <w:r>
        <w:rPr>
          <w:rFonts w:ascii="宋体" w:hAnsi="宋体"/>
          <w:color w:val="000000" w:themeColor="text1"/>
          <w:szCs w:val="21"/>
          <w14:textFill>
            <w14:solidFill>
              <w14:schemeClr w14:val="tx1"/>
            </w14:solidFill>
          </w14:textFill>
        </w:rPr>
        <w:t>2000</w:t>
      </w:r>
      <w:r>
        <w:rPr>
          <w:rFonts w:hint="eastAsia" w:ascii="宋体" w:hAnsi="宋体"/>
          <w:color w:val="000000" w:themeColor="text1"/>
          <w:szCs w:val="21"/>
          <w14:textFill>
            <w14:solidFill>
              <w14:schemeClr w14:val="tx1"/>
            </w14:solidFill>
          </w14:textFill>
        </w:rPr>
        <w:t>万元以下的为微型企业。</w:t>
      </w:r>
    </w:p>
    <w:p w14:paraId="6237A4AF">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（十四）物业管理。从业人员</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5000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1000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人及以上，且营业收入</w:t>
      </w:r>
      <w:r>
        <w:rPr>
          <w:rFonts w:ascii="宋体" w:hAnsi="宋体"/>
          <w:color w:val="000000" w:themeColor="text1"/>
          <w:szCs w:val="21"/>
          <w14:textFill>
            <w14:solidFill>
              <w14:schemeClr w14:val="tx1"/>
            </w14:solidFill>
          </w14:textFill>
        </w:rPr>
        <w:t>500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人以下或营业收入</w:t>
      </w:r>
      <w:r>
        <w:rPr>
          <w:rFonts w:ascii="宋体" w:hAnsi="宋体"/>
          <w:color w:val="000000" w:themeColor="text1"/>
          <w:szCs w:val="21"/>
          <w14:textFill>
            <w14:solidFill>
              <w14:schemeClr w14:val="tx1"/>
            </w14:solidFill>
          </w14:textFill>
        </w:rPr>
        <w:t>500</w:t>
      </w:r>
      <w:r>
        <w:rPr>
          <w:rFonts w:hint="eastAsia" w:ascii="宋体" w:hAnsi="宋体"/>
          <w:color w:val="000000" w:themeColor="text1"/>
          <w:szCs w:val="21"/>
          <w14:textFill>
            <w14:solidFill>
              <w14:schemeClr w14:val="tx1"/>
            </w14:solidFill>
          </w14:textFill>
        </w:rPr>
        <w:t>万元以下的为微型企业。</w:t>
      </w:r>
    </w:p>
    <w:p w14:paraId="0BB5A9D1">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（十五）租赁和商务服务业。从业人员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人以下或资产总额</w:t>
      </w:r>
      <w:r>
        <w:rPr>
          <w:rFonts w:ascii="宋体" w:hAnsi="宋体"/>
          <w:color w:val="000000" w:themeColor="text1"/>
          <w:szCs w:val="21"/>
          <w14:textFill>
            <w14:solidFill>
              <w14:schemeClr w14:val="tx1"/>
            </w14:solidFill>
          </w14:textFill>
        </w:rPr>
        <w:t>120000</w:t>
      </w:r>
      <w:r>
        <w:rPr>
          <w:rFonts w:hint="eastAsia" w:ascii="宋体" w:hAnsi="宋体"/>
          <w:color w:val="000000" w:themeColor="text1"/>
          <w:szCs w:val="21"/>
          <w14:textFill>
            <w14:solidFill>
              <w14:schemeClr w14:val="tx1"/>
            </w14:solidFill>
          </w14:textFill>
        </w:rPr>
        <w:t>万元以下的为中小微型企业。其中，从业人员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人及以上，且资产总额</w:t>
      </w:r>
      <w:r>
        <w:rPr>
          <w:rFonts w:ascii="宋体" w:hAnsi="宋体"/>
          <w:color w:val="000000" w:themeColor="text1"/>
          <w:szCs w:val="21"/>
          <w14:textFill>
            <w14:solidFill>
              <w14:schemeClr w14:val="tx1"/>
            </w14:solidFill>
          </w14:textFill>
        </w:rPr>
        <w:t>8000</w:t>
      </w:r>
      <w:r>
        <w:rPr>
          <w:rFonts w:hint="eastAsia" w:ascii="宋体" w:hAnsi="宋体"/>
          <w:color w:val="000000" w:themeColor="text1"/>
          <w:szCs w:val="21"/>
          <w14:textFill>
            <w14:solidFill>
              <w14:schemeClr w14:val="tx1"/>
            </w14:solidFill>
          </w14:textFill>
        </w:rPr>
        <w:t>万元及以上的为中型企业；从业人员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人及以上，且资产总额</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万元及以上的为小型企业；从业人员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人以下或资产总额</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万元以下的为微型企业。</w:t>
      </w:r>
    </w:p>
    <w:p w14:paraId="53405B0A">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（十六）其他未列明行业。从业人员</w:t>
      </w:r>
      <w:r>
        <w:rPr>
          <w:rFonts w:ascii="宋体" w:hAnsi="宋体"/>
          <w:color w:val="000000" w:themeColor="text1"/>
          <w:szCs w:val="21"/>
          <w14:textFill>
            <w14:solidFill>
              <w14:schemeClr w14:val="tx1"/>
            </w14:solidFill>
          </w14:textFill>
        </w:rPr>
        <w:t>300</w:t>
      </w:r>
      <w:r>
        <w:rPr>
          <w:rFonts w:hint="eastAsia" w:ascii="宋体" w:hAnsi="宋体"/>
          <w:color w:val="000000" w:themeColor="text1"/>
          <w:szCs w:val="21"/>
          <w14:textFill>
            <w14:solidFill>
              <w14:schemeClr w14:val="tx1"/>
            </w14:solidFill>
          </w14:textFill>
        </w:rPr>
        <w:t>人以下的为中小微型企业。其中，从业人员</w:t>
      </w:r>
      <w:r>
        <w:rPr>
          <w:rFonts w:ascii="宋体" w:hAnsi="宋体"/>
          <w:color w:val="000000" w:themeColor="text1"/>
          <w:szCs w:val="21"/>
          <w14:textFill>
            <w14:solidFill>
              <w14:schemeClr w14:val="tx1"/>
            </w14:solidFill>
          </w14:textFill>
        </w:rPr>
        <w:t>100</w:t>
      </w:r>
      <w:r>
        <w:rPr>
          <w:rFonts w:hint="eastAsia" w:ascii="宋体" w:hAnsi="宋体"/>
          <w:color w:val="000000" w:themeColor="text1"/>
          <w:szCs w:val="21"/>
          <w14:textFill>
            <w14:solidFill>
              <w14:schemeClr w14:val="tx1"/>
            </w14:solidFill>
          </w14:textFill>
        </w:rPr>
        <w:t>人及以上的为中型企业；从业人员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人及以上的为小型企业；从业人员</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人以下的为微型企业。</w:t>
      </w:r>
    </w:p>
    <w:p w14:paraId="66F17D99">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五、企业类型的划分以统计部门的统计数据为依据。</w:t>
      </w:r>
    </w:p>
    <w:p w14:paraId="596C5728">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2C588E0C">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5C4E2724">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八、本规定由工业和信息化部、国家统计局会同有关部门根据《国民经济行业分类》修订情况和企业发展变化情况适时修订。</w:t>
      </w:r>
    </w:p>
    <w:p w14:paraId="3D40868A">
      <w:pPr>
        <w:pStyle w:val="17"/>
        <w:spacing w:after="0" w:line="5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九、本规定由工业和信息化部、国家统计局会同有关部门负责解释。</w:t>
      </w:r>
    </w:p>
    <w:p w14:paraId="6F763CA3">
      <w:pPr>
        <w:pStyle w:val="17"/>
        <w:spacing w:after="0" w:line="540" w:lineRule="exact"/>
        <w:ind w:firstLine="42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十、本规定自发布之日起执行，原国家经贸委、原国家计委、财政部和国家统计局</w:t>
      </w:r>
      <w:r>
        <w:rPr>
          <w:rFonts w:ascii="宋体" w:hAnsi="宋体"/>
          <w:color w:val="000000" w:themeColor="text1"/>
          <w:szCs w:val="21"/>
          <w14:textFill>
            <w14:solidFill>
              <w14:schemeClr w14:val="tx1"/>
            </w14:solidFill>
          </w14:textFill>
        </w:rPr>
        <w:t>2003</w:t>
      </w:r>
      <w:r>
        <w:rPr>
          <w:rFonts w:hint="eastAsia" w:ascii="宋体" w:hAnsi="宋体"/>
          <w:color w:val="000000" w:themeColor="text1"/>
          <w:szCs w:val="21"/>
          <w14:textFill>
            <w14:solidFill>
              <w14:schemeClr w14:val="tx1"/>
            </w14:solidFill>
          </w14:textFill>
        </w:rPr>
        <w:t>年颁布的《中小企业标准暂行规定》同时废止。</w:t>
      </w:r>
    </w:p>
    <w:p w14:paraId="2601379F">
      <w:pPr>
        <w:widowControl/>
        <w:jc w:val="left"/>
        <w:rPr>
          <w:rFonts w:ascii="宋体" w:hAnsi="宋体" w:cs="宋体"/>
          <w:color w:val="000000" w:themeColor="text1"/>
          <w:sz w:val="20"/>
          <w:szCs w:val="20"/>
          <w14:textFill>
            <w14:solidFill>
              <w14:schemeClr w14:val="tx1"/>
            </w14:solidFill>
          </w14:textFill>
        </w:rPr>
      </w:pPr>
    </w:p>
    <w:p w14:paraId="17BF92B9">
      <w:pPr>
        <w:pStyle w:val="203"/>
        <w:rPr>
          <w:rFonts w:ascii="宋体" w:hAnsi="宋体" w:cs="宋体"/>
          <w:color w:val="000000" w:themeColor="text1"/>
          <w:sz w:val="20"/>
          <w:szCs w:val="20"/>
          <w14:textFill>
            <w14:solidFill>
              <w14:schemeClr w14:val="tx1"/>
            </w14:solidFill>
          </w14:textFill>
        </w:rPr>
      </w:pPr>
      <w:r>
        <w:rPr>
          <w:rFonts w:ascii="宋体" w:hAnsi="宋体" w:cs="宋体"/>
          <w:color w:val="000000" w:themeColor="text1"/>
          <w:sz w:val="20"/>
          <w:szCs w:val="20"/>
          <w14:textFill>
            <w14:solidFill>
              <w14:schemeClr w14:val="tx1"/>
            </w14:solidFill>
          </w14:textFill>
        </w:rPr>
        <w:br w:type="page" w:clear="all"/>
      </w:r>
    </w:p>
    <w:p w14:paraId="2B6C9362">
      <w:pPr>
        <w:spacing w:line="360" w:lineRule="auto"/>
        <w:jc w:val="center"/>
        <w:rPr>
          <w:b/>
          <w:bCs/>
          <w:color w:val="000000" w:themeColor="text1"/>
          <w:sz w:val="44"/>
          <w:szCs w:val="44"/>
          <w14:textFill>
            <w14:solidFill>
              <w14:schemeClr w14:val="tx1"/>
            </w14:solidFill>
          </w14:textFill>
        </w:rPr>
      </w:pPr>
      <w:bookmarkStart w:id="66" w:name="_Toc13387"/>
      <w:r>
        <w:rPr>
          <w:rFonts w:hint="eastAsia"/>
          <w:b/>
          <w:bCs/>
          <w:color w:val="000000" w:themeColor="text1"/>
          <w:sz w:val="44"/>
          <w:szCs w:val="44"/>
          <w14:textFill>
            <w14:solidFill>
              <w14:schemeClr w14:val="tx1"/>
            </w14:solidFill>
          </w14:textFill>
        </w:rPr>
        <w:t>第四章  评审程序和评定成交的标准</w:t>
      </w:r>
      <w:bookmarkEnd w:id="66"/>
    </w:p>
    <w:p w14:paraId="7F5ED7B6">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w:t>
      </w:r>
    </w:p>
    <w:p w14:paraId="74865B66">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.确认谈判文件</w:t>
      </w:r>
    </w:p>
    <w:p w14:paraId="616D42A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由谈判小组确认谈判文件。</w:t>
      </w:r>
    </w:p>
    <w:p w14:paraId="37A3D2F8">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.资格审查</w:t>
      </w:r>
    </w:p>
    <w:p w14:paraId="22E1520E">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.1响应文件开启后，谈判小组依法对供应商的资格证明文件进行审查。</w:t>
      </w:r>
    </w:p>
    <w:p w14:paraId="3915B46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谈判小组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10B5F08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（1）查询渠道：广西政府采购云平台“信用中国”网站(www.creditchina.gov.cn)、中国政府采购网(www.ccgp.gov.cn)。</w:t>
      </w:r>
    </w:p>
    <w:p w14:paraId="2ED8B46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（2）信用查询截止时点：资格审查结束前。</w:t>
      </w:r>
    </w:p>
    <w:p w14:paraId="4A8E5D1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（3）查询记录和证据留存方式：在查询网站中直接查询，截图另存为电子文档作为评审资料保存。</w:t>
      </w:r>
    </w:p>
    <w:p w14:paraId="5296FF1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05C61D16">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.2资格审查标准为本谈判文件中载明对供应商资格要求的条件。本项目资格审查采用合格制，凡符合谈判文件规定的供应商资格要求的供应商均通过资格审查。</w:t>
      </w:r>
    </w:p>
    <w:p w14:paraId="1C5679C9">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.3 供应商有下列情形之一的，资格审查不通过，其响应文件按无效处理：</w:t>
      </w:r>
    </w:p>
    <w:p w14:paraId="3C8ACE9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）不具备谈判文件中规定的资格要求的；</w:t>
      </w:r>
    </w:p>
    <w:p w14:paraId="3425388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（2）未按谈判文件规定的方式获取本谈判文件的供应商；</w:t>
      </w:r>
    </w:p>
    <w:p w14:paraId="12F63E34">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）响应文件中的资格证明文件缺少任一项“供应商须知前附表”资格证明文件规定的“必须提供”的文件资料的；</w:t>
      </w:r>
    </w:p>
    <w:p w14:paraId="0BBD1C59">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70F5326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099CBDB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.4通过资格审查的合格供应商不足3家（本章</w:t>
      </w:r>
      <w:r>
        <w:rPr>
          <w:rFonts w:ascii="宋体" w:hAnsi="宋体" w:cs="宋体"/>
          <w:color w:val="000000" w:themeColor="text1"/>
          <w:szCs w:val="21"/>
          <w14:textFill>
            <w14:solidFill>
              <w14:schemeClr w14:val="tx1"/>
            </w14:solidFill>
          </w14:textFill>
        </w:rPr>
        <w:t>3.7</w:t>
      </w:r>
      <w:r>
        <w:rPr>
          <w:rFonts w:hint="eastAsia" w:ascii="宋体" w:hAnsi="宋体" w:cs="宋体"/>
          <w:color w:val="000000" w:themeColor="text1"/>
          <w:szCs w:val="21"/>
          <w14:textFill>
            <w14:solidFill>
              <w14:schemeClr w14:val="tx1"/>
            </w14:solidFill>
          </w14:textFill>
        </w:rPr>
        <w:t>条规定除外）的，不得进入符合性审查环节，应当重新开展采购活动。</w:t>
      </w:r>
    </w:p>
    <w:p w14:paraId="5D260265">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.符合性审查</w:t>
      </w:r>
    </w:p>
    <w:p w14:paraId="1636C76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谈判小组应当对符合资格的供应商的响应文件进行竞标报价、商务、技术等实质性要求符合性审查，以确定其是否满足谈判文件的实质性要求。</w:t>
      </w:r>
    </w:p>
    <w:p w14:paraId="4E8C13F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E7570D">
      <w:pPr>
        <w:spacing w:line="360" w:lineRule="auto"/>
        <w:ind w:firstLine="420"/>
        <w:rPr>
          <w:rFonts w:ascii="宋体" w:hAns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3C0389E1">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6ECD55D3">
      <w:pPr>
        <w:spacing w:line="360" w:lineRule="auto"/>
        <w:ind w:firstLine="396"/>
        <w:rPr>
          <w:rFonts w:ascii="宋体" w:hAns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 xml:space="preserve">首次响应文件报价出现前后不一致的，按照下列规定修正： </w:t>
      </w:r>
    </w:p>
    <w:p w14:paraId="56627EB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（1）响应文件中报价表内容与响应文件中相应内容不一致的，以报价表为准；</w:t>
      </w:r>
    </w:p>
    <w:p w14:paraId="1BA4A82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（2）大写金额和小写金额不一致的，以大写金额为准；</w:t>
      </w:r>
    </w:p>
    <w:p w14:paraId="16D46A7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（3）单价金额小数点或者百分比有明显错位的，以报价表的总价为准，并修改单价；</w:t>
      </w:r>
    </w:p>
    <w:p w14:paraId="6E051FD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（4）总价金额与按单价汇总金额不一致的，以单价金额计算结果为准。</w:t>
      </w:r>
    </w:p>
    <w:p w14:paraId="55A32EF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704D3B2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5DE3325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在评审时，如发现下列情形之一的，将被视为响应文件无效处理：</w:t>
      </w:r>
    </w:p>
    <w:p w14:paraId="700E1DA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（1）商务技术评审</w:t>
      </w:r>
    </w:p>
    <w:p w14:paraId="68953DE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1）响应文件未按谈判文件要求签署、盖章的；</w:t>
      </w:r>
    </w:p>
    <w:p w14:paraId="4075A36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2）委托代理人未能出具有效身份证或者出具的身份证与授权委托书中的信息不符的； </w:t>
      </w:r>
    </w:p>
    <w:p w14:paraId="7C0AC5B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3）提交的竞标保证金无效的或者未按照谈判文件的规定提交竞标保证金；</w:t>
      </w:r>
    </w:p>
    <w:p w14:paraId="444FDDC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6FB6B6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5）商务要求允许负偏离的条款数超过“供应商须知前附表”规定项数的；</w:t>
      </w:r>
    </w:p>
    <w:p w14:paraId="365498B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6）未对竞标有效期作出响应或者响应文件承诺的竞标有效期不满足谈判文件要求；</w:t>
      </w:r>
    </w:p>
    <w:p w14:paraId="6673DB8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7）响应文件的实质性内容未使用中文表述、使用计量单位不符合谈判文件要求的；</w:t>
      </w:r>
    </w:p>
    <w:p w14:paraId="05B9C09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8）响应文件中的文件资料因填写不齐全或者内容虚假或者出现其他情形而导致被谈判小组认定无效的；</w:t>
      </w:r>
    </w:p>
    <w:p w14:paraId="421DD53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9）响应文件含有采购人不能接受的附加条件的；</w:t>
      </w:r>
    </w:p>
    <w:p w14:paraId="0D8A7F7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0）属于“供应商须知正文”第7.</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条的情形的；</w:t>
      </w:r>
    </w:p>
    <w:p w14:paraId="1547FCA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11）技术评审允许负偏离的条款数超过“供应商须知前附表”规定项数的；</w:t>
      </w:r>
    </w:p>
    <w:p w14:paraId="05B53E89">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2）虚假竞标，或者出现其他情形而导致被谈判小组认定无效的；</w:t>
      </w:r>
    </w:p>
    <w:p w14:paraId="152CBE6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3）谈判文件未载明允许提供备选（替代）竞标方案或明确不允许提供备选（替代）竞标方案时，供应商提供了备选（替代）竞标方案的；</w:t>
      </w:r>
    </w:p>
    <w:p w14:paraId="70912478">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4）响应文件标注的项目名称或者项目编号与谈判文件标注的项目名称或者项目编号不一致的；</w:t>
      </w:r>
    </w:p>
    <w:p w14:paraId="0B31127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r>
        <w:rPr>
          <w:rFonts w:hint="eastAsia" w:ascii="宋体" w:hAnsi="宋体"/>
          <w:color w:val="000000" w:themeColor="text1"/>
          <w:szCs w:val="21"/>
          <w14:textFill>
            <w14:solidFill>
              <w14:schemeClr w14:val="tx1"/>
            </w14:solidFill>
          </w14:textFill>
        </w:rPr>
        <w:t>谈判文件明确不允许分包，响应文件拟分包的；</w:t>
      </w:r>
    </w:p>
    <w:p w14:paraId="749F5233">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6）未响应谈判文件实质性要求；</w:t>
      </w:r>
    </w:p>
    <w:p w14:paraId="1F2153F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17）法律、法规和谈判文件规定的其他无效情形。</w:t>
      </w:r>
    </w:p>
    <w:p w14:paraId="5C9F9BE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2）报</w:t>
      </w:r>
      <w:r>
        <w:rPr>
          <w:rFonts w:hint="eastAsia" w:ascii="宋体" w:hAnsi="宋体" w:cs="宋体"/>
          <w:color w:val="000000" w:themeColor="text1"/>
          <w:szCs w:val="21"/>
          <w14:textFill>
            <w14:solidFill>
              <w14:schemeClr w14:val="tx1"/>
            </w14:solidFill>
          </w14:textFill>
        </w:rPr>
        <w:t>价评审</w:t>
      </w:r>
    </w:p>
    <w:p w14:paraId="722DA17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1）响应文件未提供“供应商须知前附表”报价文件中规定的“竞标报价表”的；</w:t>
      </w:r>
    </w:p>
    <w:p w14:paraId="5B9878A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2）未采用人民币报价或者未按照谈判文件标明的币种报价的；</w:t>
      </w:r>
    </w:p>
    <w:p w14:paraId="03593C1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14:paraId="11640D2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4658C11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55F3A2B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响应文件响应的标的数量及单位与竞争性谈判采购文件要求实质性不一致的。</w:t>
      </w:r>
    </w:p>
    <w:p w14:paraId="7EB5EB6B">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241556C4">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61AE707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.8除本章3.7条规定的情形外，通过符合性审查的合格供应商不足3家的，不得进入谈判环节，应当重新开展采购活动。</w:t>
      </w:r>
    </w:p>
    <w:p w14:paraId="7C1CBE0C">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4</w:t>
      </w:r>
      <w:r>
        <w:rPr>
          <w:rFonts w:ascii="黑体" w:hAnsi="黑体" w:eastAsia="黑体" w:cs="宋体"/>
          <w:b/>
          <w:bCs/>
          <w:color w:val="000000" w:themeColor="text1"/>
          <w:sz w:val="24"/>
          <w14:textFill>
            <w14:solidFill>
              <w14:schemeClr w14:val="tx1"/>
            </w14:solidFill>
          </w14:textFill>
        </w:rPr>
        <w:t>.</w:t>
      </w:r>
      <w:r>
        <w:rPr>
          <w:rFonts w:hint="eastAsia" w:ascii="黑体" w:hAnsi="黑体" w:eastAsia="黑体" w:cs="宋体"/>
          <w:b/>
          <w:bCs/>
          <w:color w:val="000000" w:themeColor="text1"/>
          <w:sz w:val="24"/>
          <w14:textFill>
            <w14:solidFill>
              <w14:schemeClr w14:val="tx1"/>
            </w14:solidFill>
          </w14:textFill>
        </w:rPr>
        <w:t>谈判程序</w:t>
      </w:r>
    </w:p>
    <w:p w14:paraId="75B3BD2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谈判小组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0B6B950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3941C32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对谈判文件作出的实质性变动是谈判文件的有效组成部分，由谈判小组及时以电子澄清函形式同时通知所有参加谈判的供应商。</w:t>
      </w:r>
    </w:p>
    <w:p w14:paraId="2AE8882F">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35BD44D2">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谈判中，谈判的任何一方不得透露与谈判有关的其他供应商的技术资料、价格和其他信息。</w:t>
      </w:r>
    </w:p>
    <w:p w14:paraId="39060CA6">
      <w:pPr>
        <w:widowControl/>
        <w:tabs>
          <w:tab w:val="left" w:pos="540"/>
        </w:tabs>
        <w:spacing w:line="360" w:lineRule="auto"/>
        <w:ind w:firstLine="420"/>
        <w:jc w:val="lef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谈判小组应对谈判过程和谈判内容进行记录。</w:t>
      </w:r>
    </w:p>
    <w:p w14:paraId="38200669">
      <w:pPr>
        <w:tabs>
          <w:tab w:val="left" w:pos="2835"/>
        </w:tabs>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7除本章第3.7条外，</w:t>
      </w:r>
      <w:r>
        <w:rPr>
          <w:rFonts w:hint="eastAsia" w:ascii="宋体" w:hAnsi="宋体"/>
          <w:color w:val="000000" w:themeColor="text1"/>
          <w:szCs w:val="21"/>
          <w14:textFill>
            <w14:solidFill>
              <w14:schemeClr w14:val="tx1"/>
            </w14:solidFill>
          </w14:textFill>
        </w:rPr>
        <w:t>对谈判过程提交的响应文件进行有效性、完整性和响应程度审查，通过审查的合格供应商不足3家的，采购人或者采购代理机构应当重新开展采购活动</w:t>
      </w:r>
      <w:r>
        <w:rPr>
          <w:rFonts w:hint="eastAsia" w:ascii="宋体" w:hAnsi="宋体" w:cs="宋体"/>
          <w:color w:val="000000" w:themeColor="text1"/>
          <w:szCs w:val="21"/>
          <w14:textFill>
            <w14:solidFill>
              <w14:schemeClr w14:val="tx1"/>
            </w14:solidFill>
          </w14:textFill>
        </w:rPr>
        <w:t>。</w:t>
      </w:r>
    </w:p>
    <w:p w14:paraId="3FA2B646">
      <w:pPr>
        <w:spacing w:line="360" w:lineRule="auto"/>
        <w:ind w:firstLine="482"/>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5</w:t>
      </w:r>
      <w:r>
        <w:rPr>
          <w:rFonts w:ascii="黑体" w:hAnsi="黑体" w:eastAsia="黑体" w:cs="宋体"/>
          <w:b/>
          <w:bCs/>
          <w:color w:val="000000" w:themeColor="text1"/>
          <w:sz w:val="24"/>
          <w14:textFill>
            <w14:solidFill>
              <w14:schemeClr w14:val="tx1"/>
            </w14:solidFill>
          </w14:textFill>
        </w:rPr>
        <w:t>.</w:t>
      </w:r>
      <w:r>
        <w:rPr>
          <w:rFonts w:hint="eastAsia" w:ascii="黑体" w:hAnsi="黑体" w:eastAsia="黑体" w:cs="宋体"/>
          <w:b/>
          <w:bCs/>
          <w:color w:val="000000" w:themeColor="text1"/>
          <w:sz w:val="24"/>
          <w14:textFill>
            <w14:solidFill>
              <w14:schemeClr w14:val="tx1"/>
            </w14:solidFill>
          </w14:textFill>
        </w:rPr>
        <w:t xml:space="preserve"> 最后报价</w:t>
      </w:r>
    </w:p>
    <w:p w14:paraId="603763E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47FFC7BE">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3A9E9A6B">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r>
        <w:rPr>
          <w:rFonts w:hint="eastAsia" w:ascii="宋体" w:hAnsi="宋体" w:cs="宋体"/>
          <w:color w:val="000000" w:themeColor="text1"/>
          <w:szCs w:val="21"/>
          <w14:textFill>
            <w14:solidFill>
              <w14:schemeClr w14:val="tx1"/>
            </w14:solidFill>
          </w14:textFill>
        </w:rPr>
        <w:t>最后报价是供应商响应文件的有效组成部分。</w:t>
      </w:r>
    </w:p>
    <w:p w14:paraId="7196BEE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5.4</w:t>
      </w:r>
      <w:r>
        <w:rPr>
          <w:rFonts w:hint="eastAsia" w:ascii="宋体" w:hAnsi="宋体" w:cs="宋体"/>
          <w:color w:val="000000" w:themeColor="text1"/>
          <w:szCs w:val="21"/>
          <w14:textFill>
            <w14:solidFill>
              <w14:schemeClr w14:val="tx1"/>
            </w14:solidFill>
          </w14:textFill>
        </w:rPr>
        <w:t>已经提交响应文件的供应商，在提交最后报价之前，可以根据谈判情况退出谈判，退出谈判的供应商的响应文件按无效响应处理。采购人、采购代理机构将退还退出谈判的供应商的保证金。</w:t>
      </w:r>
    </w:p>
    <w:p w14:paraId="3F26A16C">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5.5</w:t>
      </w:r>
      <w:r>
        <w:rPr>
          <w:rFonts w:hint="eastAsia" w:ascii="宋体" w:hAnsi="宋体" w:cs="宋体"/>
          <w:color w:val="000000" w:themeColor="text1"/>
          <w:szCs w:val="21"/>
          <w14:textFill>
            <w14:solidFill>
              <w14:schemeClr w14:val="tx1"/>
            </w14:solidFill>
          </w14:textFill>
        </w:rPr>
        <w:t>供应商未在规定时间内提交最后报价的，视为退出谈判，其响应文件按无效处理。</w:t>
      </w:r>
    </w:p>
    <w:p w14:paraId="480B8FAA">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最后报价统一开启后，谈判小组对最后报价进行有效性、完整性和响应程度的审查。</w:t>
      </w:r>
    </w:p>
    <w:p w14:paraId="7E934804">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 xml:space="preserve">条的规定修正。 </w:t>
      </w:r>
    </w:p>
    <w:p w14:paraId="733ECACB">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4AF6CC0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（1）供应商不确认的（全流程电子化评标采取在线确认）；</w:t>
      </w:r>
    </w:p>
    <w:p w14:paraId="78FCF86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（2）经供应商确认修正后的竞标报价（包含首次报价、最后报价）超过所竞标分标规定的采购预算金额或者最高限价的（如本项目公布了最高限价）；</w:t>
      </w:r>
    </w:p>
    <w:p w14:paraId="1BD1C66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（3）经供应商确认修正后的竞标报价（包含首次报价、最后报价）超过分项采购预算金额或者最高限价的（如本项目公布了最高限价）。</w:t>
      </w:r>
    </w:p>
    <w:p w14:paraId="59B45DF7">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7785A7B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5.10供应商出现最后报价按无效响应处理或者响应文件按无效处理时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，谈判小组应当告知有关供应商</w:t>
      </w:r>
      <w:r>
        <w:rPr>
          <w:rFonts w:hint="eastAsia" w:ascii="宋体" w:hAnsi="宋体" w:cs="宋体"/>
          <w:color w:val="000000" w:themeColor="text1"/>
          <w:szCs w:val="21"/>
          <w14:textFill>
            <w14:solidFill>
              <w14:schemeClr w14:val="tx1"/>
            </w14:solidFill>
          </w14:textFill>
        </w:rPr>
        <w:t>。</w:t>
      </w:r>
    </w:p>
    <w:p w14:paraId="5D7F1EC5">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1最后报价结束后，谈判小组不得再与供应商进行任何形式的商谈。</w:t>
      </w:r>
    </w:p>
    <w:p w14:paraId="70CC53F0">
      <w:pPr>
        <w:spacing w:line="360" w:lineRule="auto"/>
        <w:ind w:firstLine="47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 xml:space="preserve"> 最后报价及政府采购政策性扣除</w:t>
      </w:r>
    </w:p>
    <w:p w14:paraId="69BD1F5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17691252">
      <w:pPr>
        <w:spacing w:line="360" w:lineRule="auto"/>
        <w:ind w:firstLine="424"/>
        <w:jc w:val="left"/>
        <w:rPr>
          <w:rFonts w:ascii="宋体" w:hAnsi="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6.2</w:t>
      </w:r>
      <w:r>
        <w:rPr>
          <w:rFonts w:hint="eastAsia" w:ascii="宋体" w:hAnsi="宋体"/>
          <w:color w:val="000000" w:themeColor="text1"/>
          <w:szCs w:val="21"/>
          <w14:textFill>
            <w14:solidFill>
              <w14:schemeClr w14:val="tx1"/>
            </w14:solidFill>
          </w14:textFill>
        </w:rPr>
        <w:t>异常低价响应审查</w:t>
      </w:r>
    </w:p>
    <w:p w14:paraId="34F09DF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（1）谈判小组在评审中发现下列情形之一的，应当启动异常低价响应审查程序：</w:t>
      </w:r>
    </w:p>
    <w:p w14:paraId="0DE9063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①响应报价低于全部通过符合性审查供应商响应报价平均值</w:t>
      </w:r>
      <w:r>
        <w:rPr>
          <w:rFonts w:hint="eastAsia" w:ascii="宋体" w:hAnsi="宋体"/>
          <w:color w:val="000000" w:themeColor="text1"/>
          <w:szCs w:val="21"/>
          <w:u w:val="single"/>
          <w14:textFill>
            <w14:solidFill>
              <w14:schemeClr w14:val="tx1"/>
            </w14:solidFill>
          </w14:textFill>
        </w:rPr>
        <w:t>50%</w:t>
      </w:r>
      <w:r>
        <w:rPr>
          <w:rFonts w:hint="eastAsia" w:ascii="宋体" w:hAnsi="宋体"/>
          <w:color w:val="000000" w:themeColor="text1"/>
          <w:szCs w:val="21"/>
          <w14:textFill>
            <w14:solidFill>
              <w14:schemeClr w14:val="tx1"/>
            </w14:solidFill>
          </w14:textFill>
        </w:rPr>
        <w:t>的，即响应报价＜全部通过符合性审查供应商响应报价平均值×</w:t>
      </w:r>
      <w:r>
        <w:rPr>
          <w:rFonts w:hint="eastAsia" w:ascii="宋体" w:hAnsi="宋体"/>
          <w:color w:val="000000" w:themeColor="text1"/>
          <w:szCs w:val="21"/>
          <w:u w:val="single"/>
          <w14:textFill>
            <w14:solidFill>
              <w14:schemeClr w14:val="tx1"/>
            </w14:solidFill>
          </w14:textFill>
        </w:rPr>
        <w:t>50%</w:t>
      </w:r>
      <w:r>
        <w:rPr>
          <w:rFonts w:hint="eastAsia" w:ascii="宋体" w:hAnsi="宋体"/>
          <w:color w:val="000000" w:themeColor="text1"/>
          <w:szCs w:val="21"/>
          <w14:textFill>
            <w14:solidFill>
              <w14:schemeClr w14:val="tx1"/>
            </w14:solidFill>
          </w14:textFill>
        </w:rPr>
        <w:t>；②响应报价低于通过符合性审查的次低报价供应商响应报价</w:t>
      </w:r>
      <w:r>
        <w:rPr>
          <w:rFonts w:hint="eastAsia" w:ascii="宋体" w:hAnsi="宋体"/>
          <w:color w:val="000000" w:themeColor="text1"/>
          <w:szCs w:val="21"/>
          <w:u w:val="single"/>
          <w14:textFill>
            <w14:solidFill>
              <w14:schemeClr w14:val="tx1"/>
            </w14:solidFill>
          </w14:textFill>
        </w:rPr>
        <w:t>50%</w:t>
      </w:r>
      <w:r>
        <w:rPr>
          <w:rFonts w:hint="eastAsia" w:ascii="宋体" w:hAnsi="宋体"/>
          <w:color w:val="000000" w:themeColor="text1"/>
          <w:szCs w:val="21"/>
          <w14:textFill>
            <w14:solidFill>
              <w14:schemeClr w14:val="tx1"/>
            </w14:solidFill>
          </w14:textFill>
        </w:rPr>
        <w:t>的，即响应报价＜通过符合性审查的次低报价供应商响应报价×50</w:t>
      </w:r>
      <w:r>
        <w:rPr>
          <w:rFonts w:hint="eastAsia"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；③响应报价低于采购项目最高限价</w:t>
      </w:r>
      <w:r>
        <w:rPr>
          <w:rFonts w:hint="eastAsia" w:ascii="宋体" w:hAnsi="宋体"/>
          <w:color w:val="000000" w:themeColor="text1"/>
          <w:szCs w:val="21"/>
          <w:u w:val="single"/>
          <w14:textFill>
            <w14:solidFill>
              <w14:schemeClr w14:val="tx1"/>
            </w14:solidFill>
          </w14:textFill>
        </w:rPr>
        <w:t>45%</w:t>
      </w:r>
      <w:r>
        <w:rPr>
          <w:rFonts w:hint="eastAsia" w:ascii="宋体" w:hAnsi="宋体"/>
          <w:color w:val="000000" w:themeColor="text1"/>
          <w:szCs w:val="21"/>
          <w14:textFill>
            <w14:solidFill>
              <w14:schemeClr w14:val="tx1"/>
            </w14:solidFill>
          </w14:textFill>
        </w:rPr>
        <w:t>的，即响应报价＜采购项目最高限价×</w:t>
      </w:r>
      <w:r>
        <w:rPr>
          <w:rFonts w:hint="eastAsia" w:ascii="宋体" w:hAnsi="宋体"/>
          <w:color w:val="000000" w:themeColor="text1"/>
          <w:szCs w:val="21"/>
          <w:u w:val="single"/>
          <w14:textFill>
            <w14:solidFill>
              <w14:schemeClr w14:val="tx1"/>
            </w14:solidFill>
          </w14:textFill>
        </w:rPr>
        <w:t>45%</w:t>
      </w:r>
      <w:r>
        <w:rPr>
          <w:rFonts w:hint="eastAsia" w:ascii="宋体" w:hAnsi="宋体"/>
          <w:color w:val="000000" w:themeColor="text1"/>
          <w:szCs w:val="21"/>
          <w14:textFill>
            <w14:solidFill>
              <w14:schemeClr w14:val="tx1"/>
            </w14:solidFill>
          </w14:textFill>
        </w:rPr>
        <w:t>；④谈判小组基于专业判断，认为供应商报价过低，有可能影响产品质量或者不能诚信履约的其他情形。</w:t>
      </w:r>
    </w:p>
    <w:p w14:paraId="3F9F4A2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CEBED5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14:textFill>
            <w14:solidFill>
              <w14:schemeClr w14:val="tx1"/>
            </w14:solidFill>
          </w14:textFill>
        </w:rPr>
        <w:t>相关供应商不能提供书面说明、证明材料，或者提供的书面说明、证明材料不能证明其报价合理性的，谈判小组应当将其作为无效响应处理。</w:t>
      </w:r>
    </w:p>
    <w:p w14:paraId="61FE020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8A04F9B">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异常低价响应审查的启动原因、审查意见和审查结果应当在评审报告中记录，并随供应商提供的相关书面说明及证明材料，以及谈判小组有关互联网浏览、查询历史一并归档。</w:t>
      </w:r>
    </w:p>
    <w:p w14:paraId="691AECAF">
      <w:pPr>
        <w:spacing w:line="360" w:lineRule="auto"/>
        <w:ind w:firstLine="420"/>
        <w:rPr>
          <w:rFonts w:ascii="宋体" w:hAnsi="宋体" w:cs="宋体"/>
          <w:color w:val="000000" w:themeColor="text1"/>
          <w14:textFill>
            <w14:solidFill>
              <w14:schemeClr w14:val="tx1"/>
            </w14:solidFill>
          </w14:textFill>
        </w:rPr>
      </w:pPr>
      <w:r>
        <w:rPr>
          <w:rFonts w:hint="eastAsia" w:hAnsi="宋体" w:cs="Courier New"/>
          <w:bCs/>
          <w:color w:val="000000" w:themeColor="text1"/>
          <w14:textFill>
            <w14:solidFill>
              <w14:schemeClr w14:val="tx1"/>
            </w14:solidFill>
          </w14:textFill>
        </w:rPr>
        <w:t>6</w:t>
      </w:r>
      <w:r>
        <w:rPr>
          <w:rFonts w:hAnsi="宋体" w:cs="Courier New"/>
          <w:bCs/>
          <w:color w:val="000000" w:themeColor="text1"/>
          <w14:textFill>
            <w14:solidFill>
              <w14:schemeClr w14:val="tx1"/>
            </w14:solidFill>
          </w14:textFill>
        </w:rPr>
        <w:t>.3</w:t>
      </w:r>
      <w:r>
        <w:rPr>
          <w:rFonts w:hint="eastAsia" w:hAnsi="宋体" w:cs="Courier New"/>
          <w:bCs/>
          <w:color w:val="000000" w:themeColor="text1"/>
          <w14:textFill>
            <w14:solidFill>
              <w14:schemeClr w14:val="tx1"/>
            </w14:solidFill>
          </w14:textFill>
        </w:rPr>
        <w:t>中小企业政策性扣除计算方法</w:t>
      </w:r>
    </w:p>
    <w:p w14:paraId="48F6EDAF">
      <w:pPr>
        <w:spacing w:line="360" w:lineRule="auto"/>
        <w:ind w:firstLine="369"/>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根据《政府采购促进中小企业发展管理办法》（财库〔2020〕46号）</w:t>
      </w:r>
      <w:r>
        <w:rPr>
          <w:rFonts w:hint="eastAsia" w:ascii="宋体" w:hAnsi="宋体"/>
          <w:bCs/>
          <w:color w:val="000000" w:themeColor="text1"/>
          <w:szCs w:val="21"/>
          <w14:textFill>
            <w14:solidFill>
              <w14:schemeClr w14:val="tx1"/>
            </w14:solidFill>
          </w14:textFill>
        </w:rPr>
        <w:t>及《广西壮族自治区财政厅关于持续优化政府采购营商环境推动高质量发展的通知》（桂财采〔2024〕55号）的规定，供应商在其响应文件中提供《中小企业声明函》，且响应货物全部由小微企业制造，对供应商的竞标报价给予</w:t>
      </w:r>
      <w:r>
        <w:rPr>
          <w:rFonts w:hint="eastAsia" w:ascii="宋体" w:hAnsi="宋体"/>
          <w:bCs/>
          <w:color w:val="000000" w:themeColor="text1"/>
          <w:szCs w:val="21"/>
          <w:u w:val="single"/>
          <w14:textFill>
            <w14:solidFill>
              <w14:schemeClr w14:val="tx1"/>
            </w14:solidFill>
          </w14:textFill>
        </w:rPr>
        <w:t>20%</w:t>
      </w:r>
      <w:r>
        <w:rPr>
          <w:rFonts w:hint="eastAsia" w:ascii="宋体" w:hAnsi="宋体"/>
          <w:bCs/>
          <w:color w:val="000000" w:themeColor="text1"/>
          <w:szCs w:val="21"/>
          <w14:textFill>
            <w14:solidFill>
              <w14:schemeClr w14:val="tx1"/>
            </w14:solidFill>
          </w14:textFill>
        </w:rPr>
        <w:t>（范围为10%-20%）的扣除，扣除后的价格为评审价，即中小企业政策性折扣=竞标报价×</w:t>
      </w:r>
      <w:r>
        <w:rPr>
          <w:rFonts w:hint="eastAsia" w:ascii="宋体" w:hAnsi="宋体"/>
          <w:bCs/>
          <w:color w:val="000000" w:themeColor="text1"/>
          <w:szCs w:val="21"/>
          <w:u w:val="single"/>
          <w14:textFill>
            <w14:solidFill>
              <w14:schemeClr w14:val="tx1"/>
            </w14:solidFill>
          </w14:textFill>
        </w:rPr>
        <w:t>20%</w:t>
      </w:r>
      <w:r>
        <w:rPr>
          <w:rFonts w:hint="eastAsia" w:ascii="宋体" w:hAnsi="宋体"/>
          <w:bCs/>
          <w:color w:val="000000" w:themeColor="text1"/>
          <w:szCs w:val="21"/>
          <w14:textFill>
            <w14:solidFill>
              <w14:schemeClr w14:val="tx1"/>
            </w14:solidFill>
          </w14:textFill>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000000" w:themeColor="text1"/>
          <w:szCs w:val="21"/>
          <w:u w:val="single"/>
          <w14:textFill>
            <w14:solidFill>
              <w14:schemeClr w14:val="tx1"/>
            </w14:solidFill>
          </w14:textFill>
        </w:rPr>
        <w:t>6%</w:t>
      </w:r>
      <w:r>
        <w:rPr>
          <w:rFonts w:hint="eastAsia" w:ascii="宋体" w:hAnsi="宋体"/>
          <w:bCs/>
          <w:color w:val="000000" w:themeColor="text1"/>
          <w:szCs w:val="21"/>
          <w14:textFill>
            <w14:solidFill>
              <w14:schemeClr w14:val="tx1"/>
            </w14:solidFill>
          </w14:textFill>
        </w:rPr>
        <w:t>（范围为4%-6%）的扣除，用扣除后的价格参加评审，扣除后的价格为评审价，即中小企业</w:t>
      </w:r>
      <w:r>
        <w:rPr>
          <w:rFonts w:hint="eastAsia" w:hAnsi="宋体" w:cs="Courier New"/>
          <w:bCs/>
          <w:color w:val="000000" w:themeColor="text1"/>
          <w14:textFill>
            <w14:solidFill>
              <w14:schemeClr w14:val="tx1"/>
            </w14:solidFill>
          </w14:textFill>
        </w:rPr>
        <w:t>政策性</w:t>
      </w:r>
      <w:r>
        <w:rPr>
          <w:rFonts w:hint="eastAsia" w:ascii="宋体" w:hAnsi="宋体"/>
          <w:bCs/>
          <w:color w:val="000000" w:themeColor="text1"/>
          <w:szCs w:val="21"/>
          <w14:textFill>
            <w14:solidFill>
              <w14:schemeClr w14:val="tx1"/>
            </w14:solidFill>
          </w14:textFill>
        </w:rPr>
        <w:t>折扣=竞标报价×</w:t>
      </w:r>
      <w:r>
        <w:rPr>
          <w:rFonts w:hint="eastAsia" w:ascii="宋体" w:hAnsi="宋体"/>
          <w:bCs/>
          <w:color w:val="000000" w:themeColor="text1"/>
          <w:szCs w:val="21"/>
          <w:u w:val="single"/>
          <w14:textFill>
            <w14:solidFill>
              <w14:schemeClr w14:val="tx1"/>
            </w14:solidFill>
          </w14:textFill>
        </w:rPr>
        <w:t>6%</w:t>
      </w:r>
      <w:r>
        <w:rPr>
          <w:rFonts w:hint="eastAsia" w:ascii="宋体" w:hAnsi="宋体"/>
          <w:bCs/>
          <w:color w:val="000000" w:themeColor="text1"/>
          <w:szCs w:val="21"/>
          <w14:textFill>
            <w14:solidFill>
              <w14:schemeClr w14:val="tx1"/>
            </w14:solidFill>
          </w14:textFill>
        </w:rPr>
        <w:t>。除上述情况外，评审价=竞标报价。</w:t>
      </w:r>
    </w:p>
    <w:p w14:paraId="440932EF">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6.4</w:t>
      </w:r>
      <w:r>
        <w:rPr>
          <w:rFonts w:hint="eastAsia" w:ascii="宋体" w:hAnsi="宋体" w:cs="宋体"/>
          <w:color w:val="000000" w:themeColor="text1"/>
          <w:szCs w:val="21"/>
          <w14:textFill>
            <w14:solidFill>
              <w14:schemeClr w14:val="tx1"/>
            </w14:solidFill>
          </w14:textFill>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s="宋体"/>
          <w:color w:val="000000" w:themeColor="text1"/>
          <w:szCs w:val="21"/>
          <w14:textFill>
            <w14:solidFill>
              <w14:schemeClr w14:val="tx1"/>
            </w14:solidFill>
          </w14:textFill>
        </w:rPr>
        <w:t>不重复享受政策。</w:t>
      </w:r>
    </w:p>
    <w:p w14:paraId="2FF3C4EE">
      <w:pPr>
        <w:spacing w:line="360" w:lineRule="auto"/>
        <w:ind w:firstLine="420"/>
        <w:rPr>
          <w:rFonts w:ascii="宋体" w:hAnsi="宋体" w:cs="宋体"/>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6.5</w:t>
      </w:r>
      <w:r>
        <w:rPr>
          <w:rFonts w:hint="eastAsia" w:ascii="宋体" w:hAnsi="宋体" w:cs="宋体"/>
          <w:color w:val="000000" w:themeColor="text1"/>
          <w:szCs w:val="21"/>
          <w14:textFill>
            <w14:solidFill>
              <w14:schemeClr w14:val="tx1"/>
            </w14:solidFill>
          </w14:textFill>
        </w:rPr>
        <w:t>按照《关于促进残疾人就业政府采购政策的通知》（财库〔2017〕141号）的规定，残疾人福利性单位视同小型、微型企业，享受预留份额、评审中价格扣除等</w:t>
      </w:r>
      <w:r>
        <w:rPr>
          <w:rFonts w:hint="eastAsia" w:ascii="宋体" w:hAnsi="宋体" w:cs="宋体"/>
          <w:color w:val="000000" w:themeColor="text1"/>
          <w14:textFill>
            <w14:solidFill>
              <w14:schemeClr w14:val="tx1"/>
            </w14:solidFill>
          </w14:textFill>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5D6AA9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本国产品政策性扣除计算方法。</w:t>
      </w:r>
    </w:p>
    <w:p w14:paraId="075B2B5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F99685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hAnsi="宋体"/>
          <w:color w:val="000000" w:themeColor="text1"/>
          <w14:textFill>
            <w14:solidFill>
              <w14:schemeClr w14:val="tx1"/>
            </w14:solidFill>
          </w14:textFill>
        </w:rPr>
        <w:t>未达到80%，不享受价格评审优惠。</w:t>
      </w:r>
    </w:p>
    <w:p w14:paraId="4B44A7FF">
      <w:pPr>
        <w:spacing w:line="360" w:lineRule="auto"/>
        <w:ind w:firstLine="420"/>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如果所有参与竞争的供应商均可享受本国产品价格评审优惠，则统一不进行价格扣除。</w:t>
      </w:r>
    </w:p>
    <w:p w14:paraId="23EDCC0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供应商在其响应文件中提供《关于符合本国产品标准的声明函》或财政部会同有关部门规定的有关证明文件，出具符合要求的《声明函》或有关证明文件的，该产品视为本国产品。</w:t>
      </w:r>
    </w:p>
    <w:p w14:paraId="74B94C6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中小企业政策性折扣与本国产品政策性折扣进行叠加计算，用扣除后的价格参加评审。即评审价=竞标报价-</w:t>
      </w:r>
      <w:r>
        <w:rPr>
          <w:rFonts w:hint="eastAsia" w:hAnsi="宋体" w:cs="Courier New"/>
          <w:bCs/>
          <w:color w:val="000000" w:themeColor="text1"/>
          <w14:textFill>
            <w14:solidFill>
              <w14:schemeClr w14:val="tx1"/>
            </w14:solidFill>
          </w14:textFill>
        </w:rPr>
        <w:t>中小企业政策性</w:t>
      </w:r>
      <w:r>
        <w:rPr>
          <w:rFonts w:hint="eastAsia" w:ascii="宋体" w:hAnsi="宋体"/>
          <w:color w:val="000000" w:themeColor="text1"/>
          <w:szCs w:val="21"/>
          <w14:textFill>
            <w14:solidFill>
              <w14:schemeClr w14:val="tx1"/>
            </w14:solidFill>
          </w14:textFill>
        </w:rPr>
        <w:t>折扣-本国产品政策性折扣，除上述情况外，评审价=竞标报价。</w:t>
      </w:r>
    </w:p>
    <w:p w14:paraId="03B53B81">
      <w:pPr>
        <w:spacing w:line="360" w:lineRule="auto"/>
        <w:ind w:firstLine="420"/>
        <w:rPr>
          <w:rFonts w:ascii="宋体" w:hAnsi="宋体" w:cs="宋体"/>
          <w:color w:val="000000" w:themeColor="text1"/>
          <w14:textFill>
            <w14:solidFill>
              <w14:schemeClr w14:val="tx1"/>
            </w14:solidFill>
          </w14:textFill>
        </w:rPr>
      </w:pPr>
    </w:p>
    <w:p w14:paraId="5AB871F1">
      <w:pPr>
        <w:spacing w:line="360" w:lineRule="auto"/>
        <w:jc w:val="center"/>
        <w:rPr>
          <w:rFonts w:ascii="宋体" w:hAnsi="宋体"/>
          <w:b/>
          <w:color w:val="000000" w:themeColor="text1"/>
          <w:sz w:val="32"/>
          <w:szCs w:val="32"/>
          <w14:textFill>
            <w14:solidFill>
              <w14:schemeClr w14:val="tx1"/>
            </w14:solidFill>
          </w14:textFill>
        </w:rPr>
      </w:pPr>
    </w:p>
    <w:p w14:paraId="70F81F96">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二、评定成交的标准</w:t>
      </w:r>
    </w:p>
    <w:p w14:paraId="79E0B30D">
      <w:pPr>
        <w:spacing w:line="360" w:lineRule="auto"/>
        <w:ind w:firstLine="482"/>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 xml:space="preserve"> 成交候选人推荐</w:t>
      </w:r>
    </w:p>
    <w:p w14:paraId="3C41F9C7">
      <w:pPr>
        <w:spacing w:line="400" w:lineRule="exact"/>
        <w:ind w:firstLine="420"/>
        <w:contextualSpacing/>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条规定的顺序推荐），并编写评审报告，评审报告</w:t>
      </w:r>
      <w:r>
        <w:rPr>
          <w:rFonts w:hint="eastAsia" w:hAnsi="宋体"/>
          <w:color w:val="000000" w:themeColor="text1"/>
          <w14:textFill>
            <w14:solidFill>
              <w14:schemeClr w14:val="tx1"/>
            </w14:solidFill>
          </w14:textFill>
        </w:rPr>
        <w:t>通过电子交易平台向采购人、采购代理机构提交。</w:t>
      </w:r>
    </w:p>
    <w:p w14:paraId="4A180B1A">
      <w:pPr>
        <w:rPr>
          <w:color w:val="000000" w:themeColor="text1"/>
          <w14:textFill>
            <w14:solidFill>
              <w14:schemeClr w14:val="tx1"/>
            </w14:solidFill>
          </w14:textFill>
        </w:rPr>
      </w:pPr>
    </w:p>
    <w:p w14:paraId="176ECD0C">
      <w:pPr>
        <w:rPr>
          <w:color w:val="000000" w:themeColor="text1"/>
          <w14:textFill>
            <w14:solidFill>
              <w14:schemeClr w14:val="tx1"/>
            </w14:solidFill>
          </w14:textFill>
        </w:rPr>
      </w:pPr>
    </w:p>
    <w:p w14:paraId="10BD0EB8">
      <w:pPr>
        <w:pStyle w:val="280"/>
        <w:rPr>
          <w:color w:val="000000" w:themeColor="text1"/>
          <w14:textFill>
            <w14:solidFill>
              <w14:schemeClr w14:val="tx1"/>
            </w14:solidFill>
          </w14:textFill>
        </w:rPr>
      </w:pPr>
    </w:p>
    <w:p w14:paraId="3FEA55A7">
      <w:pPr>
        <w:pStyle w:val="280"/>
        <w:rPr>
          <w:color w:val="000000" w:themeColor="text1"/>
          <w14:textFill>
            <w14:solidFill>
              <w14:schemeClr w14:val="tx1"/>
            </w14:solidFill>
          </w14:textFill>
        </w:rPr>
      </w:pPr>
    </w:p>
    <w:p w14:paraId="1BE4B2F9">
      <w:pPr>
        <w:pStyle w:val="280"/>
        <w:rPr>
          <w:color w:val="000000" w:themeColor="text1"/>
          <w14:textFill>
            <w14:solidFill>
              <w14:schemeClr w14:val="tx1"/>
            </w14:solidFill>
          </w14:textFill>
        </w:rPr>
      </w:pPr>
    </w:p>
    <w:p w14:paraId="2FB2C2FD">
      <w:pPr>
        <w:pStyle w:val="280"/>
        <w:rPr>
          <w:color w:val="000000" w:themeColor="text1"/>
          <w14:textFill>
            <w14:solidFill>
              <w14:schemeClr w14:val="tx1"/>
            </w14:solidFill>
          </w14:textFill>
        </w:rPr>
      </w:pPr>
    </w:p>
    <w:p w14:paraId="77EF3727">
      <w:pPr>
        <w:pStyle w:val="280"/>
        <w:rPr>
          <w:color w:val="000000" w:themeColor="text1"/>
          <w14:textFill>
            <w14:solidFill>
              <w14:schemeClr w14:val="tx1"/>
            </w14:solidFill>
          </w14:textFill>
        </w:rPr>
      </w:pPr>
    </w:p>
    <w:p w14:paraId="2F23CBCE">
      <w:pPr>
        <w:pStyle w:val="280"/>
        <w:rPr>
          <w:color w:val="000000" w:themeColor="text1"/>
          <w14:textFill>
            <w14:solidFill>
              <w14:schemeClr w14:val="tx1"/>
            </w14:solidFill>
          </w14:textFill>
        </w:rPr>
      </w:pPr>
    </w:p>
    <w:p w14:paraId="0B4E6266">
      <w:pPr>
        <w:pStyle w:val="280"/>
        <w:rPr>
          <w:color w:val="000000" w:themeColor="text1"/>
          <w14:textFill>
            <w14:solidFill>
              <w14:schemeClr w14:val="tx1"/>
            </w14:solidFill>
          </w14:textFill>
        </w:rPr>
      </w:pPr>
    </w:p>
    <w:p w14:paraId="59219E3F">
      <w:pPr>
        <w:pStyle w:val="280"/>
        <w:rPr>
          <w:color w:val="000000" w:themeColor="text1"/>
          <w14:textFill>
            <w14:solidFill>
              <w14:schemeClr w14:val="tx1"/>
            </w14:solidFill>
          </w14:textFill>
        </w:rPr>
      </w:pPr>
    </w:p>
    <w:p w14:paraId="79C0C3C1">
      <w:pPr>
        <w:pStyle w:val="280"/>
        <w:rPr>
          <w:color w:val="000000" w:themeColor="text1"/>
          <w14:textFill>
            <w14:solidFill>
              <w14:schemeClr w14:val="tx1"/>
            </w14:solidFill>
          </w14:textFill>
        </w:rPr>
      </w:pPr>
    </w:p>
    <w:p w14:paraId="7322C064">
      <w:pPr>
        <w:pStyle w:val="280"/>
        <w:rPr>
          <w:color w:val="000000" w:themeColor="text1"/>
          <w14:textFill>
            <w14:solidFill>
              <w14:schemeClr w14:val="tx1"/>
            </w14:solidFill>
          </w14:textFill>
        </w:rPr>
      </w:pPr>
    </w:p>
    <w:p w14:paraId="173BB125">
      <w:pPr>
        <w:rPr>
          <w:color w:val="000000" w:themeColor="text1"/>
          <w14:textFill>
            <w14:solidFill>
              <w14:schemeClr w14:val="tx1"/>
            </w14:solidFill>
          </w14:textFill>
        </w:rPr>
      </w:pPr>
    </w:p>
    <w:p w14:paraId="680792CF">
      <w:pPr>
        <w:rPr>
          <w:color w:val="000000" w:themeColor="text1"/>
          <w14:textFill>
            <w14:solidFill>
              <w14:schemeClr w14:val="tx1"/>
            </w14:solidFill>
          </w14:textFill>
        </w:rPr>
      </w:pPr>
    </w:p>
    <w:p w14:paraId="0597FC26">
      <w:pPr>
        <w:rPr>
          <w:color w:val="000000" w:themeColor="text1"/>
          <w14:textFill>
            <w14:solidFill>
              <w14:schemeClr w14:val="tx1"/>
            </w14:solidFill>
          </w14:textFill>
        </w:rPr>
      </w:pPr>
    </w:p>
    <w:p w14:paraId="32B0F554">
      <w:pPr>
        <w:rPr>
          <w:color w:val="000000" w:themeColor="text1"/>
          <w14:textFill>
            <w14:solidFill>
              <w14:schemeClr w14:val="tx1"/>
            </w14:solidFill>
          </w14:textFill>
        </w:rPr>
      </w:pPr>
    </w:p>
    <w:p w14:paraId="49C061D8">
      <w:pPr>
        <w:rPr>
          <w:color w:val="000000" w:themeColor="text1"/>
          <w14:textFill>
            <w14:solidFill>
              <w14:schemeClr w14:val="tx1"/>
            </w14:solidFill>
          </w14:textFill>
        </w:rPr>
      </w:pPr>
    </w:p>
    <w:p w14:paraId="74767C7F">
      <w:pPr>
        <w:rPr>
          <w:color w:val="000000" w:themeColor="text1"/>
          <w14:textFill>
            <w14:solidFill>
              <w14:schemeClr w14:val="tx1"/>
            </w14:solidFill>
          </w14:textFill>
        </w:rPr>
      </w:pPr>
    </w:p>
    <w:p w14:paraId="00931CF6">
      <w:pPr>
        <w:rPr>
          <w:color w:val="000000" w:themeColor="text1"/>
          <w14:textFill>
            <w14:solidFill>
              <w14:schemeClr w14:val="tx1"/>
            </w14:solidFill>
          </w14:textFill>
        </w:rPr>
      </w:pPr>
    </w:p>
    <w:p w14:paraId="26CAB08E">
      <w:pPr>
        <w:pStyle w:val="203"/>
        <w:jc w:val="center"/>
        <w:rPr>
          <w:color w:val="000000" w:themeColor="text1"/>
          <w14:textFill>
            <w14:solidFill>
              <w14:schemeClr w14:val="tx1"/>
            </w14:solidFill>
          </w14:textFill>
        </w:rPr>
      </w:pPr>
    </w:p>
    <w:p w14:paraId="48E4115A">
      <w:pPr>
        <w:pStyle w:val="203"/>
        <w:rPr>
          <w:color w:val="000000" w:themeColor="text1"/>
          <w14:textFill>
            <w14:solidFill>
              <w14:schemeClr w14:val="tx1"/>
            </w14:solidFill>
          </w14:textFill>
        </w:rPr>
      </w:pPr>
    </w:p>
    <w:p w14:paraId="707A7FE6">
      <w:pPr>
        <w:rPr>
          <w:color w:val="000000" w:themeColor="text1"/>
          <w14:textFill>
            <w14:solidFill>
              <w14:schemeClr w14:val="tx1"/>
            </w14:solidFill>
          </w14:textFill>
        </w:rPr>
      </w:pPr>
    </w:p>
    <w:p w14:paraId="268986C1">
      <w:pPr>
        <w:rPr>
          <w:color w:val="000000" w:themeColor="text1"/>
          <w14:textFill>
            <w14:solidFill>
              <w14:schemeClr w14:val="tx1"/>
            </w14:solidFill>
          </w14:textFill>
        </w:rPr>
      </w:pPr>
    </w:p>
    <w:p w14:paraId="050358AF">
      <w:pPr>
        <w:rPr>
          <w:color w:val="000000" w:themeColor="text1"/>
          <w14:textFill>
            <w14:solidFill>
              <w14:schemeClr w14:val="tx1"/>
            </w14:solidFill>
          </w14:textFill>
        </w:rPr>
      </w:pPr>
    </w:p>
    <w:p w14:paraId="6C6DD862">
      <w:pPr>
        <w:rPr>
          <w:color w:val="000000" w:themeColor="text1"/>
          <w14:textFill>
            <w14:solidFill>
              <w14:schemeClr w14:val="tx1"/>
            </w14:solidFill>
          </w14:textFill>
        </w:rPr>
      </w:pPr>
    </w:p>
    <w:p w14:paraId="4D132B40">
      <w:pPr>
        <w:rPr>
          <w:color w:val="000000" w:themeColor="text1"/>
          <w14:textFill>
            <w14:solidFill>
              <w14:schemeClr w14:val="tx1"/>
            </w14:solidFill>
          </w14:textFill>
        </w:rPr>
      </w:pPr>
    </w:p>
    <w:p w14:paraId="736F15A2">
      <w:pPr>
        <w:rPr>
          <w:color w:val="000000" w:themeColor="text1"/>
          <w14:textFill>
            <w14:solidFill>
              <w14:schemeClr w14:val="tx1"/>
            </w14:solidFill>
          </w14:textFill>
        </w:rPr>
      </w:pPr>
    </w:p>
    <w:p w14:paraId="079DCA76">
      <w:pPr>
        <w:rPr>
          <w:color w:val="000000" w:themeColor="text1"/>
          <w14:textFill>
            <w14:solidFill>
              <w14:schemeClr w14:val="tx1"/>
            </w14:solidFill>
          </w14:textFill>
        </w:rPr>
      </w:pPr>
    </w:p>
    <w:p w14:paraId="4B6CC5D7">
      <w:pPr>
        <w:rPr>
          <w:color w:val="000000" w:themeColor="text1"/>
          <w14:textFill>
            <w14:solidFill>
              <w14:schemeClr w14:val="tx1"/>
            </w14:solidFill>
          </w14:textFill>
        </w:rPr>
      </w:pPr>
    </w:p>
    <w:p w14:paraId="26EEB30E">
      <w:pPr>
        <w:rPr>
          <w:color w:val="000000" w:themeColor="text1"/>
          <w14:textFill>
            <w14:solidFill>
              <w14:schemeClr w14:val="tx1"/>
            </w14:solidFill>
          </w14:textFill>
        </w:rPr>
      </w:pPr>
    </w:p>
    <w:p w14:paraId="2E57F3C8">
      <w:pPr>
        <w:rPr>
          <w:color w:val="000000" w:themeColor="text1"/>
          <w14:textFill>
            <w14:solidFill>
              <w14:schemeClr w14:val="tx1"/>
            </w14:solidFill>
          </w14:textFill>
        </w:rPr>
      </w:pPr>
    </w:p>
    <w:p w14:paraId="7F30155F">
      <w:pPr>
        <w:pStyle w:val="203"/>
        <w:jc w:val="center"/>
        <w:rPr>
          <w:color w:val="000000" w:themeColor="text1"/>
          <w14:textFill>
            <w14:solidFill>
              <w14:schemeClr w14:val="tx1"/>
            </w14:solidFill>
          </w14:textFill>
        </w:rPr>
      </w:pPr>
      <w:bookmarkStart w:id="67" w:name="_Toc25260"/>
      <w:r>
        <w:rPr>
          <w:rFonts w:hint="eastAsia"/>
          <w:color w:val="000000" w:themeColor="text1"/>
          <w14:textFill>
            <w14:solidFill>
              <w14:schemeClr w14:val="tx1"/>
            </w14:solidFill>
          </w14:textFill>
        </w:rPr>
        <w:t>第五章 响应文件格式</w:t>
      </w:r>
      <w:bookmarkEnd w:id="67"/>
    </w:p>
    <w:p w14:paraId="72B0D5EB">
      <w:pPr>
        <w:spacing w:line="240" w:lineRule="atLeast"/>
        <w:rPr>
          <w:rFonts w:ascii="宋体" w:hAnsi="宋体"/>
          <w:b/>
          <w:color w:val="000000" w:themeColor="text1"/>
          <w:sz w:val="32"/>
          <w:szCs w:val="32"/>
          <w14:textFill>
            <w14:solidFill>
              <w14:schemeClr w14:val="tx1"/>
            </w14:solidFill>
          </w14:textFill>
        </w:rPr>
      </w:pPr>
    </w:p>
    <w:p w14:paraId="050B94AE">
      <w:pPr>
        <w:spacing w:line="240" w:lineRule="atLeast"/>
        <w:rPr>
          <w:rFonts w:ascii="宋体" w:hAnsi="宋体"/>
          <w:b/>
          <w:color w:val="000000" w:themeColor="text1"/>
          <w:sz w:val="32"/>
          <w:szCs w:val="32"/>
          <w14:textFill>
            <w14:solidFill>
              <w14:schemeClr w14:val="tx1"/>
            </w14:solidFill>
          </w14:textFill>
        </w:rPr>
      </w:pPr>
    </w:p>
    <w:p w14:paraId="285397E0">
      <w:pPr>
        <w:spacing w:line="240" w:lineRule="atLeast"/>
        <w:rPr>
          <w:rFonts w:ascii="宋体" w:hAnsi="宋体"/>
          <w:b/>
          <w:color w:val="000000" w:themeColor="text1"/>
          <w:sz w:val="32"/>
          <w:szCs w:val="32"/>
          <w14:textFill>
            <w14:solidFill>
              <w14:schemeClr w14:val="tx1"/>
            </w14:solidFill>
          </w14:textFill>
        </w:rPr>
      </w:pPr>
    </w:p>
    <w:p w14:paraId="29F63CDA">
      <w:pPr>
        <w:spacing w:line="240" w:lineRule="atLeast"/>
        <w:rPr>
          <w:rFonts w:ascii="宋体" w:hAnsi="宋体"/>
          <w:b/>
          <w:color w:val="000000" w:themeColor="text1"/>
          <w:sz w:val="32"/>
          <w:szCs w:val="32"/>
          <w14:textFill>
            <w14:solidFill>
              <w14:schemeClr w14:val="tx1"/>
            </w14:solidFill>
          </w14:textFill>
        </w:rPr>
      </w:pPr>
    </w:p>
    <w:p w14:paraId="66892DD1">
      <w:pPr>
        <w:spacing w:line="240" w:lineRule="atLeast"/>
        <w:rPr>
          <w:rFonts w:ascii="宋体" w:hAnsi="宋体"/>
          <w:b/>
          <w:color w:val="000000" w:themeColor="text1"/>
          <w:sz w:val="32"/>
          <w:szCs w:val="32"/>
          <w14:textFill>
            <w14:solidFill>
              <w14:schemeClr w14:val="tx1"/>
            </w14:solidFill>
          </w14:textFill>
        </w:rPr>
      </w:pPr>
    </w:p>
    <w:p w14:paraId="37AF94BA">
      <w:pPr>
        <w:spacing w:line="240" w:lineRule="atLeast"/>
        <w:rPr>
          <w:rFonts w:ascii="宋体" w:hAnsi="宋体"/>
          <w:b/>
          <w:color w:val="000000" w:themeColor="text1"/>
          <w:sz w:val="32"/>
          <w:szCs w:val="32"/>
          <w14:textFill>
            <w14:solidFill>
              <w14:schemeClr w14:val="tx1"/>
            </w14:solidFill>
          </w14:textFill>
        </w:rPr>
      </w:pPr>
    </w:p>
    <w:p w14:paraId="65E96954">
      <w:pPr>
        <w:spacing w:line="240" w:lineRule="atLeast"/>
        <w:rPr>
          <w:rFonts w:ascii="宋体" w:hAnsi="宋体"/>
          <w:b/>
          <w:color w:val="000000" w:themeColor="text1"/>
          <w:sz w:val="32"/>
          <w:szCs w:val="32"/>
          <w14:textFill>
            <w14:solidFill>
              <w14:schemeClr w14:val="tx1"/>
            </w14:solidFill>
          </w14:textFill>
        </w:rPr>
      </w:pPr>
    </w:p>
    <w:p w14:paraId="467A997A">
      <w:pPr>
        <w:spacing w:line="240" w:lineRule="atLeast"/>
        <w:rPr>
          <w:rFonts w:ascii="宋体" w:hAnsi="宋体"/>
          <w:b/>
          <w:color w:val="000000" w:themeColor="text1"/>
          <w:sz w:val="32"/>
          <w:szCs w:val="32"/>
          <w14:textFill>
            <w14:solidFill>
              <w14:schemeClr w14:val="tx1"/>
            </w14:solidFill>
          </w14:textFill>
        </w:rPr>
      </w:pPr>
    </w:p>
    <w:p w14:paraId="685EAE9E">
      <w:pPr>
        <w:spacing w:line="240" w:lineRule="atLeast"/>
        <w:rPr>
          <w:rFonts w:ascii="宋体" w:hAnsi="宋体"/>
          <w:b/>
          <w:color w:val="000000" w:themeColor="text1"/>
          <w:sz w:val="32"/>
          <w:szCs w:val="32"/>
          <w14:textFill>
            <w14:solidFill>
              <w14:schemeClr w14:val="tx1"/>
            </w14:solidFill>
          </w14:textFill>
        </w:rPr>
      </w:pPr>
    </w:p>
    <w:p w14:paraId="135DC050">
      <w:pPr>
        <w:spacing w:line="240" w:lineRule="atLeast"/>
        <w:rPr>
          <w:rFonts w:ascii="宋体" w:hAnsi="宋体"/>
          <w:b/>
          <w:color w:val="000000" w:themeColor="text1"/>
          <w:sz w:val="32"/>
          <w:szCs w:val="32"/>
          <w14:textFill>
            <w14:solidFill>
              <w14:schemeClr w14:val="tx1"/>
            </w14:solidFill>
          </w14:textFill>
        </w:rPr>
      </w:pPr>
    </w:p>
    <w:p w14:paraId="0EA77988">
      <w:pPr>
        <w:spacing w:line="240" w:lineRule="atLeast"/>
        <w:rPr>
          <w:rFonts w:ascii="宋体" w:hAnsi="宋体"/>
          <w:b/>
          <w:color w:val="000000" w:themeColor="text1"/>
          <w:sz w:val="32"/>
          <w:szCs w:val="32"/>
          <w14:textFill>
            <w14:solidFill>
              <w14:schemeClr w14:val="tx1"/>
            </w14:solidFill>
          </w14:textFill>
        </w:rPr>
      </w:pPr>
    </w:p>
    <w:p w14:paraId="49EE2049">
      <w:pPr>
        <w:spacing w:line="240" w:lineRule="atLeast"/>
        <w:rPr>
          <w:rFonts w:ascii="宋体" w:hAnsi="宋体"/>
          <w:b/>
          <w:color w:val="000000" w:themeColor="text1"/>
          <w:sz w:val="32"/>
          <w:szCs w:val="32"/>
          <w14:textFill>
            <w14:solidFill>
              <w14:schemeClr w14:val="tx1"/>
            </w14:solidFill>
          </w14:textFill>
        </w:rPr>
      </w:pPr>
    </w:p>
    <w:p w14:paraId="4F596E1B">
      <w:pPr>
        <w:spacing w:line="240" w:lineRule="atLeast"/>
        <w:rPr>
          <w:rFonts w:ascii="宋体" w:hAnsi="宋体"/>
          <w:b/>
          <w:color w:val="000000" w:themeColor="text1"/>
          <w:sz w:val="32"/>
          <w:szCs w:val="32"/>
          <w14:textFill>
            <w14:solidFill>
              <w14:schemeClr w14:val="tx1"/>
            </w14:solidFill>
          </w14:textFill>
        </w:rPr>
      </w:pPr>
    </w:p>
    <w:p w14:paraId="34E1D6A1">
      <w:pPr>
        <w:spacing w:line="240" w:lineRule="atLeast"/>
        <w:rPr>
          <w:rFonts w:ascii="宋体" w:hAnsi="宋体"/>
          <w:b/>
          <w:color w:val="000000" w:themeColor="text1"/>
          <w:sz w:val="32"/>
          <w:szCs w:val="32"/>
          <w14:textFill>
            <w14:solidFill>
              <w14:schemeClr w14:val="tx1"/>
            </w14:solidFill>
          </w14:textFill>
        </w:rPr>
      </w:pPr>
    </w:p>
    <w:p w14:paraId="56F3A9A4">
      <w:pPr>
        <w:spacing w:before="50" w:after="50"/>
        <w:outlineLvl w:val="1"/>
        <w:rPr>
          <w:rFonts w:ascii="宋体" w:hAnsi="宋体"/>
          <w:b/>
          <w:bCs/>
          <w:color w:val="000000" w:themeColor="text1"/>
          <w:sz w:val="24"/>
          <w14:textFill>
            <w14:solidFill>
              <w14:schemeClr w14:val="tx1"/>
            </w14:solidFill>
          </w14:textFill>
        </w:rPr>
      </w:pPr>
    </w:p>
    <w:p w14:paraId="5CBFD989">
      <w:pPr>
        <w:rPr>
          <w:b/>
          <w:color w:val="000000" w:themeColor="text1"/>
          <w:sz w:val="32"/>
          <w:szCs w:val="32"/>
          <w14:textFill>
            <w14:solidFill>
              <w14:schemeClr w14:val="tx1"/>
            </w14:solidFill>
          </w14:textFill>
        </w:rPr>
      </w:pPr>
    </w:p>
    <w:p w14:paraId="47093842">
      <w:pPr>
        <w:rPr>
          <w:b/>
          <w:color w:val="000000" w:themeColor="text1"/>
          <w:sz w:val="32"/>
          <w:szCs w:val="32"/>
          <w14:textFill>
            <w14:solidFill>
              <w14:schemeClr w14:val="tx1"/>
            </w14:solidFill>
          </w14:textFill>
        </w:rPr>
      </w:pPr>
    </w:p>
    <w:p w14:paraId="47C00D80">
      <w:pPr>
        <w:rPr>
          <w:b/>
          <w:color w:val="000000" w:themeColor="text1"/>
          <w:sz w:val="32"/>
          <w:szCs w:val="32"/>
          <w14:textFill>
            <w14:solidFill>
              <w14:schemeClr w14:val="tx1"/>
            </w14:solidFill>
          </w14:textFill>
        </w:rPr>
      </w:pPr>
    </w:p>
    <w:p w14:paraId="2DD2B2F4">
      <w:pPr>
        <w:rPr>
          <w:b/>
          <w:color w:val="000000" w:themeColor="text1"/>
          <w:sz w:val="32"/>
          <w:szCs w:val="32"/>
          <w14:textFill>
            <w14:solidFill>
              <w14:schemeClr w14:val="tx1"/>
            </w14:solidFill>
          </w14:textFill>
        </w:rPr>
      </w:pPr>
    </w:p>
    <w:p w14:paraId="0728111D">
      <w:pPr>
        <w:rPr>
          <w:b/>
          <w:color w:val="000000" w:themeColor="text1"/>
          <w:sz w:val="32"/>
          <w:szCs w:val="32"/>
          <w14:textFill>
            <w14:solidFill>
              <w14:schemeClr w14:val="tx1"/>
            </w14:solidFill>
          </w14:textFill>
        </w:rPr>
      </w:pPr>
    </w:p>
    <w:p w14:paraId="27252A2D">
      <w:pPr>
        <w:rPr>
          <w:b/>
          <w:color w:val="000000" w:themeColor="text1"/>
          <w:sz w:val="32"/>
          <w:szCs w:val="32"/>
          <w14:textFill>
            <w14:solidFill>
              <w14:schemeClr w14:val="tx1"/>
            </w14:solidFill>
          </w14:textFill>
        </w:rPr>
      </w:pPr>
    </w:p>
    <w:p w14:paraId="57CFD35E">
      <w:pPr>
        <w:rPr>
          <w:b/>
          <w:color w:val="000000" w:themeColor="text1"/>
          <w:sz w:val="32"/>
          <w:szCs w:val="32"/>
          <w14:textFill>
            <w14:solidFill>
              <w14:schemeClr w14:val="tx1"/>
            </w14:solidFill>
          </w14:textFill>
        </w:rPr>
      </w:pPr>
    </w:p>
    <w:p w14:paraId="5AECA0E0">
      <w:pPr>
        <w:rPr>
          <w:b/>
          <w:color w:val="000000" w:themeColor="text1"/>
          <w:sz w:val="32"/>
          <w:szCs w:val="32"/>
          <w14:textFill>
            <w14:solidFill>
              <w14:schemeClr w14:val="tx1"/>
            </w14:solidFill>
          </w14:textFill>
        </w:rPr>
      </w:pPr>
    </w:p>
    <w:p w14:paraId="42E4A883">
      <w:pPr>
        <w:rPr>
          <w:b/>
          <w:color w:val="000000" w:themeColor="text1"/>
          <w:sz w:val="32"/>
          <w:szCs w:val="32"/>
          <w14:textFill>
            <w14:solidFill>
              <w14:schemeClr w14:val="tx1"/>
            </w14:solidFill>
          </w14:textFill>
        </w:rPr>
      </w:pPr>
    </w:p>
    <w:p w14:paraId="59217C16">
      <w:pPr>
        <w:rPr>
          <w:b/>
          <w:color w:val="000000" w:themeColor="text1"/>
          <w:sz w:val="32"/>
          <w:szCs w:val="32"/>
          <w14:textFill>
            <w14:solidFill>
              <w14:schemeClr w14:val="tx1"/>
            </w14:solidFill>
          </w14:textFill>
        </w:rPr>
      </w:pPr>
    </w:p>
    <w:p w14:paraId="74A2314E">
      <w:pPr>
        <w:rPr>
          <w:b/>
          <w:color w:val="000000" w:themeColor="text1"/>
          <w:sz w:val="32"/>
          <w:szCs w:val="32"/>
          <w14:textFill>
            <w14:solidFill>
              <w14:schemeClr w14:val="tx1"/>
            </w14:solidFill>
          </w14:textFill>
        </w:rPr>
      </w:pPr>
    </w:p>
    <w:p w14:paraId="0D4A6AF6">
      <w:pPr>
        <w:rPr>
          <w:b/>
          <w:color w:val="000000" w:themeColor="text1"/>
          <w:sz w:val="32"/>
          <w:szCs w:val="32"/>
          <w14:textFill>
            <w14:solidFill>
              <w14:schemeClr w14:val="tx1"/>
            </w14:solidFill>
          </w14:textFill>
        </w:rPr>
      </w:pPr>
    </w:p>
    <w:p w14:paraId="7AF608F3">
      <w:pPr>
        <w:rPr>
          <w:b/>
          <w:color w:val="000000" w:themeColor="text1"/>
          <w:sz w:val="32"/>
          <w:szCs w:val="32"/>
          <w14:textFill>
            <w14:solidFill>
              <w14:schemeClr w14:val="tx1"/>
            </w14:solidFill>
          </w14:textFill>
        </w:rPr>
      </w:pPr>
    </w:p>
    <w:p w14:paraId="4BC24B36">
      <w:pPr>
        <w:rPr>
          <w:b/>
          <w:color w:val="000000" w:themeColor="text1"/>
          <w:sz w:val="32"/>
          <w:szCs w:val="32"/>
          <w14:textFill>
            <w14:solidFill>
              <w14:schemeClr w14:val="tx1"/>
            </w14:solidFill>
          </w14:textFill>
        </w:rPr>
      </w:pPr>
    </w:p>
    <w:p w14:paraId="77CC370C">
      <w:pPr>
        <w:rPr>
          <w:b/>
          <w:color w:val="000000" w:themeColor="text1"/>
          <w:sz w:val="32"/>
          <w:szCs w:val="32"/>
          <w14:textFill>
            <w14:solidFill>
              <w14:schemeClr w14:val="tx1"/>
            </w14:solidFill>
          </w14:textFill>
        </w:rPr>
      </w:pPr>
    </w:p>
    <w:p w14:paraId="7068BECB">
      <w:pPr>
        <w:rPr>
          <w:b/>
          <w:color w:val="000000" w:themeColor="text1"/>
          <w:sz w:val="32"/>
          <w:szCs w:val="32"/>
          <w14:textFill>
            <w14:solidFill>
              <w14:schemeClr w14:val="tx1"/>
            </w14:solidFill>
          </w14:textFill>
        </w:rPr>
      </w:pPr>
    </w:p>
    <w:p w14:paraId="7D6C6043">
      <w:pPr>
        <w:rPr>
          <w:b/>
          <w:color w:val="000000" w:themeColor="text1"/>
          <w:sz w:val="32"/>
          <w:szCs w:val="32"/>
          <w14:textFill>
            <w14:solidFill>
              <w14:schemeClr w14:val="tx1"/>
            </w14:solidFill>
          </w14:textFill>
        </w:rPr>
      </w:pPr>
    </w:p>
    <w:p w14:paraId="41B5E78C">
      <w:pP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一、资格证明文件格式</w:t>
      </w:r>
    </w:p>
    <w:p w14:paraId="7A80AD6A">
      <w:pPr>
        <w:spacing w:before="120" w:after="50" w:line="360" w:lineRule="auto"/>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1.资格证明文件封面格式：</w:t>
      </w:r>
      <w:r>
        <w:rPr>
          <w:rFonts w:hint="eastAsia" w:ascii="宋体" w:hAnsi="宋体"/>
          <w:b/>
          <w:color w:val="000000" w:themeColor="text1"/>
          <w:sz w:val="24"/>
          <w14:textFill>
            <w14:solidFill>
              <w14:schemeClr w14:val="tx1"/>
            </w14:solidFill>
          </w14:textFill>
        </w:rPr>
        <w:t xml:space="preserve"> </w:t>
      </w:r>
    </w:p>
    <w:p w14:paraId="3589A741">
      <w:pPr>
        <w:spacing w:before="120" w:after="50"/>
        <w:rPr>
          <w:rFonts w:ascii="宋体" w:hAnsi="宋体"/>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全流程电子文件</w:t>
      </w:r>
    </w:p>
    <w:p w14:paraId="7CE24A3E">
      <w:pPr>
        <w:spacing w:before="120" w:after="50"/>
        <w:jc w:val="center"/>
        <w:rPr>
          <w:rFonts w:ascii="宋体" w:hAnsi="宋体"/>
          <w:color w:val="000000" w:themeColor="text1"/>
          <w:sz w:val="44"/>
          <w:szCs w:val="44"/>
          <w14:textFill>
            <w14:solidFill>
              <w14:schemeClr w14:val="tx1"/>
            </w14:solidFill>
          </w14:textFill>
        </w:rPr>
      </w:pPr>
    </w:p>
    <w:p w14:paraId="1047205E">
      <w:pPr>
        <w:spacing w:before="120" w:after="50"/>
        <w:jc w:val="center"/>
        <w:rPr>
          <w:rFonts w:ascii="宋体" w:hAns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 子 响 应 文 件</w:t>
      </w:r>
    </w:p>
    <w:p w14:paraId="13B162BC">
      <w:pPr>
        <w:spacing w:before="120" w:after="50"/>
        <w:rPr>
          <w:rFonts w:ascii="宋体" w:hAnsi="宋体"/>
          <w:color w:val="000000" w:themeColor="text1"/>
          <w:sz w:val="24"/>
          <w:szCs w:val="20"/>
          <w14:textFill>
            <w14:solidFill>
              <w14:schemeClr w14:val="tx1"/>
            </w14:solidFill>
          </w14:textFill>
        </w:rPr>
      </w:pPr>
    </w:p>
    <w:p w14:paraId="17257CB3">
      <w:pPr>
        <w:spacing w:before="120" w:after="50"/>
        <w:jc w:val="center"/>
        <w:rPr>
          <w:rFonts w:ascii="Arial Unicode MS" w:hAnsi="Arial Unicode MS" w:eastAsia="Arial Unicode MS" w:cs="Arial Unicode MS"/>
          <w:bCs/>
          <w:color w:val="000000" w:themeColor="text1"/>
          <w:sz w:val="44"/>
          <w:szCs w:val="44"/>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资  格  证  明  文  件</w:t>
      </w:r>
    </w:p>
    <w:p w14:paraId="142D8D90">
      <w:pPr>
        <w:spacing w:before="120" w:after="50"/>
        <w:rPr>
          <w:rFonts w:ascii="宋体" w:hAnsi="宋体"/>
          <w:bCs/>
          <w:color w:val="000000" w:themeColor="text1"/>
          <w:sz w:val="24"/>
          <w:szCs w:val="20"/>
          <w14:textFill>
            <w14:solidFill>
              <w14:schemeClr w14:val="tx1"/>
            </w14:solidFill>
          </w14:textFill>
        </w:rPr>
      </w:pPr>
    </w:p>
    <w:p w14:paraId="329C7912">
      <w:pPr>
        <w:spacing w:before="120" w:after="50"/>
        <w:rPr>
          <w:rFonts w:ascii="宋体" w:hAnsi="宋体"/>
          <w:bCs/>
          <w:color w:val="000000" w:themeColor="text1"/>
          <w:sz w:val="24"/>
          <w:szCs w:val="20"/>
          <w14:textFill>
            <w14:solidFill>
              <w14:schemeClr w14:val="tx1"/>
            </w14:solidFill>
          </w14:textFill>
        </w:rPr>
      </w:pPr>
    </w:p>
    <w:p w14:paraId="37DD8460">
      <w:pPr>
        <w:spacing w:before="120" w:after="50"/>
        <w:rPr>
          <w:rFonts w:ascii="宋体" w:hAnsi="宋体"/>
          <w:bCs/>
          <w:color w:val="000000" w:themeColor="text1"/>
          <w:sz w:val="24"/>
          <w:szCs w:val="20"/>
          <w14:textFill>
            <w14:solidFill>
              <w14:schemeClr w14:val="tx1"/>
            </w14:solidFill>
          </w14:textFill>
        </w:rPr>
      </w:pPr>
    </w:p>
    <w:p w14:paraId="482C32BD">
      <w:pPr>
        <w:spacing w:before="120" w:after="50"/>
        <w:rPr>
          <w:rFonts w:ascii="宋体" w:hAnsi="宋体"/>
          <w:bCs/>
          <w:color w:val="000000" w:themeColor="text1"/>
          <w:sz w:val="24"/>
          <w:szCs w:val="20"/>
          <w14:textFill>
            <w14:solidFill>
              <w14:schemeClr w14:val="tx1"/>
            </w14:solidFill>
          </w14:textFill>
        </w:rPr>
      </w:pPr>
    </w:p>
    <w:p w14:paraId="62A34AA9">
      <w:pPr>
        <w:spacing w:before="120" w:after="50"/>
        <w:rPr>
          <w:rFonts w:ascii="宋体" w:hAnsi="宋体"/>
          <w:bCs/>
          <w:color w:val="000000" w:themeColor="text1"/>
          <w:sz w:val="24"/>
          <w:szCs w:val="20"/>
          <w14:textFill>
            <w14:solidFill>
              <w14:schemeClr w14:val="tx1"/>
            </w14:solidFill>
          </w14:textFill>
        </w:rPr>
      </w:pPr>
    </w:p>
    <w:p w14:paraId="2D74129B">
      <w:pPr>
        <w:spacing w:before="120" w:after="5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项目名称：宁明县海渊镇中心卫生院中医康复能力建设项目</w:t>
      </w:r>
    </w:p>
    <w:p w14:paraId="58FA9CA6">
      <w:pPr>
        <w:spacing w:before="120" w:after="50"/>
        <w:rPr>
          <w:rFonts w:ascii="宋体" w:hAnsi="宋体" w:cs="仿宋_GB2312"/>
          <w:bCs/>
          <w:color w:val="000000" w:themeColor="text1"/>
          <w:sz w:val="32"/>
          <w:szCs w:val="32"/>
          <w14:textFill>
            <w14:solidFill>
              <w14:schemeClr w14:val="tx1"/>
            </w14:solidFill>
          </w14:textFill>
        </w:rPr>
      </w:pPr>
    </w:p>
    <w:p w14:paraId="21586C11">
      <w:pPr>
        <w:spacing w:before="120" w:after="5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583680E5">
      <w:pPr>
        <w:spacing w:before="120" w:after="50"/>
        <w:ind w:firstLine="72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 xml:space="preserve"> </w:t>
      </w:r>
    </w:p>
    <w:p w14:paraId="3DFBBE4A">
      <w:pPr>
        <w:spacing w:before="120" w:after="5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7DBFE257">
      <w:pPr>
        <w:pStyle w:val="12"/>
        <w:spacing w:before="50" w:after="50"/>
        <w:ind w:firstLine="0"/>
        <w:rPr>
          <w:rFonts w:ascii="宋体" w:hAnsi="宋体" w:cs="仿宋_GB2312"/>
          <w:bCs/>
          <w:color w:val="000000" w:themeColor="text1"/>
          <w:sz w:val="32"/>
          <w:szCs w:val="32"/>
          <w14:textFill>
            <w14:solidFill>
              <w14:schemeClr w14:val="tx1"/>
            </w14:solidFill>
          </w14:textFill>
        </w:rPr>
      </w:pPr>
    </w:p>
    <w:p w14:paraId="455B0C0E">
      <w:pPr>
        <w:pStyle w:val="12"/>
        <w:spacing w:before="50" w:after="50"/>
        <w:ind w:firstLine="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50EA5704">
      <w:pPr>
        <w:spacing w:before="120" w:after="50"/>
        <w:ind w:firstLine="640"/>
        <w:rPr>
          <w:rFonts w:ascii="宋体" w:hAnsi="宋体" w:cs="仿宋_GB2312"/>
          <w:bCs/>
          <w:color w:val="000000" w:themeColor="text1"/>
          <w:sz w:val="32"/>
          <w:szCs w:val="32"/>
          <w14:textFill>
            <w14:solidFill>
              <w14:schemeClr w14:val="tx1"/>
            </w14:solidFill>
          </w14:textFill>
        </w:rPr>
      </w:pPr>
    </w:p>
    <w:p w14:paraId="49191DCD">
      <w:pPr>
        <w:pStyle w:val="12"/>
        <w:spacing w:before="50" w:after="50"/>
        <w:ind w:firstLine="720"/>
        <w:rPr>
          <w:rFonts w:ascii="宋体" w:hAnsi="宋体" w:cs="仿宋_GB2312"/>
          <w:bCs/>
          <w:color w:val="000000" w:themeColor="text1"/>
          <w:sz w:val="32"/>
          <w:szCs w:val="32"/>
          <w14:textFill>
            <w14:solidFill>
              <w14:schemeClr w14:val="tx1"/>
            </w14:solidFill>
          </w14:textFill>
        </w:rPr>
      </w:pPr>
    </w:p>
    <w:p w14:paraId="63992A25">
      <w:pPr>
        <w:pStyle w:val="12"/>
        <w:spacing w:before="50" w:after="50"/>
        <w:ind w:firstLine="720"/>
        <w:rPr>
          <w:rFonts w:ascii="宋体" w:hAnsi="宋体" w:cs="仿宋_GB2312"/>
          <w:bCs/>
          <w:color w:val="000000" w:themeColor="text1"/>
          <w:sz w:val="32"/>
          <w:szCs w:val="32"/>
          <w14:textFill>
            <w14:solidFill>
              <w14:schemeClr w14:val="tx1"/>
            </w14:solidFill>
          </w14:textFill>
        </w:rPr>
      </w:pPr>
    </w:p>
    <w:p w14:paraId="05F2C422">
      <w:pPr>
        <w:pStyle w:val="12"/>
        <w:spacing w:before="50" w:after="50"/>
        <w:ind w:firstLine="1280"/>
        <w:rPr>
          <w:rFonts w:ascii="宋体" w:hAnsi="宋体" w:cs="仿宋_GB2312"/>
          <w:bCs/>
          <w:color w:val="000000" w:themeColor="text1"/>
          <w:sz w:val="32"/>
          <w:szCs w:val="32"/>
          <w14:textFill>
            <w14:solidFill>
              <w14:schemeClr w14:val="tx1"/>
            </w14:solidFill>
          </w14:textFill>
        </w:rPr>
      </w:pPr>
    </w:p>
    <w:p w14:paraId="4D5AF50A">
      <w:pPr>
        <w:spacing w:before="120" w:after="50"/>
        <w:jc w:val="center"/>
        <w:rPr>
          <w:rFonts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2026年    月    日</w:t>
      </w:r>
    </w:p>
    <w:p w14:paraId="35774C50">
      <w:pPr>
        <w:spacing w:before="120" w:after="50" w:line="360" w:lineRule="auto"/>
        <w:ind w:left="142"/>
        <w:jc w:val="center"/>
        <w:rPr>
          <w:rFonts w:ascii="宋体" w:hAnsi="宋体"/>
          <w:b/>
          <w:bCs/>
          <w:color w:val="000000" w:themeColor="text1"/>
          <w:sz w:val="32"/>
          <w:szCs w:val="32"/>
          <w14:textFill>
            <w14:solidFill>
              <w14:schemeClr w14:val="tx1"/>
            </w14:solidFill>
          </w14:textFill>
        </w:rPr>
      </w:pPr>
      <w:r>
        <w:rPr>
          <w:rFonts w:ascii="宋体" w:hAnsi="宋体"/>
          <w:color w:val="000000" w:themeColor="text1"/>
          <w:sz w:val="24"/>
          <w14:textFill>
            <w14:solidFill>
              <w14:schemeClr w14:val="tx1"/>
            </w14:solidFill>
          </w14:textFill>
        </w:rPr>
        <w:br w:type="page" w:clear="all"/>
      </w:r>
      <w:r>
        <w:rPr>
          <w:rFonts w:hint="eastAsia" w:ascii="宋体" w:hAnsi="宋体"/>
          <w:b/>
          <w:bCs/>
          <w:color w:val="000000" w:themeColor="text1"/>
          <w:sz w:val="32"/>
          <w:szCs w:val="32"/>
          <w14:textFill>
            <w14:solidFill>
              <w14:schemeClr w14:val="tx1"/>
            </w14:solidFill>
          </w14:textFill>
        </w:rPr>
        <w:t>2.资格证明文件目录</w:t>
      </w:r>
    </w:p>
    <w:p w14:paraId="3CB75E12">
      <w:pPr>
        <w:spacing w:line="360" w:lineRule="auto"/>
        <w:contextualSpacing/>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1.崇左市政府采购供应商信用承诺函（格式后附，供应商应对其承诺内容的真实性、合法性、有效性负责）；（</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）…………………………（页码）</w:t>
      </w:r>
    </w:p>
    <w:p w14:paraId="61A0BD8A">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2.供应商直接控股信息表（格式后附）；（</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）（页码）</w:t>
      </w:r>
    </w:p>
    <w:p w14:paraId="6E9451A3">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3.供应商直接管理关系信息表（格式后附）；（</w:t>
      </w:r>
      <w:r>
        <w:rPr>
          <w:rFonts w:hint="eastAsia" w:ascii="宋体" w:hAnsi="宋体" w:cs="宋体"/>
          <w:b/>
          <w:color w:val="000000" w:themeColor="text1"/>
          <w:szCs w:val="21"/>
          <w14:textFill>
            <w14:solidFill>
              <w14:schemeClr w14:val="tx1"/>
            </w14:solidFill>
          </w14:textFill>
        </w:rPr>
        <w:t>必须提供，否则响应文件按无效响应处理</w:t>
      </w:r>
      <w:r>
        <w:rPr>
          <w:rFonts w:hint="eastAsia" w:ascii="宋体" w:hAnsi="宋体" w:cs="宋体"/>
          <w:color w:val="000000" w:themeColor="text1"/>
          <w:szCs w:val="21"/>
          <w14:textFill>
            <w14:solidFill>
              <w14:schemeClr w14:val="tx1"/>
            </w14:solidFill>
          </w14:textFill>
        </w:rPr>
        <w:t>）</w:t>
      </w:r>
    </w:p>
    <w:p w14:paraId="4B0CD9BE">
      <w:pPr>
        <w:spacing w:line="360" w:lineRule="auto"/>
        <w:contextualSpacing/>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4.竞标声明（格式后附）；（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）…………………（页码）</w:t>
      </w:r>
    </w:p>
    <w:p w14:paraId="470A2DDB">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供应商按以下要求提供医疗器械的有关证明材料复印件：</w:t>
      </w:r>
      <w:r>
        <w:rPr>
          <w:rFonts w:hint="eastAsia" w:ascii="宋体" w:hAnsi="宋体" w:cs="宋体"/>
          <w:color w:val="000000" w:themeColor="text1"/>
          <w:szCs w:val="21"/>
          <w14:textFill>
            <w14:solidFill>
              <w14:schemeClr w14:val="tx1"/>
            </w14:solidFill>
          </w14:textFill>
        </w:rPr>
        <w:t>……………………………（页码）</w:t>
      </w:r>
    </w:p>
    <w:p w14:paraId="6C8E109C">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竞标对应产品的名称和规格型号）（格式自拟）；</w:t>
      </w:r>
    </w:p>
    <w:p w14:paraId="212019A6">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竞标对应产品的名称和规格型号</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（格式自拟）；</w:t>
      </w:r>
    </w:p>
    <w:p w14:paraId="6784BB36">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（3）有第二类和第三类医疗器械的，应按上述（1）（2）要求提供；</w:t>
      </w:r>
      <w:r>
        <w:rPr>
          <w:rFonts w:hint="eastAsia" w:ascii="宋体" w:hAnsi="宋体"/>
          <w:bCs/>
          <w:color w:val="000000" w:themeColor="text1"/>
          <w:szCs w:val="21"/>
          <w14:textFill>
            <w14:solidFill>
              <w14:schemeClr w14:val="tx1"/>
            </w14:solidFill>
          </w14:textFill>
        </w:rPr>
        <w:t>（</w:t>
      </w:r>
      <w:r>
        <w:rPr>
          <w:rFonts w:hint="eastAsia" w:ascii="宋体" w:hAnsi="宋体"/>
          <w:b/>
          <w:bCs/>
          <w:color w:val="000000" w:themeColor="text1"/>
          <w:szCs w:val="21"/>
          <w14:textFill>
            <w14:solidFill>
              <w14:schemeClr w14:val="tx1"/>
            </w14:solidFill>
          </w14:textFill>
        </w:rPr>
        <w:t>必须提供，否则响应文件按无效响应处理</w:t>
      </w:r>
      <w:r>
        <w:rPr>
          <w:rFonts w:hint="eastAsia" w:ascii="宋体" w:hAnsi="宋体"/>
          <w:bCs/>
          <w:color w:val="000000" w:themeColor="text1"/>
          <w:szCs w:val="21"/>
          <w14:textFill>
            <w14:solidFill>
              <w14:schemeClr w14:val="tx1"/>
            </w14:solidFill>
          </w14:textFill>
        </w:rPr>
        <w:t>）</w:t>
      </w:r>
      <w:r>
        <w:rPr>
          <w:rFonts w:hint="eastAsia" w:ascii="宋体" w:hAnsi="宋体"/>
          <w:b/>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w:t>
      </w:r>
    </w:p>
    <w:p w14:paraId="6A0EF283">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货物制造商为中小企业或监狱企业或残疾人福利性单位的资格证明材料【为中小微企业的应当提供《中小企业声明函》；为残疾人福利性单位的应当提供《残疾人福利性单位声明函》；为监狱企业的应当提供由省级以上监狱管理局、戒毒管理局（含新疆生产建设兵团）出具的属于监狱企业的证明文件】</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必须提供，否则响应文件按无效处理</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…………………（页码）</w:t>
      </w:r>
    </w:p>
    <w:p w14:paraId="5A7A7B02">
      <w:pPr>
        <w:spacing w:line="40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7.除谈判文件规定必须提供以外，供应商认为需要提供的其他证明材料；……………（页码）</w:t>
      </w:r>
    </w:p>
    <w:p w14:paraId="27CDD964">
      <w:pPr>
        <w:spacing w:line="360" w:lineRule="auto"/>
        <w:jc w:val="left"/>
        <w:rPr>
          <w:rFonts w:ascii="宋体" w:hAnsi="宋体"/>
          <w:i/>
          <w:color w:val="000000" w:themeColor="text1"/>
          <w:szCs w:val="21"/>
          <w14:textFill>
            <w14:solidFill>
              <w14:schemeClr w14:val="tx1"/>
            </w14:solidFill>
          </w14:textFill>
        </w:rPr>
      </w:pPr>
    </w:p>
    <w:p w14:paraId="1F1986C1">
      <w:pPr>
        <w:pStyle w:val="28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注：以上目录是编制供应商响应文件的基本格式要求，各供应商可根据自身情况进一步细化</w:t>
      </w:r>
    </w:p>
    <w:p w14:paraId="31536126">
      <w:pPr>
        <w:pStyle w:val="280"/>
        <w:rPr>
          <w:rFonts w:ascii="宋体" w:hAnsi="宋体"/>
          <w:color w:val="000000" w:themeColor="text1"/>
          <w:sz w:val="32"/>
          <w:szCs w:val="32"/>
          <w14:textFill>
            <w14:solidFill>
              <w14:schemeClr w14:val="tx1"/>
            </w14:solidFill>
          </w14:textFill>
        </w:rPr>
      </w:pPr>
    </w:p>
    <w:p w14:paraId="66C2A9C5">
      <w:pPr>
        <w:pStyle w:val="280"/>
        <w:rPr>
          <w:rFonts w:ascii="宋体" w:hAnsi="宋体"/>
          <w:color w:val="000000" w:themeColor="text1"/>
          <w:sz w:val="32"/>
          <w:szCs w:val="32"/>
          <w14:textFill>
            <w14:solidFill>
              <w14:schemeClr w14:val="tx1"/>
            </w14:solidFill>
          </w14:textFill>
        </w:rPr>
      </w:pPr>
    </w:p>
    <w:p w14:paraId="54F7E8E5">
      <w:pPr>
        <w:pStyle w:val="280"/>
        <w:rPr>
          <w:rFonts w:ascii="宋体" w:hAnsi="宋体"/>
          <w:color w:val="000000" w:themeColor="text1"/>
          <w:sz w:val="32"/>
          <w:szCs w:val="32"/>
          <w14:textFill>
            <w14:solidFill>
              <w14:schemeClr w14:val="tx1"/>
            </w14:solidFill>
          </w14:textFill>
        </w:rPr>
      </w:pPr>
    </w:p>
    <w:p w14:paraId="45AE7C79">
      <w:pPr>
        <w:pStyle w:val="280"/>
        <w:rPr>
          <w:rFonts w:ascii="宋体" w:hAnsi="宋体"/>
          <w:color w:val="000000" w:themeColor="text1"/>
          <w:sz w:val="32"/>
          <w:szCs w:val="32"/>
          <w14:textFill>
            <w14:solidFill>
              <w14:schemeClr w14:val="tx1"/>
            </w14:solidFill>
          </w14:textFill>
        </w:rPr>
      </w:pPr>
    </w:p>
    <w:p w14:paraId="51E9FB48">
      <w:pPr>
        <w:pStyle w:val="280"/>
        <w:rPr>
          <w:rFonts w:ascii="宋体" w:hAnsi="宋体"/>
          <w:color w:val="000000" w:themeColor="text1"/>
          <w:sz w:val="32"/>
          <w:szCs w:val="32"/>
          <w14:textFill>
            <w14:solidFill>
              <w14:schemeClr w14:val="tx1"/>
            </w14:solidFill>
          </w14:textFill>
        </w:rPr>
      </w:pPr>
    </w:p>
    <w:p w14:paraId="1859E462">
      <w:pPr>
        <w:widowControl/>
        <w:spacing w:line="440" w:lineRule="exact"/>
        <w:rPr>
          <w:rFonts w:ascii="宋体" w:hAnsi="宋体"/>
          <w:b/>
          <w:color w:val="000000" w:themeColor="text1"/>
          <w:sz w:val="32"/>
          <w:szCs w:val="32"/>
          <w14:textFill>
            <w14:solidFill>
              <w14:schemeClr w14:val="tx1"/>
            </w14:solidFill>
          </w14:textFill>
        </w:rPr>
      </w:pPr>
    </w:p>
    <w:p w14:paraId="4B9B344E">
      <w:pPr>
        <w:widowControl/>
        <w:spacing w:line="440" w:lineRule="exact"/>
        <w:rPr>
          <w:rFonts w:ascii="宋体" w:hAnsi="宋体"/>
          <w:b/>
          <w:color w:val="000000" w:themeColor="text1"/>
          <w:sz w:val="32"/>
          <w:szCs w:val="32"/>
          <w14:textFill>
            <w14:solidFill>
              <w14:schemeClr w14:val="tx1"/>
            </w14:solidFill>
          </w14:textFill>
        </w:rPr>
      </w:pPr>
    </w:p>
    <w:p w14:paraId="1C3270BA">
      <w:pPr>
        <w:widowControl/>
        <w:spacing w:line="440" w:lineRule="exact"/>
        <w:jc w:val="center"/>
        <w:rPr>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1.崇左市政府采购供应商信用承诺函（格式）</w:t>
      </w:r>
    </w:p>
    <w:p w14:paraId="561B419F">
      <w:pPr>
        <w:widowControl/>
        <w:spacing w:line="440" w:lineRule="exact"/>
        <w:jc w:val="left"/>
        <w:rPr>
          <w:rFonts w:ascii="仿宋_GB2312" w:hAnsi="仿宋_GB2312" w:eastAsia="仿宋_GB2312" w:cs="仿宋_GB2312"/>
          <w:color w:val="000000" w:themeColor="text1"/>
          <w:sz w:val="32"/>
          <w:szCs w:val="32"/>
          <w:lang w:bidi="ar"/>
          <w14:textFill>
            <w14:solidFill>
              <w14:schemeClr w14:val="tx1"/>
            </w14:solidFill>
          </w14:textFill>
        </w:rPr>
      </w:pPr>
    </w:p>
    <w:p w14:paraId="6EB1577C">
      <w:pPr>
        <w:widowControl/>
        <w:spacing w:line="440" w:lineRule="exact"/>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致</w:t>
      </w:r>
      <w:r>
        <w:rPr>
          <w:rFonts w:hint="eastAsia" w:ascii="宋体" w:hAnsi="宋体" w:cs="宋体"/>
          <w:color w:val="000000" w:themeColor="text1"/>
          <w:sz w:val="24"/>
          <w:u w:val="single"/>
          <w:lang w:bidi="ar"/>
          <w14:textFill>
            <w14:solidFill>
              <w14:schemeClr w14:val="tx1"/>
            </w14:solidFill>
          </w14:textFill>
        </w:rPr>
        <w:t>（采购代理机构名称）：</w:t>
      </w:r>
    </w:p>
    <w:p w14:paraId="24763160">
      <w:pPr>
        <w:widowControl/>
        <w:spacing w:line="440" w:lineRule="exact"/>
        <w:ind w:firstLine="480"/>
        <w:rPr>
          <w:rFonts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我方自愿参加</w:t>
      </w:r>
      <w:r>
        <w:rPr>
          <w:rFonts w:hint="eastAsia" w:ascii="宋体" w:hAnsi="宋体" w:cs="宋体"/>
          <w:color w:val="000000" w:themeColor="text1"/>
          <w:sz w:val="24"/>
          <w:u w:val="single"/>
          <w:lang w:bidi="ar"/>
          <w14:textFill>
            <w14:solidFill>
              <w14:schemeClr w14:val="tx1"/>
            </w14:solidFill>
          </w14:textFill>
        </w:rPr>
        <w:t xml:space="preserve"> （项目名称） </w:t>
      </w:r>
      <w:r>
        <w:rPr>
          <w:rFonts w:hint="eastAsia" w:ascii="宋体" w:hAnsi="宋体" w:cs="宋体"/>
          <w:color w:val="000000" w:themeColor="text1"/>
          <w:sz w:val="24"/>
          <w:lang w:bidi="ar"/>
          <w14:textFill>
            <w14:solidFill>
              <w14:schemeClr w14:val="tx1"/>
            </w14:solidFill>
          </w14:textFill>
        </w:rPr>
        <w:t>项目</w:t>
      </w:r>
      <w:r>
        <w:rPr>
          <w:rFonts w:hint="eastAsia" w:ascii="宋体" w:hAnsi="宋体" w:cs="宋体"/>
          <w:color w:val="000000" w:themeColor="text1"/>
          <w:spacing w:val="6"/>
          <w:sz w:val="24"/>
          <w14:textFill>
            <w14:solidFill>
              <w14:schemeClr w14:val="tx1"/>
            </w14:solidFill>
          </w14:textFill>
        </w:rPr>
        <w:t>（项目编号：</w:t>
      </w:r>
      <w:r>
        <w:rPr>
          <w:rFonts w:hint="eastAsia" w:ascii="宋体" w:hAnsi="宋体" w:cs="宋体"/>
          <w:color w:val="000000" w:themeColor="text1"/>
          <w:spacing w:val="6"/>
          <w:sz w:val="24"/>
          <w:u w:val="single"/>
          <w14:textFill>
            <w14:solidFill>
              <w14:schemeClr w14:val="tx1"/>
            </w14:solidFill>
          </w14:textFill>
        </w:rPr>
        <w:t xml:space="preserve">         </w:t>
      </w:r>
      <w:r>
        <w:rPr>
          <w:rFonts w:hint="eastAsia" w:ascii="宋体" w:hAnsi="宋体" w:cs="宋体"/>
          <w:color w:val="000000" w:themeColor="text1"/>
          <w:spacing w:val="6"/>
          <w:sz w:val="24"/>
          <w14:textFill>
            <w14:solidFill>
              <w14:schemeClr w14:val="tx1"/>
            </w14:solidFill>
          </w14:textFill>
        </w:rPr>
        <w:t>）</w:t>
      </w:r>
      <w:r>
        <w:rPr>
          <w:rFonts w:hint="eastAsia" w:ascii="宋体" w:hAnsi="宋体" w:cs="宋体"/>
          <w:color w:val="000000" w:themeColor="text1"/>
          <w:sz w:val="24"/>
          <w:lang w:bidi="ar"/>
          <w14:textFill>
            <w14:solidFill>
              <w14:schemeClr w14:val="tx1"/>
            </w14:solidFill>
          </w14:textFill>
        </w:rPr>
        <w:t>的政府采购活动，严格遵守《中华人民共和国政府采购法》及相关法律法规，依法诚信经营，无条件遵守本次政府采购活动的各项规定，并郑重承诺</w:t>
      </w:r>
      <w:r>
        <w:rPr>
          <w:rFonts w:hint="eastAsia" w:ascii="宋体" w:hAnsi="宋体" w:cs="宋体"/>
          <w:color w:val="000000" w:themeColor="text1"/>
          <w:spacing w:val="-6"/>
          <w:sz w:val="24"/>
          <w:lang w:bidi="ar"/>
          <w14:textFill>
            <w14:solidFill>
              <w14:schemeClr w14:val="tx1"/>
            </w14:solidFill>
          </w14:textFill>
        </w:rPr>
        <w:t xml:space="preserve">： </w:t>
      </w:r>
    </w:p>
    <w:p w14:paraId="6550F721">
      <w:pPr>
        <w:widowControl/>
        <w:spacing w:line="440" w:lineRule="exact"/>
        <w:ind w:firstLine="48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1.我方</w:t>
      </w:r>
      <w:r>
        <w:rPr>
          <w:rFonts w:hint="eastAsia" w:ascii="宋体" w:hAnsi="宋体" w:cs="宋体"/>
          <w:color w:val="000000" w:themeColor="text1"/>
          <w:spacing w:val="6"/>
          <w:sz w:val="24"/>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w:t>
      </w:r>
    </w:p>
    <w:p w14:paraId="6E25A339">
      <w:pPr>
        <w:widowControl/>
        <w:spacing w:line="44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xml:space="preserve">2.我方具有符合采购文件资格要求的财务状况报告。 </w:t>
      </w:r>
    </w:p>
    <w:p w14:paraId="34F3B3AD">
      <w:pPr>
        <w:widowControl/>
        <w:spacing w:line="440" w:lineRule="exact"/>
        <w:ind w:firstLine="456"/>
        <w:rPr>
          <w:rFonts w:ascii="宋体" w:hAnsi="宋体" w:cs="宋体"/>
          <w:color w:val="000000" w:themeColor="text1"/>
          <w:spacing w:val="-17"/>
          <w:sz w:val="24"/>
          <w14:textFill>
            <w14:solidFill>
              <w14:schemeClr w14:val="tx1"/>
            </w14:solidFill>
          </w14:textFill>
        </w:rPr>
      </w:pPr>
      <w:r>
        <w:rPr>
          <w:rFonts w:hint="eastAsia" w:ascii="宋体" w:hAnsi="宋体" w:cs="宋体"/>
          <w:color w:val="000000" w:themeColor="text1"/>
          <w:spacing w:val="-6"/>
          <w:sz w:val="24"/>
          <w:lang w:bidi="ar"/>
          <w14:textFill>
            <w14:solidFill>
              <w14:schemeClr w14:val="tx1"/>
            </w14:solidFill>
          </w14:textFill>
        </w:rPr>
        <w:t>3.我方具有符合采购文件资格要求的依法缴纳税收和社会保障资金的良好记录。</w:t>
      </w:r>
      <w:r>
        <w:rPr>
          <w:rFonts w:hint="eastAsia" w:ascii="宋体" w:hAnsi="宋体" w:cs="宋体"/>
          <w:color w:val="000000" w:themeColor="text1"/>
          <w:spacing w:val="-17"/>
          <w:sz w:val="24"/>
          <w:lang w:bidi="ar"/>
          <w14:textFill>
            <w14:solidFill>
              <w14:schemeClr w14:val="tx1"/>
            </w14:solidFill>
          </w14:textFill>
        </w:rPr>
        <w:t xml:space="preserve"> </w:t>
      </w:r>
    </w:p>
    <w:p w14:paraId="0440B1F8">
      <w:pPr>
        <w:widowControl/>
        <w:spacing w:line="44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xml:space="preserve">4.我方具有符合采购文件资格要求履行合同所必需的设备和专业技术能力。 </w:t>
      </w:r>
    </w:p>
    <w:p w14:paraId="40F81A76">
      <w:pPr>
        <w:widowControl/>
        <w:spacing w:line="44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xml:space="preserve">5.我方参加政府采购活动前3年内在经营活动中没有重大违法记录。 </w:t>
      </w:r>
    </w:p>
    <w:p w14:paraId="091BF085">
      <w:pPr>
        <w:widowControl/>
        <w:spacing w:line="440" w:lineRule="exact"/>
        <w:ind w:firstLine="480"/>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我方对以上承诺内容的真实性负责。如有虚假，将依法承担相应责任。</w:t>
      </w:r>
    </w:p>
    <w:p w14:paraId="0FE6D504">
      <w:pPr>
        <w:widowControl/>
        <w:spacing w:line="440" w:lineRule="exact"/>
        <w:ind w:firstLine="480"/>
        <w:rPr>
          <w:rFonts w:ascii="宋体" w:hAnsi="宋体" w:cs="宋体"/>
          <w:color w:val="000000" w:themeColor="text1"/>
          <w:sz w:val="24"/>
          <w:lang w:bidi="ar"/>
          <w14:textFill>
            <w14:solidFill>
              <w14:schemeClr w14:val="tx1"/>
            </w14:solidFill>
          </w14:textFill>
        </w:rPr>
      </w:pPr>
    </w:p>
    <w:p w14:paraId="2586C4DC">
      <w:pPr>
        <w:widowControl/>
        <w:spacing w:line="440" w:lineRule="exact"/>
        <w:ind w:firstLine="480"/>
        <w:rPr>
          <w:rFonts w:ascii="宋体" w:hAnsi="宋体" w:cs="宋体"/>
          <w:color w:val="000000" w:themeColor="text1"/>
          <w:sz w:val="24"/>
          <w:lang w:bidi="ar"/>
          <w14:textFill>
            <w14:solidFill>
              <w14:schemeClr w14:val="tx1"/>
            </w14:solidFill>
          </w14:textFill>
        </w:rPr>
      </w:pPr>
    </w:p>
    <w:p w14:paraId="3E3AED8F">
      <w:pPr>
        <w:widowControl/>
        <w:spacing w:line="440" w:lineRule="exact"/>
        <w:ind w:firstLine="36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 xml:space="preserve">供应商名称（盖章）： </w:t>
      </w:r>
    </w:p>
    <w:p w14:paraId="75B86548">
      <w:pPr>
        <w:tabs>
          <w:tab w:val="left" w:pos="7560"/>
        </w:tabs>
        <w:spacing w:line="440" w:lineRule="exact"/>
        <w:ind w:firstLine="3600"/>
        <w:jc w:val="left"/>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日期：</w:t>
      </w:r>
    </w:p>
    <w:p w14:paraId="3E126F4C">
      <w:pPr>
        <w:pStyle w:val="36"/>
        <w:widowControl/>
        <w:spacing w:line="560" w:lineRule="exact"/>
        <w:rPr>
          <w:rFonts w:ascii="宋体" w:hAnsi="宋体" w:cs="宋体"/>
          <w:color w:val="000000" w:themeColor="text1"/>
          <w:lang w:bidi="ar"/>
          <w14:textFill>
            <w14:solidFill>
              <w14:schemeClr w14:val="tx1"/>
            </w14:solidFill>
          </w14:textFill>
        </w:rPr>
      </w:pPr>
    </w:p>
    <w:p w14:paraId="64447F10">
      <w:pPr>
        <w:pStyle w:val="36"/>
        <w:widowControl/>
        <w:spacing w:line="40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注：1.</w:t>
      </w:r>
      <w:r>
        <w:rPr>
          <w:rFonts w:hint="eastAsia" w:ascii="宋体" w:hAnsi="宋体" w:cs="宋体"/>
          <w:color w:val="000000" w:themeColor="text1"/>
          <w14:textFill>
            <w14:solidFill>
              <w14:schemeClr w14:val="tx1"/>
            </w14:solidFill>
          </w14:textFill>
        </w:rPr>
        <w:t>参与政府采购活动的供应商可按第1点的内容：“</w:t>
      </w:r>
      <w:r>
        <w:rPr>
          <w:rFonts w:hint="eastAsia" w:ascii="宋体" w:hAnsi="宋体" w:cs="宋体"/>
          <w:color w:val="000000" w:themeColor="text1"/>
          <w:lang w:bidi="ar"/>
          <w14:textFill>
            <w14:solidFill>
              <w14:schemeClr w14:val="tx1"/>
            </w14:solidFill>
          </w14:textFill>
        </w:rPr>
        <w:t>我方</w:t>
      </w:r>
      <w:r>
        <w:rPr>
          <w:rFonts w:hint="eastAsia" w:ascii="宋体" w:hAnsi="宋体" w:cs="宋体"/>
          <w:color w:val="000000" w:themeColor="text1"/>
          <w:spacing w:val="6"/>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cs="宋体"/>
          <w:color w:val="000000" w:themeColor="text1"/>
          <w:lang w:bidi="ar"/>
          <w14:textFill>
            <w14:solidFill>
              <w14:schemeClr w14:val="tx1"/>
            </w14:solidFill>
          </w14:textFill>
        </w:rPr>
        <w:t>我方</w:t>
      </w:r>
      <w:r>
        <w:rPr>
          <w:rFonts w:hint="eastAsia" w:ascii="宋体" w:hAnsi="宋体" w:cs="宋体"/>
          <w:color w:val="000000" w:themeColor="text1"/>
          <w:spacing w:val="6"/>
          <w14:textFill>
            <w14:solidFill>
              <w14:schemeClr w14:val="tx1"/>
            </w14:solidFill>
          </w14:textFill>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2CB7B74">
      <w:pPr>
        <w:spacing w:line="300" w:lineRule="auto"/>
        <w:rPr>
          <w:rFonts w:ascii="宋体" w:hAnsi="宋体"/>
          <w:color w:val="000000" w:themeColor="text1"/>
          <w:szCs w:val="21"/>
          <w14:textFill>
            <w14:solidFill>
              <w14:schemeClr w14:val="tx1"/>
            </w14:solidFill>
          </w14:textFill>
        </w:rPr>
      </w:pPr>
    </w:p>
    <w:p w14:paraId="434BE788">
      <w:pPr>
        <w:spacing w:line="300" w:lineRule="auto"/>
        <w:rPr>
          <w:rFonts w:ascii="宋体" w:hAnsi="宋体"/>
          <w:color w:val="000000" w:themeColor="text1"/>
          <w:szCs w:val="21"/>
          <w14:textFill>
            <w14:solidFill>
              <w14:schemeClr w14:val="tx1"/>
            </w14:solidFill>
          </w14:textFill>
        </w:rPr>
      </w:pPr>
    </w:p>
    <w:p w14:paraId="51FE36CE">
      <w:pPr>
        <w:spacing w:line="300" w:lineRule="auto"/>
        <w:rPr>
          <w:rFonts w:ascii="宋体" w:hAnsi="宋体"/>
          <w:color w:val="000000" w:themeColor="text1"/>
          <w:szCs w:val="21"/>
          <w14:textFill>
            <w14:solidFill>
              <w14:schemeClr w14:val="tx1"/>
            </w14:solidFill>
          </w14:textFill>
        </w:rPr>
      </w:pPr>
    </w:p>
    <w:p w14:paraId="208953FB">
      <w:pPr>
        <w:spacing w:line="300" w:lineRule="auto"/>
        <w:jc w:val="center"/>
        <w:rPr>
          <w:rFonts w:ascii="宋体" w:hAnsi="宋体"/>
          <w:color w:val="000000" w:themeColor="text1"/>
          <w:szCs w:val="21"/>
          <w14:textFill>
            <w14:solidFill>
              <w14:schemeClr w14:val="tx1"/>
            </w14:solidFill>
          </w14:textFill>
        </w:rPr>
      </w:pPr>
    </w:p>
    <w:p w14:paraId="4F67812D">
      <w:pPr>
        <w:spacing w:before="50" w:after="12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2.供应商直接控股信息表</w:t>
      </w:r>
    </w:p>
    <w:tbl>
      <w:tblPr>
        <w:tblStyle w:val="4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43F5B5D">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D36FA4">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6ECDAE">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D563A6">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5CD68A">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9F0995">
            <w:pPr>
              <w:widowControl/>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备注</w:t>
            </w:r>
          </w:p>
        </w:tc>
      </w:tr>
      <w:tr w14:paraId="111001B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A0FCDF">
            <w:pPr>
              <w:widowControl/>
              <w:spacing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11FB42">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E103BE">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597806">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5E5C83">
            <w:pPr>
              <w:widowControl/>
              <w:spacing w:line="360" w:lineRule="auto"/>
              <w:jc w:val="center"/>
              <w:rPr>
                <w:rFonts w:ascii="宋体" w:hAnsi="宋体" w:cs="宋体"/>
                <w:color w:val="000000" w:themeColor="text1"/>
                <w:sz w:val="28"/>
                <w:szCs w:val="28"/>
                <w14:textFill>
                  <w14:solidFill>
                    <w14:schemeClr w14:val="tx1"/>
                  </w14:solidFill>
                </w14:textFill>
              </w:rPr>
            </w:pPr>
          </w:p>
        </w:tc>
      </w:tr>
      <w:tr w14:paraId="671667E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1F2B64">
            <w:pPr>
              <w:widowControl/>
              <w:spacing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D0679A">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237BB3">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D6C81">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48489C">
            <w:pPr>
              <w:widowControl/>
              <w:spacing w:line="360" w:lineRule="auto"/>
              <w:jc w:val="center"/>
              <w:rPr>
                <w:rFonts w:ascii="宋体" w:hAnsi="宋体" w:cs="宋体"/>
                <w:color w:val="000000" w:themeColor="text1"/>
                <w:sz w:val="28"/>
                <w:szCs w:val="28"/>
                <w14:textFill>
                  <w14:solidFill>
                    <w14:schemeClr w14:val="tx1"/>
                  </w14:solidFill>
                </w14:textFill>
              </w:rPr>
            </w:pPr>
          </w:p>
        </w:tc>
      </w:tr>
      <w:tr w14:paraId="1CF2222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9D03F3">
            <w:pPr>
              <w:widowControl/>
              <w:spacing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AD64DB">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030EC3">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5A0338">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3A2D8C">
            <w:pPr>
              <w:widowControl/>
              <w:spacing w:line="360" w:lineRule="auto"/>
              <w:jc w:val="center"/>
              <w:rPr>
                <w:rFonts w:ascii="宋体" w:hAnsi="宋体" w:cs="宋体"/>
                <w:color w:val="000000" w:themeColor="text1"/>
                <w:sz w:val="28"/>
                <w:szCs w:val="28"/>
                <w14:textFill>
                  <w14:solidFill>
                    <w14:schemeClr w14:val="tx1"/>
                  </w14:solidFill>
                </w14:textFill>
              </w:rPr>
            </w:pPr>
          </w:p>
        </w:tc>
      </w:tr>
      <w:tr w14:paraId="6EC0933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15689F">
            <w:pPr>
              <w:widowControl/>
              <w:spacing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5B5A8E">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ADB54D">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114243">
            <w:pPr>
              <w:widowControl/>
              <w:spacing w:line="360" w:lineRule="auto"/>
              <w:jc w:val="center"/>
              <w:rPr>
                <w:rFonts w:ascii="宋体" w:hAnsi="宋体" w:cs="宋体"/>
                <w:color w:val="000000" w:themeColor="text1"/>
                <w:sz w:val="28"/>
                <w:szCs w:val="28"/>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27BE68">
            <w:pPr>
              <w:widowControl/>
              <w:spacing w:line="360" w:lineRule="auto"/>
              <w:jc w:val="center"/>
              <w:rPr>
                <w:rFonts w:ascii="宋体" w:hAnsi="宋体" w:cs="宋体"/>
                <w:color w:val="000000" w:themeColor="text1"/>
                <w:sz w:val="28"/>
                <w:szCs w:val="28"/>
                <w14:textFill>
                  <w14:solidFill>
                    <w14:schemeClr w14:val="tx1"/>
                  </w14:solidFill>
                </w14:textFill>
              </w:rPr>
            </w:pPr>
          </w:p>
        </w:tc>
      </w:tr>
    </w:tbl>
    <w:p w14:paraId="6CDCAA6D">
      <w:pPr>
        <w:spacing w:line="360" w:lineRule="auto"/>
        <w:contextualSpacing/>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688304C4">
      <w:pPr>
        <w:spacing w:line="360" w:lineRule="auto"/>
        <w:ind w:firstLine="480"/>
        <w:contextualSpacing/>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直接控股股东：是指其出资额占有限责任公司资本总额50%以上或者其持有的股份占股份有限公司股份总额50%以上的股东；出资额或者持有股份的比例虽然不足50%，但依其出资额或者持有的股份所享有的表决权已足以对股东会、股东大会的决议产生重大影响的股东。</w:t>
      </w:r>
    </w:p>
    <w:p w14:paraId="055AC612">
      <w:pPr>
        <w:spacing w:line="360" w:lineRule="auto"/>
        <w:ind w:firstLine="480"/>
        <w:contextualSpacing/>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066D657A">
      <w:pPr>
        <w:spacing w:line="360" w:lineRule="auto"/>
        <w:ind w:firstLine="480"/>
        <w:contextualSpacing/>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2DDAB0FE">
      <w:pPr>
        <w:spacing w:line="360" w:lineRule="auto"/>
        <w:ind w:firstLine="420"/>
        <w:contextualSpacing/>
        <w:jc w:val="left"/>
        <w:rPr>
          <w:rFonts w:ascii="宋体" w:hAnsi="宋体" w:cs="宋体"/>
          <w:color w:val="000000" w:themeColor="text1"/>
          <w:szCs w:val="21"/>
          <w14:textFill>
            <w14:solidFill>
              <w14:schemeClr w14:val="tx1"/>
            </w14:solidFill>
          </w14:textFill>
        </w:rPr>
      </w:pPr>
    </w:p>
    <w:p w14:paraId="39C4D88A">
      <w:pPr>
        <w:spacing w:line="360" w:lineRule="auto"/>
        <w:ind w:firstLine="560"/>
        <w:contextualSpacing/>
        <w:jc w:val="left"/>
        <w:rPr>
          <w:rFonts w:ascii="宋体" w:hAnsi="宋体" w:cs="宋体"/>
          <w:color w:val="000000" w:themeColor="text1"/>
          <w:sz w:val="28"/>
          <w:szCs w:val="28"/>
          <w14:textFill>
            <w14:solidFill>
              <w14:schemeClr w14:val="tx1"/>
            </w14:solidFill>
          </w14:textFill>
        </w:rPr>
      </w:pPr>
    </w:p>
    <w:p w14:paraId="4FB3FEEC">
      <w:pPr>
        <w:spacing w:line="360" w:lineRule="auto"/>
        <w:ind w:right="480"/>
        <w:contextualSpacing/>
        <w:jc w:val="center"/>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u w:val="single"/>
          <w14:textFill>
            <w14:solidFill>
              <w14:schemeClr w14:val="tx1"/>
            </w14:solidFill>
          </w14:textFill>
        </w:rPr>
        <w:t xml:space="preserve">                   </w:t>
      </w:r>
    </w:p>
    <w:p w14:paraId="474786F0">
      <w:pPr>
        <w:spacing w:line="360" w:lineRule="auto"/>
        <w:ind w:right="480" w:firstLine="3000"/>
        <w:contextualSpacing/>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（电子签章）</w:t>
      </w: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p>
    <w:p w14:paraId="1E1091E9">
      <w:pPr>
        <w:spacing w:line="360" w:lineRule="auto"/>
        <w:ind w:right="480" w:firstLine="5280"/>
        <w:contextualSpacing/>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    月    日</w:t>
      </w:r>
    </w:p>
    <w:p w14:paraId="7CBA609F">
      <w:pPr>
        <w:jc w:val="center"/>
        <w:rPr>
          <w:rFonts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clear="all"/>
      </w:r>
    </w:p>
    <w:p w14:paraId="1519B0D2">
      <w:pPr>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3供应商直接管理关系信息表</w:t>
      </w:r>
    </w:p>
    <w:p w14:paraId="15A121E9">
      <w:pPr>
        <w:jc w:val="center"/>
        <w:rPr>
          <w:rFonts w:ascii="宋体" w:hAnsi="宋体"/>
          <w:b/>
          <w:color w:val="000000" w:themeColor="text1"/>
          <w:sz w:val="32"/>
          <w:szCs w:val="32"/>
          <w14:textFill>
            <w14:solidFill>
              <w14:schemeClr w14:val="tx1"/>
            </w14:solidFill>
          </w14:textFill>
        </w:rPr>
      </w:pPr>
    </w:p>
    <w:tbl>
      <w:tblPr>
        <w:tblStyle w:val="4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7E007CA">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19EB545">
            <w:pPr>
              <w:widowControl/>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9CF8CD">
            <w:pPr>
              <w:widowControl/>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01970E">
            <w:pPr>
              <w:widowControl/>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0CD1F8">
            <w:pPr>
              <w:widowControl/>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备注</w:t>
            </w:r>
          </w:p>
        </w:tc>
      </w:tr>
      <w:tr w14:paraId="4FE53CB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978B0D">
            <w:pPr>
              <w:widowControl/>
              <w:spacing w:line="200" w:lineRule="atLeas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BE542E">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B0361D">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18C25E">
            <w:pPr>
              <w:widowControl/>
              <w:spacing w:line="200" w:lineRule="atLeast"/>
              <w:jc w:val="center"/>
              <w:rPr>
                <w:rFonts w:ascii="宋体" w:hAnsi="宋体" w:cs="宋体"/>
                <w:color w:val="000000" w:themeColor="text1"/>
                <w:sz w:val="28"/>
                <w:szCs w:val="28"/>
                <w14:textFill>
                  <w14:solidFill>
                    <w14:schemeClr w14:val="tx1"/>
                  </w14:solidFill>
                </w14:textFill>
              </w:rPr>
            </w:pPr>
          </w:p>
        </w:tc>
      </w:tr>
      <w:tr w14:paraId="444504B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57AEB2">
            <w:pPr>
              <w:widowControl/>
              <w:spacing w:line="200" w:lineRule="atLeas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D5B78F">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EFBB13">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E87E5F">
            <w:pPr>
              <w:widowControl/>
              <w:spacing w:line="200" w:lineRule="atLeast"/>
              <w:jc w:val="center"/>
              <w:rPr>
                <w:rFonts w:ascii="宋体" w:hAnsi="宋体" w:cs="宋体"/>
                <w:color w:val="000000" w:themeColor="text1"/>
                <w:sz w:val="28"/>
                <w:szCs w:val="28"/>
                <w14:textFill>
                  <w14:solidFill>
                    <w14:schemeClr w14:val="tx1"/>
                  </w14:solidFill>
                </w14:textFill>
              </w:rPr>
            </w:pPr>
          </w:p>
        </w:tc>
      </w:tr>
      <w:tr w14:paraId="3EAA99A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D394D0">
            <w:pPr>
              <w:widowControl/>
              <w:spacing w:line="200" w:lineRule="atLeas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00B459">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138A6F">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B27E78">
            <w:pPr>
              <w:widowControl/>
              <w:spacing w:line="200" w:lineRule="atLeast"/>
              <w:jc w:val="center"/>
              <w:rPr>
                <w:rFonts w:ascii="宋体" w:hAnsi="宋体" w:cs="宋体"/>
                <w:color w:val="000000" w:themeColor="text1"/>
                <w:sz w:val="28"/>
                <w:szCs w:val="28"/>
                <w14:textFill>
                  <w14:solidFill>
                    <w14:schemeClr w14:val="tx1"/>
                  </w14:solidFill>
                </w14:textFill>
              </w:rPr>
            </w:pPr>
          </w:p>
        </w:tc>
      </w:tr>
      <w:tr w14:paraId="364F190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D4C61A">
            <w:pPr>
              <w:widowControl/>
              <w:spacing w:line="200" w:lineRule="atLeas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C09CA6">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4677E7">
            <w:pPr>
              <w:widowControl/>
              <w:spacing w:line="200" w:lineRule="atLeast"/>
              <w:jc w:val="center"/>
              <w:rPr>
                <w:rFonts w:ascii="宋体" w:hAnsi="宋体" w:cs="宋体"/>
                <w:color w:val="000000" w:themeColor="text1"/>
                <w:sz w:val="28"/>
                <w:szCs w:val="28"/>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2AC76">
            <w:pPr>
              <w:widowControl/>
              <w:spacing w:line="200" w:lineRule="atLeast"/>
              <w:jc w:val="center"/>
              <w:rPr>
                <w:rFonts w:ascii="宋体" w:hAnsi="宋体" w:cs="宋体"/>
                <w:color w:val="000000" w:themeColor="text1"/>
                <w:sz w:val="28"/>
                <w:szCs w:val="28"/>
                <w14:textFill>
                  <w14:solidFill>
                    <w14:schemeClr w14:val="tx1"/>
                  </w14:solidFill>
                </w14:textFill>
              </w:rPr>
            </w:pPr>
          </w:p>
        </w:tc>
      </w:tr>
    </w:tbl>
    <w:p w14:paraId="137F6262">
      <w:pPr>
        <w:spacing w:line="360" w:lineRule="auto"/>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18EDF85C">
      <w:pPr>
        <w:spacing w:line="360" w:lineRule="auto"/>
        <w:ind w:firstLine="48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1.管理关系：是指不具有出资持股关系的其他单位之间存在的管理与被管理关系，如一些上下级关系的事业单位和团体组织。</w:t>
      </w:r>
    </w:p>
    <w:p w14:paraId="7C5DA215">
      <w:pPr>
        <w:spacing w:line="360" w:lineRule="auto"/>
        <w:ind w:firstLine="48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2F1FF677">
      <w:pPr>
        <w:spacing w:line="360" w:lineRule="auto"/>
        <w:ind w:firstLine="480"/>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3.供应商不存在直接管理关系的，则在“直接管理关系单位名称”填“无”。</w:t>
      </w:r>
    </w:p>
    <w:p w14:paraId="783F105D">
      <w:pPr>
        <w:spacing w:line="360" w:lineRule="auto"/>
        <w:contextualSpacing/>
        <w:jc w:val="left"/>
        <w:rPr>
          <w:rFonts w:ascii="宋体" w:hAnsi="宋体"/>
          <w:color w:val="000000" w:themeColor="text1"/>
          <w:sz w:val="28"/>
          <w:szCs w:val="28"/>
          <w14:textFill>
            <w14:solidFill>
              <w14:schemeClr w14:val="tx1"/>
            </w14:solidFill>
          </w14:textFill>
        </w:rPr>
      </w:pPr>
    </w:p>
    <w:p w14:paraId="2663B786">
      <w:pPr>
        <w:spacing w:line="360" w:lineRule="auto"/>
        <w:contextualSpacing/>
        <w:jc w:val="left"/>
        <w:rPr>
          <w:rFonts w:ascii="宋体" w:hAnsi="宋体"/>
          <w:color w:val="000000" w:themeColor="text1"/>
          <w:sz w:val="28"/>
          <w:szCs w:val="28"/>
          <w14:textFill>
            <w14:solidFill>
              <w14:schemeClr w14:val="tx1"/>
            </w14:solidFill>
          </w14:textFill>
        </w:rPr>
      </w:pPr>
    </w:p>
    <w:p w14:paraId="5A844D58">
      <w:pPr>
        <w:spacing w:line="360" w:lineRule="auto"/>
        <w:contextualSpacing/>
        <w:jc w:val="left"/>
        <w:rPr>
          <w:color w:val="000000" w:themeColor="text1"/>
          <w:sz w:val="28"/>
          <w:szCs w:val="28"/>
          <w14:textFill>
            <w14:solidFill>
              <w14:schemeClr w14:val="tx1"/>
            </w14:solidFill>
          </w14:textFill>
        </w:rPr>
      </w:pPr>
    </w:p>
    <w:p w14:paraId="2098159E">
      <w:pPr>
        <w:spacing w:line="360" w:lineRule="auto"/>
        <w:contextualSpacing/>
        <w:jc w:val="left"/>
        <w:rPr>
          <w:color w:val="000000" w:themeColor="text1"/>
          <w:sz w:val="28"/>
          <w:szCs w:val="28"/>
          <w14:textFill>
            <w14:solidFill>
              <w14:schemeClr w14:val="tx1"/>
            </w14:solidFill>
          </w14:textFill>
        </w:rPr>
      </w:pPr>
    </w:p>
    <w:p w14:paraId="0582106A">
      <w:pPr>
        <w:spacing w:line="360" w:lineRule="auto"/>
        <w:contextualSpacing/>
        <w:jc w:val="left"/>
        <w:rPr>
          <w:color w:val="000000" w:themeColor="text1"/>
          <w:sz w:val="28"/>
          <w:szCs w:val="28"/>
          <w14:textFill>
            <w14:solidFill>
              <w14:schemeClr w14:val="tx1"/>
            </w14:solidFill>
          </w14:textFill>
        </w:rPr>
      </w:pPr>
    </w:p>
    <w:p w14:paraId="69BC66F5">
      <w:pPr>
        <w:spacing w:line="360" w:lineRule="auto"/>
        <w:contextualSpacing/>
        <w:jc w:val="left"/>
        <w:rPr>
          <w:rFonts w:ascii="宋体" w:hAnsi="宋体"/>
          <w:color w:val="000000" w:themeColor="text1"/>
          <w:sz w:val="28"/>
          <w:szCs w:val="28"/>
          <w14:textFill>
            <w14:solidFill>
              <w14:schemeClr w14:val="tx1"/>
            </w14:solidFill>
          </w14:textFill>
        </w:rPr>
      </w:pPr>
    </w:p>
    <w:p w14:paraId="7BC6A489">
      <w:pPr>
        <w:spacing w:line="360" w:lineRule="auto"/>
        <w:ind w:right="480"/>
        <w:contextualSpacing/>
        <w:jc w:val="center"/>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法定代表人或者委托代理人（签字或者电子签名）：</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p>
    <w:p w14:paraId="0EA30C51">
      <w:pPr>
        <w:spacing w:line="360" w:lineRule="auto"/>
        <w:ind w:right="480" w:firstLine="336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供应商（电子签章）：</w:t>
      </w:r>
      <w:r>
        <w:rPr>
          <w:rFonts w:hint="eastAsia" w:ascii="宋体" w:hAnsi="宋体"/>
          <w:color w:val="000000" w:themeColor="text1"/>
          <w:sz w:val="24"/>
          <w:u w:val="single"/>
          <w14:textFill>
            <w14:solidFill>
              <w14:schemeClr w14:val="tx1"/>
            </w14:solidFill>
          </w14:textFill>
        </w:rPr>
        <w:t xml:space="preserve">                </w:t>
      </w:r>
    </w:p>
    <w:p w14:paraId="201C2C4F">
      <w:pPr>
        <w:spacing w:line="360" w:lineRule="auto"/>
        <w:ind w:right="480" w:firstLine="240"/>
        <w:contextualSpacing/>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73DCA4F8">
      <w:pPr>
        <w:spacing w:line="320" w:lineRule="exact"/>
        <w:jc w:val="center"/>
        <w:rPr>
          <w:rFonts w:ascii="Arial Unicode MS" w:hAnsi="宋体" w:eastAsia="Arial Unicode MS"/>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clear="all"/>
      </w:r>
      <w:r>
        <w:rPr>
          <w:rFonts w:hint="eastAsia" w:ascii="宋体" w:hAnsi="宋体"/>
          <w:b/>
          <w:color w:val="000000" w:themeColor="text1"/>
          <w:sz w:val="32"/>
          <w:szCs w:val="32"/>
          <w14:textFill>
            <w14:solidFill>
              <w14:schemeClr w14:val="tx1"/>
            </w14:solidFill>
          </w14:textFill>
        </w:rPr>
        <w:t>4.</w:t>
      </w:r>
      <w:r>
        <w:rPr>
          <w:rFonts w:hint="eastAsia" w:ascii="Arial Unicode MS" w:hAnsi="宋体" w:eastAsia="Arial Unicode MS"/>
          <w:b/>
          <w:color w:val="000000" w:themeColor="text1"/>
          <w:sz w:val="32"/>
          <w:szCs w:val="32"/>
          <w14:textFill>
            <w14:solidFill>
              <w14:schemeClr w14:val="tx1"/>
            </w14:solidFill>
          </w14:textFill>
        </w:rPr>
        <w:t>竞标声明</w:t>
      </w:r>
    </w:p>
    <w:p w14:paraId="72B1A8DD">
      <w:pPr>
        <w:spacing w:line="320" w:lineRule="exact"/>
        <w:jc w:val="center"/>
        <w:rPr>
          <w:rFonts w:ascii="宋体" w:hAnsi="宋体"/>
          <w:color w:val="000000" w:themeColor="text1"/>
          <w:sz w:val="24"/>
          <w:szCs w:val="20"/>
          <w14:textFill>
            <w14:solidFill>
              <w14:schemeClr w14:val="tx1"/>
            </w14:solidFill>
          </w14:textFill>
        </w:rPr>
      </w:pPr>
    </w:p>
    <w:p w14:paraId="24A82058">
      <w:pPr>
        <w:spacing w:line="360" w:lineRule="auto"/>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60EDA5C3">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17FD02DC">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w:t>
      </w:r>
      <w:r>
        <w:rPr>
          <w:rFonts w:hint="eastAsia" w:ascii="宋体" w:hAnsi="宋体" w:cs="宋体"/>
          <w:color w:val="000000" w:themeColor="text1"/>
          <w:sz w:val="24"/>
          <w14:textFill>
            <w14:solidFill>
              <w14:schemeClr w14:val="tx1"/>
            </w14:solidFill>
          </w14:textFill>
        </w:rPr>
        <w:t>项目的竞标，为便于贵方公正、择优地确定成交供应商及其竞标产品和服务，我方就本次竞标有关事项郑重声明如下：</w:t>
      </w:r>
    </w:p>
    <w:p w14:paraId="60635D4E">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1.我方向贵方提交的所有响应文件、资料都是准确的和真实的。</w:t>
      </w:r>
    </w:p>
    <w:p w14:paraId="5EFF59B1">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0520CBC6">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3.在此，我方宣布同意如下：</w:t>
      </w:r>
    </w:p>
    <w:p w14:paraId="563610B1">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（1）将按照谈判文件的约定履行合同责任和义务；</w:t>
      </w:r>
    </w:p>
    <w:p w14:paraId="732B451E">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（2）已详细审查全部谈判文件，包括补遗文件（如有）；</w:t>
      </w:r>
    </w:p>
    <w:p w14:paraId="5E07828A">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（3）同意提供按照贵方可能要求的与谈判有关的一切数据或者资料；</w:t>
      </w:r>
    </w:p>
    <w:p w14:paraId="6127BEAC">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（4）响应谈判文件规定的竞标有效期。</w:t>
      </w:r>
    </w:p>
    <w:p w14:paraId="4CCAC4D2">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4.我方承诺符合《中华人民共和国政府采购法》第二十二条规定：</w:t>
      </w:r>
    </w:p>
    <w:p w14:paraId="19ED7B31">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（1）具有独立承担民事责任的能力；</w:t>
      </w:r>
    </w:p>
    <w:p w14:paraId="469BC48B">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（2）具有良好的商业信誉和健全的财务会计制度；</w:t>
      </w:r>
    </w:p>
    <w:p w14:paraId="60CFD5BF">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（3）具有履行合同所必需的设备和专业技术能力；</w:t>
      </w:r>
    </w:p>
    <w:p w14:paraId="2047E4A5">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（4）有依法缴纳税收和社会保障资金的良好记录；</w:t>
      </w:r>
    </w:p>
    <w:p w14:paraId="011B42C5">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（5）参加政府采购活动前三年内，在经营活动中没有重大违法记录；</w:t>
      </w:r>
    </w:p>
    <w:p w14:paraId="0DDD3538">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（6）法律、行政法规规定的其他条件。</w:t>
      </w:r>
    </w:p>
    <w:p w14:paraId="7A4F5AEA">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15FC9D7">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2CF24E1">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□我方本次响应文件内容中未涉及商业秘密；</w:t>
      </w:r>
    </w:p>
    <w:p w14:paraId="3FC6BB88">
      <w:pPr>
        <w:spacing w:line="360" w:lineRule="auto"/>
        <w:ind w:firstLine="480"/>
        <w:contextualSpacing/>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□我方本次响应文件涉及商业秘密的内容有：</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46152A8C">
      <w:pPr>
        <w:pStyle w:val="19"/>
        <w:spacing w:line="360" w:lineRule="auto"/>
        <w:ind w:firstLine="480"/>
        <w:contextualSpacing/>
        <w:rPr>
          <w:rFonts w:hAnsi="宋体" w:cs="宋体"/>
          <w:color w:val="000000" w:themeColor="text1"/>
          <w:sz w:val="24"/>
          <w:szCs w:val="24"/>
          <w:u w:val="single"/>
          <w14:textFill>
            <w14:solidFill>
              <w14:schemeClr w14:val="tx1"/>
            </w14:solidFill>
          </w14:textFill>
        </w:rPr>
      </w:pPr>
      <w:r>
        <w:rPr>
          <w:rFonts w:hint="eastAsia" w:hAnsi="宋体" w:cs="宋体"/>
          <w:color w:val="000000" w:themeColor="text1"/>
          <w:sz w:val="24"/>
          <w:szCs w:val="24"/>
          <w14:textFill>
            <w14:solidFill>
              <w14:schemeClr w14:val="tx1"/>
            </w14:solidFill>
          </w14:textFill>
        </w:rPr>
        <w:t>7.与本谈判有关的一切正式往来信函请寄：</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邮政编号：</w:t>
      </w:r>
      <w:r>
        <w:rPr>
          <w:rFonts w:hint="eastAsia" w:hAnsi="宋体" w:cs="宋体"/>
          <w:color w:val="000000" w:themeColor="text1"/>
          <w:sz w:val="24"/>
          <w:szCs w:val="24"/>
          <w:u w:val="single"/>
          <w14:textFill>
            <w14:solidFill>
              <w14:schemeClr w14:val="tx1"/>
            </w14:solidFill>
          </w14:textFill>
        </w:rPr>
        <w:t xml:space="preserve">    </w:t>
      </w:r>
    </w:p>
    <w:p w14:paraId="350E040B">
      <w:pPr>
        <w:pStyle w:val="19"/>
        <w:spacing w:line="360" w:lineRule="auto"/>
        <w:ind w:firstLine="48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电话/传真：</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电子邮箱：</w:t>
      </w:r>
      <w:r>
        <w:rPr>
          <w:rFonts w:hint="eastAsia" w:hAnsi="宋体" w:cs="宋体"/>
          <w:color w:val="000000" w:themeColor="text1"/>
          <w:sz w:val="24"/>
          <w:szCs w:val="24"/>
          <w:u w:val="single"/>
          <w14:textFill>
            <w14:solidFill>
              <w14:schemeClr w14:val="tx1"/>
            </w14:solidFill>
          </w14:textFill>
        </w:rPr>
        <w:t xml:space="preserve">             </w:t>
      </w:r>
      <w:r>
        <w:rPr>
          <w:rFonts w:hint="eastAsia" w:hAnsi="宋体" w:cs="宋体"/>
          <w:color w:val="000000" w:themeColor="text1"/>
          <w:sz w:val="24"/>
          <w:szCs w:val="24"/>
          <w14:textFill>
            <w14:solidFill>
              <w14:schemeClr w14:val="tx1"/>
            </w14:solidFill>
          </w14:textFill>
        </w:rPr>
        <w:t xml:space="preserve">    </w:t>
      </w:r>
    </w:p>
    <w:p w14:paraId="75BDE2E6">
      <w:pPr>
        <w:pStyle w:val="20"/>
        <w:tabs>
          <w:tab w:val="left" w:pos="939"/>
        </w:tabs>
        <w:spacing w:line="360" w:lineRule="auto"/>
        <w:ind w:left="141" w:firstLine="36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账号/行号：</w:t>
      </w:r>
      <w:r>
        <w:rPr>
          <w:rFonts w:hint="eastAsia" w:ascii="宋体" w:hAnsi="宋体" w:cs="宋体"/>
          <w:color w:val="000000" w:themeColor="text1"/>
          <w:sz w:val="24"/>
          <w:u w:val="single"/>
          <w14:textFill>
            <w14:solidFill>
              <w14:schemeClr w14:val="tx1"/>
            </w14:solidFill>
          </w14:textFill>
        </w:rPr>
        <w:t xml:space="preserve">           </w:t>
      </w:r>
    </w:p>
    <w:p w14:paraId="10B687A5">
      <w:pPr>
        <w:pStyle w:val="20"/>
        <w:tabs>
          <w:tab w:val="left" w:pos="939"/>
        </w:tabs>
        <w:spacing w:line="360" w:lineRule="auto"/>
        <w:ind w:left="141" w:firstLine="36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8.以上事项如有虚假或者隐瞒，我方愿意承担一切后果，并不再寻求任何旨在减轻或者免除法律责任的辩解。</w:t>
      </w:r>
    </w:p>
    <w:p w14:paraId="457E829B">
      <w:pPr>
        <w:pStyle w:val="20"/>
        <w:tabs>
          <w:tab w:val="left" w:pos="939"/>
        </w:tabs>
        <w:spacing w:line="360" w:lineRule="auto"/>
        <w:ind w:left="141" w:firstLine="36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216560F5">
      <w:pPr>
        <w:spacing w:line="360" w:lineRule="auto"/>
        <w:contextualSpacing/>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注：如为联合体竞标，盖章处须加盖联合体各方公章并由联合体各方法定代表人分别签署，否则响应文件按无效处理。</w:t>
      </w:r>
    </w:p>
    <w:p w14:paraId="49455904">
      <w:pPr>
        <w:spacing w:line="360" w:lineRule="auto"/>
        <w:contextualSpacing/>
        <w:jc w:val="left"/>
        <w:rPr>
          <w:rFonts w:ascii="宋体" w:hAnsi="宋体" w:cs="宋体"/>
          <w:color w:val="000000" w:themeColor="text1"/>
          <w:szCs w:val="21"/>
          <w14:textFill>
            <w14:solidFill>
              <w14:schemeClr w14:val="tx1"/>
            </w14:solidFill>
          </w14:textFill>
        </w:rPr>
      </w:pPr>
    </w:p>
    <w:p w14:paraId="0474C945">
      <w:pPr>
        <w:spacing w:line="360" w:lineRule="auto"/>
        <w:ind w:firstLine="1575"/>
        <w:contextualSpacing/>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w:t>
      </w:r>
      <w:r>
        <w:rPr>
          <w:rFonts w:hint="eastAsia" w:ascii="宋体" w:hAnsi="宋体"/>
          <w:color w:val="000000" w:themeColor="text1"/>
          <w:sz w:val="24"/>
          <w14:textFill>
            <w14:solidFill>
              <w14:schemeClr w14:val="tx1"/>
            </w14:solidFill>
          </w14:textFill>
        </w:rPr>
        <w:t>签字或者盖章或者电子签名</w:t>
      </w:r>
      <w:r>
        <w:rPr>
          <w:rFonts w:hint="eastAsia"/>
          <w:color w:val="000000" w:themeColor="text1"/>
          <w14:textFill>
            <w14:solidFill>
              <w14:schemeClr w14:val="tx1"/>
            </w14:solidFill>
          </w14:textFill>
        </w:rPr>
        <w:t>）：</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14:paraId="0F5A153D">
      <w:pPr>
        <w:spacing w:line="360" w:lineRule="auto"/>
        <w:ind w:firstLine="3780"/>
        <w:contextualSpacing/>
        <w:rPr>
          <w:rFonts w:ascii="宋体" w:hAnsi="宋体" w:cs="宋体"/>
          <w:color w:val="000000" w:themeColor="text1"/>
          <w:szCs w:val="21"/>
          <w:u w:val="single"/>
          <w14:textFill>
            <w14:solidFill>
              <w14:schemeClr w14:val="tx1"/>
            </w14:solidFill>
          </w14:textFill>
        </w:rPr>
      </w:pPr>
      <w:r>
        <w:rPr>
          <w:rFonts w:hint="eastAsia"/>
          <w:color w:val="000000" w:themeColor="text1"/>
          <w14:textFill>
            <w14:solidFill>
              <w14:schemeClr w14:val="tx1"/>
            </w14:solidFill>
          </w14:textFill>
        </w:rPr>
        <w:t>供应商（电子签章）：</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0DED8F58">
      <w:pPr>
        <w:spacing w:line="360" w:lineRule="auto"/>
        <w:ind w:right="482" w:firstLine="210"/>
        <w:contextualSpacing/>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color w:val="000000" w:themeColor="text1"/>
          <w14:textFill>
            <w14:solidFill>
              <w14:schemeClr w14:val="tx1"/>
            </w14:solidFill>
          </w14:textFill>
        </w:rPr>
        <w:t xml:space="preserve"> 年    月    日 </w:t>
      </w:r>
    </w:p>
    <w:p w14:paraId="6DA0CFB3">
      <w:pPr>
        <w:spacing w:line="400" w:lineRule="exact"/>
        <w:jc w:val="left"/>
        <w:rPr>
          <w:rFonts w:ascii="宋体" w:hAnsi="宋体"/>
          <w:b/>
          <w:color w:val="000000" w:themeColor="text1"/>
          <w:sz w:val="44"/>
          <w:szCs w:val="44"/>
          <w14:textFill>
            <w14:solidFill>
              <w14:schemeClr w14:val="tx1"/>
            </w14:solidFill>
          </w14:textFill>
        </w:rPr>
      </w:pPr>
      <w:r>
        <w:rPr>
          <w:rFonts w:ascii="宋体" w:hAnsi="宋体"/>
          <w:color w:val="000000" w:themeColor="text1"/>
          <w:szCs w:val="21"/>
          <w14:textFill>
            <w14:solidFill>
              <w14:schemeClr w14:val="tx1"/>
            </w14:solidFill>
          </w14:textFill>
        </w:rPr>
        <w:br w:type="page" w:clear="all"/>
      </w:r>
      <w:r>
        <w:rPr>
          <w:rFonts w:hint="eastAsia" w:ascii="Arial Unicode MS" w:hAnsi="Arial Unicode MS" w:eastAsia="Arial Unicode MS" w:cs="Arial Unicode MS"/>
          <w:bCs/>
          <w:color w:val="000000" w:themeColor="text1"/>
          <w:sz w:val="44"/>
          <w:szCs w:val="44"/>
          <w14:textFill>
            <w14:solidFill>
              <w14:schemeClr w14:val="tx1"/>
            </w14:solidFill>
          </w14:textFill>
        </w:rPr>
        <w:t>5.供应商按以下要求提供医疗器械的有关证明材料复印件：</w:t>
      </w:r>
    </w:p>
    <w:p w14:paraId="4D4CF0BA">
      <w:pPr>
        <w:spacing w:line="360" w:lineRule="auto"/>
        <w:ind w:firstLine="480"/>
        <w:contextualSpacing/>
        <w:rPr>
          <w:rFonts w:ascii="宋体" w:hAnsi="宋体"/>
          <w:color w:val="000000" w:themeColor="text1"/>
          <w:sz w:val="24"/>
          <w14:textFill>
            <w14:solidFill>
              <w14:schemeClr w14:val="tx1"/>
            </w14:solidFill>
          </w14:textFill>
        </w:rPr>
      </w:pPr>
    </w:p>
    <w:p w14:paraId="1BBBDC39">
      <w:pPr>
        <w:spacing w:line="360" w:lineRule="auto"/>
        <w:ind w:firstLine="48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竞标对应产品的名称和规格型号）（格式自拟）；</w:t>
      </w:r>
    </w:p>
    <w:p w14:paraId="10FC4995">
      <w:pPr>
        <w:spacing w:line="360" w:lineRule="auto"/>
        <w:ind w:firstLine="48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竞标对应产品的名称和规格型号（格式自拟）；</w:t>
      </w:r>
    </w:p>
    <w:p w14:paraId="399F888F">
      <w:pPr>
        <w:spacing w:line="360" w:lineRule="auto"/>
        <w:ind w:firstLine="480"/>
        <w:contextualSpacing/>
        <w:rPr>
          <w:rFonts w:ascii="宋体" w:hAnsi="宋体"/>
          <w:b/>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（3）有第二类和第三类医疗器械的，应按上述（1）（2）要求提供；</w:t>
      </w:r>
      <w:r>
        <w:rPr>
          <w:rFonts w:hint="eastAsia" w:ascii="宋体" w:hAnsi="宋体"/>
          <w:b/>
          <w:bCs/>
          <w:color w:val="000000" w:themeColor="text1"/>
          <w:sz w:val="24"/>
          <w14:textFill>
            <w14:solidFill>
              <w14:schemeClr w14:val="tx1"/>
            </w14:solidFill>
          </w14:textFill>
        </w:rPr>
        <w:t xml:space="preserve">（必须提供，否则响应文件按无效响应处理）； </w:t>
      </w:r>
    </w:p>
    <w:p w14:paraId="3846AEF7">
      <w:pPr>
        <w:spacing w:line="360" w:lineRule="auto"/>
        <w:ind w:firstLine="480"/>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br w:type="textWrapping"/>
      </w:r>
    </w:p>
    <w:p w14:paraId="0AB30B7B">
      <w:pPr>
        <w:spacing w:line="360" w:lineRule="auto"/>
        <w:ind w:firstLine="480"/>
        <w:contextualSpacing/>
        <w:rPr>
          <w:rFonts w:ascii="宋体" w:hAnsi="宋体"/>
          <w:color w:val="000000" w:themeColor="text1"/>
          <w:sz w:val="24"/>
          <w14:textFill>
            <w14:solidFill>
              <w14:schemeClr w14:val="tx1"/>
            </w14:solidFill>
          </w14:textFill>
        </w:rPr>
      </w:pPr>
    </w:p>
    <w:p w14:paraId="11CC27AE">
      <w:pPr>
        <w:spacing w:line="360" w:lineRule="auto"/>
        <w:ind w:firstLine="480"/>
        <w:contextualSpacing/>
        <w:rPr>
          <w:rFonts w:ascii="宋体" w:hAnsi="宋体"/>
          <w:color w:val="000000" w:themeColor="text1"/>
          <w:sz w:val="24"/>
          <w14:textFill>
            <w14:solidFill>
              <w14:schemeClr w14:val="tx1"/>
            </w14:solidFill>
          </w14:textFill>
        </w:rPr>
      </w:pPr>
    </w:p>
    <w:p w14:paraId="601B0850">
      <w:pPr>
        <w:spacing w:line="360" w:lineRule="auto"/>
        <w:ind w:firstLine="480"/>
        <w:contextualSpacing/>
        <w:rPr>
          <w:rFonts w:ascii="宋体" w:hAnsi="宋体"/>
          <w:color w:val="000000" w:themeColor="text1"/>
          <w:sz w:val="24"/>
          <w14:textFill>
            <w14:solidFill>
              <w14:schemeClr w14:val="tx1"/>
            </w14:solidFill>
          </w14:textFill>
        </w:rPr>
      </w:pPr>
    </w:p>
    <w:p w14:paraId="081AD78F">
      <w:pPr>
        <w:spacing w:line="360" w:lineRule="auto"/>
        <w:ind w:firstLine="480"/>
        <w:contextualSpacing/>
        <w:rPr>
          <w:rFonts w:ascii="宋体" w:hAnsi="宋体"/>
          <w:color w:val="000000" w:themeColor="text1"/>
          <w:sz w:val="24"/>
          <w14:textFill>
            <w14:solidFill>
              <w14:schemeClr w14:val="tx1"/>
            </w14:solidFill>
          </w14:textFill>
        </w:rPr>
      </w:pPr>
    </w:p>
    <w:p w14:paraId="08CC2B0C">
      <w:pPr>
        <w:spacing w:line="360" w:lineRule="auto"/>
        <w:ind w:firstLine="480"/>
        <w:contextualSpacing/>
        <w:rPr>
          <w:rFonts w:ascii="宋体" w:hAnsi="宋体"/>
          <w:color w:val="000000" w:themeColor="text1"/>
          <w:sz w:val="24"/>
          <w14:textFill>
            <w14:solidFill>
              <w14:schemeClr w14:val="tx1"/>
            </w14:solidFill>
          </w14:textFill>
        </w:rPr>
      </w:pPr>
    </w:p>
    <w:p w14:paraId="1B9C1147">
      <w:pPr>
        <w:spacing w:line="360" w:lineRule="auto"/>
        <w:ind w:firstLine="480"/>
        <w:contextualSpacing/>
        <w:rPr>
          <w:rFonts w:ascii="宋体" w:hAnsi="宋体"/>
          <w:color w:val="000000" w:themeColor="text1"/>
          <w:sz w:val="24"/>
          <w14:textFill>
            <w14:solidFill>
              <w14:schemeClr w14:val="tx1"/>
            </w14:solidFill>
          </w14:textFill>
        </w:rPr>
      </w:pPr>
    </w:p>
    <w:p w14:paraId="4D4F80D2">
      <w:pPr>
        <w:spacing w:line="360" w:lineRule="auto"/>
        <w:ind w:firstLine="480"/>
        <w:contextualSpacing/>
        <w:rPr>
          <w:rFonts w:ascii="宋体" w:hAnsi="宋体"/>
          <w:color w:val="000000" w:themeColor="text1"/>
          <w:sz w:val="24"/>
          <w14:textFill>
            <w14:solidFill>
              <w14:schemeClr w14:val="tx1"/>
            </w14:solidFill>
          </w14:textFill>
        </w:rPr>
      </w:pPr>
    </w:p>
    <w:p w14:paraId="7E0DE2AF">
      <w:pPr>
        <w:spacing w:line="360" w:lineRule="auto"/>
        <w:ind w:firstLine="480"/>
        <w:contextualSpacing/>
        <w:rPr>
          <w:rFonts w:ascii="宋体" w:hAnsi="宋体"/>
          <w:color w:val="000000" w:themeColor="text1"/>
          <w:sz w:val="24"/>
          <w14:textFill>
            <w14:solidFill>
              <w14:schemeClr w14:val="tx1"/>
            </w14:solidFill>
          </w14:textFill>
        </w:rPr>
      </w:pPr>
    </w:p>
    <w:p w14:paraId="75BE5113">
      <w:pPr>
        <w:spacing w:line="360" w:lineRule="auto"/>
        <w:ind w:firstLine="480"/>
        <w:contextualSpacing/>
        <w:rPr>
          <w:rFonts w:ascii="宋体" w:hAnsi="宋体"/>
          <w:color w:val="000000" w:themeColor="text1"/>
          <w:sz w:val="24"/>
          <w14:textFill>
            <w14:solidFill>
              <w14:schemeClr w14:val="tx1"/>
            </w14:solidFill>
          </w14:textFill>
        </w:rPr>
      </w:pPr>
    </w:p>
    <w:p w14:paraId="21394FB3">
      <w:pPr>
        <w:spacing w:line="360" w:lineRule="auto"/>
        <w:ind w:firstLine="480"/>
        <w:contextualSpacing/>
        <w:rPr>
          <w:rFonts w:ascii="宋体" w:hAnsi="宋体"/>
          <w:color w:val="000000" w:themeColor="text1"/>
          <w:sz w:val="24"/>
          <w14:textFill>
            <w14:solidFill>
              <w14:schemeClr w14:val="tx1"/>
            </w14:solidFill>
          </w14:textFill>
        </w:rPr>
      </w:pPr>
    </w:p>
    <w:p w14:paraId="2EB33B01">
      <w:pPr>
        <w:spacing w:line="360" w:lineRule="auto"/>
        <w:ind w:firstLine="480"/>
        <w:contextualSpacing/>
        <w:rPr>
          <w:rFonts w:ascii="宋体" w:hAnsi="宋体"/>
          <w:color w:val="000000" w:themeColor="text1"/>
          <w:sz w:val="24"/>
          <w14:textFill>
            <w14:solidFill>
              <w14:schemeClr w14:val="tx1"/>
            </w14:solidFill>
          </w14:textFill>
        </w:rPr>
      </w:pPr>
    </w:p>
    <w:p w14:paraId="2CEB58F3">
      <w:pPr>
        <w:spacing w:line="360" w:lineRule="auto"/>
        <w:ind w:firstLine="480"/>
        <w:contextualSpacing/>
        <w:rPr>
          <w:rFonts w:ascii="宋体" w:hAnsi="宋体"/>
          <w:color w:val="000000" w:themeColor="text1"/>
          <w:sz w:val="24"/>
          <w14:textFill>
            <w14:solidFill>
              <w14:schemeClr w14:val="tx1"/>
            </w14:solidFill>
          </w14:textFill>
        </w:rPr>
      </w:pPr>
    </w:p>
    <w:p w14:paraId="5BC035F9">
      <w:pPr>
        <w:spacing w:line="360" w:lineRule="auto"/>
        <w:ind w:firstLine="480"/>
        <w:contextualSpacing/>
        <w:rPr>
          <w:rFonts w:ascii="宋体" w:hAnsi="宋体"/>
          <w:color w:val="000000" w:themeColor="text1"/>
          <w:sz w:val="24"/>
          <w14:textFill>
            <w14:solidFill>
              <w14:schemeClr w14:val="tx1"/>
            </w14:solidFill>
          </w14:textFill>
        </w:rPr>
      </w:pPr>
    </w:p>
    <w:p w14:paraId="77E3672C">
      <w:pPr>
        <w:spacing w:line="300" w:lineRule="auto"/>
        <w:jc w:val="center"/>
        <w:rPr>
          <w:rFonts w:ascii="Arial Unicode MS" w:hAnsi="Arial Unicode MS" w:eastAsia="Arial Unicode MS" w:cs="Arial Unicode MS"/>
          <w:bCs/>
          <w:color w:val="000000" w:themeColor="text1"/>
          <w:sz w:val="44"/>
          <w:szCs w:val="44"/>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6.中小企业声明函（货物）</w:t>
      </w:r>
    </w:p>
    <w:p w14:paraId="69F9FB64">
      <w:pPr>
        <w:rPr>
          <w:color w:val="000000" w:themeColor="text1"/>
          <w14:textFill>
            <w14:solidFill>
              <w14:schemeClr w14:val="tx1"/>
            </w14:solidFill>
          </w14:textFill>
        </w:rPr>
      </w:pPr>
    </w:p>
    <w:p w14:paraId="362E27A3">
      <w:pPr>
        <w:pStyle w:val="17"/>
        <w:spacing w:after="0" w:line="360" w:lineRule="auto"/>
        <w:ind w:left="-426" w:right="142" w:firstLine="640"/>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sz w:val="24"/>
          <w:u w:val="single"/>
          <w14:textFill>
            <w14:solidFill>
              <w14:schemeClr w14:val="tx1"/>
            </w14:solidFill>
          </w14:textFill>
        </w:rPr>
        <w:t>（单位名称）</w:t>
      </w:r>
      <w:r>
        <w:rPr>
          <w:rFonts w:ascii="宋体" w:hAnsi="宋体"/>
          <w:color w:val="000000" w:themeColor="text1"/>
          <w:sz w:val="24"/>
          <w14:textFill>
            <w14:solidFill>
              <w14:schemeClr w14:val="tx1"/>
            </w14:solidFill>
          </w14:textFill>
        </w:rPr>
        <w:t>的</w:t>
      </w:r>
      <w:r>
        <w:rPr>
          <w:rFonts w:ascii="宋体" w:hAnsi="宋体"/>
          <w:color w:val="000000" w:themeColor="text1"/>
          <w:sz w:val="24"/>
          <w:u w:val="single"/>
          <w14:textFill>
            <w14:solidFill>
              <w14:schemeClr w14:val="tx1"/>
            </w14:solidFill>
          </w14:textFill>
        </w:rPr>
        <w:t>（项目名称）</w:t>
      </w:r>
      <w:r>
        <w:rPr>
          <w:rFonts w:ascii="宋体" w:hAnsi="宋体"/>
          <w:color w:val="000000" w:themeColor="text1"/>
          <w:sz w:val="24"/>
          <w14:textFill>
            <w14:solidFill>
              <w14:schemeClr w14:val="tx1"/>
            </w14:solidFill>
          </w14:textFill>
        </w:rPr>
        <w:t>采购活动，提供的货物全部由符合政策要求的中小企业制造。相关企业（含联合体中的中小企业、签订分包意向协议的中小企业）的具体情况如下：</w:t>
      </w:r>
    </w:p>
    <w:p w14:paraId="23B358CE">
      <w:pPr>
        <w:tabs>
          <w:tab w:val="left" w:pos="1384"/>
          <w:tab w:val="left" w:pos="4562"/>
          <w:tab w:val="left" w:pos="6803"/>
        </w:tabs>
        <w:spacing w:line="360" w:lineRule="auto"/>
        <w:ind w:left="-426" w:right="-58" w:firstLine="655"/>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ascii="宋体" w:hAnsi="宋体"/>
          <w:color w:val="000000" w:themeColor="text1"/>
          <w:sz w:val="24"/>
          <w:u w:val="single"/>
          <w14:textFill>
            <w14:solidFill>
              <w14:schemeClr w14:val="tx1"/>
            </w14:solidFill>
          </w14:textFill>
        </w:rPr>
        <w:t>（标的名称）</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（采购文件中明确的所属行业）</w:t>
      </w:r>
      <w:r>
        <w:rPr>
          <w:rFonts w:ascii="宋体" w:hAnsi="宋体"/>
          <w:color w:val="000000" w:themeColor="text1"/>
          <w:sz w:val="24"/>
          <w14:textFill>
            <w14:solidFill>
              <w14:schemeClr w14:val="tx1"/>
            </w14:solidFill>
          </w14:textFill>
        </w:rPr>
        <w:t>行业；制造商为</w:t>
      </w:r>
      <w:r>
        <w:rPr>
          <w:rFonts w:ascii="宋体" w:hAnsi="宋体"/>
          <w:color w:val="000000" w:themeColor="text1"/>
          <w:sz w:val="24"/>
          <w:u w:val="single"/>
          <w14:textFill>
            <w14:solidFill>
              <w14:schemeClr w14:val="tx1"/>
            </w14:solidFill>
          </w14:textFill>
        </w:rPr>
        <w:t>（企业名称）</w:t>
      </w:r>
      <w:r>
        <w:rPr>
          <w:rFonts w:ascii="宋体" w:hAnsi="宋体"/>
          <w:color w:val="000000" w:themeColor="text1"/>
          <w:sz w:val="24"/>
          <w14:textFill>
            <w14:solidFill>
              <w14:schemeClr w14:val="tx1"/>
            </w14:solidFill>
          </w14:textFill>
        </w:rPr>
        <w:t>，从业人员</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人，营业收入为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万元，资产总额为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万元，属于</w:t>
      </w:r>
      <w:r>
        <w:rPr>
          <w:rFonts w:ascii="宋体" w:hAnsi="宋体"/>
          <w:color w:val="000000" w:themeColor="text1"/>
          <w:sz w:val="24"/>
          <w:u w:val="single"/>
          <w14:textFill>
            <w14:solidFill>
              <w14:schemeClr w14:val="tx1"/>
            </w14:solidFill>
          </w14:textFill>
        </w:rPr>
        <w:t>（中型企业、小型企业、微型企业）</w:t>
      </w:r>
      <w:r>
        <w:rPr>
          <w:rFonts w:ascii="宋体" w:hAnsi="宋体"/>
          <w:color w:val="000000" w:themeColor="text1"/>
          <w:sz w:val="24"/>
          <w14:textFill>
            <w14:solidFill>
              <w14:schemeClr w14:val="tx1"/>
            </w14:solidFill>
          </w14:textFill>
        </w:rPr>
        <w:t>；</w:t>
      </w:r>
    </w:p>
    <w:p w14:paraId="3262A057">
      <w:pPr>
        <w:tabs>
          <w:tab w:val="left" w:pos="1065"/>
          <w:tab w:val="left" w:pos="6477"/>
        </w:tabs>
        <w:spacing w:line="360" w:lineRule="auto"/>
        <w:ind w:left="-426" w:right="-58" w:firstLine="655"/>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ascii="宋体" w:hAnsi="宋体"/>
          <w:color w:val="000000" w:themeColor="text1"/>
          <w:sz w:val="24"/>
          <w:u w:val="single"/>
          <w14:textFill>
            <w14:solidFill>
              <w14:schemeClr w14:val="tx1"/>
            </w14:solidFill>
          </w14:textFill>
        </w:rPr>
        <w:t>（标的名称）</w:t>
      </w:r>
      <w:r>
        <w:rPr>
          <w:rFonts w:ascii="宋体" w:hAnsi="宋体"/>
          <w:color w:val="000000" w:themeColor="text1"/>
          <w:sz w:val="24"/>
          <w14:textFill>
            <w14:solidFill>
              <w14:schemeClr w14:val="tx1"/>
            </w14:solidFill>
          </w14:textFill>
        </w:rPr>
        <w:t>，属于</w:t>
      </w:r>
      <w:r>
        <w:rPr>
          <w:rFonts w:ascii="宋体" w:hAnsi="宋体"/>
          <w:color w:val="000000" w:themeColor="text1"/>
          <w:sz w:val="24"/>
          <w:u w:val="single"/>
          <w14:textFill>
            <w14:solidFill>
              <w14:schemeClr w14:val="tx1"/>
            </w14:solidFill>
          </w14:textFill>
        </w:rPr>
        <w:t>（采购文件中明确的所属行业）</w:t>
      </w:r>
      <w:r>
        <w:rPr>
          <w:rFonts w:ascii="宋体" w:hAnsi="宋体"/>
          <w:color w:val="000000" w:themeColor="text1"/>
          <w:sz w:val="24"/>
          <w14:textFill>
            <w14:solidFill>
              <w14:schemeClr w14:val="tx1"/>
            </w14:solidFill>
          </w14:textFill>
        </w:rPr>
        <w:t>行业；制造商为</w:t>
      </w:r>
      <w:r>
        <w:rPr>
          <w:rFonts w:ascii="宋体" w:hAnsi="宋体"/>
          <w:color w:val="000000" w:themeColor="text1"/>
          <w:sz w:val="24"/>
          <w:u w:val="single"/>
          <w14:textFill>
            <w14:solidFill>
              <w14:schemeClr w14:val="tx1"/>
            </w14:solidFill>
          </w14:textFill>
        </w:rPr>
        <w:t>（企业名称）</w:t>
      </w:r>
      <w:r>
        <w:rPr>
          <w:rFonts w:ascii="宋体" w:hAnsi="宋体"/>
          <w:color w:val="000000" w:themeColor="text1"/>
          <w:sz w:val="24"/>
          <w14:textFill>
            <w14:solidFill>
              <w14:schemeClr w14:val="tx1"/>
            </w14:solidFill>
          </w14:textFill>
        </w:rPr>
        <w:t>，从业人员</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人，营业收入为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万元，资产总额为</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万元，属于</w:t>
      </w:r>
      <w:r>
        <w:rPr>
          <w:rFonts w:ascii="宋体" w:hAnsi="宋体"/>
          <w:color w:val="000000" w:themeColor="text1"/>
          <w:sz w:val="24"/>
          <w:u w:val="single"/>
          <w14:textFill>
            <w14:solidFill>
              <w14:schemeClr w14:val="tx1"/>
            </w14:solidFill>
          </w14:textFill>
        </w:rPr>
        <w:t>（中型企业、小型企业、微型企业）</w:t>
      </w:r>
      <w:r>
        <w:rPr>
          <w:rFonts w:ascii="宋体" w:hAnsi="宋体"/>
          <w:color w:val="000000" w:themeColor="text1"/>
          <w:sz w:val="24"/>
          <w14:textFill>
            <w14:solidFill>
              <w14:schemeClr w14:val="tx1"/>
            </w14:solidFill>
          </w14:textFill>
        </w:rPr>
        <w:t>；</w:t>
      </w:r>
    </w:p>
    <w:p w14:paraId="0CAE0AB7">
      <w:pPr>
        <w:pStyle w:val="17"/>
        <w:spacing w:after="0" w:line="360" w:lineRule="auto"/>
        <w:ind w:left="142" w:right="142"/>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 </w:t>
      </w:r>
    </w:p>
    <w:p w14:paraId="0BDDD18B">
      <w:pPr>
        <w:pStyle w:val="17"/>
        <w:spacing w:after="0" w:line="360" w:lineRule="auto"/>
        <w:ind w:left="-405" w:right="142" w:firstLine="453"/>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57BC8AC6">
      <w:pPr>
        <w:pStyle w:val="17"/>
        <w:spacing w:after="0" w:line="360" w:lineRule="auto"/>
        <w:ind w:left="-426" w:right="142" w:firstLine="567"/>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本企业对上述声明内容的真实性负责。如有虚假，将依法承担相应责任。</w:t>
      </w:r>
    </w:p>
    <w:p w14:paraId="7724C07E">
      <w:pPr>
        <w:pStyle w:val="17"/>
        <w:spacing w:after="0" w:line="360" w:lineRule="auto"/>
        <w:ind w:left="3960" w:right="1808"/>
        <w:contextualSpacing/>
        <w:rPr>
          <w:rFonts w:ascii="宋体" w:hAnsi="宋体"/>
          <w:color w:val="000000" w:themeColor="text1"/>
          <w:sz w:val="24"/>
          <w14:textFill>
            <w14:solidFill>
              <w14:schemeClr w14:val="tx1"/>
            </w14:solidFill>
          </w14:textFill>
        </w:rPr>
      </w:pPr>
    </w:p>
    <w:p w14:paraId="57F9978F">
      <w:pPr>
        <w:pStyle w:val="17"/>
        <w:spacing w:after="0" w:line="360" w:lineRule="auto"/>
        <w:ind w:left="3960" w:right="1808"/>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企业名称（章）： </w:t>
      </w:r>
    </w:p>
    <w:p w14:paraId="1D383779">
      <w:pPr>
        <w:pStyle w:val="17"/>
        <w:spacing w:after="0" w:line="360" w:lineRule="auto"/>
        <w:ind w:left="3960" w:right="1808"/>
        <w:contextualSpacing/>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日</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期：</w:t>
      </w:r>
    </w:p>
    <w:p w14:paraId="10B4CD5D">
      <w:pPr>
        <w:pStyle w:val="17"/>
        <w:spacing w:after="0" w:line="360" w:lineRule="auto"/>
        <w:ind w:left="3960" w:right="1808"/>
        <w:contextualSpacing/>
        <w:rPr>
          <w:color w:val="000000" w:themeColor="text1"/>
          <w14:textFill>
            <w14:solidFill>
              <w14:schemeClr w14:val="tx1"/>
            </w14:solidFill>
          </w14:textFill>
        </w:rPr>
      </w:pPr>
    </w:p>
    <w:p w14:paraId="0337294D">
      <w:pPr>
        <w:spacing w:line="360" w:lineRule="auto"/>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6383182">
      <w:pPr>
        <w:spacing w:line="360" w:lineRule="auto"/>
        <w:contextualSpacing/>
        <w:jc w:val="center"/>
        <w:rPr>
          <w:rFonts w:ascii="仿宋_GB2312" w:hAnsi="仿宋_GB2312" w:eastAsia="仿宋_GB2312" w:cs="仿宋_GB2312"/>
          <w:color w:val="000000" w:themeColor="text1"/>
          <w:sz w:val="32"/>
          <w:szCs w:val="32"/>
          <w14:textFill>
            <w14:solidFill>
              <w14:schemeClr w14:val="tx1"/>
            </w14:solidFill>
          </w14:textFill>
        </w:rPr>
      </w:pPr>
      <w:r>
        <w:rPr>
          <w:rFonts w:ascii="宋体" w:hAnsi="宋体"/>
          <w:color w:val="000000" w:themeColor="text1"/>
          <w:sz w:val="24"/>
          <w14:textFill>
            <w14:solidFill>
              <w14:schemeClr w14:val="tx1"/>
            </w14:solidFill>
          </w14:textFill>
        </w:rPr>
        <w:br w:type="page" w:clear="all"/>
      </w:r>
      <w:r>
        <w:rPr>
          <w:rFonts w:hint="eastAsia" w:ascii="Arial Unicode MS" w:hAnsi="Arial Unicode MS" w:eastAsia="Arial Unicode MS" w:cs="Arial Unicode MS"/>
          <w:color w:val="000000" w:themeColor="text1"/>
          <w:sz w:val="44"/>
          <w:szCs w:val="44"/>
          <w14:textFill>
            <w14:solidFill>
              <w14:schemeClr w14:val="tx1"/>
            </w14:solidFill>
          </w14:textFill>
        </w:rPr>
        <w:t>残疾人福利性单位声明函</w:t>
      </w:r>
    </w:p>
    <w:p w14:paraId="64D02D75">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216CBB32">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单位的</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35630E6">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7C9EC92F">
      <w:pPr>
        <w:spacing w:line="360" w:lineRule="auto"/>
        <w:contextualSpacing/>
        <w:rPr>
          <w:rFonts w:ascii="宋体" w:hAnsi="宋体" w:cs="仿宋_GB2312"/>
          <w:color w:val="000000" w:themeColor="text1"/>
          <w:sz w:val="24"/>
          <w14:textFill>
            <w14:solidFill>
              <w14:schemeClr w14:val="tx1"/>
            </w14:solidFill>
          </w14:textFill>
        </w:rPr>
      </w:pPr>
    </w:p>
    <w:p w14:paraId="729903E9">
      <w:pPr>
        <w:spacing w:line="360" w:lineRule="auto"/>
        <w:contextualSpacing/>
        <w:rPr>
          <w:rFonts w:ascii="宋体" w:hAnsi="宋体" w:cs="仿宋_GB2312"/>
          <w:color w:val="000000" w:themeColor="text1"/>
          <w:sz w:val="24"/>
          <w14:textFill>
            <w14:solidFill>
              <w14:schemeClr w14:val="tx1"/>
            </w14:solidFill>
          </w14:textFill>
        </w:rPr>
      </w:pPr>
    </w:p>
    <w:p w14:paraId="7337FAF3">
      <w:pPr>
        <w:spacing w:line="360" w:lineRule="auto"/>
        <w:contextualSpacing/>
        <w:rPr>
          <w:rFonts w:ascii="宋体" w:hAnsi="宋体" w:cs="仿宋_GB2312"/>
          <w:color w:val="000000" w:themeColor="text1"/>
          <w:sz w:val="24"/>
          <w14:textFill>
            <w14:solidFill>
              <w14:schemeClr w14:val="tx1"/>
            </w14:solidFill>
          </w14:textFill>
        </w:rPr>
      </w:pPr>
    </w:p>
    <w:p w14:paraId="45A33F7A">
      <w:pPr>
        <w:spacing w:line="360" w:lineRule="auto"/>
        <w:ind w:firstLine="240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22C70742">
      <w:pPr>
        <w:spacing w:line="360" w:lineRule="auto"/>
        <w:ind w:firstLine="360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  期：</w:t>
      </w:r>
    </w:p>
    <w:p w14:paraId="486E43F2">
      <w:pPr>
        <w:spacing w:line="360" w:lineRule="auto"/>
        <w:contextualSpacing/>
        <w:rPr>
          <w:rFonts w:ascii="宋体" w:hAnsi="宋体" w:cs="仿宋_GB2312"/>
          <w:color w:val="000000" w:themeColor="text1"/>
          <w:sz w:val="24"/>
          <w14:textFill>
            <w14:solidFill>
              <w14:schemeClr w14:val="tx1"/>
            </w14:solidFill>
          </w14:textFill>
        </w:rPr>
      </w:pPr>
    </w:p>
    <w:p w14:paraId="49317401">
      <w:pPr>
        <w:spacing w:line="360" w:lineRule="auto"/>
        <w:contextualSpacing/>
        <w:rPr>
          <w:rFonts w:ascii="宋体" w:hAnsi="宋体" w:cs="仿宋_GB2312"/>
          <w:color w:val="000000" w:themeColor="text1"/>
          <w:sz w:val="24"/>
          <w14:textFill>
            <w14:solidFill>
              <w14:schemeClr w14:val="tx1"/>
            </w14:solidFill>
          </w14:textFill>
        </w:rPr>
      </w:pPr>
    </w:p>
    <w:p w14:paraId="093C2315">
      <w:pPr>
        <w:spacing w:line="360" w:lineRule="auto"/>
        <w:contextualSpacing/>
        <w:rPr>
          <w:rFonts w:ascii="宋体" w:hAnsi="宋体" w:cs="仿宋_GB2312"/>
          <w:color w:val="000000" w:themeColor="text1"/>
          <w:sz w:val="24"/>
          <w14:textFill>
            <w14:solidFill>
              <w14:schemeClr w14:val="tx1"/>
            </w14:solidFill>
          </w14:textFill>
        </w:rPr>
      </w:pPr>
    </w:p>
    <w:p w14:paraId="631A9280">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0D732958">
      <w:pPr>
        <w:pStyle w:val="2"/>
        <w:rPr>
          <w:color w:val="000000" w:themeColor="text1"/>
          <w14:textFill>
            <w14:solidFill>
              <w14:schemeClr w14:val="tx1"/>
            </w14:solidFill>
          </w14:textFill>
        </w:rPr>
      </w:pPr>
    </w:p>
    <w:p w14:paraId="1605DD94">
      <w:pPr>
        <w:rPr>
          <w:color w:val="000000" w:themeColor="text1"/>
          <w14:textFill>
            <w14:solidFill>
              <w14:schemeClr w14:val="tx1"/>
            </w14:solidFill>
          </w14:textFill>
        </w:rPr>
      </w:pPr>
    </w:p>
    <w:p w14:paraId="7A122A9D">
      <w:pPr>
        <w:rPr>
          <w:color w:val="000000" w:themeColor="text1"/>
          <w14:textFill>
            <w14:solidFill>
              <w14:schemeClr w14:val="tx1"/>
            </w14:solidFill>
          </w14:textFill>
        </w:rPr>
      </w:pPr>
    </w:p>
    <w:p w14:paraId="25F9BD8D">
      <w:pPr>
        <w:rPr>
          <w:color w:val="000000" w:themeColor="text1"/>
          <w14:textFill>
            <w14:solidFill>
              <w14:schemeClr w14:val="tx1"/>
            </w14:solidFill>
          </w14:textFill>
        </w:rPr>
      </w:pPr>
    </w:p>
    <w:p w14:paraId="78E98F14">
      <w:pPr>
        <w:rPr>
          <w:color w:val="000000" w:themeColor="text1"/>
          <w14:textFill>
            <w14:solidFill>
              <w14:schemeClr w14:val="tx1"/>
            </w14:solidFill>
          </w14:textFill>
        </w:rPr>
      </w:pPr>
    </w:p>
    <w:p w14:paraId="3322EFB2">
      <w:pPr>
        <w:rPr>
          <w:color w:val="000000" w:themeColor="text1"/>
          <w14:textFill>
            <w14:solidFill>
              <w14:schemeClr w14:val="tx1"/>
            </w14:solidFill>
          </w14:textFill>
        </w:rPr>
      </w:pPr>
    </w:p>
    <w:p w14:paraId="5E525C33">
      <w:pPr>
        <w:rPr>
          <w:color w:val="000000" w:themeColor="text1"/>
          <w14:textFill>
            <w14:solidFill>
              <w14:schemeClr w14:val="tx1"/>
            </w14:solidFill>
          </w14:textFill>
        </w:rPr>
      </w:pPr>
    </w:p>
    <w:p w14:paraId="18A7F6E2">
      <w:pPr>
        <w:rPr>
          <w:color w:val="000000" w:themeColor="text1"/>
          <w14:textFill>
            <w14:solidFill>
              <w14:schemeClr w14:val="tx1"/>
            </w14:solidFill>
          </w14:textFill>
        </w:rPr>
      </w:pPr>
    </w:p>
    <w:p w14:paraId="7EB6F438">
      <w:pPr>
        <w:rPr>
          <w:color w:val="000000" w:themeColor="text1"/>
          <w14:textFill>
            <w14:solidFill>
              <w14:schemeClr w14:val="tx1"/>
            </w14:solidFill>
          </w14:textFill>
        </w:rPr>
      </w:pPr>
    </w:p>
    <w:p w14:paraId="4BC40A6B">
      <w:pPr>
        <w:rPr>
          <w:color w:val="000000" w:themeColor="text1"/>
          <w14:textFill>
            <w14:solidFill>
              <w14:schemeClr w14:val="tx1"/>
            </w14:solidFill>
          </w14:textFill>
        </w:rPr>
      </w:pPr>
    </w:p>
    <w:p w14:paraId="3AD0914C">
      <w:pPr>
        <w:rPr>
          <w:color w:val="000000" w:themeColor="text1"/>
          <w14:textFill>
            <w14:solidFill>
              <w14:schemeClr w14:val="tx1"/>
            </w14:solidFill>
          </w14:textFill>
        </w:rPr>
      </w:pPr>
    </w:p>
    <w:p w14:paraId="6E62F60F">
      <w:pPr>
        <w:widowControl/>
        <w:shd w:val="clear" w:color="auto" w:fill="FFFFFF"/>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7.除谈判文件规定必须提供以外，供应商认为需要提供的其他证明材料</w:t>
      </w:r>
    </w:p>
    <w:p w14:paraId="65869B67">
      <w:pPr>
        <w:widowControl/>
        <w:shd w:val="clear" w:color="auto" w:fill="FFFFFF"/>
        <w:ind w:firstLine="2880"/>
        <w:rPr>
          <w:rFonts w:ascii="宋体" w:hAnsi="宋体" w:cs="宋体"/>
          <w:color w:val="000000" w:themeColor="text1"/>
          <w:sz w:val="24"/>
          <w14:textFill>
            <w14:solidFill>
              <w14:schemeClr w14:val="tx1"/>
            </w14:solidFill>
          </w14:textFill>
        </w:rPr>
      </w:pPr>
    </w:p>
    <w:p w14:paraId="7804A54B">
      <w:pPr>
        <w:widowControl/>
        <w:shd w:val="clear" w:color="auto" w:fill="FFFFFF"/>
        <w:ind w:firstLine="2880"/>
        <w:rPr>
          <w:rFonts w:ascii="宋体" w:hAnsi="宋体" w:cs="宋体"/>
          <w:color w:val="000000" w:themeColor="text1"/>
          <w:sz w:val="24"/>
          <w14:textFill>
            <w14:solidFill>
              <w14:schemeClr w14:val="tx1"/>
            </w14:solidFill>
          </w14:textFill>
        </w:rPr>
      </w:pPr>
    </w:p>
    <w:p w14:paraId="65461725">
      <w:pPr>
        <w:widowControl/>
        <w:shd w:val="clear" w:color="auto" w:fill="FFFFFF"/>
        <w:ind w:firstLine="2880"/>
        <w:rPr>
          <w:rFonts w:ascii="宋体" w:hAnsi="宋体" w:cs="宋体"/>
          <w:color w:val="000000" w:themeColor="text1"/>
          <w:sz w:val="24"/>
          <w14:textFill>
            <w14:solidFill>
              <w14:schemeClr w14:val="tx1"/>
            </w14:solidFill>
          </w14:textFill>
        </w:rPr>
      </w:pPr>
    </w:p>
    <w:p w14:paraId="4CF2CBAB">
      <w:pPr>
        <w:widowControl/>
        <w:shd w:val="clear" w:color="auto" w:fill="FFFFFF"/>
        <w:ind w:firstLine="2880"/>
        <w:rPr>
          <w:rFonts w:ascii="宋体" w:hAnsi="宋体" w:cs="宋体"/>
          <w:color w:val="000000" w:themeColor="text1"/>
          <w:sz w:val="24"/>
          <w14:textFill>
            <w14:solidFill>
              <w14:schemeClr w14:val="tx1"/>
            </w14:solidFill>
          </w14:textFill>
        </w:rPr>
      </w:pPr>
    </w:p>
    <w:p w14:paraId="197C482C">
      <w:pPr>
        <w:spacing w:line="360" w:lineRule="auto"/>
        <w:contextualSpacing/>
        <w:rPr>
          <w:rFonts w:ascii="宋体" w:hAnsi="宋体" w:cs="仿宋_GB2312"/>
          <w:color w:val="000000" w:themeColor="text1"/>
          <w:sz w:val="24"/>
          <w14:textFill>
            <w14:solidFill>
              <w14:schemeClr w14:val="tx1"/>
            </w14:solidFill>
          </w14:textFill>
        </w:rPr>
      </w:pPr>
    </w:p>
    <w:p w14:paraId="4FE98CC9">
      <w:pPr>
        <w:spacing w:line="360" w:lineRule="auto"/>
        <w:ind w:firstLine="240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4DCADBD4">
      <w:pPr>
        <w:spacing w:line="360" w:lineRule="auto"/>
        <w:ind w:firstLine="360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  期：</w:t>
      </w:r>
    </w:p>
    <w:p w14:paraId="7A602190">
      <w:pPr>
        <w:widowControl/>
        <w:shd w:val="clear" w:color="auto" w:fill="FFFFFF"/>
        <w:ind w:firstLine="2880"/>
        <w:rPr>
          <w:rFonts w:ascii="宋体" w:hAnsi="宋体" w:cs="宋体"/>
          <w:color w:val="000000" w:themeColor="text1"/>
          <w:sz w:val="24"/>
          <w14:textFill>
            <w14:solidFill>
              <w14:schemeClr w14:val="tx1"/>
            </w14:solidFill>
          </w14:textFill>
        </w:rPr>
      </w:pPr>
    </w:p>
    <w:p w14:paraId="54F49170">
      <w:pPr>
        <w:widowControl/>
        <w:shd w:val="clear" w:color="auto" w:fill="FFFFFF"/>
        <w:ind w:firstLine="2880"/>
        <w:rPr>
          <w:rFonts w:ascii="宋体" w:hAnsi="宋体" w:cs="宋体"/>
          <w:color w:val="000000" w:themeColor="text1"/>
          <w:sz w:val="24"/>
          <w14:textFill>
            <w14:solidFill>
              <w14:schemeClr w14:val="tx1"/>
            </w14:solidFill>
          </w14:textFill>
        </w:rPr>
      </w:pPr>
    </w:p>
    <w:p w14:paraId="457C66E7">
      <w:pPr>
        <w:widowControl/>
        <w:shd w:val="clear" w:color="auto" w:fill="FFFFFF"/>
        <w:ind w:firstLine="2880"/>
        <w:rPr>
          <w:rFonts w:ascii="宋体" w:hAnsi="宋体" w:cs="宋体"/>
          <w:color w:val="000000" w:themeColor="text1"/>
          <w:sz w:val="24"/>
          <w14:textFill>
            <w14:solidFill>
              <w14:schemeClr w14:val="tx1"/>
            </w14:solidFill>
          </w14:textFill>
        </w:rPr>
      </w:pPr>
    </w:p>
    <w:p w14:paraId="5084975D">
      <w:pPr>
        <w:widowControl/>
        <w:shd w:val="clear" w:color="auto" w:fill="FFFFFF"/>
        <w:ind w:firstLine="2880"/>
        <w:rPr>
          <w:rFonts w:ascii="宋体" w:hAnsi="宋体" w:cs="宋体"/>
          <w:color w:val="000000" w:themeColor="text1"/>
          <w:sz w:val="24"/>
          <w14:textFill>
            <w14:solidFill>
              <w14:schemeClr w14:val="tx1"/>
            </w14:solidFill>
          </w14:textFill>
        </w:rPr>
      </w:pPr>
    </w:p>
    <w:p w14:paraId="09AFB6C3">
      <w:pPr>
        <w:widowControl/>
        <w:shd w:val="clear" w:color="auto" w:fill="FFFFFF"/>
        <w:ind w:firstLine="2880"/>
        <w:rPr>
          <w:rFonts w:ascii="宋体" w:hAnsi="宋体" w:cs="宋体"/>
          <w:color w:val="000000" w:themeColor="text1"/>
          <w:sz w:val="24"/>
          <w14:textFill>
            <w14:solidFill>
              <w14:schemeClr w14:val="tx1"/>
            </w14:solidFill>
          </w14:textFill>
        </w:rPr>
      </w:pPr>
    </w:p>
    <w:p w14:paraId="35030080">
      <w:pPr>
        <w:widowControl/>
        <w:shd w:val="clear" w:color="auto" w:fill="FFFFFF"/>
        <w:ind w:firstLine="2880"/>
        <w:rPr>
          <w:rFonts w:ascii="宋体" w:hAnsi="宋体" w:cs="宋体"/>
          <w:color w:val="000000" w:themeColor="text1"/>
          <w:sz w:val="24"/>
          <w14:textFill>
            <w14:solidFill>
              <w14:schemeClr w14:val="tx1"/>
            </w14:solidFill>
          </w14:textFill>
        </w:rPr>
      </w:pPr>
    </w:p>
    <w:p w14:paraId="4F37080A">
      <w:pPr>
        <w:widowControl/>
        <w:shd w:val="clear" w:color="auto" w:fill="FFFFFF"/>
        <w:ind w:firstLine="2880"/>
        <w:rPr>
          <w:rFonts w:ascii="宋体" w:hAnsi="宋体" w:cs="宋体"/>
          <w:color w:val="000000" w:themeColor="text1"/>
          <w:sz w:val="24"/>
          <w14:textFill>
            <w14:solidFill>
              <w14:schemeClr w14:val="tx1"/>
            </w14:solidFill>
          </w14:textFill>
        </w:rPr>
      </w:pPr>
    </w:p>
    <w:p w14:paraId="0D3C43CC">
      <w:pPr>
        <w:widowControl/>
        <w:shd w:val="clear" w:color="auto" w:fill="FFFFFF"/>
        <w:ind w:firstLine="2880"/>
        <w:rPr>
          <w:rFonts w:ascii="宋体" w:hAnsi="宋体" w:cs="宋体"/>
          <w:color w:val="000000" w:themeColor="text1"/>
          <w:sz w:val="24"/>
          <w14:textFill>
            <w14:solidFill>
              <w14:schemeClr w14:val="tx1"/>
            </w14:solidFill>
          </w14:textFill>
        </w:rPr>
      </w:pPr>
    </w:p>
    <w:p w14:paraId="5C01AC9E">
      <w:pPr>
        <w:widowControl/>
        <w:shd w:val="clear" w:color="auto" w:fill="FFFFFF"/>
        <w:ind w:firstLine="2880"/>
        <w:rPr>
          <w:rFonts w:ascii="宋体" w:hAnsi="宋体" w:cs="宋体"/>
          <w:color w:val="000000" w:themeColor="text1"/>
          <w:sz w:val="24"/>
          <w14:textFill>
            <w14:solidFill>
              <w14:schemeClr w14:val="tx1"/>
            </w14:solidFill>
          </w14:textFill>
        </w:rPr>
      </w:pPr>
    </w:p>
    <w:p w14:paraId="47481C7D">
      <w:pPr>
        <w:widowControl/>
        <w:shd w:val="clear" w:color="auto" w:fill="FFFFFF"/>
        <w:ind w:firstLine="2880"/>
        <w:rPr>
          <w:rFonts w:ascii="宋体" w:hAnsi="宋体" w:cs="宋体"/>
          <w:color w:val="000000" w:themeColor="text1"/>
          <w:sz w:val="24"/>
          <w14:textFill>
            <w14:solidFill>
              <w14:schemeClr w14:val="tx1"/>
            </w14:solidFill>
          </w14:textFill>
        </w:rPr>
      </w:pPr>
    </w:p>
    <w:p w14:paraId="3479C140">
      <w:pPr>
        <w:widowControl/>
        <w:shd w:val="clear" w:color="auto" w:fill="FFFFFF"/>
        <w:ind w:firstLine="2880"/>
        <w:rPr>
          <w:rFonts w:ascii="宋体" w:hAnsi="宋体" w:cs="宋体"/>
          <w:color w:val="000000" w:themeColor="text1"/>
          <w:sz w:val="24"/>
          <w14:textFill>
            <w14:solidFill>
              <w14:schemeClr w14:val="tx1"/>
            </w14:solidFill>
          </w14:textFill>
        </w:rPr>
      </w:pPr>
    </w:p>
    <w:p w14:paraId="3DF785EC">
      <w:pPr>
        <w:widowControl/>
        <w:shd w:val="clear" w:color="auto" w:fill="FFFFFF"/>
        <w:ind w:firstLine="2880"/>
        <w:rPr>
          <w:rFonts w:ascii="宋体" w:hAnsi="宋体" w:cs="宋体"/>
          <w:color w:val="000000" w:themeColor="text1"/>
          <w:sz w:val="24"/>
          <w14:textFill>
            <w14:solidFill>
              <w14:schemeClr w14:val="tx1"/>
            </w14:solidFill>
          </w14:textFill>
        </w:rPr>
      </w:pPr>
    </w:p>
    <w:p w14:paraId="5BD9881F">
      <w:pPr>
        <w:widowControl/>
        <w:shd w:val="clear" w:color="auto" w:fill="FFFFFF"/>
        <w:ind w:firstLine="2880"/>
        <w:rPr>
          <w:rFonts w:ascii="宋体" w:hAnsi="宋体" w:cs="宋体"/>
          <w:color w:val="000000" w:themeColor="text1"/>
          <w:sz w:val="24"/>
          <w14:textFill>
            <w14:solidFill>
              <w14:schemeClr w14:val="tx1"/>
            </w14:solidFill>
          </w14:textFill>
        </w:rPr>
      </w:pPr>
    </w:p>
    <w:p w14:paraId="434801DA">
      <w:pPr>
        <w:widowControl/>
        <w:shd w:val="clear" w:color="auto" w:fill="FFFFFF"/>
        <w:ind w:firstLine="2880"/>
        <w:rPr>
          <w:rFonts w:ascii="宋体" w:hAnsi="宋体" w:cs="宋体"/>
          <w:color w:val="000000" w:themeColor="text1"/>
          <w:sz w:val="24"/>
          <w14:textFill>
            <w14:solidFill>
              <w14:schemeClr w14:val="tx1"/>
            </w14:solidFill>
          </w14:textFill>
        </w:rPr>
      </w:pPr>
    </w:p>
    <w:p w14:paraId="3C7BD3F3">
      <w:pPr>
        <w:widowControl/>
        <w:shd w:val="clear" w:color="auto" w:fill="FFFFFF"/>
        <w:ind w:firstLine="2880"/>
        <w:rPr>
          <w:rFonts w:ascii="宋体" w:hAnsi="宋体" w:cs="宋体"/>
          <w:color w:val="000000" w:themeColor="text1"/>
          <w:sz w:val="24"/>
          <w14:textFill>
            <w14:solidFill>
              <w14:schemeClr w14:val="tx1"/>
            </w14:solidFill>
          </w14:textFill>
        </w:rPr>
      </w:pPr>
    </w:p>
    <w:p w14:paraId="757EDD40">
      <w:pPr>
        <w:widowControl/>
        <w:shd w:val="clear" w:color="auto" w:fill="FFFFFF"/>
        <w:ind w:firstLine="2880"/>
        <w:rPr>
          <w:rFonts w:ascii="宋体" w:hAnsi="宋体" w:cs="宋体"/>
          <w:color w:val="000000" w:themeColor="text1"/>
          <w:sz w:val="24"/>
          <w14:textFill>
            <w14:solidFill>
              <w14:schemeClr w14:val="tx1"/>
            </w14:solidFill>
          </w14:textFill>
        </w:rPr>
      </w:pPr>
    </w:p>
    <w:p w14:paraId="1EFAE77F">
      <w:pPr>
        <w:widowControl/>
        <w:shd w:val="clear" w:color="auto" w:fill="FFFFFF"/>
        <w:ind w:firstLine="2880"/>
        <w:rPr>
          <w:rFonts w:ascii="宋体" w:hAnsi="宋体" w:cs="宋体"/>
          <w:color w:val="000000" w:themeColor="text1"/>
          <w:sz w:val="24"/>
          <w14:textFill>
            <w14:solidFill>
              <w14:schemeClr w14:val="tx1"/>
            </w14:solidFill>
          </w14:textFill>
        </w:rPr>
      </w:pPr>
    </w:p>
    <w:p w14:paraId="1A8FC7BC">
      <w:pPr>
        <w:widowControl/>
        <w:shd w:val="clear" w:color="auto" w:fill="FFFFFF"/>
        <w:ind w:firstLine="2880"/>
        <w:rPr>
          <w:rFonts w:ascii="宋体" w:hAnsi="宋体" w:cs="宋体"/>
          <w:color w:val="000000" w:themeColor="text1"/>
          <w:sz w:val="24"/>
          <w14:textFill>
            <w14:solidFill>
              <w14:schemeClr w14:val="tx1"/>
            </w14:solidFill>
          </w14:textFill>
        </w:rPr>
      </w:pPr>
    </w:p>
    <w:p w14:paraId="18EE2D8C">
      <w:pPr>
        <w:widowControl/>
        <w:shd w:val="clear" w:color="auto" w:fill="FFFFFF"/>
        <w:ind w:firstLine="2880"/>
        <w:rPr>
          <w:rFonts w:ascii="宋体" w:hAnsi="宋体" w:cs="宋体"/>
          <w:color w:val="000000" w:themeColor="text1"/>
          <w:sz w:val="24"/>
          <w14:textFill>
            <w14:solidFill>
              <w14:schemeClr w14:val="tx1"/>
            </w14:solidFill>
          </w14:textFill>
        </w:rPr>
      </w:pPr>
    </w:p>
    <w:p w14:paraId="04561AD2">
      <w:pPr>
        <w:widowControl/>
        <w:shd w:val="clear" w:color="auto" w:fill="FFFFFF"/>
        <w:ind w:firstLine="2880"/>
        <w:rPr>
          <w:rFonts w:ascii="宋体" w:hAnsi="宋体" w:cs="宋体"/>
          <w:color w:val="000000" w:themeColor="text1"/>
          <w:sz w:val="24"/>
          <w14:textFill>
            <w14:solidFill>
              <w14:schemeClr w14:val="tx1"/>
            </w14:solidFill>
          </w14:textFill>
        </w:rPr>
      </w:pPr>
    </w:p>
    <w:p w14:paraId="764F9E49">
      <w:pPr>
        <w:widowControl/>
        <w:shd w:val="clear" w:color="auto" w:fill="FFFFFF"/>
        <w:ind w:firstLine="2880"/>
        <w:rPr>
          <w:rFonts w:ascii="宋体" w:hAnsi="宋体" w:cs="宋体"/>
          <w:color w:val="000000" w:themeColor="text1"/>
          <w:sz w:val="24"/>
          <w14:textFill>
            <w14:solidFill>
              <w14:schemeClr w14:val="tx1"/>
            </w14:solidFill>
          </w14:textFill>
        </w:rPr>
      </w:pPr>
    </w:p>
    <w:p w14:paraId="677858F8">
      <w:pPr>
        <w:widowControl/>
        <w:shd w:val="clear" w:color="auto" w:fill="FFFFFF"/>
        <w:ind w:firstLine="2880"/>
        <w:rPr>
          <w:rFonts w:ascii="宋体" w:hAnsi="宋体" w:cs="宋体"/>
          <w:color w:val="000000" w:themeColor="text1"/>
          <w:sz w:val="24"/>
          <w14:textFill>
            <w14:solidFill>
              <w14:schemeClr w14:val="tx1"/>
            </w14:solidFill>
          </w14:textFill>
        </w:rPr>
      </w:pPr>
    </w:p>
    <w:p w14:paraId="0EFA0514">
      <w:pPr>
        <w:widowControl/>
        <w:shd w:val="clear" w:color="auto" w:fill="FFFFFF"/>
        <w:ind w:firstLine="2880"/>
        <w:rPr>
          <w:rFonts w:ascii="宋体" w:hAnsi="宋体" w:cs="宋体"/>
          <w:color w:val="000000" w:themeColor="text1"/>
          <w:sz w:val="24"/>
          <w14:textFill>
            <w14:solidFill>
              <w14:schemeClr w14:val="tx1"/>
            </w14:solidFill>
          </w14:textFill>
        </w:rPr>
      </w:pPr>
    </w:p>
    <w:p w14:paraId="28A181B8">
      <w:pPr>
        <w:widowControl/>
        <w:shd w:val="clear" w:color="auto" w:fill="FFFFFF"/>
        <w:ind w:firstLine="2880"/>
        <w:rPr>
          <w:rFonts w:ascii="宋体" w:hAnsi="宋体" w:cs="宋体"/>
          <w:color w:val="000000" w:themeColor="text1"/>
          <w:sz w:val="24"/>
          <w14:textFill>
            <w14:solidFill>
              <w14:schemeClr w14:val="tx1"/>
            </w14:solidFill>
          </w14:textFill>
        </w:rPr>
      </w:pPr>
    </w:p>
    <w:p w14:paraId="56FA4530">
      <w:pPr>
        <w:widowControl/>
        <w:shd w:val="clear" w:color="auto" w:fill="FFFFFF"/>
        <w:ind w:firstLine="2880"/>
        <w:rPr>
          <w:rFonts w:ascii="宋体" w:hAnsi="宋体" w:cs="宋体"/>
          <w:color w:val="000000" w:themeColor="text1"/>
          <w:sz w:val="24"/>
          <w14:textFill>
            <w14:solidFill>
              <w14:schemeClr w14:val="tx1"/>
            </w14:solidFill>
          </w14:textFill>
        </w:rPr>
      </w:pPr>
    </w:p>
    <w:p w14:paraId="5A3D1801">
      <w:pPr>
        <w:widowControl/>
        <w:shd w:val="clear" w:color="auto" w:fill="FFFFFF"/>
        <w:ind w:firstLine="2880"/>
        <w:rPr>
          <w:rFonts w:ascii="宋体" w:hAnsi="宋体" w:cs="宋体"/>
          <w:color w:val="000000" w:themeColor="text1"/>
          <w:sz w:val="24"/>
          <w14:textFill>
            <w14:solidFill>
              <w14:schemeClr w14:val="tx1"/>
            </w14:solidFill>
          </w14:textFill>
        </w:rPr>
      </w:pPr>
    </w:p>
    <w:p w14:paraId="74CEC8D5">
      <w:pPr>
        <w:widowControl/>
        <w:shd w:val="clear" w:color="auto" w:fill="FFFFFF"/>
        <w:ind w:firstLine="2880"/>
        <w:rPr>
          <w:rFonts w:ascii="宋体" w:hAnsi="宋体" w:cs="宋体"/>
          <w:color w:val="000000" w:themeColor="text1"/>
          <w:sz w:val="24"/>
          <w14:textFill>
            <w14:solidFill>
              <w14:schemeClr w14:val="tx1"/>
            </w14:solidFill>
          </w14:textFill>
        </w:rPr>
      </w:pPr>
    </w:p>
    <w:p w14:paraId="3BFB97DA">
      <w:pPr>
        <w:widowControl/>
        <w:shd w:val="clear" w:color="auto" w:fill="FFFFFF"/>
        <w:ind w:firstLine="2880"/>
        <w:rPr>
          <w:rFonts w:ascii="宋体" w:hAnsi="宋体" w:cs="宋体"/>
          <w:color w:val="000000" w:themeColor="text1"/>
          <w:sz w:val="24"/>
          <w14:textFill>
            <w14:solidFill>
              <w14:schemeClr w14:val="tx1"/>
            </w14:solidFill>
          </w14:textFill>
        </w:rPr>
      </w:pPr>
    </w:p>
    <w:p w14:paraId="3DFD656E">
      <w:pPr>
        <w:widowControl/>
        <w:shd w:val="clear" w:color="auto" w:fill="FFFFFF"/>
        <w:ind w:firstLine="2880"/>
        <w:rPr>
          <w:rFonts w:ascii="宋体" w:hAnsi="宋体" w:cs="宋体"/>
          <w:color w:val="000000" w:themeColor="text1"/>
          <w:sz w:val="24"/>
          <w14:textFill>
            <w14:solidFill>
              <w14:schemeClr w14:val="tx1"/>
            </w14:solidFill>
          </w14:textFill>
        </w:rPr>
      </w:pPr>
    </w:p>
    <w:p w14:paraId="3D2901A1">
      <w:pPr>
        <w:widowControl/>
        <w:shd w:val="clear" w:color="auto" w:fill="FFFFFF"/>
        <w:ind w:firstLine="2880"/>
        <w:rPr>
          <w:rFonts w:ascii="宋体" w:hAnsi="宋体" w:cs="宋体"/>
          <w:color w:val="000000" w:themeColor="text1"/>
          <w:sz w:val="24"/>
          <w14:textFill>
            <w14:solidFill>
              <w14:schemeClr w14:val="tx1"/>
            </w14:solidFill>
          </w14:textFill>
        </w:rPr>
      </w:pPr>
    </w:p>
    <w:p w14:paraId="69306111">
      <w:pPr>
        <w:widowControl/>
        <w:shd w:val="clear" w:color="auto" w:fill="FFFFFF"/>
        <w:ind w:firstLine="2880"/>
        <w:rPr>
          <w:rFonts w:ascii="宋体" w:hAnsi="宋体" w:cs="宋体"/>
          <w:color w:val="000000" w:themeColor="text1"/>
          <w:sz w:val="24"/>
          <w14:textFill>
            <w14:solidFill>
              <w14:schemeClr w14:val="tx1"/>
            </w14:solidFill>
          </w14:textFill>
        </w:rPr>
      </w:pPr>
    </w:p>
    <w:p w14:paraId="0008B261">
      <w:pPr>
        <w:widowControl/>
        <w:shd w:val="clear" w:color="auto" w:fill="FFFFFF"/>
        <w:ind w:firstLine="2880"/>
        <w:rPr>
          <w:rFonts w:ascii="宋体" w:hAnsi="宋体" w:cs="宋体"/>
          <w:color w:val="000000" w:themeColor="text1"/>
          <w:sz w:val="24"/>
          <w14:textFill>
            <w14:solidFill>
              <w14:schemeClr w14:val="tx1"/>
            </w14:solidFill>
          </w14:textFill>
        </w:rPr>
      </w:pPr>
    </w:p>
    <w:p w14:paraId="68AFE79C">
      <w:pPr>
        <w:widowControl/>
        <w:shd w:val="clear" w:color="auto" w:fill="FFFFFF"/>
        <w:ind w:firstLine="2880"/>
        <w:rPr>
          <w:rFonts w:ascii="宋体" w:hAnsi="宋体" w:cs="宋体"/>
          <w:color w:val="000000" w:themeColor="text1"/>
          <w:sz w:val="24"/>
          <w14:textFill>
            <w14:solidFill>
              <w14:schemeClr w14:val="tx1"/>
            </w14:solidFill>
          </w14:textFill>
        </w:rPr>
      </w:pPr>
    </w:p>
    <w:p w14:paraId="3F554A9A">
      <w:pPr>
        <w:spacing w:line="360" w:lineRule="auto"/>
        <w:ind w:right="420"/>
        <w:contextualSpacing/>
        <w:jc w:val="left"/>
        <w:rPr>
          <w:rFonts w:ascii="宋体" w:hAns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 xml:space="preserve">报价商务技术文件格式 </w:t>
      </w:r>
    </w:p>
    <w:p w14:paraId="461BD1E2">
      <w:pPr>
        <w:spacing w:before="120" w:after="50" w:line="360" w:lineRule="auto"/>
        <w:jc w:val="left"/>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1.报价商务技术文件封面格式</w:t>
      </w:r>
    </w:p>
    <w:p w14:paraId="344FA012">
      <w:pPr>
        <w:spacing w:before="120" w:after="50"/>
        <w:rPr>
          <w:rFonts w:ascii="宋体" w:hAnsi="宋体"/>
          <w:bCs/>
          <w:color w:val="000000" w:themeColor="text1"/>
          <w:sz w:val="32"/>
          <w:szCs w:val="20"/>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全流程电子文件</w:t>
      </w:r>
    </w:p>
    <w:p w14:paraId="6DBCABA0">
      <w:pPr>
        <w:spacing w:before="120" w:after="50"/>
        <w:jc w:val="center"/>
        <w:rPr>
          <w:rFonts w:ascii="宋体" w:hAns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 子 响 应 文 件</w:t>
      </w:r>
    </w:p>
    <w:p w14:paraId="7A111833">
      <w:pPr>
        <w:spacing w:before="120" w:after="50"/>
        <w:rPr>
          <w:rFonts w:ascii="宋体" w:hAnsi="宋体"/>
          <w:color w:val="000000" w:themeColor="text1"/>
          <w:sz w:val="24"/>
          <w:szCs w:val="20"/>
          <w14:textFill>
            <w14:solidFill>
              <w14:schemeClr w14:val="tx1"/>
            </w14:solidFill>
          </w14:textFill>
        </w:rPr>
      </w:pPr>
    </w:p>
    <w:p w14:paraId="7CDA5F20">
      <w:pPr>
        <w:spacing w:before="120" w:after="50"/>
        <w:rPr>
          <w:rFonts w:ascii="宋体" w:hAnsi="宋体"/>
          <w:color w:val="000000" w:themeColor="text1"/>
          <w:sz w:val="24"/>
          <w:szCs w:val="20"/>
          <w14:textFill>
            <w14:solidFill>
              <w14:schemeClr w14:val="tx1"/>
            </w14:solidFill>
          </w14:textFill>
        </w:rPr>
      </w:pPr>
    </w:p>
    <w:p w14:paraId="60803F8A">
      <w:pPr>
        <w:spacing w:before="120" w:after="50"/>
        <w:jc w:val="center"/>
        <w:rPr>
          <w:rFonts w:ascii="Arial Unicode MS" w:hAnsi="Arial Unicode MS" w:eastAsia="Arial Unicode MS" w:cs="Arial Unicode MS"/>
          <w:bCs/>
          <w:color w:val="000000" w:themeColor="text1"/>
          <w:sz w:val="44"/>
          <w:szCs w:val="44"/>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报  价  商  务  技  术  文  件</w:t>
      </w:r>
    </w:p>
    <w:p w14:paraId="33128725">
      <w:pPr>
        <w:spacing w:before="120" w:after="50"/>
        <w:rPr>
          <w:rFonts w:ascii="宋体" w:hAnsi="宋体"/>
          <w:bCs/>
          <w:color w:val="000000" w:themeColor="text1"/>
          <w:sz w:val="24"/>
          <w:szCs w:val="20"/>
          <w14:textFill>
            <w14:solidFill>
              <w14:schemeClr w14:val="tx1"/>
            </w14:solidFill>
          </w14:textFill>
        </w:rPr>
      </w:pPr>
    </w:p>
    <w:p w14:paraId="68D77380">
      <w:pPr>
        <w:spacing w:before="120" w:after="50"/>
        <w:rPr>
          <w:rFonts w:ascii="宋体" w:hAnsi="宋体"/>
          <w:bCs/>
          <w:color w:val="000000" w:themeColor="text1"/>
          <w:sz w:val="24"/>
          <w:szCs w:val="20"/>
          <w14:textFill>
            <w14:solidFill>
              <w14:schemeClr w14:val="tx1"/>
            </w14:solidFill>
          </w14:textFill>
        </w:rPr>
      </w:pPr>
    </w:p>
    <w:p w14:paraId="2C76E645">
      <w:pPr>
        <w:spacing w:before="120" w:after="50"/>
        <w:rPr>
          <w:rFonts w:ascii="宋体" w:hAnsi="宋体"/>
          <w:bCs/>
          <w:color w:val="000000" w:themeColor="text1"/>
          <w:sz w:val="24"/>
          <w:szCs w:val="20"/>
          <w14:textFill>
            <w14:solidFill>
              <w14:schemeClr w14:val="tx1"/>
            </w14:solidFill>
          </w14:textFill>
        </w:rPr>
      </w:pPr>
    </w:p>
    <w:p w14:paraId="686CA6B4">
      <w:pPr>
        <w:spacing w:before="120" w:after="50"/>
        <w:rPr>
          <w:rFonts w:ascii="宋体" w:hAnsi="宋体"/>
          <w:bCs/>
          <w:color w:val="000000" w:themeColor="text1"/>
          <w:sz w:val="24"/>
          <w:szCs w:val="20"/>
          <w14:textFill>
            <w14:solidFill>
              <w14:schemeClr w14:val="tx1"/>
            </w14:solidFill>
          </w14:textFill>
        </w:rPr>
      </w:pPr>
    </w:p>
    <w:p w14:paraId="2B4425BA">
      <w:pPr>
        <w:spacing w:before="120" w:after="50"/>
        <w:rPr>
          <w:rFonts w:ascii="宋体" w:hAnsi="宋体"/>
          <w:bCs/>
          <w:color w:val="000000" w:themeColor="text1"/>
          <w:sz w:val="24"/>
          <w:szCs w:val="20"/>
          <w14:textFill>
            <w14:solidFill>
              <w14:schemeClr w14:val="tx1"/>
            </w14:solidFill>
          </w14:textFill>
        </w:rPr>
      </w:pPr>
    </w:p>
    <w:p w14:paraId="70681E58">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656104A3">
      <w:pPr>
        <w:spacing w:before="120" w:after="50"/>
        <w:ind w:firstLine="720"/>
        <w:rPr>
          <w:rFonts w:ascii="宋体" w:hAnsi="宋体" w:cs="仿宋_GB2312"/>
          <w:bCs/>
          <w:color w:val="000000" w:themeColor="text1"/>
          <w:sz w:val="32"/>
          <w:szCs w:val="32"/>
          <w14:textFill>
            <w14:solidFill>
              <w14:schemeClr w14:val="tx1"/>
            </w14:solidFill>
          </w14:textFill>
        </w:rPr>
      </w:pPr>
    </w:p>
    <w:p w14:paraId="55FBC5FE">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36E786E1">
      <w:pPr>
        <w:spacing w:before="120" w:after="50"/>
        <w:ind w:firstLine="72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 xml:space="preserve"> </w:t>
      </w:r>
    </w:p>
    <w:p w14:paraId="6B2E24E7">
      <w:pPr>
        <w:spacing w:before="12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644A907A">
      <w:pPr>
        <w:spacing w:before="120" w:after="50"/>
        <w:ind w:firstLine="720"/>
        <w:rPr>
          <w:rFonts w:ascii="宋体" w:hAnsi="宋体" w:cs="仿宋_GB2312"/>
          <w:bCs/>
          <w:color w:val="000000" w:themeColor="text1"/>
          <w:sz w:val="32"/>
          <w:szCs w:val="32"/>
          <w14:textFill>
            <w14:solidFill>
              <w14:schemeClr w14:val="tx1"/>
            </w14:solidFill>
          </w14:textFill>
        </w:rPr>
      </w:pPr>
    </w:p>
    <w:p w14:paraId="1B957B27">
      <w:pPr>
        <w:pStyle w:val="12"/>
        <w:spacing w:before="50" w:after="50"/>
        <w:ind w:firstLine="640"/>
        <w:rPr>
          <w:rFonts w:ascii="宋体" w:hAns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50A2510C">
      <w:pPr>
        <w:pStyle w:val="12"/>
        <w:spacing w:before="50" w:after="50"/>
        <w:ind w:firstLine="640"/>
        <w:rPr>
          <w:rFonts w:ascii="宋体" w:hAnsi="宋体" w:cs="仿宋_GB2312"/>
          <w:bCs/>
          <w:color w:val="000000" w:themeColor="text1"/>
          <w:sz w:val="32"/>
          <w:szCs w:val="32"/>
          <w14:textFill>
            <w14:solidFill>
              <w14:schemeClr w14:val="tx1"/>
            </w14:solidFill>
          </w14:textFill>
        </w:rPr>
      </w:pPr>
    </w:p>
    <w:p w14:paraId="7E0C16F1">
      <w:pPr>
        <w:pStyle w:val="12"/>
        <w:spacing w:before="50" w:after="50"/>
        <w:ind w:firstLine="720"/>
        <w:rPr>
          <w:rFonts w:ascii="宋体" w:hAnsi="宋体" w:cs="仿宋_GB2312"/>
          <w:bCs/>
          <w:color w:val="000000" w:themeColor="text1"/>
          <w:sz w:val="32"/>
          <w:szCs w:val="32"/>
          <w14:textFill>
            <w14:solidFill>
              <w14:schemeClr w14:val="tx1"/>
            </w14:solidFill>
          </w14:textFill>
        </w:rPr>
      </w:pPr>
    </w:p>
    <w:p w14:paraId="30D916BC">
      <w:pPr>
        <w:pStyle w:val="12"/>
        <w:spacing w:before="50" w:after="50"/>
        <w:ind w:firstLine="0"/>
        <w:rPr>
          <w:rFonts w:ascii="宋体" w:hAnsi="宋体" w:cs="仿宋_GB2312"/>
          <w:bCs/>
          <w:color w:val="000000" w:themeColor="text1"/>
          <w:sz w:val="32"/>
          <w:szCs w:val="32"/>
          <w14:textFill>
            <w14:solidFill>
              <w14:schemeClr w14:val="tx1"/>
            </w14:solidFill>
          </w14:textFill>
        </w:rPr>
      </w:pPr>
    </w:p>
    <w:p w14:paraId="1349F574">
      <w:pPr>
        <w:pStyle w:val="12"/>
        <w:spacing w:before="50" w:after="50"/>
        <w:ind w:firstLine="1280"/>
        <w:rPr>
          <w:rFonts w:ascii="宋体" w:hAnsi="宋体" w:cs="仿宋_GB2312"/>
          <w:bCs/>
          <w:color w:val="000000" w:themeColor="text1"/>
          <w:sz w:val="32"/>
          <w:szCs w:val="32"/>
          <w14:textFill>
            <w14:solidFill>
              <w14:schemeClr w14:val="tx1"/>
            </w14:solidFill>
          </w14:textFill>
        </w:rPr>
      </w:pPr>
    </w:p>
    <w:p w14:paraId="175A1DBD">
      <w:pPr>
        <w:spacing w:before="120" w:after="50"/>
        <w:jc w:val="center"/>
        <w:rPr>
          <w:rFonts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    月    日</w:t>
      </w:r>
    </w:p>
    <w:p w14:paraId="773390C8">
      <w:pPr>
        <w:numPr>
          <w:ilvl w:val="0"/>
          <w:numId w:val="2"/>
        </w:numPr>
        <w:spacing w:before="120" w:after="50" w:line="360" w:lineRule="auto"/>
        <w:ind w:left="142"/>
        <w:jc w:val="center"/>
        <w:rPr>
          <w:rFonts w:ascii="宋体" w:hAnsi="宋体"/>
          <w:b/>
          <w:bCs/>
          <w:color w:val="000000" w:themeColor="text1"/>
          <w:sz w:val="32"/>
          <w:szCs w:val="32"/>
          <w14:textFill>
            <w14:solidFill>
              <w14:schemeClr w14:val="tx1"/>
            </w14:solidFill>
          </w14:textFill>
        </w:rPr>
      </w:pPr>
      <w:r>
        <w:rPr>
          <w:rFonts w:ascii="宋体" w:hAnsi="宋体"/>
          <w:color w:val="000000" w:themeColor="text1"/>
          <w:sz w:val="24"/>
          <w14:textFill>
            <w14:solidFill>
              <w14:schemeClr w14:val="tx1"/>
            </w14:solidFill>
          </w14:textFill>
        </w:rPr>
        <w:br w:type="page" w:clear="all"/>
      </w:r>
      <w:r>
        <w:rPr>
          <w:rFonts w:hint="eastAsia" w:ascii="宋体" w:hAnsi="宋体"/>
          <w:b/>
          <w:bCs/>
          <w:color w:val="000000" w:themeColor="text1"/>
          <w:sz w:val="32"/>
          <w:szCs w:val="32"/>
          <w14:textFill>
            <w14:solidFill>
              <w14:schemeClr w14:val="tx1"/>
            </w14:solidFill>
          </w14:textFill>
        </w:rPr>
        <w:t>报价商务技术文件目录</w:t>
      </w:r>
    </w:p>
    <w:p w14:paraId="1046408B">
      <w:pPr>
        <w:spacing w:before="120" w:after="50" w:line="360" w:lineRule="auto"/>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报价文件</w:t>
      </w:r>
    </w:p>
    <w:p w14:paraId="7226DFF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竞标报价表；（</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 …（页码）</w:t>
      </w:r>
    </w:p>
    <w:p w14:paraId="586A43BE">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供应商认为需要提供的其他有关资料</w:t>
      </w:r>
      <w:r>
        <w:rPr>
          <w:rFonts w:hint="eastAsia" w:ascii="宋体" w:hAnsi="宋体" w:cs="宋体"/>
          <w:bCs/>
          <w:color w:val="000000" w:themeColor="text1"/>
          <w:spacing w:val="10"/>
          <w:szCs w:val="21"/>
          <w14:textFill>
            <w14:solidFill>
              <w14:schemeClr w14:val="tx1"/>
            </w14:solidFill>
          </w14:textFill>
        </w:rPr>
        <w:t>……………………………………… ………（页码）</w:t>
      </w:r>
    </w:p>
    <w:p w14:paraId="7FB5C189">
      <w:pPr>
        <w:spacing w:line="360" w:lineRule="auto"/>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商务技术文件</w:t>
      </w:r>
    </w:p>
    <w:p w14:paraId="7ACEAC16">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1.无串通竞标行为的承诺函；（</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………………（页码）</w:t>
      </w:r>
    </w:p>
    <w:p w14:paraId="65ACC9FE">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2.法定代表人身份证明书及法定代表人有效身份证正反面复印件；（</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 ………（页码）</w:t>
      </w:r>
    </w:p>
    <w:p w14:paraId="30CDF4C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3.授权委托书及委托代理人有效身份证正反面复印件；（</w:t>
      </w:r>
      <w:r>
        <w:rPr>
          <w:rFonts w:hint="eastAsia" w:ascii="宋体" w:hAnsi="宋体" w:cs="宋体"/>
          <w:b/>
          <w:color w:val="000000" w:themeColor="text1"/>
          <w:szCs w:val="21"/>
          <w14:textFill>
            <w14:solidFill>
              <w14:schemeClr w14:val="tx1"/>
            </w14:solidFill>
          </w14:textFill>
        </w:rPr>
        <w:t>委托时必须提供，否则响应文件按无效处理</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…………………………………………………………………………………（页码）</w:t>
      </w:r>
    </w:p>
    <w:p w14:paraId="68357360">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4.竞标保证金提交凭证；（</w:t>
      </w:r>
      <w:r>
        <w:rPr>
          <w:rFonts w:hint="eastAsia"/>
          <w:b/>
          <w:bCs/>
          <w:color w:val="000000" w:themeColor="text1"/>
          <w14:textFill>
            <w14:solidFill>
              <w14:schemeClr w14:val="tx1"/>
            </w14:solidFill>
          </w14:textFill>
        </w:rPr>
        <w:t>必须提供</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……………………（页码）</w:t>
      </w:r>
    </w:p>
    <w:p w14:paraId="65982355">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5.商务要求偏离表；（</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…………………………（页码）</w:t>
      </w:r>
    </w:p>
    <w:p w14:paraId="18905E94">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6.售后服务承诺；（</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……………………………（页码</w:t>
      </w:r>
    </w:p>
    <w:p w14:paraId="7589206A">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7.货物配置清单（均不含报价）；（</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bCs/>
          <w:color w:val="000000" w:themeColor="text1"/>
          <w:spacing w:val="10"/>
          <w:szCs w:val="21"/>
          <w14:textFill>
            <w14:solidFill>
              <w14:schemeClr w14:val="tx1"/>
            </w14:solidFill>
          </w14:textFill>
        </w:rPr>
        <w:t>……………（页码）</w:t>
      </w:r>
    </w:p>
    <w:p w14:paraId="28AD7BBE">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8.技术要求偏离表（格式后附）；（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…………（页码）</w:t>
      </w:r>
    </w:p>
    <w:p w14:paraId="2270FDF8">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9.《关于符合本国产品标准的声明函》或者财政部会同有关部门规定的有关证明文件；（供应商根据自身响应情况出具）</w:t>
      </w:r>
      <w:r>
        <w:rPr>
          <w:rFonts w:hint="eastAsia" w:ascii="宋体" w:hAnsi="宋体" w:cs="宋体"/>
          <w:bCs/>
          <w:color w:val="000000" w:themeColor="text1"/>
          <w:spacing w:val="10"/>
          <w:szCs w:val="21"/>
          <w14:textFill>
            <w14:solidFill>
              <w14:schemeClr w14:val="tx1"/>
            </w14:solidFill>
          </w14:textFill>
        </w:rPr>
        <w:t>……………………………………………………………（页码）</w:t>
      </w:r>
    </w:p>
    <w:p w14:paraId="63CBD3AE">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r>
        <w:rPr>
          <w:rFonts w:hint="eastAsia" w:ascii="宋体" w:hAnsi="宋体" w:cs="宋体"/>
          <w:bCs/>
          <w:color w:val="000000" w:themeColor="text1"/>
          <w:szCs w:val="21"/>
          <w14:textFill>
            <w14:solidFill>
              <w14:schemeClr w14:val="tx1"/>
            </w14:solidFill>
          </w14:textFill>
        </w:rPr>
        <w:t>代理服务费承诺书</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pacing w:val="10"/>
          <w:szCs w:val="21"/>
          <w14:textFill>
            <w14:solidFill>
              <w14:schemeClr w14:val="tx1"/>
            </w14:solidFill>
          </w14:textFill>
        </w:rPr>
        <w:t>………………………………………………………………（页码）</w:t>
      </w:r>
    </w:p>
    <w:p w14:paraId="1D84AA15">
      <w:pPr>
        <w:spacing w:line="360" w:lineRule="auto"/>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11.对应采购需求的技术要求、商务要求提供的其他文件资料；</w:t>
      </w:r>
      <w:r>
        <w:rPr>
          <w:rFonts w:hint="eastAsia" w:ascii="宋体" w:hAnsi="宋体" w:cs="宋体"/>
          <w:bCs/>
          <w:color w:val="000000" w:themeColor="text1"/>
          <w:spacing w:val="10"/>
          <w:szCs w:val="21"/>
          <w14:textFill>
            <w14:solidFill>
              <w14:schemeClr w14:val="tx1"/>
            </w14:solidFill>
          </w14:textFill>
        </w:rPr>
        <w:t>………………………（页码）</w:t>
      </w:r>
    </w:p>
    <w:p w14:paraId="057DA260">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12.供应商认为需要提供的其他有关资料。</w:t>
      </w:r>
      <w:r>
        <w:rPr>
          <w:rFonts w:hint="eastAsia" w:ascii="宋体" w:hAnsi="宋体" w:cs="宋体"/>
          <w:bCs/>
          <w:color w:val="000000" w:themeColor="text1"/>
          <w:spacing w:val="10"/>
          <w:szCs w:val="21"/>
          <w14:textFill>
            <w14:solidFill>
              <w14:schemeClr w14:val="tx1"/>
            </w14:solidFill>
          </w14:textFill>
        </w:rPr>
        <w:t>………………………………………………（页码）</w:t>
      </w:r>
    </w:p>
    <w:p w14:paraId="3FCAFFF0">
      <w:pPr>
        <w:spacing w:line="400" w:lineRule="exact"/>
        <w:rPr>
          <w:rFonts w:ascii="仿宋_GB2312" w:hAnsi="仿宋_GB2312" w:eastAsia="仿宋_GB2312" w:cs="仿宋_GB2312"/>
          <w:color w:val="000000" w:themeColor="text1"/>
          <w:sz w:val="32"/>
          <w:szCs w:val="32"/>
          <w14:textFill>
            <w14:solidFill>
              <w14:schemeClr w14:val="tx1"/>
            </w14:solidFill>
          </w14:textFill>
        </w:rPr>
      </w:pPr>
      <w:r>
        <w:rPr>
          <w:rFonts w:ascii="宋体" w:hAnsi="宋体" w:cs="宋体"/>
          <w:color w:val="000000" w:themeColor="text1"/>
          <w:sz w:val="24"/>
          <w14:textFill>
            <w14:solidFill>
              <w14:schemeClr w14:val="tx1"/>
            </w14:solidFill>
          </w14:textFill>
        </w:rPr>
        <w:t>注：以上目录是基本格式要求，各供应商可根据自身情况进一步向下增加内容或细化。</w:t>
      </w:r>
    </w:p>
    <w:p w14:paraId="69C96377">
      <w:pPr>
        <w:tabs>
          <w:tab w:val="left" w:pos="3479"/>
        </w:tabs>
        <w:spacing w:line="520" w:lineRule="exact"/>
        <w:jc w:val="center"/>
        <w:rPr>
          <w:rFonts w:ascii="Arial Unicode MS" w:hAnsi="Arial Unicode MS" w:eastAsia="Arial Unicode MS" w:cs="Arial Unicode MS"/>
          <w:bCs/>
          <w:color w:val="000000" w:themeColor="text1"/>
          <w:sz w:val="32"/>
          <w:szCs w:val="32"/>
          <w14:textFill>
            <w14:solidFill>
              <w14:schemeClr w14:val="tx1"/>
            </w14:solidFill>
          </w14:textFill>
        </w:rPr>
      </w:pPr>
      <w:r>
        <w:rPr>
          <w:rFonts w:hint="eastAsia" w:ascii="Arial Unicode MS" w:hAnsi="Arial Unicode MS" w:eastAsia="Arial Unicode MS" w:cs="Arial Unicode MS"/>
          <w:color w:val="000000" w:themeColor="text1"/>
          <w:sz w:val="44"/>
          <w:szCs w:val="44"/>
          <w14:textFill>
            <w14:solidFill>
              <w14:schemeClr w14:val="tx1"/>
            </w14:solidFill>
          </w14:textFill>
        </w:rPr>
        <w:br w:type="page" w:clear="all"/>
      </w:r>
      <w:r>
        <w:rPr>
          <w:rFonts w:hint="eastAsia" w:ascii="Arial Unicode MS" w:hAnsi="Arial Unicode MS" w:eastAsia="Arial Unicode MS" w:cs="Arial Unicode MS"/>
          <w:bCs/>
          <w:color w:val="000000" w:themeColor="text1"/>
          <w:sz w:val="44"/>
          <w:szCs w:val="44"/>
          <w14:textFill>
            <w14:solidFill>
              <w14:schemeClr w14:val="tx1"/>
            </w14:solidFill>
          </w14:textFill>
        </w:rPr>
        <w:t>竞  标  报  价  表</w:t>
      </w:r>
    </w:p>
    <w:p w14:paraId="6DF9BECB">
      <w:pPr>
        <w:spacing w:line="520" w:lineRule="exact"/>
        <w:jc w:val="center"/>
        <w:rPr>
          <w:rFonts w:ascii="Arial Unicode MS" w:hAnsi="Arial Unicode MS" w:eastAsia="Arial Unicode MS" w:cs="Arial Unicode MS"/>
          <w:bCs/>
          <w:color w:val="000000" w:themeColor="text1"/>
          <w:sz w:val="32"/>
          <w:szCs w:val="32"/>
          <w14:textFill>
            <w14:solidFill>
              <w14:schemeClr w14:val="tx1"/>
            </w14:solidFill>
          </w14:textFill>
        </w:rPr>
      </w:pPr>
    </w:p>
    <w:p w14:paraId="21196789">
      <w:pPr>
        <w:spacing w:before="50" w:after="50"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项目编号：</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 xml:space="preserve"> 分标（如有）：</w:t>
      </w:r>
      <w:r>
        <w:rPr>
          <w:rFonts w:hint="eastAsia" w:ascii="宋体" w:hAnsi="宋体" w:cs="仿宋_GB2312"/>
          <w:color w:val="000000" w:themeColor="text1"/>
          <w:sz w:val="24"/>
          <w:u w:val="single"/>
          <w14:textFill>
            <w14:solidFill>
              <w14:schemeClr w14:val="tx1"/>
            </w14:solidFill>
          </w14:textFill>
        </w:rPr>
        <w:t xml:space="preserve">            </w:t>
      </w:r>
    </w:p>
    <w:p w14:paraId="66A5BAEC">
      <w:pPr>
        <w:spacing w:before="50" w:after="50"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 xml:space="preserve">          单位：元</w:t>
      </w:r>
    </w:p>
    <w:tbl>
      <w:tblPr>
        <w:tblStyle w:val="40"/>
        <w:tblW w:w="102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1395"/>
        <w:gridCol w:w="860"/>
      </w:tblGrid>
      <w:tr w14:paraId="688AB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7F00ECDC">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项号</w:t>
            </w:r>
          </w:p>
        </w:tc>
        <w:tc>
          <w:tcPr>
            <w:tcW w:w="1065" w:type="dxa"/>
            <w:tcBorders>
              <w:top w:val="single" w:color="auto" w:sz="4" w:space="0"/>
              <w:left w:val="single" w:color="auto" w:sz="4" w:space="0"/>
              <w:bottom w:val="single" w:color="auto" w:sz="4" w:space="0"/>
              <w:right w:val="single" w:color="auto" w:sz="4" w:space="0"/>
            </w:tcBorders>
            <w:vAlign w:val="center"/>
          </w:tcPr>
          <w:p w14:paraId="618BC129">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标的名称</w:t>
            </w:r>
          </w:p>
        </w:tc>
        <w:tc>
          <w:tcPr>
            <w:tcW w:w="1005" w:type="dxa"/>
            <w:tcBorders>
              <w:top w:val="single" w:color="auto" w:sz="4" w:space="0"/>
              <w:left w:val="single" w:color="auto" w:sz="4" w:space="0"/>
              <w:bottom w:val="single" w:color="auto" w:sz="4" w:space="0"/>
              <w:right w:val="single" w:color="auto" w:sz="4" w:space="0"/>
            </w:tcBorders>
            <w:vAlign w:val="center"/>
          </w:tcPr>
          <w:p w14:paraId="497E2ADE">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数量及单位</w:t>
            </w:r>
          </w:p>
          <w:p w14:paraId="083F72D9">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①</w:t>
            </w:r>
          </w:p>
        </w:tc>
        <w:tc>
          <w:tcPr>
            <w:tcW w:w="870" w:type="dxa"/>
            <w:tcBorders>
              <w:top w:val="single" w:color="auto" w:sz="4" w:space="0"/>
              <w:left w:val="single" w:color="auto" w:sz="4" w:space="0"/>
              <w:bottom w:val="single" w:color="auto" w:sz="4" w:space="0"/>
              <w:right w:val="single" w:color="auto" w:sz="4" w:space="0"/>
            </w:tcBorders>
            <w:vAlign w:val="center"/>
          </w:tcPr>
          <w:p w14:paraId="0525AD67">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1179EF3C">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规格</w:t>
            </w:r>
          </w:p>
          <w:p w14:paraId="0DDB87B9">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型号</w:t>
            </w:r>
          </w:p>
        </w:tc>
        <w:tc>
          <w:tcPr>
            <w:tcW w:w="1200" w:type="dxa"/>
            <w:tcBorders>
              <w:top w:val="single" w:color="auto" w:sz="4" w:space="0"/>
              <w:left w:val="single" w:color="auto" w:sz="4" w:space="0"/>
              <w:bottom w:val="single" w:color="auto" w:sz="4" w:space="0"/>
              <w:right w:val="single" w:color="auto" w:sz="4" w:space="0"/>
            </w:tcBorders>
            <w:vAlign w:val="center"/>
          </w:tcPr>
          <w:p w14:paraId="39F27D27">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制造商</w:t>
            </w:r>
          </w:p>
        </w:tc>
        <w:tc>
          <w:tcPr>
            <w:tcW w:w="1095" w:type="dxa"/>
            <w:tcBorders>
              <w:top w:val="single" w:color="auto" w:sz="4" w:space="0"/>
              <w:left w:val="single" w:color="auto" w:sz="4" w:space="0"/>
              <w:bottom w:val="single" w:color="auto" w:sz="4" w:space="0"/>
              <w:right w:val="single" w:color="auto" w:sz="4" w:space="0"/>
            </w:tcBorders>
            <w:vAlign w:val="center"/>
          </w:tcPr>
          <w:p w14:paraId="26B81CCF">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原产地</w:t>
            </w:r>
          </w:p>
        </w:tc>
        <w:tc>
          <w:tcPr>
            <w:tcW w:w="1095" w:type="dxa"/>
            <w:tcBorders>
              <w:top w:val="single" w:color="auto" w:sz="4" w:space="0"/>
              <w:left w:val="single" w:color="auto" w:sz="4" w:space="0"/>
              <w:bottom w:val="single" w:color="auto" w:sz="4" w:space="0"/>
              <w:right w:val="single" w:color="auto" w:sz="4" w:space="0"/>
            </w:tcBorders>
            <w:vAlign w:val="center"/>
          </w:tcPr>
          <w:p w14:paraId="0035EA4C">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单价</w:t>
            </w:r>
          </w:p>
          <w:p w14:paraId="2F6A28D2">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②</w:t>
            </w:r>
          </w:p>
        </w:tc>
        <w:tc>
          <w:tcPr>
            <w:tcW w:w="1395" w:type="dxa"/>
            <w:tcBorders>
              <w:top w:val="single" w:color="auto" w:sz="4" w:space="0"/>
              <w:left w:val="single" w:color="auto" w:sz="4" w:space="0"/>
              <w:bottom w:val="single" w:color="auto" w:sz="4" w:space="0"/>
              <w:right w:val="single" w:color="auto" w:sz="4" w:space="0"/>
            </w:tcBorders>
            <w:vAlign w:val="center"/>
          </w:tcPr>
          <w:p w14:paraId="16ACD783">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竞标报价</w:t>
            </w:r>
          </w:p>
          <w:p w14:paraId="7FD46892">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③=①×②</w:t>
            </w:r>
          </w:p>
        </w:tc>
        <w:tc>
          <w:tcPr>
            <w:tcW w:w="860" w:type="dxa"/>
            <w:tcBorders>
              <w:top w:val="single" w:color="auto" w:sz="4" w:space="0"/>
              <w:left w:val="single" w:color="auto" w:sz="4" w:space="0"/>
              <w:bottom w:val="single" w:color="auto" w:sz="4" w:space="0"/>
              <w:right w:val="single" w:color="auto" w:sz="4" w:space="0"/>
            </w:tcBorders>
            <w:vAlign w:val="center"/>
          </w:tcPr>
          <w:p w14:paraId="12BC9AC9">
            <w:pPr>
              <w:spacing w:line="360" w:lineRule="auto"/>
              <w:jc w:val="center"/>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备注</w:t>
            </w:r>
          </w:p>
        </w:tc>
      </w:tr>
      <w:tr w14:paraId="11A4F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2D1A1F66">
            <w:pPr>
              <w:spacing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w:t>
            </w:r>
          </w:p>
        </w:tc>
        <w:tc>
          <w:tcPr>
            <w:tcW w:w="1065" w:type="dxa"/>
            <w:tcBorders>
              <w:top w:val="single" w:color="auto" w:sz="4" w:space="0"/>
              <w:left w:val="single" w:color="auto" w:sz="4" w:space="0"/>
              <w:bottom w:val="single" w:color="auto" w:sz="4" w:space="0"/>
              <w:right w:val="single" w:color="auto" w:sz="4" w:space="0"/>
            </w:tcBorders>
            <w:vAlign w:val="center"/>
          </w:tcPr>
          <w:p w14:paraId="5E335675">
            <w:pPr>
              <w:spacing w:line="360" w:lineRule="auto"/>
              <w:jc w:val="center"/>
              <w:rPr>
                <w:rFonts w:ascii="宋体" w:hAnsi="宋体" w:cs="仿宋_GB2312"/>
                <w:color w:val="000000" w:themeColor="text1"/>
                <w:sz w:val="24"/>
                <w14:textFill>
                  <w14:solidFill>
                    <w14:schemeClr w14:val="tx1"/>
                  </w14:solidFill>
                </w14:textFill>
              </w:rPr>
            </w:pPr>
          </w:p>
        </w:tc>
        <w:tc>
          <w:tcPr>
            <w:tcW w:w="1005" w:type="dxa"/>
            <w:tcBorders>
              <w:top w:val="single" w:color="auto" w:sz="4" w:space="0"/>
              <w:left w:val="single" w:color="auto" w:sz="4" w:space="0"/>
              <w:bottom w:val="single" w:color="auto" w:sz="4" w:space="0"/>
              <w:right w:val="single" w:color="auto" w:sz="4" w:space="0"/>
            </w:tcBorders>
            <w:vAlign w:val="center"/>
          </w:tcPr>
          <w:p w14:paraId="7288AE80">
            <w:pPr>
              <w:spacing w:line="360" w:lineRule="auto"/>
              <w:jc w:val="center"/>
              <w:rPr>
                <w:rFonts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009B6934">
            <w:pPr>
              <w:spacing w:line="360" w:lineRule="auto"/>
              <w:jc w:val="center"/>
              <w:rPr>
                <w:rFonts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651F9760">
            <w:pPr>
              <w:spacing w:line="360" w:lineRule="auto"/>
              <w:jc w:val="center"/>
              <w:rPr>
                <w:rFonts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07FF3384">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646814A2">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07EC8836">
            <w:pPr>
              <w:spacing w:line="360" w:lineRule="auto"/>
              <w:jc w:val="center"/>
              <w:rPr>
                <w:rFonts w:ascii="宋体" w:hAnsi="宋体" w:cs="仿宋_GB2312"/>
                <w:color w:val="000000" w:themeColor="text1"/>
                <w:sz w:val="24"/>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14:paraId="18322EAD">
            <w:pPr>
              <w:spacing w:line="360" w:lineRule="auto"/>
              <w:jc w:val="center"/>
              <w:rPr>
                <w:rFonts w:ascii="宋体" w:hAnsi="宋体" w:cs="仿宋_GB2312"/>
                <w:color w:val="000000" w:themeColor="text1"/>
                <w:sz w:val="24"/>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vAlign w:val="center"/>
          </w:tcPr>
          <w:p w14:paraId="58355905">
            <w:pPr>
              <w:spacing w:line="360" w:lineRule="auto"/>
              <w:jc w:val="center"/>
              <w:rPr>
                <w:rFonts w:ascii="宋体" w:hAnsi="宋体" w:cs="仿宋_GB2312"/>
                <w:color w:val="000000" w:themeColor="text1"/>
                <w:sz w:val="24"/>
                <w14:textFill>
                  <w14:solidFill>
                    <w14:schemeClr w14:val="tx1"/>
                  </w14:solidFill>
                </w14:textFill>
              </w:rPr>
            </w:pPr>
          </w:p>
        </w:tc>
      </w:tr>
      <w:tr w14:paraId="56C29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01447F1C">
            <w:pPr>
              <w:spacing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w:t>
            </w:r>
          </w:p>
        </w:tc>
        <w:tc>
          <w:tcPr>
            <w:tcW w:w="1065" w:type="dxa"/>
            <w:tcBorders>
              <w:top w:val="single" w:color="auto" w:sz="4" w:space="0"/>
              <w:left w:val="single" w:color="auto" w:sz="4" w:space="0"/>
              <w:bottom w:val="single" w:color="auto" w:sz="4" w:space="0"/>
              <w:right w:val="single" w:color="auto" w:sz="4" w:space="0"/>
            </w:tcBorders>
            <w:vAlign w:val="center"/>
          </w:tcPr>
          <w:p w14:paraId="3BCD0A85">
            <w:pPr>
              <w:spacing w:line="360" w:lineRule="auto"/>
              <w:jc w:val="center"/>
              <w:rPr>
                <w:rFonts w:ascii="宋体" w:hAnsi="宋体" w:cs="仿宋_GB2312"/>
                <w:color w:val="000000" w:themeColor="text1"/>
                <w:sz w:val="24"/>
                <w14:textFill>
                  <w14:solidFill>
                    <w14:schemeClr w14:val="tx1"/>
                  </w14:solidFill>
                </w14:textFill>
              </w:rPr>
            </w:pPr>
          </w:p>
        </w:tc>
        <w:tc>
          <w:tcPr>
            <w:tcW w:w="1005" w:type="dxa"/>
            <w:tcBorders>
              <w:top w:val="single" w:color="auto" w:sz="4" w:space="0"/>
              <w:left w:val="single" w:color="auto" w:sz="4" w:space="0"/>
              <w:bottom w:val="single" w:color="auto" w:sz="4" w:space="0"/>
              <w:right w:val="single" w:color="auto" w:sz="4" w:space="0"/>
            </w:tcBorders>
            <w:vAlign w:val="center"/>
          </w:tcPr>
          <w:p w14:paraId="441976BF">
            <w:pPr>
              <w:spacing w:line="360" w:lineRule="auto"/>
              <w:jc w:val="center"/>
              <w:rPr>
                <w:rFonts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1FED47F1">
            <w:pPr>
              <w:spacing w:line="360" w:lineRule="auto"/>
              <w:jc w:val="center"/>
              <w:rPr>
                <w:rFonts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6CEDB81F">
            <w:pPr>
              <w:spacing w:line="360" w:lineRule="auto"/>
              <w:jc w:val="center"/>
              <w:rPr>
                <w:rFonts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76BD79B7">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5DF35671">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5B481BB8">
            <w:pPr>
              <w:spacing w:line="360" w:lineRule="auto"/>
              <w:jc w:val="center"/>
              <w:rPr>
                <w:rFonts w:ascii="宋体" w:hAnsi="宋体" w:cs="仿宋_GB2312"/>
                <w:color w:val="000000" w:themeColor="text1"/>
                <w:sz w:val="24"/>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14:paraId="785C468B">
            <w:pPr>
              <w:spacing w:line="360" w:lineRule="auto"/>
              <w:jc w:val="center"/>
              <w:rPr>
                <w:rFonts w:ascii="宋体" w:hAnsi="宋体" w:cs="仿宋_GB2312"/>
                <w:color w:val="000000" w:themeColor="text1"/>
                <w:sz w:val="24"/>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vAlign w:val="center"/>
          </w:tcPr>
          <w:p w14:paraId="070B477F">
            <w:pPr>
              <w:spacing w:line="360" w:lineRule="auto"/>
              <w:jc w:val="center"/>
              <w:rPr>
                <w:rFonts w:ascii="宋体" w:hAnsi="宋体" w:cs="仿宋_GB2312"/>
                <w:color w:val="000000" w:themeColor="text1"/>
                <w:sz w:val="24"/>
                <w14:textFill>
                  <w14:solidFill>
                    <w14:schemeClr w14:val="tx1"/>
                  </w14:solidFill>
                </w14:textFill>
              </w:rPr>
            </w:pPr>
          </w:p>
        </w:tc>
      </w:tr>
      <w:tr w14:paraId="639ED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02146B4B">
            <w:pPr>
              <w:spacing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w:t>
            </w:r>
          </w:p>
        </w:tc>
        <w:tc>
          <w:tcPr>
            <w:tcW w:w="1065" w:type="dxa"/>
            <w:tcBorders>
              <w:top w:val="single" w:color="auto" w:sz="4" w:space="0"/>
              <w:left w:val="single" w:color="auto" w:sz="4" w:space="0"/>
              <w:bottom w:val="single" w:color="auto" w:sz="4" w:space="0"/>
              <w:right w:val="single" w:color="auto" w:sz="4" w:space="0"/>
            </w:tcBorders>
            <w:vAlign w:val="center"/>
          </w:tcPr>
          <w:p w14:paraId="6464D7F6">
            <w:pPr>
              <w:spacing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w:t>
            </w:r>
          </w:p>
        </w:tc>
        <w:tc>
          <w:tcPr>
            <w:tcW w:w="1005" w:type="dxa"/>
            <w:tcBorders>
              <w:top w:val="single" w:color="auto" w:sz="4" w:space="0"/>
              <w:left w:val="single" w:color="auto" w:sz="4" w:space="0"/>
              <w:bottom w:val="single" w:color="auto" w:sz="4" w:space="0"/>
              <w:right w:val="single" w:color="auto" w:sz="4" w:space="0"/>
            </w:tcBorders>
            <w:vAlign w:val="center"/>
          </w:tcPr>
          <w:p w14:paraId="0BBDEFA9">
            <w:pPr>
              <w:spacing w:line="360" w:lineRule="auto"/>
              <w:jc w:val="center"/>
              <w:rPr>
                <w:rFonts w:ascii="宋体" w:hAnsi="宋体" w:cs="仿宋_GB2312"/>
                <w:color w:val="000000" w:themeColor="text1"/>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109FD11B">
            <w:pPr>
              <w:spacing w:line="360" w:lineRule="auto"/>
              <w:jc w:val="center"/>
              <w:rPr>
                <w:rFonts w:ascii="宋体" w:hAnsi="宋体" w:cs="仿宋_GB2312"/>
                <w:color w:val="000000" w:themeColor="text1"/>
                <w:sz w:val="24"/>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5E25C0D0">
            <w:pPr>
              <w:spacing w:line="360" w:lineRule="auto"/>
              <w:jc w:val="center"/>
              <w:rPr>
                <w:rFonts w:ascii="宋体" w:hAnsi="宋体" w:cs="仿宋_GB2312"/>
                <w:color w:val="000000" w:themeColor="text1"/>
                <w:sz w:val="24"/>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6962DAC1">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106F0D3C">
            <w:pPr>
              <w:spacing w:line="360" w:lineRule="auto"/>
              <w:jc w:val="center"/>
              <w:rPr>
                <w:rFonts w:ascii="宋体" w:hAnsi="宋体"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0F5B7896">
            <w:pPr>
              <w:spacing w:line="360" w:lineRule="auto"/>
              <w:jc w:val="center"/>
              <w:rPr>
                <w:rFonts w:ascii="宋体" w:hAnsi="宋体" w:cs="仿宋_GB2312"/>
                <w:color w:val="000000" w:themeColor="text1"/>
                <w:sz w:val="24"/>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14:paraId="432DD867">
            <w:pPr>
              <w:spacing w:line="360" w:lineRule="auto"/>
              <w:jc w:val="center"/>
              <w:rPr>
                <w:rFonts w:ascii="宋体" w:hAnsi="宋体" w:cs="仿宋_GB2312"/>
                <w:color w:val="000000" w:themeColor="text1"/>
                <w:sz w:val="24"/>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vAlign w:val="center"/>
          </w:tcPr>
          <w:p w14:paraId="50D3ACF3">
            <w:pPr>
              <w:spacing w:line="360" w:lineRule="auto"/>
              <w:jc w:val="center"/>
              <w:rPr>
                <w:rFonts w:ascii="宋体" w:hAnsi="宋体" w:cs="仿宋_GB2312"/>
                <w:color w:val="000000" w:themeColor="text1"/>
                <w:sz w:val="24"/>
                <w14:textFill>
                  <w14:solidFill>
                    <w14:schemeClr w14:val="tx1"/>
                  </w14:solidFill>
                </w14:textFill>
              </w:rPr>
            </w:pPr>
          </w:p>
        </w:tc>
      </w:tr>
      <w:tr w14:paraId="44F2A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257" w:type="dxa"/>
            <w:gridSpan w:val="10"/>
            <w:tcBorders>
              <w:top w:val="single" w:color="auto" w:sz="4" w:space="0"/>
              <w:left w:val="single" w:color="auto" w:sz="4" w:space="0"/>
              <w:bottom w:val="single" w:color="auto" w:sz="4" w:space="0"/>
              <w:right w:val="single" w:color="auto" w:sz="4" w:space="0"/>
            </w:tcBorders>
          </w:tcPr>
          <w:p w14:paraId="5F78EB53">
            <w:pPr>
              <w:spacing w:before="50" w:after="50"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合计金额大写：人民币</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w:t>
            </w:r>
          </w:p>
          <w:p w14:paraId="3CE8AAF1">
            <w:pPr>
              <w:spacing w:before="50" w:after="50" w:line="360" w:lineRule="auto"/>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u w:val="single"/>
                <w14:textFill>
                  <w14:solidFill>
                    <w14:schemeClr w14:val="tx1"/>
                  </w14:solidFill>
                </w14:textFill>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14:paraId="2BED8376">
      <w:pPr>
        <w:spacing w:line="360" w:lineRule="auto"/>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注： </w:t>
      </w:r>
    </w:p>
    <w:p w14:paraId="51D91DD5">
      <w:pPr>
        <w:spacing w:line="360" w:lineRule="auto"/>
        <w:ind w:firstLine="480"/>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w:t>
      </w:r>
      <w:r>
        <w:rPr>
          <w:rFonts w:ascii="宋体" w:hAnsi="宋体" w:cs="仿宋_GB2312"/>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以上竞标报价表中“标的名称、数量及单位、品牌、规格型号、制造商、原产地”必须如实填写完整，品牌、规格型号没有则填无，填写有缺漏</w:t>
      </w:r>
      <w:r>
        <w:rPr>
          <w:rFonts w:hint="eastAsia" w:ascii="宋体" w:hAnsi="宋体"/>
          <w:bCs/>
          <w:color w:val="000000" w:themeColor="text1"/>
          <w:sz w:val="24"/>
          <w14:textFill>
            <w14:solidFill>
              <w14:schemeClr w14:val="tx1"/>
            </w14:solidFill>
          </w14:textFill>
        </w:rPr>
        <w:t>的，</w:t>
      </w:r>
      <w:r>
        <w:rPr>
          <w:rFonts w:hint="eastAsia" w:ascii="宋体" w:hAnsi="宋体" w:cs="仿宋_GB2312"/>
          <w:b/>
          <w:color w:val="000000" w:themeColor="text1"/>
          <w:sz w:val="24"/>
          <w14:textFill>
            <w14:solidFill>
              <w14:schemeClr w14:val="tx1"/>
            </w14:solidFill>
          </w14:textFill>
        </w:rPr>
        <w:t>其响应文件按无效处理</w:t>
      </w:r>
      <w:r>
        <w:rPr>
          <w:rFonts w:hint="eastAsia" w:ascii="宋体" w:hAnsi="宋体"/>
          <w:b/>
          <w:color w:val="000000" w:themeColor="text1"/>
          <w:sz w:val="24"/>
          <w14:textFill>
            <w14:solidFill>
              <w14:schemeClr w14:val="tx1"/>
            </w14:solidFill>
          </w14:textFill>
        </w:rPr>
        <w:t>。</w:t>
      </w:r>
    </w:p>
    <w:p w14:paraId="115A57A9">
      <w:pPr>
        <w:spacing w:line="360" w:lineRule="auto"/>
        <w:ind w:firstLine="480"/>
        <w:contextualSpacing/>
        <w:jc w:val="left"/>
        <w:rPr>
          <w:rFonts w:ascii="宋体" w:hAns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51E1BBB8">
      <w:pPr>
        <w:spacing w:line="360" w:lineRule="auto"/>
        <w:ind w:firstLine="480"/>
        <w:contextualSpacing/>
        <w:jc w:val="left"/>
        <w:rPr>
          <w:rFonts w:ascii="宋体" w:hAnsi="宋体" w:cs="仿宋_GB2312"/>
          <w:b/>
          <w:color w:val="000000" w:themeColor="text1"/>
          <w:sz w:val="24"/>
          <w14:textFill>
            <w14:solidFill>
              <w14:schemeClr w14:val="tx1"/>
            </w14:solidFill>
          </w14:textFill>
        </w:rPr>
      </w:pPr>
      <w:r>
        <w:rPr>
          <w:rFonts w:ascii="宋体" w:hAnsi="宋体" w:cs="仿宋_GB2312"/>
          <w:bCs/>
          <w:color w:val="000000" w:themeColor="text1"/>
          <w:sz w:val="24"/>
          <w14:textFill>
            <w14:solidFill>
              <w14:schemeClr w14:val="tx1"/>
            </w14:solidFill>
          </w14:textFill>
        </w:rPr>
        <w:t>3</w:t>
      </w:r>
      <w:r>
        <w:rPr>
          <w:rFonts w:hint="eastAsia" w:ascii="宋体" w:hAnsi="宋体" w:cs="仿宋_GB2312"/>
          <w:bCs/>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5BEB6D11">
      <w:pPr>
        <w:spacing w:line="360" w:lineRule="auto"/>
        <w:ind w:firstLine="480"/>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4.谈判文件中列明采购专用耗材的，应按谈判文件规定的耗材量或者按耗材的常规使用量提供报价。</w:t>
      </w:r>
    </w:p>
    <w:p w14:paraId="71C3FC3D">
      <w:pPr>
        <w:spacing w:line="360" w:lineRule="auto"/>
        <w:ind w:firstLine="480"/>
        <w:contextualSpacing/>
        <w:jc w:val="left"/>
        <w:rPr>
          <w:rFonts w:ascii="宋体" w:hAnsi="宋体" w:cs="仿宋_GB2312"/>
          <w:b/>
          <w:color w:val="000000" w:themeColor="text1"/>
          <w:spacing w:val="-6"/>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pacing w:val="-6"/>
          <w:sz w:val="24"/>
          <w14:textFill>
            <w14:solidFill>
              <w14:schemeClr w14:val="tx1"/>
            </w14:solidFill>
          </w14:textFill>
        </w:rPr>
        <w:t>如有多分标，分别列明各分标的报价表，</w:t>
      </w:r>
      <w:r>
        <w:rPr>
          <w:rFonts w:hint="eastAsia" w:ascii="宋体" w:hAnsi="宋体" w:cs="仿宋_GB2312"/>
          <w:b/>
          <w:color w:val="000000" w:themeColor="text1"/>
          <w:spacing w:val="-6"/>
          <w:sz w:val="24"/>
          <w14:textFill>
            <w14:solidFill>
              <w14:schemeClr w14:val="tx1"/>
            </w14:solidFill>
          </w14:textFill>
        </w:rPr>
        <w:t>否则其响应文件按无效处理。</w:t>
      </w:r>
    </w:p>
    <w:p w14:paraId="06B0B2EA">
      <w:pPr>
        <w:spacing w:line="360" w:lineRule="auto"/>
        <w:ind w:firstLine="458"/>
        <w:contextualSpacing/>
        <w:jc w:val="left"/>
        <w:rPr>
          <w:rFonts w:ascii="宋体" w:hAnsi="宋体" w:cs="仿宋_GB2312"/>
          <w:b/>
          <w:color w:val="000000" w:themeColor="text1"/>
          <w:spacing w:val="-6"/>
          <w:sz w:val="24"/>
          <w14:textFill>
            <w14:solidFill>
              <w14:schemeClr w14:val="tx1"/>
            </w14:solidFill>
          </w14:textFill>
        </w:rPr>
      </w:pPr>
      <w:r>
        <w:rPr>
          <w:rFonts w:hint="eastAsia" w:ascii="宋体" w:hAnsi="宋体" w:cs="仿宋_GB2312"/>
          <w:b/>
          <w:color w:val="000000" w:themeColor="text1"/>
          <w:spacing w:val="-6"/>
          <w:sz w:val="24"/>
          <w14:textFill>
            <w14:solidFill>
              <w14:schemeClr w14:val="tx1"/>
            </w14:solidFill>
          </w14:textFill>
        </w:rPr>
        <w:t>6.供应商的最后报价与首次报价不一致的，不能只报竞标总报价，必须同时提供与最后报价相应的“竞标报价表”作为附件上传，否则做无效响应处理。</w:t>
      </w:r>
    </w:p>
    <w:p w14:paraId="43CC6D23">
      <w:pPr>
        <w:spacing w:line="360" w:lineRule="auto"/>
        <w:ind w:firstLine="458"/>
        <w:contextualSpacing/>
        <w:jc w:val="left"/>
        <w:rPr>
          <w:rFonts w:ascii="宋体" w:hAnsi="宋体" w:cs="仿宋_GB2312"/>
          <w:b/>
          <w:color w:val="000000" w:themeColor="text1"/>
          <w:spacing w:val="-6"/>
          <w:sz w:val="24"/>
          <w14:textFill>
            <w14:solidFill>
              <w14:schemeClr w14:val="tx1"/>
            </w14:solidFill>
          </w14:textFill>
        </w:rPr>
      </w:pPr>
      <w:r>
        <w:rPr>
          <w:rFonts w:hint="eastAsia" w:ascii="宋体" w:hAnsi="宋体" w:cs="仿宋_GB2312"/>
          <w:b/>
          <w:color w:val="000000" w:themeColor="text1"/>
          <w:spacing w:val="-6"/>
          <w:sz w:val="24"/>
          <w14:textFill>
            <w14:solidFill>
              <w14:schemeClr w14:val="tx1"/>
            </w14:solidFill>
          </w14:textFill>
        </w:rPr>
        <w:t>备注：具体报价明细供应商必须上传竞标报价附表，最后报价若改变原各单项报价，必须上传最后报价附表，否则竞标无效。</w:t>
      </w:r>
    </w:p>
    <w:p w14:paraId="14839F0D">
      <w:pPr>
        <w:spacing w:line="360" w:lineRule="auto"/>
        <w:ind w:right="-817" w:firstLine="2640"/>
        <w:contextualSpacing/>
        <w:rPr>
          <w:rFonts w:ascii="宋体" w:hAnsi="宋体" w:cs="仿宋_GB2312"/>
          <w:color w:val="000000" w:themeColor="text1"/>
          <w:sz w:val="24"/>
          <w14:textFill>
            <w14:solidFill>
              <w14:schemeClr w14:val="tx1"/>
            </w14:solidFill>
          </w14:textFill>
        </w:rPr>
      </w:pPr>
    </w:p>
    <w:p w14:paraId="18796634">
      <w:pPr>
        <w:spacing w:line="360" w:lineRule="auto"/>
        <w:ind w:right="-817" w:firstLine="26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法定代表人或者委托代理人（签字或者电子签名）：                    </w:t>
      </w:r>
    </w:p>
    <w:p w14:paraId="0452A060">
      <w:pPr>
        <w:spacing w:line="360" w:lineRule="auto"/>
        <w:ind w:right="-817" w:firstLine="26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70DF414A">
      <w:pPr>
        <w:spacing w:line="360" w:lineRule="auto"/>
        <w:ind w:right="-817" w:firstLine="4080"/>
        <w:contextualSpacing/>
        <w:rPr>
          <w:rFonts w:ascii="仿宋_GB2312" w:hAnsi="仿宋_GB2312" w:eastAsia="仿宋_GB2312" w:cs="仿宋_GB2312"/>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3FD8997C">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Courier New"/>
          <w:b/>
          <w:color w:val="000000" w:themeColor="text1"/>
          <w:sz w:val="32"/>
          <w:szCs w:val="32"/>
          <w14:textFill>
            <w14:solidFill>
              <w14:schemeClr w14:val="tx1"/>
            </w14:solidFill>
          </w14:textFill>
        </w:rPr>
        <w:br w:type="page" w:clear="all"/>
      </w:r>
      <w:r>
        <w:rPr>
          <w:rFonts w:hint="eastAsia" w:ascii="宋体" w:hAnsi="Courier New"/>
          <w:b/>
          <w:color w:val="000000" w:themeColor="text1"/>
          <w:sz w:val="32"/>
          <w:szCs w:val="32"/>
          <w14:textFill>
            <w14:solidFill>
              <w14:schemeClr w14:val="tx1"/>
            </w14:solidFill>
          </w14:textFill>
        </w:rPr>
        <w:t>1.</w:t>
      </w:r>
      <w:r>
        <w:rPr>
          <w:rFonts w:hint="eastAsia" w:ascii="Arial Unicode MS" w:hAnsi="Arial Unicode MS" w:eastAsia="Arial Unicode MS" w:cs="Arial Unicode MS"/>
          <w:color w:val="000000" w:themeColor="text1"/>
          <w:sz w:val="44"/>
          <w:szCs w:val="44"/>
          <w14:textFill>
            <w14:solidFill>
              <w14:schemeClr w14:val="tx1"/>
            </w14:solidFill>
          </w14:textFill>
        </w:rPr>
        <w:t>无串通竞标行为的承诺函</w:t>
      </w:r>
    </w:p>
    <w:p w14:paraId="73850F92">
      <w:pPr>
        <w:spacing w:line="360" w:lineRule="auto"/>
        <w:ind w:firstLine="640"/>
        <w:contextualSpacing/>
        <w:rPr>
          <w:rFonts w:ascii="仿宋_GB2312" w:hAnsi="仿宋_GB2312" w:eastAsia="仿宋_GB2312" w:cs="仿宋_GB2312"/>
          <w:color w:val="000000" w:themeColor="text1"/>
          <w:sz w:val="32"/>
          <w:szCs w:val="32"/>
          <w14:textFill>
            <w14:solidFill>
              <w14:schemeClr w14:val="tx1"/>
            </w14:solidFill>
          </w14:textFill>
        </w:rPr>
      </w:pPr>
    </w:p>
    <w:p w14:paraId="52B358F6">
      <w:pPr>
        <w:spacing w:line="360" w:lineRule="auto"/>
        <w:ind w:firstLine="482"/>
        <w:contextualSpacing/>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4568B833">
      <w:pPr>
        <w:spacing w:line="360" w:lineRule="auto"/>
        <w:ind w:firstLine="480"/>
        <w:contextualSpacing/>
        <w:rPr>
          <w:rFonts w:ascii="宋体" w:hAnsi="宋体" w:cs="仿宋_GB2312"/>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1.不同供应商的响应文件由同一单位或者个人编制；或者不同供应商报名的IP地址一致的；或者编制响应文件硬件设备 CPU 编号、硬盘编号、网卡地址一致的情况</w:t>
      </w:r>
      <w:r>
        <w:rPr>
          <w:rFonts w:hint="eastAsia" w:ascii="宋体" w:hAnsi="宋体" w:cs="仿宋_GB2312"/>
          <w:color w:val="000000" w:themeColor="text1"/>
          <w:sz w:val="24"/>
          <w14:textFill>
            <w14:solidFill>
              <w14:schemeClr w14:val="tx1"/>
            </w14:solidFill>
          </w14:textFill>
        </w:rPr>
        <w:t>；</w:t>
      </w:r>
    </w:p>
    <w:p w14:paraId="5D6F4668">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2.不同供应商委托同一单位或者个人办理竞标事宜；</w:t>
      </w:r>
    </w:p>
    <w:p w14:paraId="10ECE15F">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3.不同的供应商的响应文件载明的项目管理员为同一个人；</w:t>
      </w:r>
    </w:p>
    <w:p w14:paraId="6A8EA7F7">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4.不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7DCEA03E">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5.不同供应商的响应文件相互混装；</w:t>
      </w:r>
    </w:p>
    <w:p w14:paraId="7AE671D7">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6.不同供应商的竞标保证金从同一单位或者个人账户转出。</w:t>
      </w:r>
    </w:p>
    <w:p w14:paraId="75AA471A">
      <w:pPr>
        <w:spacing w:line="360" w:lineRule="auto"/>
        <w:ind w:firstLine="482"/>
        <w:contextualSpacing/>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2076B658">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1.供应商直接或者间接从采购人或者采购代理机构处获得其他供应商的相关信息并修改其响应文件；</w:t>
      </w:r>
    </w:p>
    <w:p w14:paraId="053E183A">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2.供应商按照采购人或者采购代理机构的授意撤换、修改响应文件；</w:t>
      </w:r>
    </w:p>
    <w:p w14:paraId="3A341CC6">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3.供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7C409824">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4.属于同一集团、协会、商会等组织成员的供应商按照该组织要求协同参加政府采购活动；</w:t>
      </w:r>
    </w:p>
    <w:p w14:paraId="55199077">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5.供应商之间事先约定一致抬高或者压低竞标报价，或者在竞争性谈判项目中事先约定轮流以高价位或者低价位成交，或者事先约定由某一特定供应商成交，然后再参加竞标；</w:t>
      </w:r>
    </w:p>
    <w:p w14:paraId="50C81AF1">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6.供应商之间商定部分供应商放弃参加政府采购活动或者放弃成交；</w:t>
      </w:r>
    </w:p>
    <w:p w14:paraId="27BE771A">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50EBFB55">
      <w:pPr>
        <w:spacing w:line="360" w:lineRule="auto"/>
        <w:ind w:firstLine="480"/>
        <w:contextualSpacing/>
        <w:rPr>
          <w:rFonts w:ascii="宋体" w:hAnsi="宋体" w:cs="仿宋_GB2312"/>
          <w:color w:val="000000" w:themeColor="text1"/>
          <w:sz w:val="24"/>
          <w14:textFill>
            <w14:solidFill>
              <w14:schemeClr w14:val="tx1"/>
            </w14:solidFill>
          </w14:textFill>
        </w:rPr>
      </w:pPr>
    </w:p>
    <w:p w14:paraId="0815D262">
      <w:pPr>
        <w:spacing w:line="360" w:lineRule="auto"/>
        <w:ind w:firstLine="482"/>
        <w:contextualSpacing/>
        <w:rPr>
          <w:rFonts w:ascii="宋体" w:hAnsi="宋体" w:cs="仿宋_GB2312"/>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4834BFA9">
      <w:pPr>
        <w:spacing w:line="360" w:lineRule="auto"/>
        <w:ind w:firstLine="360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AA989DE">
      <w:pPr>
        <w:spacing w:line="360" w:lineRule="auto"/>
        <w:ind w:firstLine="480"/>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年   月   日</w:t>
      </w:r>
    </w:p>
    <w:p w14:paraId="451ACA76">
      <w:pPr>
        <w:spacing w:line="360" w:lineRule="auto"/>
        <w:ind w:firstLine="640"/>
        <w:contextualSpacing/>
        <w:jc w:val="center"/>
        <w:rPr>
          <w:rFonts w:ascii="宋体" w:hAnsi="宋体" w:cs="仿宋_GB2312"/>
          <w:color w:val="000000" w:themeColor="text1"/>
          <w:sz w:val="32"/>
          <w:szCs w:val="32"/>
          <w14:textFill>
            <w14:solidFill>
              <w14:schemeClr w14:val="tx1"/>
            </w14:solidFill>
          </w14:textFill>
        </w:rPr>
      </w:pPr>
    </w:p>
    <w:p w14:paraId="2FD5EF47">
      <w:pPr>
        <w:spacing w:before="240" w:after="120" w:line="520" w:lineRule="exact"/>
        <w:ind w:left="54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2.法定代表人证明书</w:t>
      </w:r>
    </w:p>
    <w:p w14:paraId="3D494B8A">
      <w:pPr>
        <w:spacing w:line="360" w:lineRule="auto"/>
        <w:ind w:left="540"/>
        <w:contextualSpacing/>
        <w:rPr>
          <w:rFonts w:ascii="仿宋_GB2312" w:hAnsi="仿宋_GB2312" w:eastAsia="仿宋_GB2312" w:cs="仿宋_GB2312"/>
          <w:color w:val="000000" w:themeColor="text1"/>
          <w:sz w:val="32"/>
          <w:szCs w:val="32"/>
          <w14:textFill>
            <w14:solidFill>
              <w14:schemeClr w14:val="tx1"/>
            </w14:solidFill>
          </w14:textFill>
        </w:rPr>
      </w:pPr>
    </w:p>
    <w:p w14:paraId="3FE3B151">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r>
        <w:rPr>
          <w:rFonts w:hint="eastAsia" w:ascii="宋体" w:hAnsi="宋体" w:cs="仿宋_GB2312"/>
          <w:color w:val="000000" w:themeColor="text1"/>
          <w:sz w:val="24"/>
          <w:u w:val="single"/>
          <w14:textFill>
            <w14:solidFill>
              <w14:schemeClr w14:val="tx1"/>
            </w14:solidFill>
          </w14:textFill>
        </w:rPr>
        <w:t xml:space="preserve">                                                        </w:t>
      </w:r>
    </w:p>
    <w:p w14:paraId="1D165582">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    址：</w:t>
      </w:r>
      <w:r>
        <w:rPr>
          <w:rFonts w:hint="eastAsia" w:ascii="宋体" w:hAnsi="宋体" w:cs="仿宋_GB2312"/>
          <w:color w:val="000000" w:themeColor="text1"/>
          <w:sz w:val="24"/>
          <w:u w:val="single"/>
          <w14:textFill>
            <w14:solidFill>
              <w14:schemeClr w14:val="tx1"/>
            </w14:solidFill>
          </w14:textFill>
        </w:rPr>
        <w:t xml:space="preserve">                                                        </w:t>
      </w:r>
    </w:p>
    <w:p w14:paraId="7CDB10F9">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    名：</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性      别：</w:t>
      </w:r>
      <w:r>
        <w:rPr>
          <w:rFonts w:hint="eastAsia" w:ascii="宋体" w:hAnsi="宋体" w:cs="仿宋_GB2312"/>
          <w:color w:val="000000" w:themeColor="text1"/>
          <w:sz w:val="24"/>
          <w:u w:val="single"/>
          <w14:textFill>
            <w14:solidFill>
              <w14:schemeClr w14:val="tx1"/>
            </w14:solidFill>
          </w14:textFill>
        </w:rPr>
        <w:t xml:space="preserve">                </w:t>
      </w:r>
    </w:p>
    <w:p w14:paraId="7B271BDC">
      <w:pPr>
        <w:spacing w:line="360" w:lineRule="auto"/>
        <w:ind w:left="540"/>
        <w:contextualSpacing/>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    龄：</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职      务：</w:t>
      </w:r>
      <w:r>
        <w:rPr>
          <w:rFonts w:hint="eastAsia" w:ascii="宋体" w:hAnsi="宋体" w:cs="仿宋_GB2312"/>
          <w:color w:val="000000" w:themeColor="text1"/>
          <w:sz w:val="24"/>
          <w:u w:val="single"/>
          <w14:textFill>
            <w14:solidFill>
              <w14:schemeClr w14:val="tx1"/>
            </w14:solidFill>
          </w14:textFill>
        </w:rPr>
        <w:t xml:space="preserve">                </w:t>
      </w:r>
    </w:p>
    <w:p w14:paraId="2664CD6C">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r>
        <w:rPr>
          <w:rFonts w:hint="eastAsia" w:ascii="宋体" w:hAnsi="宋体" w:cs="仿宋_GB2312"/>
          <w:color w:val="000000" w:themeColor="text1"/>
          <w:sz w:val="24"/>
          <w:u w:val="single"/>
          <w14:textFill>
            <w14:solidFill>
              <w14:schemeClr w14:val="tx1"/>
            </w14:solidFill>
          </w14:textFill>
        </w:rPr>
        <w:t xml:space="preserve">                                        </w:t>
      </w:r>
    </w:p>
    <w:p w14:paraId="04295D83">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 xml:space="preserve"> </w:t>
      </w:r>
      <w:r>
        <w:rPr>
          <w:rFonts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u w:val="single"/>
          <w14:textFill>
            <w14:solidFill>
              <w14:schemeClr w14:val="tx1"/>
            </w14:solidFill>
          </w14:textFill>
        </w:rPr>
        <w:t xml:space="preserve">（供应商名称） </w:t>
      </w:r>
      <w:r>
        <w:rPr>
          <w:rFonts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的法定代表人。</w:t>
      </w:r>
    </w:p>
    <w:p w14:paraId="41F523AF">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7466DA25">
      <w:pPr>
        <w:spacing w:line="360" w:lineRule="auto"/>
        <w:ind w:left="540"/>
        <w:contextualSpacing/>
        <w:rPr>
          <w:rFonts w:ascii="宋体" w:hAnsi="宋体" w:cs="仿宋_GB2312"/>
          <w:color w:val="000000" w:themeColor="text1"/>
          <w:sz w:val="24"/>
          <w14:textFill>
            <w14:solidFill>
              <w14:schemeClr w14:val="tx1"/>
            </w14:solidFill>
          </w14:textFill>
        </w:rPr>
      </w:pPr>
    </w:p>
    <w:p w14:paraId="28CBBB06">
      <w:pPr>
        <w:spacing w:line="360" w:lineRule="auto"/>
        <w:ind w:left="540"/>
        <w:contextualSpacing/>
        <w:rPr>
          <w:rFonts w:ascii="宋体" w:hAnsi="宋体" w:cs="仿宋_GB2312"/>
          <w:color w:val="000000" w:themeColor="text1"/>
          <w:sz w:val="24"/>
          <w14:textFill>
            <w14:solidFill>
              <w14:schemeClr w14:val="tx1"/>
            </w14:solidFill>
          </w14:textFill>
        </w:rPr>
      </w:pPr>
    </w:p>
    <w:p w14:paraId="2AD29924">
      <w:pPr>
        <w:spacing w:line="360" w:lineRule="auto"/>
        <w:ind w:left="540"/>
        <w:contextualSpacing/>
        <w:rPr>
          <w:rFonts w:ascii="宋体" w:hAnsi="宋体" w:cs="仿宋_GB2312"/>
          <w:color w:val="000000" w:themeColor="text1"/>
          <w:sz w:val="24"/>
          <w14:textFill>
            <w14:solidFill>
              <w14:schemeClr w14:val="tx1"/>
            </w14:solidFill>
          </w14:textFill>
        </w:rPr>
      </w:pPr>
    </w:p>
    <w:p w14:paraId="6C49CA40">
      <w:pPr>
        <w:spacing w:line="360" w:lineRule="auto"/>
        <w:ind w:left="54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65E0E0B9">
      <w:pPr>
        <w:spacing w:line="360" w:lineRule="auto"/>
        <w:ind w:left="540"/>
        <w:contextualSpacing/>
        <w:rPr>
          <w:rFonts w:ascii="宋体" w:hAnsi="宋体" w:cs="仿宋_GB2312"/>
          <w:color w:val="000000" w:themeColor="text1"/>
          <w:sz w:val="24"/>
          <w14:textFill>
            <w14:solidFill>
              <w14:schemeClr w14:val="tx1"/>
            </w14:solidFill>
          </w14:textFill>
        </w:rPr>
      </w:pPr>
    </w:p>
    <w:p w14:paraId="7F1A1390">
      <w:pPr>
        <w:spacing w:line="360" w:lineRule="auto"/>
        <w:ind w:left="540"/>
        <w:contextualSpacing/>
        <w:jc w:val="righ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r>
        <w:rPr>
          <w:rFonts w:hint="eastAsia" w:ascii="宋体" w:hAnsi="宋体" w:cs="仿宋_GB2312"/>
          <w:color w:val="000000" w:themeColor="text1"/>
          <w:sz w:val="24"/>
          <w:u w:val="single"/>
          <w14:textFill>
            <w14:solidFill>
              <w14:schemeClr w14:val="tx1"/>
            </w14:solidFill>
          </w14:textFill>
        </w:rPr>
        <w:t xml:space="preserve">               </w:t>
      </w:r>
    </w:p>
    <w:p w14:paraId="266D6CE8">
      <w:pPr>
        <w:spacing w:line="360" w:lineRule="auto"/>
        <w:ind w:firstLine="40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年</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月</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日</w:t>
      </w:r>
    </w:p>
    <w:p w14:paraId="4EF7C1D8">
      <w:pPr>
        <w:spacing w:line="360" w:lineRule="auto"/>
        <w:contextualSpacing/>
        <w:jc w:val="center"/>
        <w:rPr>
          <w:rFonts w:ascii="宋体" w:hAnsi="宋体" w:cs="仿宋_GB2312"/>
          <w:b/>
          <w:color w:val="000000" w:themeColor="text1"/>
          <w:sz w:val="24"/>
          <w14:textFill>
            <w14:solidFill>
              <w14:schemeClr w14:val="tx1"/>
            </w14:solidFill>
          </w14:textFill>
        </w:rPr>
      </w:pPr>
    </w:p>
    <w:p w14:paraId="11D452D7">
      <w:pPr>
        <w:spacing w:line="360" w:lineRule="auto"/>
        <w:contextualSpacing/>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注：自然人竞标的无需提供，联合体竞标的只需牵头人出具。</w:t>
      </w:r>
    </w:p>
    <w:p w14:paraId="197AADA4">
      <w:pPr>
        <w:spacing w:line="300" w:lineRule="auto"/>
        <w:jc w:val="left"/>
        <w:rPr>
          <w:rFonts w:ascii="宋体" w:hAnsi="宋体"/>
          <w:b/>
          <w:color w:val="000000" w:themeColor="text1"/>
          <w:szCs w:val="21"/>
          <w14:textFill>
            <w14:solidFill>
              <w14:schemeClr w14:val="tx1"/>
            </w14:solidFill>
          </w14:textFill>
        </w:rPr>
      </w:pPr>
    </w:p>
    <w:p w14:paraId="12643483">
      <w:pPr>
        <w:spacing w:line="520" w:lineRule="exact"/>
        <w:jc w:val="center"/>
        <w:rPr>
          <w:rFonts w:ascii="Arial Unicode MS" w:hAnsi="Arial Unicode MS" w:eastAsia="Arial Unicode MS" w:cs="Arial Unicode MS"/>
          <w:color w:val="000000" w:themeColor="text1"/>
          <w:sz w:val="44"/>
          <w:szCs w:val="44"/>
          <w14:textFill>
            <w14:solidFill>
              <w14:schemeClr w14:val="tx1"/>
            </w14:solidFill>
          </w14:textFill>
        </w:rPr>
      </w:pPr>
      <w:r>
        <w:rPr>
          <w:rFonts w:hint="eastAsia" w:ascii="Arial Unicode MS" w:hAnsi="Arial Unicode MS" w:eastAsia="Arial Unicode MS" w:cs="Arial Unicode MS"/>
          <w:color w:val="000000" w:themeColor="text1"/>
          <w:sz w:val="44"/>
          <w:szCs w:val="44"/>
          <w14:textFill>
            <w14:solidFill>
              <w14:schemeClr w14:val="tx1"/>
            </w14:solidFill>
          </w14:textFill>
        </w:rPr>
        <w:br w:type="page" w:clear="all"/>
      </w:r>
      <w:r>
        <w:rPr>
          <w:rFonts w:hint="eastAsia" w:ascii="Arial Unicode MS" w:hAnsi="Arial Unicode MS" w:eastAsia="Arial Unicode MS" w:cs="Arial Unicode MS"/>
          <w:color w:val="000000" w:themeColor="text1"/>
          <w:sz w:val="44"/>
          <w:szCs w:val="44"/>
          <w14:textFill>
            <w14:solidFill>
              <w14:schemeClr w14:val="tx1"/>
            </w14:solidFill>
          </w14:textFill>
        </w:rPr>
        <w:t>3.授权委托书</w:t>
      </w:r>
    </w:p>
    <w:p w14:paraId="293F4774">
      <w:pPr>
        <w:spacing w:line="520" w:lineRule="exact"/>
        <w:jc w:val="center"/>
        <w:rPr>
          <w:rFonts w:ascii="Arial Unicode MS" w:hAnsi="Arial Unicode MS" w:eastAsia="Arial Unicode MS" w:cs="Arial Unicode MS"/>
          <w:color w:val="000000" w:themeColor="text1"/>
          <w:sz w:val="44"/>
          <w:szCs w:val="44"/>
          <w14:textFill>
            <w14:solidFill>
              <w14:schemeClr w14:val="tx1"/>
            </w14:solidFill>
          </w14:textFill>
        </w:rPr>
      </w:pPr>
      <w:r>
        <w:rPr>
          <w:rFonts w:hint="eastAsia" w:ascii="Arial Unicode MS" w:hAnsi="Arial Unicode MS" w:eastAsia="Arial Unicode MS" w:cs="Arial Unicode MS"/>
          <w:color w:val="000000" w:themeColor="text1"/>
          <w:sz w:val="44"/>
          <w:szCs w:val="44"/>
          <w14:textFill>
            <w14:solidFill>
              <w14:schemeClr w14:val="tx1"/>
            </w14:solidFill>
          </w14:textFill>
        </w:rPr>
        <w:t>（非联合体竞标格式）</w:t>
      </w:r>
    </w:p>
    <w:p w14:paraId="7BA4FA04">
      <w:pPr>
        <w:spacing w:line="520" w:lineRule="exact"/>
        <w:jc w:val="center"/>
        <w:rPr>
          <w:rFonts w:ascii="Arial Unicode MS" w:hAnsi="Arial Unicode MS" w:eastAsia="Arial Unicode MS" w:cs="Arial Unicode MS"/>
          <w:color w:val="000000" w:themeColor="text1"/>
          <w:sz w:val="44"/>
          <w:szCs w:val="44"/>
          <w14:textFill>
            <w14:solidFill>
              <w14:schemeClr w14:val="tx1"/>
            </w14:solidFill>
          </w14:textFill>
        </w:rPr>
      </w:pPr>
      <w:r>
        <w:rPr>
          <w:rFonts w:hint="eastAsia" w:ascii="Arial Unicode MS" w:hAnsi="Arial Unicode MS" w:eastAsia="Arial Unicode MS" w:cs="Arial Unicode MS"/>
          <w:color w:val="000000" w:themeColor="text1"/>
          <w:sz w:val="44"/>
          <w:szCs w:val="44"/>
          <w14:textFill>
            <w14:solidFill>
              <w14:schemeClr w14:val="tx1"/>
            </w14:solidFill>
          </w14:textFill>
        </w:rPr>
        <w:t>（如有委托时）</w:t>
      </w:r>
    </w:p>
    <w:p w14:paraId="0318533C">
      <w:pPr>
        <w:spacing w:line="360" w:lineRule="auto"/>
        <w:contextualSpacing/>
        <w:rPr>
          <w:rFonts w:ascii="仿宋_GB2312" w:hAnsi="仿宋_GB2312" w:eastAsia="仿宋_GB2312" w:cs="仿宋_GB2312"/>
          <w:color w:val="000000" w:themeColor="text1"/>
          <w:sz w:val="32"/>
          <w:szCs w:val="32"/>
          <w14:textFill>
            <w14:solidFill>
              <w14:schemeClr w14:val="tx1"/>
            </w14:solidFill>
          </w14:textFill>
        </w:rPr>
      </w:pPr>
    </w:p>
    <w:p w14:paraId="573DC7F0">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782C234B">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 xml:space="preserve">  （姓名）  </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 xml:space="preserve">  （供应商名称）  </w:t>
      </w:r>
      <w:r>
        <w:rPr>
          <w:rFonts w:hint="eastAsia" w:ascii="宋体" w:hAnsi="宋体" w:cs="仿宋_GB2312"/>
          <w:color w:val="000000" w:themeColor="text1"/>
          <w:sz w:val="24"/>
          <w14:textFill>
            <w14:solidFill>
              <w14:schemeClr w14:val="tx1"/>
            </w14:solidFill>
          </w14:textFill>
        </w:rPr>
        <w:t>的（</w:t>
      </w:r>
      <w:r>
        <w:rPr>
          <w:rFonts w:ascii="Wingdings 2" w:hAnsi="Wingdings 2" w:eastAsia="Wingdings 2" w:cs="Wingdings 2"/>
          <w:color w:val="000000" w:themeColor="text1"/>
          <w:sz w:val="24"/>
          <w:u w:val="single"/>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法定代表人/□负责人/□自然人本人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 xml:space="preserve"> （姓名） </w:t>
      </w:r>
      <w:r>
        <w:rPr>
          <w:rFonts w:hint="eastAsia" w:ascii="宋体" w:hAnsi="宋体" w:cs="仿宋_GB2312"/>
          <w:color w:val="000000" w:themeColor="text1"/>
          <w:sz w:val="24"/>
          <w14:textFill>
            <w14:solidFill>
              <w14:schemeClr w14:val="tx1"/>
            </w14:solidFill>
          </w14:textFill>
        </w:rPr>
        <w:t>以我方的名义参加</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项目的竞标活动，并代表我方全权办理针对上述项目的所有采购程序和环节的具体事务和签署相关文件。</w:t>
      </w:r>
    </w:p>
    <w:p w14:paraId="5052F4AC">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19815137">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11155F95">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7C009E3C">
      <w:pPr>
        <w:spacing w:line="360" w:lineRule="auto"/>
        <w:ind w:firstLine="4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3EC34C19">
      <w:pPr>
        <w:spacing w:line="360" w:lineRule="auto"/>
        <w:contextualSpacing/>
        <w:rPr>
          <w:rFonts w:ascii="宋体" w:hAnsi="宋体" w:cs="仿宋_GB2312"/>
          <w:color w:val="000000" w:themeColor="text1"/>
          <w:sz w:val="24"/>
          <w14:textFill>
            <w14:solidFill>
              <w14:schemeClr w14:val="tx1"/>
            </w14:solidFill>
          </w14:textFill>
        </w:rPr>
      </w:pPr>
    </w:p>
    <w:p w14:paraId="654B2EED">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 xml:space="preserve">）：     法定代表人（签字或者盖章或者电子签名）：                    </w:t>
      </w:r>
    </w:p>
    <w:p w14:paraId="10541DC1">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委托代理人身份证号码：                              </w:t>
      </w:r>
    </w:p>
    <w:p w14:paraId="06063EEC">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w:t>
      </w:r>
    </w:p>
    <w:p w14:paraId="38A893FD">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供应商（电子签章）：                      </w:t>
      </w:r>
    </w:p>
    <w:p w14:paraId="364229DA">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年    月    日</w:t>
      </w:r>
    </w:p>
    <w:p w14:paraId="234C5AFA">
      <w:pPr>
        <w:spacing w:line="360" w:lineRule="auto"/>
        <w:contextualSpacing/>
        <w:rPr>
          <w:rFonts w:ascii="宋体" w:hAnsi="宋体" w:cs="仿宋_GB2312"/>
          <w:color w:val="000000" w:themeColor="text1"/>
          <w:sz w:val="24"/>
          <w14:textFill>
            <w14:solidFill>
              <w14:schemeClr w14:val="tx1"/>
            </w14:solidFill>
          </w14:textFill>
        </w:rPr>
      </w:pPr>
    </w:p>
    <w:p w14:paraId="434AE6F0">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注：1. 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否则其响应文件按无效响应处理。</w:t>
      </w:r>
    </w:p>
    <w:p w14:paraId="2B8A4EEB">
      <w:pPr>
        <w:spacing w:line="360" w:lineRule="auto"/>
        <w:ind w:firstLine="480"/>
        <w:contextualSpacing/>
        <w:jc w:val="left"/>
        <w:rPr>
          <w:rFonts w:ascii="宋体" w:hAns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法人、其他组织竞标时“我方”是指“我单位”，自然人竞标时“我方”是指“本人”。</w:t>
      </w:r>
    </w:p>
    <w:p w14:paraId="74025D04">
      <w:pPr>
        <w:spacing w:line="360" w:lineRule="auto"/>
        <w:ind w:firstLine="420"/>
        <w:contextualSpacing/>
        <w:jc w:val="left"/>
        <w:rPr>
          <w:rFonts w:ascii="仿宋_GB2312" w:hAnsi="仿宋_GB2312" w:eastAsia="仿宋_GB2312" w:cs="仿宋_GB2312"/>
          <w:color w:val="000000" w:themeColor="text1"/>
          <w:szCs w:val="21"/>
          <w14:textFill>
            <w14:solidFill>
              <w14:schemeClr w14:val="tx1"/>
            </w14:solidFill>
          </w14:textFill>
        </w:rPr>
      </w:pPr>
    </w:p>
    <w:p w14:paraId="19B765E1">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clear="all"/>
      </w:r>
      <w:r>
        <w:rPr>
          <w:rFonts w:hint="eastAsia" w:ascii="Arial Unicode MS" w:hAnsi="Arial Unicode MS" w:eastAsia="Arial Unicode MS" w:cs="Arial Unicode MS"/>
          <w:bCs/>
          <w:color w:val="000000" w:themeColor="text1"/>
          <w:sz w:val="44"/>
          <w:szCs w:val="44"/>
          <w14:textFill>
            <w14:solidFill>
              <w14:schemeClr w14:val="tx1"/>
            </w14:solidFill>
          </w14:textFill>
        </w:rPr>
        <w:t>4.竞标保证金提交凭证</w:t>
      </w:r>
    </w:p>
    <w:p w14:paraId="2BCC334B">
      <w:pPr>
        <w:spacing w:line="360" w:lineRule="auto"/>
        <w:ind w:firstLine="4320"/>
        <w:contextualSpacing/>
        <w:rPr>
          <w:rFonts w:ascii="宋体" w:hAnsi="宋体" w:cs="仿宋_GB2312"/>
          <w:color w:val="000000" w:themeColor="text1"/>
          <w:sz w:val="24"/>
          <w14:textFill>
            <w14:solidFill>
              <w14:schemeClr w14:val="tx1"/>
            </w14:solidFill>
          </w14:textFill>
        </w:rPr>
      </w:pPr>
    </w:p>
    <w:p w14:paraId="53D893D2">
      <w:pPr>
        <w:spacing w:line="360" w:lineRule="auto"/>
        <w:ind w:firstLine="4320"/>
        <w:contextualSpacing/>
        <w:rPr>
          <w:rFonts w:ascii="宋体" w:hAnsi="宋体" w:cs="仿宋_GB2312"/>
          <w:color w:val="000000" w:themeColor="text1"/>
          <w:sz w:val="24"/>
          <w14:textFill>
            <w14:solidFill>
              <w14:schemeClr w14:val="tx1"/>
            </w14:solidFill>
          </w14:textFill>
        </w:rPr>
      </w:pPr>
    </w:p>
    <w:p w14:paraId="36ABB562">
      <w:pPr>
        <w:spacing w:line="360" w:lineRule="auto"/>
        <w:ind w:firstLine="4320"/>
        <w:contextualSpacing/>
        <w:rPr>
          <w:rFonts w:ascii="宋体" w:hAnsi="宋体" w:cs="仿宋_GB2312"/>
          <w:color w:val="000000" w:themeColor="text1"/>
          <w:sz w:val="24"/>
          <w14:textFill>
            <w14:solidFill>
              <w14:schemeClr w14:val="tx1"/>
            </w14:solidFill>
          </w14:textFill>
        </w:rPr>
      </w:pPr>
    </w:p>
    <w:p w14:paraId="745A3F20">
      <w:pPr>
        <w:spacing w:line="360" w:lineRule="auto"/>
        <w:ind w:firstLine="4320"/>
        <w:contextualSpacing/>
        <w:rPr>
          <w:rFonts w:ascii="宋体" w:hAnsi="宋体" w:cs="仿宋_GB2312"/>
          <w:color w:val="000000" w:themeColor="text1"/>
          <w:sz w:val="24"/>
          <w14:textFill>
            <w14:solidFill>
              <w14:schemeClr w14:val="tx1"/>
            </w14:solidFill>
          </w14:textFill>
        </w:rPr>
      </w:pPr>
    </w:p>
    <w:p w14:paraId="45349640">
      <w:pPr>
        <w:spacing w:line="360" w:lineRule="auto"/>
        <w:ind w:firstLine="4320"/>
        <w:contextualSpacing/>
        <w:rPr>
          <w:rFonts w:ascii="宋体" w:hAnsi="宋体" w:cs="仿宋_GB2312"/>
          <w:color w:val="000000" w:themeColor="text1"/>
          <w:sz w:val="24"/>
          <w14:textFill>
            <w14:solidFill>
              <w14:schemeClr w14:val="tx1"/>
            </w14:solidFill>
          </w14:textFill>
        </w:rPr>
      </w:pPr>
    </w:p>
    <w:p w14:paraId="0D74F72F">
      <w:pPr>
        <w:spacing w:line="360" w:lineRule="auto"/>
        <w:ind w:firstLine="4320"/>
        <w:contextualSpacing/>
        <w:rPr>
          <w:rFonts w:ascii="宋体" w:hAnsi="宋体" w:cs="仿宋_GB2312"/>
          <w:color w:val="000000" w:themeColor="text1"/>
          <w:sz w:val="24"/>
          <w14:textFill>
            <w14:solidFill>
              <w14:schemeClr w14:val="tx1"/>
            </w14:solidFill>
          </w14:textFill>
        </w:rPr>
      </w:pPr>
    </w:p>
    <w:p w14:paraId="5B3B890F">
      <w:pPr>
        <w:spacing w:line="360" w:lineRule="auto"/>
        <w:ind w:firstLine="432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1605ED20">
      <w:pPr>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                                         年    月    日</w:t>
      </w:r>
    </w:p>
    <w:p w14:paraId="7C66B4F2">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0B389D55">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15F86B45">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7638020A">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5DB340E0">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40CCCC55">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0BC7B57E">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078A69BC">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6407054C">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7C6310B1">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7F845F91">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145334E4">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5720C201">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1EBF7C87">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33190A8E">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62B6B650">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167CF4E8">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52CC1397">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7A18613E">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14577C1D">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p>
    <w:p w14:paraId="7B413049">
      <w:pPr>
        <w:spacing w:line="500" w:lineRule="exact"/>
        <w:ind w:left="142"/>
        <w:rPr>
          <w:rFonts w:ascii="Arial Unicode MS" w:hAnsi="Arial Unicode MS" w:eastAsia="Arial Unicode MS" w:cs="Arial Unicode MS"/>
          <w:bCs/>
          <w:color w:val="000000" w:themeColor="text1"/>
          <w:sz w:val="44"/>
          <w:szCs w:val="44"/>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5.商务要求偏离表格式</w:t>
      </w:r>
    </w:p>
    <w:p w14:paraId="0EE652DD">
      <w:pPr>
        <w:spacing w:line="500" w:lineRule="exact"/>
        <w:jc w:val="center"/>
        <w:rPr>
          <w:rFonts w:ascii="宋体" w:hAnsi="宋体"/>
          <w:b/>
          <w:color w:val="000000" w:themeColor="text1"/>
          <w:sz w:val="32"/>
          <w:szCs w:val="32"/>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（注：按采购需求具体条款修改）</w:t>
      </w:r>
    </w:p>
    <w:p w14:paraId="3505A2F4">
      <w:pPr>
        <w:spacing w:before="50"/>
        <w:jc w:val="left"/>
        <w:rPr>
          <w:rFonts w:ascii="宋体" w:hAnsi="宋体"/>
          <w:color w:val="000000" w:themeColor="text1"/>
          <w:sz w:val="24"/>
          <w14:textFill>
            <w14:solidFill>
              <w14:schemeClr w14:val="tx1"/>
            </w14:solidFill>
          </w14:textFill>
        </w:rPr>
      </w:pPr>
    </w:p>
    <w:p w14:paraId="34494D19">
      <w:pPr>
        <w:pStyle w:val="19"/>
        <w:spacing w:line="360" w:lineRule="auto"/>
        <w:rPr>
          <w:rFonts w:hAnsi="宋体" w:cs="仿宋_GB2312"/>
          <w:color w:val="000000" w:themeColor="text1"/>
          <w:sz w:val="24"/>
          <w:szCs w:val="24"/>
          <w14:textFill>
            <w14:solidFill>
              <w14:schemeClr w14:val="tx1"/>
            </w14:solidFill>
          </w14:textFill>
        </w:rPr>
      </w:pPr>
      <w:r>
        <w:rPr>
          <w:rFonts w:hint="eastAsia" w:hAnsi="宋体" w:cs="仿宋_GB2312"/>
          <w:color w:val="000000" w:themeColor="text1"/>
          <w:sz w:val="24"/>
          <w:szCs w:val="24"/>
          <w14:textFill>
            <w14:solidFill>
              <w14:schemeClr w14:val="tx1"/>
            </w14:solidFill>
          </w14:textFill>
        </w:rPr>
        <w:t>所竞分标：</w:t>
      </w:r>
      <w:r>
        <w:rPr>
          <w:rFonts w:hint="eastAsia" w:hAnsi="宋体" w:cs="仿宋_GB2312"/>
          <w:color w:val="000000" w:themeColor="text1"/>
          <w:sz w:val="24"/>
          <w:szCs w:val="24"/>
          <w:u w:val="single"/>
          <w14:textFill>
            <w14:solidFill>
              <w14:schemeClr w14:val="tx1"/>
            </w14:solidFill>
          </w14:textFill>
        </w:rPr>
        <w:t xml:space="preserve">              </w:t>
      </w:r>
    </w:p>
    <w:tbl>
      <w:tblPr>
        <w:tblStyle w:val="40"/>
        <w:tblpPr w:leftFromText="180" w:rightFromText="180" w:vertAnchor="text" w:horzAnchor="margin" w:tblpY="31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6004D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7B1F857B">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0350B1E1">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49C4B152">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19D3738E">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偏离说明</w:t>
            </w:r>
          </w:p>
        </w:tc>
      </w:tr>
      <w:tr w14:paraId="5F6C5A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344A7251">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交付（实施）的时间（期限）和地点（范围）</w:t>
            </w:r>
          </w:p>
        </w:tc>
        <w:tc>
          <w:tcPr>
            <w:tcW w:w="2668" w:type="dxa"/>
            <w:tcBorders>
              <w:top w:val="single" w:color="auto" w:sz="4" w:space="0"/>
              <w:left w:val="single" w:color="auto" w:sz="4" w:space="0"/>
              <w:bottom w:val="single" w:color="auto" w:sz="4" w:space="0"/>
              <w:right w:val="single" w:color="auto" w:sz="4" w:space="0"/>
            </w:tcBorders>
            <w:vAlign w:val="center"/>
          </w:tcPr>
          <w:p w14:paraId="27106B17">
            <w:pPr>
              <w:jc w:val="center"/>
              <w:rPr>
                <w:rFonts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3BE906C8">
            <w:pPr>
              <w:spacing w:before="120" w:line="360" w:lineRule="auto"/>
              <w:jc w:val="center"/>
              <w:rPr>
                <w:rFonts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75B5EDAF">
            <w:pPr>
              <w:spacing w:before="120" w:line="360" w:lineRule="auto"/>
              <w:jc w:val="center"/>
              <w:rPr>
                <w:rFonts w:ascii="宋体" w:hAnsi="宋体" w:cs="仿宋_GB2312"/>
                <w:color w:val="000000" w:themeColor="text1"/>
                <w:sz w:val="24"/>
                <w14:textFill>
                  <w14:solidFill>
                    <w14:schemeClr w14:val="tx1"/>
                  </w14:solidFill>
                </w14:textFill>
              </w:rPr>
            </w:pPr>
          </w:p>
        </w:tc>
      </w:tr>
      <w:tr w14:paraId="5A469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5ACFE11B">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2668" w:type="dxa"/>
            <w:tcBorders>
              <w:top w:val="single" w:color="auto" w:sz="4" w:space="0"/>
              <w:left w:val="single" w:color="auto" w:sz="4" w:space="0"/>
              <w:bottom w:val="single" w:color="auto" w:sz="4" w:space="0"/>
              <w:right w:val="single" w:color="auto" w:sz="4" w:space="0"/>
            </w:tcBorders>
            <w:vAlign w:val="center"/>
          </w:tcPr>
          <w:p w14:paraId="73FBB30E">
            <w:pPr>
              <w:jc w:val="center"/>
              <w:rPr>
                <w:rFonts w:ascii="宋体" w:hAnsi="宋体"/>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1A110FA8">
            <w:pPr>
              <w:spacing w:before="120" w:line="360" w:lineRule="auto"/>
              <w:ind w:left="43"/>
              <w:jc w:val="center"/>
              <w:rPr>
                <w:rFonts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1B926558">
            <w:pPr>
              <w:spacing w:before="120" w:line="360" w:lineRule="auto"/>
              <w:ind w:left="43"/>
              <w:jc w:val="center"/>
              <w:rPr>
                <w:rFonts w:ascii="宋体" w:hAnsi="宋体" w:cs="仿宋_GB2312"/>
                <w:color w:val="000000" w:themeColor="text1"/>
                <w:sz w:val="24"/>
                <w14:textFill>
                  <w14:solidFill>
                    <w14:schemeClr w14:val="tx1"/>
                  </w14:solidFill>
                </w14:textFill>
              </w:rPr>
            </w:pPr>
          </w:p>
        </w:tc>
      </w:tr>
      <w:tr w14:paraId="28CB7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0D389EC">
            <w:pPr>
              <w:spacing w:before="120" w:line="360" w:lineRule="auto"/>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w:t>
            </w:r>
          </w:p>
        </w:tc>
        <w:tc>
          <w:tcPr>
            <w:tcW w:w="2668" w:type="dxa"/>
            <w:tcBorders>
              <w:top w:val="single" w:color="auto" w:sz="4" w:space="0"/>
              <w:left w:val="single" w:color="auto" w:sz="4" w:space="0"/>
              <w:bottom w:val="single" w:color="auto" w:sz="4" w:space="0"/>
              <w:right w:val="single" w:color="auto" w:sz="4" w:space="0"/>
            </w:tcBorders>
            <w:vAlign w:val="center"/>
          </w:tcPr>
          <w:p w14:paraId="2E5EFD66">
            <w:pPr>
              <w:spacing w:before="120" w:line="360" w:lineRule="auto"/>
              <w:jc w:val="center"/>
              <w:rPr>
                <w:rFonts w:ascii="宋体" w:hAnsi="宋体" w:cs="仿宋_GB2312"/>
                <w:color w:val="000000" w:themeColor="text1"/>
                <w:sz w:val="24"/>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0D2C03A8">
            <w:pPr>
              <w:spacing w:before="120" w:line="360" w:lineRule="auto"/>
              <w:jc w:val="center"/>
              <w:rPr>
                <w:rFonts w:ascii="宋体" w:hAnsi="宋体" w:cs="仿宋_GB2312"/>
                <w:color w:val="000000" w:themeColor="text1"/>
                <w:sz w:val="24"/>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6C94F016">
            <w:pPr>
              <w:spacing w:before="120" w:line="360" w:lineRule="auto"/>
              <w:jc w:val="center"/>
              <w:rPr>
                <w:rFonts w:ascii="宋体" w:hAnsi="宋体" w:cs="仿宋_GB2312"/>
                <w:color w:val="000000" w:themeColor="text1"/>
                <w:sz w:val="24"/>
                <w14:textFill>
                  <w14:solidFill>
                    <w14:schemeClr w14:val="tx1"/>
                  </w14:solidFill>
                </w14:textFill>
              </w:rPr>
            </w:pPr>
          </w:p>
        </w:tc>
      </w:tr>
    </w:tbl>
    <w:p w14:paraId="2048E8D8">
      <w:pPr>
        <w:pStyle w:val="16"/>
        <w:spacing w:after="0" w:line="360" w:lineRule="auto"/>
        <w:contextualSpacing/>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注：</w:t>
      </w:r>
    </w:p>
    <w:p w14:paraId="28197CF0">
      <w:pPr>
        <w:pStyle w:val="16"/>
        <w:spacing w:after="0" w:line="360" w:lineRule="auto"/>
        <w:contextualSpacing/>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 说明：应对照谈判文件“第三章 采购需求”中的商务要求逐条明确响应，并作出偏离说明。</w:t>
      </w:r>
    </w:p>
    <w:p w14:paraId="74DACE30">
      <w:pPr>
        <w:pStyle w:val="16"/>
        <w:spacing w:after="0" w:line="360" w:lineRule="auto"/>
        <w:contextualSpacing/>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2.供应商应根据自身的承诺，对照谈判文件要求在“偏离说明”中注明“正偏离”“负偏离”或者“无偏离”。既不属于“正偏离”也不属于“负偏离”即为“无偏离”。</w:t>
      </w:r>
    </w:p>
    <w:p w14:paraId="092500D3">
      <w:pPr>
        <w:spacing w:line="360" w:lineRule="auto"/>
        <w:contextualSpacing/>
        <w:jc w:val="left"/>
        <w:rPr>
          <w:rFonts w:ascii="宋体" w:hAnsi="宋体" w:cs="仿宋_GB2312"/>
          <w:color w:val="000000" w:themeColor="text1"/>
          <w:sz w:val="24"/>
          <w:u w:val="single"/>
          <w14:textFill>
            <w14:solidFill>
              <w14:schemeClr w14:val="tx1"/>
            </w14:solidFill>
          </w14:textFill>
        </w:rPr>
      </w:pPr>
    </w:p>
    <w:p w14:paraId="6B9D5C04">
      <w:pPr>
        <w:spacing w:line="360" w:lineRule="auto"/>
        <w:contextualSpacing/>
        <w:jc w:val="left"/>
        <w:rPr>
          <w:rFonts w:ascii="宋体" w:hAnsi="宋体" w:cs="仿宋_GB2312"/>
          <w:color w:val="000000" w:themeColor="text1"/>
          <w:sz w:val="24"/>
          <w:u w:val="single"/>
          <w14:textFill>
            <w14:solidFill>
              <w14:schemeClr w14:val="tx1"/>
            </w14:solidFill>
          </w14:textFill>
        </w:rPr>
      </w:pPr>
    </w:p>
    <w:p w14:paraId="0EDFFC98">
      <w:pPr>
        <w:spacing w:line="360" w:lineRule="auto"/>
        <w:ind w:right="-817"/>
        <w:contextualSpacing/>
        <w:rPr>
          <w:rFonts w:ascii="宋体" w:hAnsi="宋体" w:cs="仿宋_GB2312"/>
          <w:color w:val="000000" w:themeColor="text1"/>
          <w:sz w:val="24"/>
          <w14:textFill>
            <w14:solidFill>
              <w14:schemeClr w14:val="tx1"/>
            </w14:solidFill>
          </w14:textFill>
        </w:rPr>
      </w:pPr>
    </w:p>
    <w:p w14:paraId="41E9FF80">
      <w:pPr>
        <w:spacing w:line="360" w:lineRule="auto"/>
        <w:ind w:right="-817"/>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48FBB8C0">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7BEB8320">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1512599D">
      <w:pPr>
        <w:spacing w:line="520" w:lineRule="exact"/>
        <w:ind w:firstLine="7040"/>
        <w:jc w:val="center"/>
        <w:rPr>
          <w:rFonts w:ascii="Arial Unicode MS" w:hAnsi="Arial Unicode MS" w:eastAsia="Arial Unicode MS" w:cs="Arial Unicode MS"/>
          <w:bCs/>
          <w:color w:val="000000" w:themeColor="text1"/>
          <w:sz w:val="44"/>
          <w:szCs w:val="44"/>
          <w14:textFill>
            <w14:solidFill>
              <w14:schemeClr w14:val="tx1"/>
            </w14:solidFill>
          </w14:textFill>
        </w:rPr>
      </w:pPr>
    </w:p>
    <w:p w14:paraId="7C04A097">
      <w:pPr>
        <w:spacing w:line="520" w:lineRule="exact"/>
        <w:jc w:val="center"/>
        <w:rPr>
          <w:rFonts w:ascii="宋体" w:hAnsi="宋体" w:cs="宋体"/>
          <w:color w:val="000000" w:themeColor="text1"/>
          <w:sz w:val="24"/>
          <w14:textFill>
            <w14:solidFill>
              <w14:schemeClr w14:val="tx1"/>
            </w14:solidFill>
          </w14:textFill>
        </w:rPr>
      </w:pPr>
      <w:r>
        <w:rPr>
          <w:rFonts w:ascii="Arial Unicode MS" w:hAnsi="Arial Unicode MS" w:eastAsia="Arial Unicode MS" w:cs="Arial Unicode MS"/>
          <w:bCs/>
          <w:color w:val="000000" w:themeColor="text1"/>
          <w:sz w:val="44"/>
          <w:szCs w:val="44"/>
          <w14:textFill>
            <w14:solidFill>
              <w14:schemeClr w14:val="tx1"/>
            </w14:solidFill>
          </w14:textFill>
        </w:rPr>
        <w:br w:type="page" w:clear="all"/>
      </w:r>
      <w:r>
        <w:rPr>
          <w:rFonts w:hint="eastAsia" w:ascii="Arial Unicode MS" w:hAnsi="Arial Unicode MS" w:eastAsia="Arial Unicode MS" w:cs="Arial Unicode MS"/>
          <w:bCs/>
          <w:color w:val="000000" w:themeColor="text1"/>
          <w:sz w:val="44"/>
          <w:szCs w:val="44"/>
          <w14:textFill>
            <w14:solidFill>
              <w14:schemeClr w14:val="tx1"/>
            </w14:solidFill>
          </w14:textFill>
        </w:rPr>
        <w:t>6.售后服务承诺 由竞标人按本项目竞争性谈判文件第三章“采购需求”中商务条款部分的售后服务要求自行填写，其中要包含售后服务承诺书。</w:t>
      </w:r>
    </w:p>
    <w:p w14:paraId="5891C8C6">
      <w:pPr>
        <w:spacing w:line="520" w:lineRule="exact"/>
        <w:ind w:left="120"/>
        <w:rPr>
          <w:rFonts w:ascii="宋体" w:hAnsi="宋体" w:cs="宋体"/>
          <w:color w:val="000000" w:themeColor="text1"/>
          <w:sz w:val="24"/>
          <w14:textFill>
            <w14:solidFill>
              <w14:schemeClr w14:val="tx1"/>
            </w14:solidFill>
          </w14:textFill>
        </w:rPr>
      </w:pPr>
    </w:p>
    <w:p w14:paraId="6BD040F3">
      <w:pPr>
        <w:spacing w:line="520" w:lineRule="exact"/>
        <w:ind w:left="120"/>
        <w:rPr>
          <w:rFonts w:ascii="宋体" w:hAnsi="宋体" w:cs="宋体"/>
          <w:color w:val="000000" w:themeColor="text1"/>
          <w:sz w:val="24"/>
          <w14:textFill>
            <w14:solidFill>
              <w14:schemeClr w14:val="tx1"/>
            </w14:solidFill>
          </w14:textFill>
        </w:rPr>
      </w:pPr>
    </w:p>
    <w:p w14:paraId="2F588F22">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7377D1B5">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56B4FC19">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783821EC">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1C7A4895">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1A3F3AB2">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06BB8BD8">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63F09464">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1F799FA4">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17EE0BDB">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224989A8">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7A32B53D">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065FE2BE">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278A56FC">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0137D1B9">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55756752">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140988B7">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4CCE7DD7">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28BE8523">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30065600">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7E1E0002">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5FF34DE7">
      <w:pPr>
        <w:spacing w:line="520" w:lineRule="exact"/>
        <w:ind w:left="120"/>
        <w:rPr>
          <w:rFonts w:ascii="Arial Unicode MS" w:hAnsi="Arial Unicode MS" w:eastAsia="Arial Unicode MS" w:cs="Arial Unicode MS"/>
          <w:bCs/>
          <w:color w:val="000000" w:themeColor="text1"/>
          <w:sz w:val="44"/>
          <w:szCs w:val="44"/>
          <w14:textFill>
            <w14:solidFill>
              <w14:schemeClr w14:val="tx1"/>
            </w14:solidFill>
          </w14:textFill>
        </w:rPr>
      </w:pPr>
    </w:p>
    <w:p w14:paraId="14007674">
      <w:pPr>
        <w:spacing w:line="520" w:lineRule="exact"/>
        <w:ind w:left="120"/>
        <w:jc w:val="center"/>
        <w:rPr>
          <w:rFonts w:ascii="宋体" w:hAnsi="宋体"/>
          <w:b/>
          <w:color w:val="000000" w:themeColor="text1"/>
          <w:sz w:val="32"/>
          <w:szCs w:val="32"/>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7.货物配置清单</w:t>
      </w:r>
    </w:p>
    <w:p w14:paraId="70CD0A51">
      <w:pPr>
        <w:spacing w:line="300" w:lineRule="auto"/>
        <w:rPr>
          <w:rFonts w:ascii="宋体" w:hAnsi="宋体"/>
          <w:color w:val="000000" w:themeColor="text1"/>
          <w:szCs w:val="21"/>
          <w14:textFill>
            <w14:solidFill>
              <w14:schemeClr w14:val="tx1"/>
            </w14:solidFill>
          </w14:textFill>
        </w:rPr>
      </w:pPr>
    </w:p>
    <w:p w14:paraId="0511BEE3">
      <w:pPr>
        <w:spacing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项目编号：</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 xml:space="preserve"> </w:t>
      </w:r>
    </w:p>
    <w:p w14:paraId="14D4CEE1">
      <w:pPr>
        <w:spacing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w:t>
      </w:r>
      <w:r>
        <w:rPr>
          <w:rFonts w:hint="eastAsia" w:ascii="宋体" w:hAnsi="宋体" w:cs="仿宋_GB2312"/>
          <w:color w:val="000000" w:themeColor="text1"/>
          <w:sz w:val="24"/>
          <w:u w:val="single"/>
          <w14:textFill>
            <w14:solidFill>
              <w14:schemeClr w14:val="tx1"/>
            </w14:solidFill>
          </w14:textFill>
        </w:rPr>
        <w:t xml:space="preserve">                 </w:t>
      </w:r>
      <w:r>
        <w:rPr>
          <w:rFonts w:hint="eastAsia" w:ascii="宋体" w:hAnsi="宋体" w:cs="仿宋_GB2312"/>
          <w:color w:val="000000" w:themeColor="text1"/>
          <w:sz w:val="24"/>
          <w14:textFill>
            <w14:solidFill>
              <w14:schemeClr w14:val="tx1"/>
            </w14:solidFill>
          </w14:textFill>
        </w:rPr>
        <w:t xml:space="preserve"> </w:t>
      </w:r>
    </w:p>
    <w:p w14:paraId="43113AFF">
      <w:pPr>
        <w:spacing w:line="360" w:lineRule="auto"/>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所竞分标：</w:t>
      </w:r>
      <w:r>
        <w:rPr>
          <w:rFonts w:hint="eastAsia" w:ascii="宋体" w:hAnsi="宋体" w:cs="仿宋_GB2312"/>
          <w:color w:val="000000" w:themeColor="text1"/>
          <w:sz w:val="24"/>
          <w:u w:val="single"/>
          <w14:textFill>
            <w14:solidFill>
              <w14:schemeClr w14:val="tx1"/>
            </w14:solidFill>
          </w14:textFill>
        </w:rPr>
        <w:t xml:space="preserve">                 </w:t>
      </w:r>
    </w:p>
    <w:tbl>
      <w:tblPr>
        <w:tblStyle w:val="4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9"/>
        <w:gridCol w:w="1245"/>
        <w:gridCol w:w="803"/>
        <w:gridCol w:w="895"/>
        <w:gridCol w:w="1786"/>
        <w:gridCol w:w="1245"/>
        <w:gridCol w:w="737"/>
        <w:gridCol w:w="1496"/>
      </w:tblGrid>
      <w:tr w14:paraId="1A390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07111764">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1245" w:type="dxa"/>
            <w:tcBorders>
              <w:top w:val="single" w:color="auto" w:sz="4" w:space="0"/>
              <w:left w:val="single" w:color="auto" w:sz="4" w:space="0"/>
              <w:bottom w:val="single" w:color="auto" w:sz="4" w:space="0"/>
              <w:right w:val="single" w:color="auto" w:sz="4" w:space="0"/>
            </w:tcBorders>
            <w:vAlign w:val="center"/>
          </w:tcPr>
          <w:p w14:paraId="35BB0722">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标的名称</w:t>
            </w:r>
          </w:p>
        </w:tc>
        <w:tc>
          <w:tcPr>
            <w:tcW w:w="803" w:type="dxa"/>
            <w:tcBorders>
              <w:top w:val="single" w:color="auto" w:sz="4" w:space="0"/>
              <w:left w:val="single" w:color="auto" w:sz="4" w:space="0"/>
              <w:bottom w:val="single" w:color="auto" w:sz="4" w:space="0"/>
              <w:right w:val="single" w:color="auto" w:sz="4" w:space="0"/>
            </w:tcBorders>
            <w:vAlign w:val="center"/>
          </w:tcPr>
          <w:p w14:paraId="630D78D8">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数量及单位</w:t>
            </w:r>
          </w:p>
        </w:tc>
        <w:tc>
          <w:tcPr>
            <w:tcW w:w="895" w:type="dxa"/>
            <w:tcBorders>
              <w:top w:val="single" w:color="auto" w:sz="4" w:space="0"/>
              <w:left w:val="single" w:color="auto" w:sz="4" w:space="0"/>
              <w:bottom w:val="single" w:color="auto" w:sz="4" w:space="0"/>
              <w:right w:val="single" w:color="auto" w:sz="4" w:space="0"/>
            </w:tcBorders>
            <w:vAlign w:val="center"/>
          </w:tcPr>
          <w:p w14:paraId="16E1D9FA">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品牌</w:t>
            </w:r>
          </w:p>
        </w:tc>
        <w:tc>
          <w:tcPr>
            <w:tcW w:w="1786" w:type="dxa"/>
            <w:tcBorders>
              <w:top w:val="single" w:color="auto" w:sz="4" w:space="0"/>
              <w:left w:val="single" w:color="auto" w:sz="4" w:space="0"/>
              <w:bottom w:val="single" w:color="auto" w:sz="4" w:space="0"/>
              <w:right w:val="single" w:color="auto" w:sz="4" w:space="0"/>
            </w:tcBorders>
          </w:tcPr>
          <w:p w14:paraId="717407AF">
            <w:pPr>
              <w:spacing w:before="50" w:after="50"/>
              <w:jc w:val="center"/>
              <w:rPr>
                <w:rFonts w:ascii="宋体" w:hAnsi="宋体"/>
                <w:color w:val="000000" w:themeColor="text1"/>
                <w:sz w:val="24"/>
                <w14:textFill>
                  <w14:solidFill>
                    <w14:schemeClr w14:val="tx1"/>
                  </w14:solidFill>
                </w14:textFill>
              </w:rPr>
            </w:pPr>
          </w:p>
          <w:p w14:paraId="0B57C9CD">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规格型号</w:t>
            </w:r>
          </w:p>
        </w:tc>
        <w:tc>
          <w:tcPr>
            <w:tcW w:w="1245" w:type="dxa"/>
            <w:tcBorders>
              <w:top w:val="single" w:color="auto" w:sz="4" w:space="0"/>
              <w:left w:val="single" w:color="auto" w:sz="4" w:space="0"/>
              <w:bottom w:val="single" w:color="auto" w:sz="4" w:space="0"/>
              <w:right w:val="single" w:color="auto" w:sz="4" w:space="0"/>
            </w:tcBorders>
            <w:vAlign w:val="center"/>
          </w:tcPr>
          <w:p w14:paraId="41E56F73">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制造商</w:t>
            </w:r>
          </w:p>
        </w:tc>
        <w:tc>
          <w:tcPr>
            <w:tcW w:w="737" w:type="dxa"/>
            <w:tcBorders>
              <w:top w:val="single" w:color="auto" w:sz="4" w:space="0"/>
              <w:left w:val="single" w:color="auto" w:sz="4" w:space="0"/>
              <w:bottom w:val="single" w:color="auto" w:sz="4" w:space="0"/>
              <w:right w:val="single" w:color="auto" w:sz="4" w:space="0"/>
            </w:tcBorders>
            <w:vAlign w:val="center"/>
          </w:tcPr>
          <w:p w14:paraId="19F16E8A">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原产地</w:t>
            </w:r>
          </w:p>
        </w:tc>
        <w:tc>
          <w:tcPr>
            <w:tcW w:w="1496" w:type="dxa"/>
            <w:tcBorders>
              <w:top w:val="single" w:color="auto" w:sz="4" w:space="0"/>
              <w:left w:val="single" w:color="auto" w:sz="4" w:space="0"/>
              <w:bottom w:val="single" w:color="auto" w:sz="4" w:space="0"/>
              <w:right w:val="single" w:color="auto" w:sz="4" w:space="0"/>
            </w:tcBorders>
            <w:vAlign w:val="center"/>
          </w:tcPr>
          <w:p w14:paraId="5E2A5CDA">
            <w:pPr>
              <w:spacing w:before="50" w:after="5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参数性能、指标及配置</w:t>
            </w:r>
          </w:p>
        </w:tc>
      </w:tr>
      <w:tr w14:paraId="6DD78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186676B5">
            <w:pPr>
              <w:spacing w:before="50" w:after="50"/>
              <w:jc w:val="center"/>
              <w:rPr>
                <w:rFonts w:ascii="宋体" w:hAnsi="宋体"/>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vAlign w:val="center"/>
          </w:tcPr>
          <w:p w14:paraId="2DE4BFD8">
            <w:pPr>
              <w:spacing w:before="50" w:after="50"/>
              <w:jc w:val="center"/>
              <w:rPr>
                <w:rFonts w:ascii="宋体" w:hAnsi="宋体"/>
                <w:color w:val="000000" w:themeColor="text1"/>
                <w:sz w:val="24"/>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vAlign w:val="center"/>
          </w:tcPr>
          <w:p w14:paraId="3BA07CE3">
            <w:pPr>
              <w:spacing w:before="50" w:after="50"/>
              <w:jc w:val="center"/>
              <w:rPr>
                <w:rFonts w:ascii="宋体" w:hAnsi="宋体"/>
                <w:color w:val="000000" w:themeColor="text1"/>
                <w:sz w:val="24"/>
                <w14:textFill>
                  <w14:solidFill>
                    <w14:schemeClr w14:val="tx1"/>
                  </w14:solidFill>
                </w14:textFill>
              </w:rPr>
            </w:pPr>
          </w:p>
        </w:tc>
        <w:tc>
          <w:tcPr>
            <w:tcW w:w="895" w:type="dxa"/>
            <w:tcBorders>
              <w:top w:val="single" w:color="auto" w:sz="4" w:space="0"/>
              <w:left w:val="single" w:color="auto" w:sz="4" w:space="0"/>
              <w:bottom w:val="single" w:color="auto" w:sz="4" w:space="0"/>
              <w:right w:val="single" w:color="auto" w:sz="4" w:space="0"/>
            </w:tcBorders>
            <w:vAlign w:val="center"/>
          </w:tcPr>
          <w:p w14:paraId="16E3EBE1">
            <w:pPr>
              <w:spacing w:before="50" w:after="50"/>
              <w:jc w:val="center"/>
              <w:rPr>
                <w:rFonts w:ascii="宋体" w:hAnsi="宋体"/>
                <w:color w:val="000000" w:themeColor="text1"/>
                <w:sz w:val="24"/>
                <w14:textFill>
                  <w14:solidFill>
                    <w14:schemeClr w14:val="tx1"/>
                  </w14:solidFill>
                </w14:textFill>
              </w:rPr>
            </w:pPr>
          </w:p>
        </w:tc>
        <w:tc>
          <w:tcPr>
            <w:tcW w:w="1786" w:type="dxa"/>
            <w:tcBorders>
              <w:top w:val="single" w:color="auto" w:sz="4" w:space="0"/>
              <w:left w:val="single" w:color="auto" w:sz="4" w:space="0"/>
              <w:bottom w:val="single" w:color="auto" w:sz="4" w:space="0"/>
              <w:right w:val="single" w:color="auto" w:sz="4" w:space="0"/>
            </w:tcBorders>
          </w:tcPr>
          <w:p w14:paraId="40DCE14B">
            <w:pPr>
              <w:spacing w:before="50" w:after="50"/>
              <w:jc w:val="center"/>
              <w:rPr>
                <w:rFonts w:ascii="宋体" w:hAnsi="宋体"/>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vAlign w:val="center"/>
          </w:tcPr>
          <w:p w14:paraId="74BBC9D1">
            <w:pPr>
              <w:spacing w:before="50" w:after="50"/>
              <w:jc w:val="center"/>
              <w:rPr>
                <w:rFonts w:ascii="宋体" w:hAnsi="宋体"/>
                <w:color w:val="000000" w:themeColor="text1"/>
                <w:sz w:val="24"/>
                <w14:textFill>
                  <w14:solidFill>
                    <w14:schemeClr w14:val="tx1"/>
                  </w14:solidFill>
                </w14:textFill>
              </w:rPr>
            </w:pPr>
          </w:p>
        </w:tc>
        <w:tc>
          <w:tcPr>
            <w:tcW w:w="737" w:type="dxa"/>
            <w:tcBorders>
              <w:top w:val="single" w:color="auto" w:sz="4" w:space="0"/>
              <w:left w:val="single" w:color="auto" w:sz="4" w:space="0"/>
              <w:bottom w:val="single" w:color="auto" w:sz="4" w:space="0"/>
              <w:right w:val="single" w:color="auto" w:sz="4" w:space="0"/>
            </w:tcBorders>
            <w:vAlign w:val="center"/>
          </w:tcPr>
          <w:p w14:paraId="633A5361">
            <w:pPr>
              <w:spacing w:before="50" w:after="50"/>
              <w:jc w:val="center"/>
              <w:rPr>
                <w:rFonts w:ascii="宋体" w:hAnsi="宋体"/>
                <w:color w:val="000000" w:themeColor="text1"/>
                <w:sz w:val="24"/>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vAlign w:val="center"/>
          </w:tcPr>
          <w:p w14:paraId="4F9DA533">
            <w:pPr>
              <w:spacing w:before="50" w:after="50"/>
              <w:jc w:val="center"/>
              <w:rPr>
                <w:rFonts w:ascii="宋体" w:hAnsi="宋体"/>
                <w:color w:val="000000" w:themeColor="text1"/>
                <w:sz w:val="24"/>
                <w14:textFill>
                  <w14:solidFill>
                    <w14:schemeClr w14:val="tx1"/>
                  </w14:solidFill>
                </w14:textFill>
              </w:rPr>
            </w:pPr>
          </w:p>
        </w:tc>
      </w:tr>
      <w:tr w14:paraId="71045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FF476FE">
            <w:pPr>
              <w:spacing w:before="50" w:after="50"/>
              <w:jc w:val="center"/>
              <w:rPr>
                <w:rFonts w:ascii="宋体" w:hAnsi="宋体"/>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vAlign w:val="center"/>
          </w:tcPr>
          <w:p w14:paraId="6085F777">
            <w:pPr>
              <w:spacing w:before="50" w:after="50"/>
              <w:jc w:val="center"/>
              <w:rPr>
                <w:rFonts w:ascii="宋体" w:hAnsi="宋体"/>
                <w:color w:val="000000" w:themeColor="text1"/>
                <w:sz w:val="24"/>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vAlign w:val="center"/>
          </w:tcPr>
          <w:p w14:paraId="0E73808D">
            <w:pPr>
              <w:spacing w:before="50" w:after="50"/>
              <w:jc w:val="center"/>
              <w:rPr>
                <w:rFonts w:ascii="宋体" w:hAnsi="宋体"/>
                <w:color w:val="000000" w:themeColor="text1"/>
                <w:sz w:val="24"/>
                <w14:textFill>
                  <w14:solidFill>
                    <w14:schemeClr w14:val="tx1"/>
                  </w14:solidFill>
                </w14:textFill>
              </w:rPr>
            </w:pPr>
          </w:p>
        </w:tc>
        <w:tc>
          <w:tcPr>
            <w:tcW w:w="895" w:type="dxa"/>
            <w:tcBorders>
              <w:top w:val="single" w:color="auto" w:sz="4" w:space="0"/>
              <w:left w:val="single" w:color="auto" w:sz="4" w:space="0"/>
              <w:bottom w:val="single" w:color="auto" w:sz="4" w:space="0"/>
              <w:right w:val="single" w:color="auto" w:sz="4" w:space="0"/>
            </w:tcBorders>
            <w:vAlign w:val="center"/>
          </w:tcPr>
          <w:p w14:paraId="00175F6B">
            <w:pPr>
              <w:spacing w:before="50" w:after="50"/>
              <w:jc w:val="center"/>
              <w:rPr>
                <w:rFonts w:ascii="宋体" w:hAnsi="宋体"/>
                <w:color w:val="000000" w:themeColor="text1"/>
                <w:sz w:val="24"/>
                <w14:textFill>
                  <w14:solidFill>
                    <w14:schemeClr w14:val="tx1"/>
                  </w14:solidFill>
                </w14:textFill>
              </w:rPr>
            </w:pPr>
          </w:p>
        </w:tc>
        <w:tc>
          <w:tcPr>
            <w:tcW w:w="1786" w:type="dxa"/>
            <w:tcBorders>
              <w:top w:val="single" w:color="auto" w:sz="4" w:space="0"/>
              <w:left w:val="single" w:color="auto" w:sz="4" w:space="0"/>
              <w:bottom w:val="single" w:color="auto" w:sz="4" w:space="0"/>
              <w:right w:val="single" w:color="auto" w:sz="4" w:space="0"/>
            </w:tcBorders>
          </w:tcPr>
          <w:p w14:paraId="1BB43635">
            <w:pPr>
              <w:spacing w:before="50" w:after="50"/>
              <w:jc w:val="center"/>
              <w:rPr>
                <w:rFonts w:ascii="宋体" w:hAnsi="宋体"/>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vAlign w:val="center"/>
          </w:tcPr>
          <w:p w14:paraId="6B905AC8">
            <w:pPr>
              <w:spacing w:before="50" w:after="50"/>
              <w:jc w:val="center"/>
              <w:rPr>
                <w:rFonts w:ascii="宋体" w:hAnsi="宋体"/>
                <w:color w:val="000000" w:themeColor="text1"/>
                <w:sz w:val="24"/>
                <w14:textFill>
                  <w14:solidFill>
                    <w14:schemeClr w14:val="tx1"/>
                  </w14:solidFill>
                </w14:textFill>
              </w:rPr>
            </w:pPr>
          </w:p>
        </w:tc>
        <w:tc>
          <w:tcPr>
            <w:tcW w:w="737" w:type="dxa"/>
            <w:tcBorders>
              <w:top w:val="single" w:color="auto" w:sz="4" w:space="0"/>
              <w:left w:val="single" w:color="auto" w:sz="4" w:space="0"/>
              <w:bottom w:val="single" w:color="auto" w:sz="4" w:space="0"/>
              <w:right w:val="single" w:color="auto" w:sz="4" w:space="0"/>
            </w:tcBorders>
            <w:vAlign w:val="center"/>
          </w:tcPr>
          <w:p w14:paraId="1BF795BB">
            <w:pPr>
              <w:spacing w:before="50" w:after="50"/>
              <w:jc w:val="center"/>
              <w:rPr>
                <w:rFonts w:ascii="宋体" w:hAnsi="宋体"/>
                <w:color w:val="000000" w:themeColor="text1"/>
                <w:sz w:val="24"/>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vAlign w:val="center"/>
          </w:tcPr>
          <w:p w14:paraId="0437F024">
            <w:pPr>
              <w:spacing w:before="50" w:after="50"/>
              <w:jc w:val="center"/>
              <w:rPr>
                <w:rFonts w:ascii="宋体" w:hAnsi="宋体"/>
                <w:color w:val="000000" w:themeColor="text1"/>
                <w:sz w:val="24"/>
                <w14:textFill>
                  <w14:solidFill>
                    <w14:schemeClr w14:val="tx1"/>
                  </w14:solidFill>
                </w14:textFill>
              </w:rPr>
            </w:pPr>
          </w:p>
        </w:tc>
      </w:tr>
      <w:tr w14:paraId="0C7022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4F09829B">
            <w:pPr>
              <w:spacing w:before="50" w:after="50"/>
              <w:jc w:val="center"/>
              <w:rPr>
                <w:rFonts w:ascii="宋体" w:hAnsi="宋体"/>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vAlign w:val="center"/>
          </w:tcPr>
          <w:p w14:paraId="3AE46287">
            <w:pPr>
              <w:spacing w:before="50" w:after="50"/>
              <w:jc w:val="center"/>
              <w:rPr>
                <w:rFonts w:ascii="宋体" w:hAnsi="宋体"/>
                <w:color w:val="000000" w:themeColor="text1"/>
                <w:sz w:val="24"/>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vAlign w:val="center"/>
          </w:tcPr>
          <w:p w14:paraId="66A4B64C">
            <w:pPr>
              <w:spacing w:before="50" w:after="50"/>
              <w:jc w:val="center"/>
              <w:rPr>
                <w:rFonts w:ascii="宋体" w:hAnsi="宋体"/>
                <w:color w:val="000000" w:themeColor="text1"/>
                <w:sz w:val="24"/>
                <w14:textFill>
                  <w14:solidFill>
                    <w14:schemeClr w14:val="tx1"/>
                  </w14:solidFill>
                </w14:textFill>
              </w:rPr>
            </w:pPr>
          </w:p>
        </w:tc>
        <w:tc>
          <w:tcPr>
            <w:tcW w:w="895" w:type="dxa"/>
            <w:tcBorders>
              <w:top w:val="single" w:color="auto" w:sz="4" w:space="0"/>
              <w:left w:val="single" w:color="auto" w:sz="4" w:space="0"/>
              <w:bottom w:val="single" w:color="auto" w:sz="4" w:space="0"/>
              <w:right w:val="single" w:color="auto" w:sz="4" w:space="0"/>
            </w:tcBorders>
            <w:vAlign w:val="center"/>
          </w:tcPr>
          <w:p w14:paraId="57F278F8">
            <w:pPr>
              <w:spacing w:before="50" w:after="50"/>
              <w:jc w:val="center"/>
              <w:rPr>
                <w:rFonts w:ascii="宋体" w:hAnsi="宋体"/>
                <w:color w:val="000000" w:themeColor="text1"/>
                <w:sz w:val="24"/>
                <w14:textFill>
                  <w14:solidFill>
                    <w14:schemeClr w14:val="tx1"/>
                  </w14:solidFill>
                </w14:textFill>
              </w:rPr>
            </w:pPr>
          </w:p>
        </w:tc>
        <w:tc>
          <w:tcPr>
            <w:tcW w:w="1786" w:type="dxa"/>
            <w:tcBorders>
              <w:top w:val="single" w:color="auto" w:sz="4" w:space="0"/>
              <w:left w:val="single" w:color="auto" w:sz="4" w:space="0"/>
              <w:bottom w:val="single" w:color="auto" w:sz="4" w:space="0"/>
              <w:right w:val="single" w:color="auto" w:sz="4" w:space="0"/>
            </w:tcBorders>
          </w:tcPr>
          <w:p w14:paraId="0C17A980">
            <w:pPr>
              <w:spacing w:before="50" w:after="50"/>
              <w:jc w:val="center"/>
              <w:rPr>
                <w:rFonts w:ascii="宋体" w:hAnsi="宋体"/>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vAlign w:val="center"/>
          </w:tcPr>
          <w:p w14:paraId="02CE3A18">
            <w:pPr>
              <w:spacing w:before="50" w:after="50"/>
              <w:jc w:val="center"/>
              <w:rPr>
                <w:rFonts w:ascii="宋体" w:hAnsi="宋体"/>
                <w:color w:val="000000" w:themeColor="text1"/>
                <w:sz w:val="24"/>
                <w14:textFill>
                  <w14:solidFill>
                    <w14:schemeClr w14:val="tx1"/>
                  </w14:solidFill>
                </w14:textFill>
              </w:rPr>
            </w:pPr>
          </w:p>
        </w:tc>
        <w:tc>
          <w:tcPr>
            <w:tcW w:w="737" w:type="dxa"/>
            <w:tcBorders>
              <w:top w:val="single" w:color="auto" w:sz="4" w:space="0"/>
              <w:left w:val="single" w:color="auto" w:sz="4" w:space="0"/>
              <w:bottom w:val="single" w:color="auto" w:sz="4" w:space="0"/>
              <w:right w:val="single" w:color="auto" w:sz="4" w:space="0"/>
            </w:tcBorders>
            <w:vAlign w:val="center"/>
          </w:tcPr>
          <w:p w14:paraId="3C974CBD">
            <w:pPr>
              <w:spacing w:before="50" w:after="50"/>
              <w:jc w:val="center"/>
              <w:rPr>
                <w:rFonts w:ascii="宋体" w:hAnsi="宋体"/>
                <w:color w:val="000000" w:themeColor="text1"/>
                <w:sz w:val="24"/>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vAlign w:val="center"/>
          </w:tcPr>
          <w:p w14:paraId="1367B3F9">
            <w:pPr>
              <w:spacing w:before="50" w:after="50"/>
              <w:jc w:val="center"/>
              <w:rPr>
                <w:rFonts w:ascii="宋体" w:hAnsi="宋体"/>
                <w:color w:val="000000" w:themeColor="text1"/>
                <w:sz w:val="24"/>
                <w14:textFill>
                  <w14:solidFill>
                    <w14:schemeClr w14:val="tx1"/>
                  </w14:solidFill>
                </w14:textFill>
              </w:rPr>
            </w:pPr>
          </w:p>
        </w:tc>
      </w:tr>
    </w:tbl>
    <w:p w14:paraId="44EC9BA1">
      <w:pPr>
        <w:spacing w:line="360" w:lineRule="auto"/>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p w14:paraId="441B4AFA">
      <w:pPr>
        <w:tabs>
          <w:tab w:val="left" w:pos="1065"/>
        </w:tabs>
        <w:spacing w:line="360" w:lineRule="auto"/>
        <w:contextualSpacing/>
        <w:rPr>
          <w:rFonts w:ascii="宋体" w:hAnsi="宋体" w:cs="仿宋_GB2312"/>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以上货物配置清单中“标的名称、数量及单位、品牌、规格型号、制造商、原产地、参数性能、指标及配置”必须如实填写完整，品牌、规格型号没有则填无，填写有缺漏的，响应文件按无效处理</w:t>
      </w:r>
      <w:r>
        <w:rPr>
          <w:rFonts w:hint="eastAsia" w:ascii="宋体" w:hAnsi="宋体"/>
          <w:b/>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标的名称、数量及单位、品牌必须与“竞标报价表”一致，</w:t>
      </w:r>
      <w:r>
        <w:rPr>
          <w:rFonts w:hint="eastAsia" w:ascii="宋体" w:hAnsi="宋体"/>
          <w:b/>
          <w:color w:val="000000" w:themeColor="text1"/>
          <w:sz w:val="24"/>
          <w14:textFill>
            <w14:solidFill>
              <w14:schemeClr w14:val="tx1"/>
            </w14:solidFill>
          </w14:textFill>
        </w:rPr>
        <w:t>否则响应文件按无效处理。</w:t>
      </w:r>
      <w:r>
        <w:rPr>
          <w:rFonts w:hint="eastAsia" w:ascii="宋体" w:hAnsi="宋体" w:cs="仿宋_GB2312"/>
          <w:color w:val="000000" w:themeColor="text1"/>
          <w:sz w:val="24"/>
          <w14:textFill>
            <w14:solidFill>
              <w14:schemeClr w14:val="tx1"/>
            </w14:solidFill>
          </w14:textFill>
        </w:rPr>
        <w:tab/>
      </w:r>
    </w:p>
    <w:p w14:paraId="66182A57">
      <w:pPr>
        <w:spacing w:line="360" w:lineRule="auto"/>
        <w:contextualSpacing/>
        <w:jc w:val="left"/>
        <w:rPr>
          <w:rFonts w:ascii="宋体" w:hAnsi="宋体" w:cs="仿宋_GB2312"/>
          <w:color w:val="000000" w:themeColor="text1"/>
          <w:sz w:val="24"/>
          <w14:textFill>
            <w14:solidFill>
              <w14:schemeClr w14:val="tx1"/>
            </w14:solidFill>
          </w14:textFill>
        </w:rPr>
      </w:pPr>
    </w:p>
    <w:p w14:paraId="481D3D6C">
      <w:pPr>
        <w:spacing w:line="360" w:lineRule="auto"/>
        <w:contextualSpacing/>
        <w:jc w:val="left"/>
        <w:rPr>
          <w:rFonts w:ascii="宋体" w:hAnsi="宋体" w:cs="仿宋_GB2312"/>
          <w:color w:val="000000" w:themeColor="text1"/>
          <w:sz w:val="24"/>
          <w14:textFill>
            <w14:solidFill>
              <w14:schemeClr w14:val="tx1"/>
            </w14:solidFill>
          </w14:textFill>
        </w:rPr>
      </w:pPr>
    </w:p>
    <w:p w14:paraId="24CA2EB4">
      <w:pPr>
        <w:spacing w:line="360" w:lineRule="auto"/>
        <w:contextualSpacing/>
        <w:jc w:val="left"/>
        <w:rPr>
          <w:rFonts w:ascii="宋体" w:hAnsi="宋体" w:cs="仿宋_GB2312"/>
          <w:color w:val="000000" w:themeColor="text1"/>
          <w:sz w:val="24"/>
          <w14:textFill>
            <w14:solidFill>
              <w14:schemeClr w14:val="tx1"/>
            </w14:solidFill>
          </w14:textFill>
        </w:rPr>
      </w:pPr>
    </w:p>
    <w:p w14:paraId="7B6E7A64">
      <w:pPr>
        <w:spacing w:line="360" w:lineRule="auto"/>
        <w:ind w:right="-817"/>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585A47B6">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1A7DF4D9">
      <w:pPr>
        <w:spacing w:line="360" w:lineRule="auto"/>
        <w:ind w:right="-817" w:firstLine="2880"/>
        <w:contextualSpacing/>
        <w:rPr>
          <w:rFonts w:ascii="仿宋_GB2312" w:hAnsi="仿宋_GB2312" w:eastAsia="仿宋_GB2312" w:cs="仿宋_GB2312"/>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6D26F99A">
      <w:pPr>
        <w:spacing w:line="300" w:lineRule="auto"/>
        <w:rPr>
          <w:rFonts w:ascii="宋体" w:hAnsi="宋体"/>
          <w:color w:val="000000" w:themeColor="text1"/>
          <w:szCs w:val="21"/>
          <w:u w:val="single"/>
          <w14:textFill>
            <w14:solidFill>
              <w14:schemeClr w14:val="tx1"/>
            </w14:solidFill>
          </w14:textFill>
        </w:rPr>
      </w:pPr>
    </w:p>
    <w:p w14:paraId="0B4281CF">
      <w:pPr>
        <w:spacing w:line="300" w:lineRule="auto"/>
        <w:rPr>
          <w:rFonts w:ascii="宋体" w:hAnsi="宋体"/>
          <w:color w:val="000000" w:themeColor="text1"/>
          <w:szCs w:val="21"/>
          <w:u w:val="single"/>
          <w14:textFill>
            <w14:solidFill>
              <w14:schemeClr w14:val="tx1"/>
            </w14:solidFill>
          </w14:textFill>
        </w:rPr>
      </w:pPr>
    </w:p>
    <w:p w14:paraId="117A953B">
      <w:pPr>
        <w:spacing w:line="300" w:lineRule="auto"/>
        <w:rPr>
          <w:rFonts w:ascii="宋体" w:hAnsi="宋体"/>
          <w:color w:val="000000" w:themeColor="text1"/>
          <w:szCs w:val="21"/>
          <w:u w:val="single"/>
          <w14:textFill>
            <w14:solidFill>
              <w14:schemeClr w14:val="tx1"/>
            </w14:solidFill>
          </w14:textFill>
        </w:rPr>
      </w:pPr>
    </w:p>
    <w:p w14:paraId="26BBA04C">
      <w:pPr>
        <w:spacing w:line="300" w:lineRule="auto"/>
        <w:rPr>
          <w:rFonts w:ascii="宋体" w:hAnsi="宋体"/>
          <w:color w:val="000000" w:themeColor="text1"/>
          <w:szCs w:val="21"/>
          <w:u w:val="single"/>
          <w14:textFill>
            <w14:solidFill>
              <w14:schemeClr w14:val="tx1"/>
            </w14:solidFill>
          </w14:textFill>
        </w:rPr>
      </w:pPr>
    </w:p>
    <w:p w14:paraId="07014F5E">
      <w:pPr>
        <w:spacing w:line="300" w:lineRule="auto"/>
        <w:rPr>
          <w:rFonts w:ascii="宋体" w:hAnsi="宋体"/>
          <w:color w:val="000000" w:themeColor="text1"/>
          <w:szCs w:val="21"/>
          <w:u w:val="single"/>
          <w14:textFill>
            <w14:solidFill>
              <w14:schemeClr w14:val="tx1"/>
            </w14:solidFill>
          </w14:textFill>
        </w:rPr>
      </w:pPr>
    </w:p>
    <w:p w14:paraId="584E6EC3">
      <w:pPr>
        <w:spacing w:line="300" w:lineRule="auto"/>
        <w:rPr>
          <w:rFonts w:ascii="宋体" w:hAnsi="宋体"/>
          <w:color w:val="000000" w:themeColor="text1"/>
          <w:szCs w:val="21"/>
          <w:u w:val="single"/>
          <w14:textFill>
            <w14:solidFill>
              <w14:schemeClr w14:val="tx1"/>
            </w14:solidFill>
          </w14:textFill>
        </w:rPr>
      </w:pPr>
    </w:p>
    <w:p w14:paraId="53FC0FB9">
      <w:pPr>
        <w:spacing w:line="300" w:lineRule="auto"/>
        <w:rPr>
          <w:rFonts w:ascii="宋体" w:hAnsi="宋体"/>
          <w:color w:val="000000" w:themeColor="text1"/>
          <w:szCs w:val="21"/>
          <w:u w:val="single"/>
          <w14:textFill>
            <w14:solidFill>
              <w14:schemeClr w14:val="tx1"/>
            </w14:solidFill>
          </w14:textFill>
        </w:rPr>
      </w:pPr>
    </w:p>
    <w:p w14:paraId="07F400BB">
      <w:pPr>
        <w:spacing w:line="300" w:lineRule="auto"/>
        <w:rPr>
          <w:rFonts w:ascii="宋体" w:hAnsi="宋体"/>
          <w:color w:val="000000" w:themeColor="text1"/>
          <w:szCs w:val="21"/>
          <w:u w:val="single"/>
          <w14:textFill>
            <w14:solidFill>
              <w14:schemeClr w14:val="tx1"/>
            </w14:solidFill>
          </w14:textFill>
        </w:rPr>
      </w:pPr>
    </w:p>
    <w:p w14:paraId="36CCB537">
      <w:pPr>
        <w:spacing w:line="300" w:lineRule="auto"/>
        <w:jc w:val="center"/>
        <w:rPr>
          <w:rFonts w:ascii="Arial Unicode MS" w:hAnsi="Arial Unicode MS" w:eastAsia="Arial Unicode MS" w:cs="Arial Unicode MS"/>
          <w:bCs/>
          <w:color w:val="000000" w:themeColor="text1"/>
          <w:sz w:val="44"/>
          <w:szCs w:val="44"/>
          <w14:textFill>
            <w14:solidFill>
              <w14:schemeClr w14:val="tx1"/>
            </w14:solidFill>
          </w14:textFill>
        </w:rPr>
      </w:pPr>
      <w:r>
        <w:rPr>
          <w:rFonts w:ascii="Arial Unicode MS" w:hAnsi="Arial Unicode MS" w:eastAsia="Arial Unicode MS" w:cs="Arial Unicode MS"/>
          <w:bCs/>
          <w:color w:val="000000" w:themeColor="text1"/>
          <w:sz w:val="44"/>
          <w:szCs w:val="44"/>
          <w14:textFill>
            <w14:solidFill>
              <w14:schemeClr w14:val="tx1"/>
            </w14:solidFill>
          </w14:textFill>
        </w:rPr>
        <w:br w:type="page" w:clear="all"/>
      </w:r>
      <w:r>
        <w:rPr>
          <w:rFonts w:hint="eastAsia" w:ascii="Arial Unicode MS" w:hAnsi="Arial Unicode MS" w:eastAsia="Arial Unicode MS" w:cs="Arial Unicode MS"/>
          <w:bCs/>
          <w:color w:val="000000" w:themeColor="text1"/>
          <w:sz w:val="44"/>
          <w:szCs w:val="44"/>
          <w14:textFill>
            <w14:solidFill>
              <w14:schemeClr w14:val="tx1"/>
            </w14:solidFill>
          </w14:textFill>
        </w:rPr>
        <w:t>8.技术要求偏离表</w:t>
      </w:r>
    </w:p>
    <w:p w14:paraId="6650CA0E">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44647B70">
      <w:pPr>
        <w:spacing w:line="360" w:lineRule="auto"/>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采购项目编号：</w:t>
      </w:r>
      <w:r>
        <w:rPr>
          <w:rFonts w:hint="eastAsia" w:ascii="宋体" w:hAnsi="宋体" w:cs="仿宋_GB2312"/>
          <w:color w:val="000000" w:themeColor="text1"/>
          <w:sz w:val="24"/>
          <w:u w:val="single"/>
          <w14:textFill>
            <w14:solidFill>
              <w14:schemeClr w14:val="tx1"/>
            </w14:solidFill>
          </w14:textFill>
        </w:rPr>
        <w:t xml:space="preserve">                 </w:t>
      </w:r>
    </w:p>
    <w:p w14:paraId="5DE0574B">
      <w:pPr>
        <w:spacing w:line="360" w:lineRule="auto"/>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采购项目名称：</w:t>
      </w:r>
      <w:r>
        <w:rPr>
          <w:rFonts w:hint="eastAsia" w:ascii="宋体" w:hAnsi="宋体" w:cs="仿宋_GB2312"/>
          <w:color w:val="000000" w:themeColor="text1"/>
          <w:sz w:val="24"/>
          <w:u w:val="single"/>
          <w14:textFill>
            <w14:solidFill>
              <w14:schemeClr w14:val="tx1"/>
            </w14:solidFill>
          </w14:textFill>
        </w:rPr>
        <w:t xml:space="preserve">                 </w:t>
      </w:r>
    </w:p>
    <w:p w14:paraId="0281CFC3">
      <w:pPr>
        <w:spacing w:line="360" w:lineRule="auto"/>
        <w:rPr>
          <w:rFonts w:ascii="宋体" w:hAns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分标号：</w:t>
      </w:r>
      <w:r>
        <w:rPr>
          <w:rFonts w:hint="eastAsia" w:ascii="宋体" w:hAnsi="宋体" w:cs="仿宋_GB2312"/>
          <w:color w:val="000000" w:themeColor="text1"/>
          <w:sz w:val="24"/>
          <w:u w:val="single"/>
          <w14:textFill>
            <w14:solidFill>
              <w14:schemeClr w14:val="tx1"/>
            </w14:solidFill>
          </w14:textFill>
        </w:rPr>
        <w:t xml:space="preserve">                       </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1F8121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490C1473">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序号</w:t>
            </w:r>
          </w:p>
        </w:tc>
        <w:tc>
          <w:tcPr>
            <w:tcW w:w="900" w:type="dxa"/>
            <w:tcBorders>
              <w:right w:val="single" w:color="auto" w:sz="4" w:space="0"/>
            </w:tcBorders>
            <w:vAlign w:val="center"/>
          </w:tcPr>
          <w:p w14:paraId="6F796ADA">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名称</w:t>
            </w:r>
          </w:p>
        </w:tc>
        <w:tc>
          <w:tcPr>
            <w:tcW w:w="2989" w:type="dxa"/>
            <w:tcBorders>
              <w:left w:val="single" w:color="auto" w:sz="4" w:space="0"/>
            </w:tcBorders>
            <w:vAlign w:val="center"/>
          </w:tcPr>
          <w:p w14:paraId="20050D55">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谈判文件要求</w:t>
            </w:r>
          </w:p>
        </w:tc>
        <w:tc>
          <w:tcPr>
            <w:tcW w:w="2690" w:type="dxa"/>
            <w:vAlign w:val="center"/>
          </w:tcPr>
          <w:p w14:paraId="7CDD2B26">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竞标响应</w:t>
            </w:r>
          </w:p>
        </w:tc>
        <w:tc>
          <w:tcPr>
            <w:tcW w:w="1467" w:type="dxa"/>
            <w:vAlign w:val="center"/>
          </w:tcPr>
          <w:p w14:paraId="4BCD56A0">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偏离说明</w:t>
            </w:r>
          </w:p>
        </w:tc>
      </w:tr>
      <w:tr w14:paraId="34889A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37FC66FC">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1</w:t>
            </w:r>
          </w:p>
        </w:tc>
        <w:tc>
          <w:tcPr>
            <w:tcW w:w="900" w:type="dxa"/>
            <w:tcBorders>
              <w:right w:val="single" w:color="auto" w:sz="4" w:space="0"/>
            </w:tcBorders>
            <w:vAlign w:val="center"/>
          </w:tcPr>
          <w:p w14:paraId="6907B3A0">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989" w:type="dxa"/>
            <w:tcBorders>
              <w:left w:val="single" w:color="auto" w:sz="4" w:space="0"/>
            </w:tcBorders>
            <w:vAlign w:val="center"/>
          </w:tcPr>
          <w:p w14:paraId="6782F869">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690" w:type="dxa"/>
            <w:vAlign w:val="center"/>
          </w:tcPr>
          <w:p w14:paraId="2680B494">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467" w:type="dxa"/>
            <w:vAlign w:val="center"/>
          </w:tcPr>
          <w:p w14:paraId="329C62D7">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09E288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778D135D">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2</w:t>
            </w:r>
          </w:p>
        </w:tc>
        <w:tc>
          <w:tcPr>
            <w:tcW w:w="900" w:type="dxa"/>
            <w:tcBorders>
              <w:right w:val="single" w:color="auto" w:sz="4" w:space="0"/>
            </w:tcBorders>
            <w:vAlign w:val="center"/>
          </w:tcPr>
          <w:p w14:paraId="7A2CC5E7">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989" w:type="dxa"/>
            <w:tcBorders>
              <w:left w:val="single" w:color="auto" w:sz="4" w:space="0"/>
            </w:tcBorders>
            <w:vAlign w:val="center"/>
          </w:tcPr>
          <w:p w14:paraId="22B11725">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690" w:type="dxa"/>
            <w:vAlign w:val="center"/>
          </w:tcPr>
          <w:p w14:paraId="7ED1B364">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467" w:type="dxa"/>
            <w:vAlign w:val="center"/>
          </w:tcPr>
          <w:p w14:paraId="4DDBF212">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52F88C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529619DF">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3</w:t>
            </w:r>
          </w:p>
        </w:tc>
        <w:tc>
          <w:tcPr>
            <w:tcW w:w="900" w:type="dxa"/>
            <w:tcBorders>
              <w:right w:val="single" w:color="auto" w:sz="4" w:space="0"/>
            </w:tcBorders>
            <w:vAlign w:val="center"/>
          </w:tcPr>
          <w:p w14:paraId="636B61CB">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989" w:type="dxa"/>
            <w:tcBorders>
              <w:left w:val="single" w:color="auto" w:sz="4" w:space="0"/>
            </w:tcBorders>
            <w:vAlign w:val="center"/>
          </w:tcPr>
          <w:p w14:paraId="29938429">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690" w:type="dxa"/>
            <w:vAlign w:val="center"/>
          </w:tcPr>
          <w:p w14:paraId="1B41E373">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467" w:type="dxa"/>
            <w:vAlign w:val="center"/>
          </w:tcPr>
          <w:p w14:paraId="49BF825A">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5134C1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243DEFE9">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4</w:t>
            </w:r>
          </w:p>
        </w:tc>
        <w:tc>
          <w:tcPr>
            <w:tcW w:w="900" w:type="dxa"/>
            <w:tcBorders>
              <w:right w:val="single" w:color="auto" w:sz="4" w:space="0"/>
            </w:tcBorders>
            <w:vAlign w:val="center"/>
          </w:tcPr>
          <w:p w14:paraId="77297EE7">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989" w:type="dxa"/>
            <w:tcBorders>
              <w:left w:val="single" w:color="auto" w:sz="4" w:space="0"/>
            </w:tcBorders>
            <w:vAlign w:val="center"/>
          </w:tcPr>
          <w:p w14:paraId="0DF66C24">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690" w:type="dxa"/>
            <w:vAlign w:val="center"/>
          </w:tcPr>
          <w:p w14:paraId="419F5D3F">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467" w:type="dxa"/>
            <w:vAlign w:val="center"/>
          </w:tcPr>
          <w:p w14:paraId="19C90E42">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35A27C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6FF729E4">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5</w:t>
            </w:r>
          </w:p>
        </w:tc>
        <w:tc>
          <w:tcPr>
            <w:tcW w:w="900" w:type="dxa"/>
            <w:tcBorders>
              <w:right w:val="single" w:color="auto" w:sz="4" w:space="0"/>
            </w:tcBorders>
            <w:vAlign w:val="center"/>
          </w:tcPr>
          <w:p w14:paraId="780F0F6E">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989" w:type="dxa"/>
            <w:tcBorders>
              <w:left w:val="single" w:color="auto" w:sz="4" w:space="0"/>
            </w:tcBorders>
            <w:vAlign w:val="center"/>
          </w:tcPr>
          <w:p w14:paraId="74CFD5AF">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690" w:type="dxa"/>
            <w:vAlign w:val="center"/>
          </w:tcPr>
          <w:p w14:paraId="64459BF9">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467" w:type="dxa"/>
            <w:vAlign w:val="center"/>
          </w:tcPr>
          <w:p w14:paraId="5D7D93F8">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r w14:paraId="71760D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vAlign w:val="center"/>
          </w:tcPr>
          <w:p w14:paraId="3585269F">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w:t>
            </w:r>
          </w:p>
        </w:tc>
        <w:tc>
          <w:tcPr>
            <w:tcW w:w="900" w:type="dxa"/>
            <w:tcBorders>
              <w:right w:val="single" w:color="auto" w:sz="4" w:space="0"/>
            </w:tcBorders>
            <w:vAlign w:val="center"/>
          </w:tcPr>
          <w:p w14:paraId="50278245">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989" w:type="dxa"/>
            <w:tcBorders>
              <w:left w:val="single" w:color="auto" w:sz="4" w:space="0"/>
            </w:tcBorders>
            <w:vAlign w:val="center"/>
          </w:tcPr>
          <w:p w14:paraId="16BD691C">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2690" w:type="dxa"/>
            <w:vAlign w:val="center"/>
          </w:tcPr>
          <w:p w14:paraId="7B761B0E">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c>
          <w:tcPr>
            <w:tcW w:w="1467" w:type="dxa"/>
            <w:tcBorders>
              <w:right w:val="single" w:color="auto" w:sz="4" w:space="0"/>
            </w:tcBorders>
            <w:vAlign w:val="center"/>
          </w:tcPr>
          <w:p w14:paraId="7CF8D7A7">
            <w:pPr>
              <w:pStyle w:val="18"/>
              <w:spacing w:line="360" w:lineRule="auto"/>
              <w:ind w:firstLine="0"/>
              <w:jc w:val="center"/>
              <w:rPr>
                <w:rFonts w:ascii="宋体" w:hAnsi="宋体" w:eastAsia="宋体" w:cs="仿宋_GB2312"/>
                <w:color w:val="000000" w:themeColor="text1"/>
                <w:sz w:val="24"/>
                <w:szCs w:val="24"/>
                <w14:textFill>
                  <w14:solidFill>
                    <w14:schemeClr w14:val="tx1"/>
                  </w14:solidFill>
                </w14:textFill>
              </w:rPr>
            </w:pPr>
          </w:p>
        </w:tc>
      </w:tr>
    </w:tbl>
    <w:p w14:paraId="58EA9D31">
      <w:pPr>
        <w:pStyle w:val="18"/>
        <w:spacing w:line="360" w:lineRule="auto"/>
        <w:ind w:firstLine="0"/>
        <w:contextualSpacing/>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注：</w:t>
      </w:r>
    </w:p>
    <w:p w14:paraId="3B9D51DE">
      <w:pPr>
        <w:pStyle w:val="18"/>
        <w:spacing w:line="360" w:lineRule="auto"/>
        <w:ind w:firstLine="0"/>
        <w:contextualSpacing/>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1. 说明：应对照谈判文件“第三章 采购需求”中的技术要求逐条实质性响应，并作出偏离说明。</w:t>
      </w:r>
    </w:p>
    <w:p w14:paraId="1D5A8F29">
      <w:pPr>
        <w:pStyle w:val="18"/>
        <w:spacing w:line="360" w:lineRule="auto"/>
        <w:ind w:firstLine="0"/>
        <w:contextualSpacing/>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2.供应商应根据竞标设备的性能指标，对照谈判文件要求，在“偏离说明”中注明“正偏离”“负偏离”或者“无偏离”。既不属于“正偏离”也不属于“负偏离”即为“无偏离”。</w:t>
      </w:r>
    </w:p>
    <w:p w14:paraId="3632E5BF">
      <w:pPr>
        <w:pStyle w:val="18"/>
        <w:spacing w:line="360" w:lineRule="auto"/>
        <w:ind w:firstLine="0"/>
        <w:contextualSpacing/>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3.供应商认为其竞标响应有正偏离的，请在技术要求偏离表中列明，且在响应文件中提供竞标产品的彩页或</w:t>
      </w:r>
      <w:r>
        <w:rPr>
          <w:rFonts w:ascii="宋体" w:hAnsi="宋体" w:eastAsia="宋体"/>
          <w:color w:val="000000" w:themeColor="text1"/>
          <w:sz w:val="24"/>
          <w:szCs w:val="24"/>
          <w14:textFill>
            <w14:solidFill>
              <w14:schemeClr w14:val="tx1"/>
            </w14:solidFill>
          </w14:textFill>
        </w:rPr>
        <w:t>国家认</w:t>
      </w:r>
      <w:r>
        <w:rPr>
          <w:rFonts w:hint="eastAsia" w:ascii="宋体" w:hAnsi="宋体" w:eastAsia="宋体"/>
          <w:color w:val="000000" w:themeColor="text1"/>
          <w:sz w:val="24"/>
          <w:szCs w:val="24"/>
          <w14:textFill>
            <w14:solidFill>
              <w14:schemeClr w14:val="tx1"/>
            </w14:solidFill>
          </w14:textFill>
        </w:rPr>
        <w:t>可的</w:t>
      </w:r>
      <w:r>
        <w:rPr>
          <w:rFonts w:ascii="宋体" w:hAnsi="宋体" w:eastAsia="宋体"/>
          <w:color w:val="000000" w:themeColor="text1"/>
          <w:sz w:val="24"/>
          <w:szCs w:val="24"/>
          <w14:textFill>
            <w14:solidFill>
              <w14:schemeClr w14:val="tx1"/>
            </w14:solidFill>
          </w14:textFill>
        </w:rPr>
        <w:t>有资质的第三方检测机构出具的检测报告复印件</w:t>
      </w:r>
      <w:r>
        <w:rPr>
          <w:rFonts w:hint="eastAsia" w:ascii="宋体" w:hAnsi="宋体" w:eastAsia="宋体"/>
          <w:color w:val="000000" w:themeColor="text1"/>
          <w:sz w:val="24"/>
          <w:szCs w:val="24"/>
          <w14:textFill>
            <w14:solidFill>
              <w14:schemeClr w14:val="tx1"/>
            </w14:solidFill>
          </w14:textFill>
        </w:rPr>
        <w:t>或产品生产厂家出具的技术参数说明证明作为佐证，以上佐证材料均需加盖生产厂家或代理商（附生产厂家授权资料）公章。</w:t>
      </w:r>
    </w:p>
    <w:p w14:paraId="59A49FA9">
      <w:pPr>
        <w:pStyle w:val="18"/>
        <w:spacing w:line="360" w:lineRule="auto"/>
        <w:ind w:firstLine="0"/>
        <w:contextualSpacing/>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4</w:t>
      </w:r>
      <w:r>
        <w:rPr>
          <w:rFonts w:ascii="宋体" w:hAnsi="宋体" w:eastAsia="宋体"/>
          <w:color w:val="000000" w:themeColor="text1"/>
          <w:sz w:val="24"/>
          <w:szCs w:val="24"/>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 xml:space="preserve"> 如技术要求偏离表中的竞标响应与佐证材料不一致的，以佐证材料为准。</w:t>
      </w:r>
    </w:p>
    <w:p w14:paraId="1B8DF6FB">
      <w:pPr>
        <w:pStyle w:val="18"/>
        <w:spacing w:line="360" w:lineRule="auto"/>
        <w:ind w:firstLine="0"/>
        <w:contextualSpacing/>
        <w:rPr>
          <w:rFonts w:ascii="宋体" w:hAnsi="宋体" w:eastAsia="宋体" w:cs="仿宋_GB2312"/>
          <w:color w:val="000000" w:themeColor="text1"/>
          <w:sz w:val="24"/>
          <w:szCs w:val="24"/>
          <w14:textFill>
            <w14:solidFill>
              <w14:schemeClr w14:val="tx1"/>
            </w14:solidFill>
          </w14:textFill>
        </w:rPr>
      </w:pPr>
    </w:p>
    <w:p w14:paraId="3048B3D5">
      <w:pPr>
        <w:spacing w:line="360" w:lineRule="auto"/>
        <w:ind w:right="-817"/>
        <w:contextualSpacing/>
        <w:rPr>
          <w:rFonts w:ascii="宋体" w:hAnsi="宋体" w:cs="仿宋_GB2312"/>
          <w:color w:val="000000" w:themeColor="text1"/>
          <w:sz w:val="24"/>
          <w14:textFill>
            <w14:solidFill>
              <w14:schemeClr w14:val="tx1"/>
            </w14:solidFill>
          </w14:textFill>
        </w:rPr>
      </w:pPr>
    </w:p>
    <w:p w14:paraId="7027B224">
      <w:pPr>
        <w:spacing w:line="360" w:lineRule="auto"/>
        <w:ind w:right="-817"/>
        <w:contextualSpacing/>
        <w:jc w:val="center"/>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3DE9FF05">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54E94B0A">
      <w:pPr>
        <w:spacing w:line="360" w:lineRule="auto"/>
        <w:ind w:right="-817" w:firstLine="2880"/>
        <w:contextualSpacing/>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14F0B1E0">
      <w:pPr>
        <w:spacing w:line="300" w:lineRule="auto"/>
        <w:jc w:val="center"/>
        <w:rPr>
          <w:rFonts w:ascii="Arial Unicode MS" w:hAnsi="Arial Unicode MS" w:eastAsia="Arial Unicode MS" w:cs="Arial Unicode MS"/>
          <w:bCs/>
          <w:color w:val="000000" w:themeColor="text1"/>
          <w:sz w:val="32"/>
          <w:szCs w:val="32"/>
          <w14:textFill>
            <w14:solidFill>
              <w14:schemeClr w14:val="tx1"/>
            </w14:solidFill>
          </w14:textFill>
        </w:rPr>
      </w:pPr>
      <w:r>
        <w:rPr>
          <w:rFonts w:ascii="宋体" w:hAnsi="宋体"/>
          <w:b/>
          <w:bCs/>
          <w:color w:val="000000" w:themeColor="text1"/>
          <w:sz w:val="24"/>
          <w14:textFill>
            <w14:solidFill>
              <w14:schemeClr w14:val="tx1"/>
            </w14:solidFill>
          </w14:textFill>
        </w:rPr>
        <w:br w:type="page" w:clear="all"/>
      </w:r>
      <w:r>
        <w:rPr>
          <w:rFonts w:hint="eastAsia" w:ascii="Arial Unicode MS" w:hAnsi="Arial Unicode MS" w:eastAsia="Arial Unicode MS" w:cs="Arial Unicode MS"/>
          <w:bCs/>
          <w:color w:val="000000" w:themeColor="text1"/>
          <w:sz w:val="44"/>
          <w:szCs w:val="44"/>
          <w14:textFill>
            <w14:solidFill>
              <w14:schemeClr w14:val="tx1"/>
            </w14:solidFill>
          </w14:textFill>
        </w:rPr>
        <w:t>9.</w:t>
      </w:r>
      <w:r>
        <w:rPr>
          <w:rFonts w:hint="eastAsia" w:ascii="Arial Unicode MS" w:hAnsi="Arial Unicode MS" w:eastAsia="Arial Unicode MS" w:cs="Arial Unicode MS"/>
          <w:bCs/>
          <w:color w:val="000000" w:themeColor="text1"/>
          <w:sz w:val="32"/>
          <w:szCs w:val="32"/>
          <w14:textFill>
            <w14:solidFill>
              <w14:schemeClr w14:val="tx1"/>
            </w14:solidFill>
          </w14:textFill>
        </w:rPr>
        <w:t>《关于符合本国产品标准的声明函》或者财政部会同有关部门规定的有关证明文件；（供应商根据自身响应情况出具）</w:t>
      </w:r>
    </w:p>
    <w:p w14:paraId="70E49FC9">
      <w:pPr>
        <w:spacing w:line="300" w:lineRule="auto"/>
        <w:rPr>
          <w:rFonts w:ascii="宋体" w:hAnsi="宋体"/>
          <w:b/>
          <w:bCs/>
          <w:color w:val="000000" w:themeColor="text1"/>
          <w:sz w:val="24"/>
          <w14:textFill>
            <w14:solidFill>
              <w14:schemeClr w14:val="tx1"/>
            </w14:solidFill>
          </w14:textFill>
        </w:rPr>
      </w:pPr>
    </w:p>
    <w:p w14:paraId="0DD2D1D1">
      <w:pPr>
        <w:widowControl/>
        <w:shd w:val="clear" w:color="auto" w:fill="FFFFFF"/>
        <w:jc w:val="center"/>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关于符合本国产品标准的声明函</w:t>
      </w:r>
    </w:p>
    <w:p w14:paraId="6BC7F2B3">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70B6AA92">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ABA9276">
      <w:pPr>
        <w:widowControl/>
        <w:shd w:val="clear" w:color="auto" w:fill="FFFFFF"/>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i/>
          <w:iCs/>
          <w:color w:val="000000" w:themeColor="text1"/>
          <w:sz w:val="18"/>
          <w:szCs w:val="18"/>
          <w:vertAlign w:val="superscript"/>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，生产厂为</w:t>
      </w:r>
      <w:r>
        <w:rPr>
          <w:rFonts w:hint="eastAsia" w:ascii="宋体" w:hAnsi="宋体" w:cs="宋体"/>
          <w:i/>
          <w:iCs/>
          <w:color w:val="000000" w:themeColor="text1"/>
          <w:sz w:val="24"/>
          <w14:textFill>
            <w14:solidFill>
              <w14:schemeClr w14:val="tx1"/>
            </w14:solidFill>
          </w14:textFill>
        </w:rPr>
        <w:t>（厂名）</w:t>
      </w:r>
      <w:r>
        <w:rPr>
          <w:rFonts w:hint="eastAsia" w:ascii="宋体" w:hAnsi="宋体" w:cs="宋体"/>
          <w:i/>
          <w:iCs/>
          <w:color w:val="000000" w:themeColor="text1"/>
          <w:sz w:val="18"/>
          <w:szCs w:val="18"/>
          <w:vertAlign w:val="superscript"/>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，厂址为</w:t>
      </w:r>
      <w:r>
        <w:rPr>
          <w:rFonts w:hint="eastAsia" w:ascii="宋体" w:hAnsi="宋体" w:cs="宋体"/>
          <w:i/>
          <w:iCs/>
          <w:color w:val="000000" w:themeColor="text1"/>
          <w:sz w:val="24"/>
          <w14:textFill>
            <w14:solidFill>
              <w14:schemeClr w14:val="tx1"/>
            </w14:solidFill>
          </w14:textFill>
        </w:rPr>
        <w:t>（生产厂址）</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的中国境内生产的组件成本占比≥</w:t>
      </w:r>
      <w:r>
        <w:rPr>
          <w:rFonts w:hint="eastAsia" w:ascii="宋体" w:hAnsi="宋体" w:cs="宋体"/>
          <w:i/>
          <w:iCs/>
          <w:color w:val="000000" w:themeColor="text1"/>
          <w:sz w:val="24"/>
          <w14:textFill>
            <w14:solidFill>
              <w14:schemeClr w14:val="tx1"/>
            </w14:solidFill>
          </w14:textFill>
        </w:rPr>
        <w:t>（规定比例）</w:t>
      </w:r>
      <w:r>
        <w:rPr>
          <w:rFonts w:hint="eastAsia" w:ascii="宋体" w:hAnsi="宋体" w:cs="宋体"/>
          <w:i/>
          <w:iCs/>
          <w:color w:val="000000" w:themeColor="text1"/>
          <w:sz w:val="18"/>
          <w:szCs w:val="18"/>
          <w:vertAlign w:val="superscript"/>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（关键组件）</w:t>
      </w:r>
      <w:r>
        <w:rPr>
          <w:rFonts w:hint="eastAsia" w:ascii="宋体" w:hAnsi="宋体" w:cs="宋体"/>
          <w:i/>
          <w:iCs/>
          <w:color w:val="000000" w:themeColor="text1"/>
          <w:sz w:val="18"/>
          <w:szCs w:val="18"/>
          <w:vertAlign w:val="superscript"/>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在中国境内生产。</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（关键工序）</w:t>
      </w:r>
      <w:r>
        <w:rPr>
          <w:rFonts w:hint="eastAsia" w:ascii="宋体" w:hAnsi="宋体" w:cs="宋体"/>
          <w:i/>
          <w:iCs/>
          <w:color w:val="000000" w:themeColor="text1"/>
          <w:sz w:val="18"/>
          <w:szCs w:val="18"/>
          <w:vertAlign w:val="superscript"/>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在中国境内完成。</w:t>
      </w:r>
    </w:p>
    <w:p w14:paraId="5291703D">
      <w:pPr>
        <w:widowControl/>
        <w:shd w:val="clear" w:color="auto" w:fill="FFFFFF"/>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，生产厂为</w:t>
      </w:r>
      <w:r>
        <w:rPr>
          <w:rFonts w:hint="eastAsia" w:ascii="宋体" w:hAnsi="宋体" w:cs="宋体"/>
          <w:i/>
          <w:iCs/>
          <w:color w:val="000000" w:themeColor="text1"/>
          <w:sz w:val="24"/>
          <w14:textFill>
            <w14:solidFill>
              <w14:schemeClr w14:val="tx1"/>
            </w14:solidFill>
          </w14:textFill>
        </w:rPr>
        <w:t>（厂名）</w:t>
      </w:r>
      <w:r>
        <w:rPr>
          <w:rFonts w:hint="eastAsia" w:ascii="宋体" w:hAnsi="宋体" w:cs="宋体"/>
          <w:color w:val="000000" w:themeColor="text1"/>
          <w:sz w:val="24"/>
          <w14:textFill>
            <w14:solidFill>
              <w14:schemeClr w14:val="tx1"/>
            </w14:solidFill>
          </w14:textFill>
        </w:rPr>
        <w:t>，厂址为</w:t>
      </w:r>
      <w:r>
        <w:rPr>
          <w:rFonts w:hint="eastAsia" w:ascii="宋体" w:hAnsi="宋体" w:cs="宋体"/>
          <w:i/>
          <w:iCs/>
          <w:color w:val="000000" w:themeColor="text1"/>
          <w:sz w:val="24"/>
          <w14:textFill>
            <w14:solidFill>
              <w14:schemeClr w14:val="tx1"/>
            </w14:solidFill>
          </w14:textFill>
        </w:rPr>
        <w:t>（生产厂址）</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的中国境内生产的组件成本占比≥</w:t>
      </w:r>
      <w:r>
        <w:rPr>
          <w:rFonts w:hint="eastAsia" w:ascii="宋体" w:hAnsi="宋体" w:cs="宋体"/>
          <w:i/>
          <w:iCs/>
          <w:color w:val="000000" w:themeColor="text1"/>
          <w:sz w:val="24"/>
          <w14:textFill>
            <w14:solidFill>
              <w14:schemeClr w14:val="tx1"/>
            </w14:solidFill>
          </w14:textFill>
        </w:rPr>
        <w:t>（规定比例）</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（关键组件）</w:t>
      </w:r>
      <w:r>
        <w:rPr>
          <w:rFonts w:hint="eastAsia" w:ascii="宋体" w:hAnsi="宋体" w:cs="宋体"/>
          <w:color w:val="000000" w:themeColor="text1"/>
          <w:sz w:val="24"/>
          <w14:textFill>
            <w14:solidFill>
              <w14:schemeClr w14:val="tx1"/>
            </w14:solidFill>
          </w14:textFill>
        </w:rPr>
        <w:t>在中国境内生产。</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（关键工序）</w:t>
      </w:r>
      <w:r>
        <w:rPr>
          <w:rFonts w:hint="eastAsia" w:ascii="宋体" w:hAnsi="宋体" w:cs="宋体"/>
          <w:color w:val="000000" w:themeColor="text1"/>
          <w:sz w:val="24"/>
          <w14:textFill>
            <w14:solidFill>
              <w14:schemeClr w14:val="tx1"/>
            </w14:solidFill>
          </w14:textFill>
        </w:rPr>
        <w:t>在中国境内完成。</w:t>
      </w:r>
    </w:p>
    <w:p w14:paraId="308BB6EB">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p w14:paraId="7AF51847">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本公司（单位）对上述声明内容的真实性负责。如有虚假，愿承担相应法律责任。</w:t>
      </w:r>
    </w:p>
    <w:p w14:paraId="27B163DD">
      <w:pPr>
        <w:widowControl/>
        <w:shd w:val="clear" w:color="auto" w:fill="FFFFFF"/>
        <w:spacing w:before="30" w:after="3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5B50E9BA">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4A23799C">
      <w:pPr>
        <w:spacing w:line="360" w:lineRule="auto"/>
        <w:ind w:right="-817" w:firstLine="2880"/>
        <w:contextualSpacing/>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4DFD24DF">
      <w:pPr>
        <w:widowControl/>
        <w:shd w:val="clear" w:color="auto" w:fill="FFFFFF"/>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037C58A1">
      <w:pPr>
        <w:widowControl/>
        <w:shd w:val="clear" w:color="auto" w:fill="FFFFFF"/>
        <w:spacing w:before="30" w:after="3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__________________</w:t>
      </w:r>
    </w:p>
    <w:p w14:paraId="5460D541">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1.产品如有型号，请在“产品名称”栏一并填写。</w:t>
      </w:r>
    </w:p>
    <w:p w14:paraId="21E2045E">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2.生产厂名与厂址应与生产厂营业执照载明的相关信息保持一致。</w:t>
      </w:r>
    </w:p>
    <w:p w14:paraId="76CE573F">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3.该产品的中国境内生产的组件成本占比相关要求实施前，“规定比例”栏可不填，下同。</w:t>
      </w:r>
    </w:p>
    <w:p w14:paraId="64F60891">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4.该产品的关键组件要求实施前，“关键组件”栏可不填，下同。</w:t>
      </w:r>
    </w:p>
    <w:p w14:paraId="4DB3861B">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5.该产品的关键工序要求实施前，“关键工序”栏可不填，下同。</w:t>
      </w:r>
    </w:p>
    <w:p w14:paraId="7B2C9511">
      <w:pPr>
        <w:spacing w:line="360" w:lineRule="auto"/>
        <w:contextualSpacing/>
        <w:rPr>
          <w:rFonts w:ascii="宋体" w:hAnsi="宋体" w:cs="仿宋_GB2312"/>
          <w:color w:val="000000" w:themeColor="text1"/>
          <w:sz w:val="24"/>
          <w14:textFill>
            <w14:solidFill>
              <w14:schemeClr w14:val="tx1"/>
            </w14:solidFill>
          </w14:textFill>
        </w:rPr>
      </w:pPr>
    </w:p>
    <w:p w14:paraId="785FB684">
      <w:pPr>
        <w:spacing w:line="300" w:lineRule="auto"/>
        <w:rPr>
          <w:rFonts w:ascii="宋体" w:hAnsi="宋体"/>
          <w:b/>
          <w:bCs/>
          <w:color w:val="000000" w:themeColor="text1"/>
          <w:sz w:val="24"/>
          <w14:textFill>
            <w14:solidFill>
              <w14:schemeClr w14:val="tx1"/>
            </w14:solidFill>
          </w14:textFill>
        </w:rPr>
      </w:pPr>
    </w:p>
    <w:p w14:paraId="0AE9E436">
      <w:pPr>
        <w:spacing w:line="300" w:lineRule="auto"/>
        <w:rPr>
          <w:rFonts w:ascii="宋体" w:hAnsi="宋体"/>
          <w:b/>
          <w:bCs/>
          <w:color w:val="000000" w:themeColor="text1"/>
          <w:sz w:val="24"/>
          <w14:textFill>
            <w14:solidFill>
              <w14:schemeClr w14:val="tx1"/>
            </w14:solidFill>
          </w14:textFill>
        </w:rPr>
      </w:pPr>
    </w:p>
    <w:p w14:paraId="49E4A1A4">
      <w:pPr>
        <w:spacing w:line="300" w:lineRule="auto"/>
        <w:rPr>
          <w:rFonts w:ascii="宋体" w:hAnsi="宋体"/>
          <w:b/>
          <w:bCs/>
          <w:color w:val="000000" w:themeColor="text1"/>
          <w:sz w:val="24"/>
          <w14:textFill>
            <w14:solidFill>
              <w14:schemeClr w14:val="tx1"/>
            </w14:solidFill>
          </w14:textFill>
        </w:rPr>
      </w:pPr>
    </w:p>
    <w:p w14:paraId="6319E8FE">
      <w:pPr>
        <w:spacing w:line="360" w:lineRule="auto"/>
        <w:ind w:right="-817" w:firstLine="2880"/>
        <w:contextualSpacing/>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 xml:space="preserve">供应商（电子签章）：      </w:t>
      </w:r>
    </w:p>
    <w:p w14:paraId="740C3EFF">
      <w:pPr>
        <w:spacing w:line="360" w:lineRule="auto"/>
        <w:ind w:right="-817" w:firstLine="2880"/>
        <w:contextualSpacing/>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   年   月   日</w:t>
      </w:r>
    </w:p>
    <w:p w14:paraId="14D9BDF7">
      <w:pPr>
        <w:spacing w:line="300" w:lineRule="auto"/>
        <w:ind w:firstLine="6080"/>
        <w:rPr>
          <w:rFonts w:ascii="Arial Unicode MS" w:hAnsi="Arial Unicode MS" w:eastAsia="Arial Unicode MS" w:cs="Arial Unicode MS"/>
          <w:bCs/>
          <w:color w:val="000000" w:themeColor="text1"/>
          <w:sz w:val="32"/>
          <w:szCs w:val="32"/>
          <w14:textFill>
            <w14:solidFill>
              <w14:schemeClr w14:val="tx1"/>
            </w14:solidFill>
          </w14:textFill>
        </w:rPr>
      </w:pPr>
    </w:p>
    <w:p w14:paraId="005973FE">
      <w:pPr>
        <w:spacing w:line="300" w:lineRule="auto"/>
        <w:ind w:firstLine="6080"/>
        <w:rPr>
          <w:rFonts w:ascii="Arial Unicode MS" w:hAnsi="Arial Unicode MS" w:eastAsia="Arial Unicode MS" w:cs="Arial Unicode MS"/>
          <w:bCs/>
          <w:color w:val="000000" w:themeColor="text1"/>
          <w:sz w:val="32"/>
          <w:szCs w:val="32"/>
          <w14:textFill>
            <w14:solidFill>
              <w14:schemeClr w14:val="tx1"/>
            </w14:solidFill>
          </w14:textFill>
        </w:rPr>
      </w:pPr>
    </w:p>
    <w:p w14:paraId="02C380CA">
      <w:pPr>
        <w:spacing w:line="300" w:lineRule="auto"/>
        <w:jc w:val="center"/>
        <w:rPr>
          <w:rFonts w:ascii="Arial Unicode MS" w:hAnsi="Arial Unicode MS" w:eastAsia="Arial Unicode MS" w:cs="Arial Unicode MS"/>
          <w:bCs/>
          <w:color w:val="000000" w:themeColor="text1"/>
          <w:sz w:val="44"/>
          <w:szCs w:val="44"/>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10.</w:t>
      </w:r>
      <w:bookmarkStart w:id="68" w:name="_Toc71366061"/>
      <w:bookmarkStart w:id="69" w:name="_Toc71365383"/>
      <w:r>
        <w:rPr>
          <w:rFonts w:hint="eastAsia" w:ascii="Arial Unicode MS" w:hAnsi="Arial Unicode MS" w:eastAsia="Arial Unicode MS" w:cs="Arial Unicode MS"/>
          <w:bCs/>
          <w:color w:val="000000" w:themeColor="text1"/>
          <w:sz w:val="44"/>
          <w:szCs w:val="44"/>
          <w14:textFill>
            <w14:solidFill>
              <w14:schemeClr w14:val="tx1"/>
            </w14:solidFill>
          </w14:textFill>
        </w:rPr>
        <w:t>代理服务费承诺书</w:t>
      </w:r>
    </w:p>
    <w:p w14:paraId="21306AA0">
      <w:pPr>
        <w:spacing w:before="156" w:after="50"/>
        <w:jc w:val="center"/>
        <w:rPr>
          <w:rFonts w:ascii="宋体" w:hAnsi="宋体"/>
          <w:b/>
          <w:color w:val="000000" w:themeColor="text1"/>
          <w:sz w:val="24"/>
          <w14:textFill>
            <w14:solidFill>
              <w14:schemeClr w14:val="tx1"/>
            </w14:solidFill>
          </w14:textFill>
        </w:rPr>
      </w:pPr>
    </w:p>
    <w:p w14:paraId="5977488A">
      <w:pPr>
        <w:spacing w:line="360" w:lineRule="auto"/>
        <w:rPr>
          <w:rFonts w:ascii="宋体" w:hAnsi="宋体"/>
          <w:b/>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致：</w:t>
      </w:r>
      <w:r>
        <w:rPr>
          <w:rFonts w:hint="eastAsia" w:ascii="宋体" w:hAnsi="宋体"/>
          <w:color w:val="000000" w:themeColor="text1"/>
          <w:sz w:val="24"/>
          <w:u w:val="single"/>
          <w14:textFill>
            <w14:solidFill>
              <w14:schemeClr w14:val="tx1"/>
            </w14:solidFill>
          </w14:textFill>
        </w:rPr>
        <w:t>代理机构名称</w:t>
      </w:r>
      <w:r>
        <w:rPr>
          <w:rFonts w:hint="eastAsia" w:ascii="宋体" w:hAnsi="宋体"/>
          <w:color w:val="000000" w:themeColor="text1"/>
          <w:sz w:val="24"/>
          <w14:textFill>
            <w14:solidFill>
              <w14:schemeClr w14:val="tx1"/>
            </w14:solidFill>
          </w14:textFill>
        </w:rPr>
        <w:t>：</w:t>
      </w:r>
    </w:p>
    <w:p w14:paraId="5026BA93">
      <w:pPr>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本单位参加了贵方组织的</w:t>
      </w:r>
      <w:r>
        <w:rPr>
          <w:rFonts w:hint="eastAsia" w:ascii="宋体" w:hAnsi="宋体"/>
          <w:color w:val="000000" w:themeColor="text1"/>
          <w:sz w:val="24"/>
          <w:u w:val="single"/>
          <w14:textFill>
            <w14:solidFill>
              <w14:schemeClr w14:val="tx1"/>
            </w14:solidFill>
          </w14:textFill>
        </w:rPr>
        <w:t xml:space="preserve">  项目名称（项目编号）  </w:t>
      </w:r>
      <w:r>
        <w:rPr>
          <w:rFonts w:hint="eastAsia" w:ascii="宋体" w:hAnsi="宋体"/>
          <w:color w:val="000000" w:themeColor="text1"/>
          <w:sz w:val="24"/>
          <w14:textFill>
            <w14:solidFill>
              <w14:schemeClr w14:val="tx1"/>
            </w14:solidFill>
          </w14:textFill>
        </w:rPr>
        <w:t>项目， 在此说明如下：</w:t>
      </w:r>
    </w:p>
    <w:p w14:paraId="78D072DD">
      <w:pPr>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在领取成交通知书后，由于被质疑、投诉或者其他原因而导致成交结果改变，我方将放弃对已缴纳的成交服务费追还的一切权利。</w:t>
      </w:r>
    </w:p>
    <w:p w14:paraId="6FD383D7">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2.本单位选择第</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种方式作为代理服务费开票类型：</w:t>
      </w:r>
    </w:p>
    <w:p w14:paraId="2075BD2D">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第一种方式：开具增值税普通发票。开票信息如下：</w:t>
      </w:r>
    </w:p>
    <w:p w14:paraId="5FE73ABE">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（1）公司名称_</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44C56B3B">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（2）纳税人识别号_</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64AF98F6">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第二种方式：开具增值税专用发票，开票信息如下：</w:t>
      </w:r>
    </w:p>
    <w:p w14:paraId="3F8C101A">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（1）公司名称</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7B527D26">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（2）纳税人识别号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2698147D">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（3）在税局登记的地址</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3356D8A7">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（4）在税局登记的电话</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25C23EF5">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（5）开户银行</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27F61100">
      <w:pPr>
        <w:spacing w:line="360" w:lineRule="auto"/>
        <w:ind w:firstLine="3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（6）银行账户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25F6F83B">
      <w:pPr>
        <w:spacing w:line="440" w:lineRule="exact"/>
        <w:rPr>
          <w:rFonts w:ascii="宋体" w:hAnsi="宋体"/>
          <w:color w:val="000000" w:themeColor="text1"/>
          <w:sz w:val="24"/>
          <w14:textFill>
            <w14:solidFill>
              <w14:schemeClr w14:val="tx1"/>
            </w14:solidFill>
          </w14:textFill>
        </w:rPr>
      </w:pPr>
    </w:p>
    <w:p w14:paraId="0E9DB100">
      <w:pPr>
        <w:spacing w:line="440" w:lineRule="exact"/>
        <w:rPr>
          <w:rFonts w:ascii="宋体" w:hAnsi="宋体"/>
          <w:color w:val="000000" w:themeColor="text1"/>
          <w:sz w:val="24"/>
          <w14:textFill>
            <w14:solidFill>
              <w14:schemeClr w14:val="tx1"/>
            </w14:solidFill>
          </w14:textFill>
        </w:rPr>
      </w:pPr>
    </w:p>
    <w:p w14:paraId="529BFE01">
      <w:pPr>
        <w:spacing w:line="440" w:lineRule="exact"/>
        <w:rPr>
          <w:rFonts w:ascii="宋体" w:hAnsi="宋体"/>
          <w:color w:val="000000" w:themeColor="text1"/>
          <w:sz w:val="24"/>
          <w14:textFill>
            <w14:solidFill>
              <w14:schemeClr w14:val="tx1"/>
            </w14:solidFill>
          </w14:textFill>
        </w:rPr>
      </w:pPr>
    </w:p>
    <w:p w14:paraId="456C3E43">
      <w:pPr>
        <w:spacing w:line="360" w:lineRule="auto"/>
        <w:ind w:left="-2" w:right="-817" w:firstLine="192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法定代表人或者委托代理人（签字或者电子签名）： </w:t>
      </w:r>
    </w:p>
    <w:p w14:paraId="649D5845">
      <w:pPr>
        <w:spacing w:line="360" w:lineRule="auto"/>
        <w:ind w:left="-3" w:right="-817" w:hanging="2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供应商公章（电子签章）：</w:t>
      </w:r>
    </w:p>
    <w:p w14:paraId="0350374C">
      <w:pPr>
        <w:spacing w:before="50" w:after="50" w:line="360" w:lineRule="auto"/>
        <w:ind w:right="-817" w:firstLine="4080"/>
        <w:rPr>
          <w:rFonts w:ascii="仿宋_GB2312" w:hAnsi="仿宋_GB2312" w:eastAsia="仿宋_GB2312" w:cs="仿宋_GB2312"/>
          <w:b/>
          <w:color w:val="000000" w:themeColor="text1"/>
          <w:sz w:val="32"/>
          <w:szCs w:val="32"/>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37660520">
      <w:pPr>
        <w:spacing w:line="360" w:lineRule="auto"/>
        <w:ind w:right="-817" w:firstLine="3840"/>
        <w:contextualSpacing/>
        <w:rPr>
          <w:rFonts w:ascii="仿宋_GB2312" w:hAnsi="仿宋_GB2312" w:eastAsia="仿宋_GB2312" w:cs="仿宋_GB2312"/>
          <w:color w:val="000000" w:themeColor="text1"/>
          <w:sz w:val="32"/>
          <w:szCs w:val="32"/>
          <w14:textFill>
            <w14:solidFill>
              <w14:schemeClr w14:val="tx1"/>
            </w14:solidFill>
          </w14:textFill>
        </w:rPr>
      </w:pPr>
    </w:p>
    <w:p w14:paraId="5FDF5E0A">
      <w:pPr>
        <w:spacing w:line="300" w:lineRule="auto"/>
        <w:jc w:val="center"/>
        <w:rPr>
          <w:rFonts w:ascii="Arial Unicode MS" w:hAnsi="Arial Unicode MS" w:eastAsia="Arial Unicode MS" w:cs="Arial Unicode MS"/>
          <w:bCs/>
          <w:color w:val="000000" w:themeColor="text1"/>
          <w:sz w:val="44"/>
          <w:szCs w:val="44"/>
          <w14:textFill>
            <w14:solidFill>
              <w14:schemeClr w14:val="tx1"/>
            </w14:solidFill>
          </w14:textFill>
        </w:rPr>
      </w:pPr>
    </w:p>
    <w:p w14:paraId="17278611">
      <w:pPr>
        <w:spacing w:line="300" w:lineRule="auto"/>
        <w:jc w:val="center"/>
        <w:rPr>
          <w:rFonts w:ascii="Arial Unicode MS" w:hAnsi="Arial Unicode MS" w:eastAsia="Arial Unicode MS" w:cs="Arial Unicode MS"/>
          <w:bCs/>
          <w:color w:val="000000" w:themeColor="text1"/>
          <w:sz w:val="44"/>
          <w:szCs w:val="44"/>
          <w14:textFill>
            <w14:solidFill>
              <w14:schemeClr w14:val="tx1"/>
            </w14:solidFill>
          </w14:textFill>
        </w:rPr>
      </w:pPr>
      <w:r>
        <w:rPr>
          <w:rFonts w:hint="eastAsia" w:ascii="Arial Unicode MS" w:hAnsi="Arial Unicode MS" w:eastAsia="Arial Unicode MS" w:cs="Arial Unicode MS"/>
          <w:bCs/>
          <w:color w:val="000000" w:themeColor="text1"/>
          <w:sz w:val="44"/>
          <w:szCs w:val="44"/>
          <w14:textFill>
            <w14:solidFill>
              <w14:schemeClr w14:val="tx1"/>
            </w14:solidFill>
          </w14:textFill>
        </w:rPr>
        <w:t>11.对应采购需求的技术要求、商务要求提供的其他文件资料</w:t>
      </w:r>
    </w:p>
    <w:p w14:paraId="624F0B3F">
      <w:pPr>
        <w:spacing w:line="360" w:lineRule="auto"/>
        <w:ind w:left="208" w:right="-817" w:firstLine="686"/>
        <w:jc w:val="center"/>
        <w:rPr>
          <w:rFonts w:ascii="宋体" w:hAnsi="宋体"/>
          <w:color w:val="000000" w:themeColor="text1"/>
          <w:sz w:val="24"/>
          <w14:textFill>
            <w14:solidFill>
              <w14:schemeClr w14:val="tx1"/>
            </w14:solidFill>
          </w14:textFill>
        </w:rPr>
      </w:pPr>
    </w:p>
    <w:p w14:paraId="0D6F5E42">
      <w:pPr>
        <w:spacing w:line="360" w:lineRule="auto"/>
        <w:ind w:left="208" w:right="-817" w:firstLine="686"/>
        <w:jc w:val="center"/>
        <w:rPr>
          <w:rFonts w:ascii="宋体" w:hAnsi="宋体"/>
          <w:color w:val="000000" w:themeColor="text1"/>
          <w:sz w:val="24"/>
          <w14:textFill>
            <w14:solidFill>
              <w14:schemeClr w14:val="tx1"/>
            </w14:solidFill>
          </w14:textFill>
        </w:rPr>
      </w:pPr>
    </w:p>
    <w:p w14:paraId="047FD2D0">
      <w:pPr>
        <w:spacing w:line="360" w:lineRule="auto"/>
        <w:ind w:left="208" w:right="-817" w:firstLine="686"/>
        <w:jc w:val="center"/>
        <w:rPr>
          <w:rFonts w:ascii="宋体" w:hAnsi="宋体"/>
          <w:color w:val="000000" w:themeColor="text1"/>
          <w:sz w:val="24"/>
          <w14:textFill>
            <w14:solidFill>
              <w14:schemeClr w14:val="tx1"/>
            </w14:solidFill>
          </w14:textFill>
        </w:rPr>
      </w:pPr>
    </w:p>
    <w:p w14:paraId="36C717F5">
      <w:pPr>
        <w:spacing w:line="360" w:lineRule="auto"/>
        <w:ind w:left="208" w:right="-817" w:firstLine="686"/>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供应商公章（电子签章）：</w:t>
      </w:r>
    </w:p>
    <w:p w14:paraId="0EEED3CB">
      <w:pPr>
        <w:spacing w:before="50" w:after="50" w:line="360" w:lineRule="auto"/>
        <w:ind w:right="-817" w:firstLine="960"/>
        <w:jc w:val="center"/>
        <w:rPr>
          <w:rFonts w:ascii="仿宋_GB2312" w:hAnsi="仿宋_GB2312" w:eastAsia="仿宋_GB2312" w:cs="仿宋_GB2312"/>
          <w:b/>
          <w:color w:val="000000" w:themeColor="text1"/>
          <w:sz w:val="32"/>
          <w:szCs w:val="32"/>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7B3FD8A7">
      <w:pPr>
        <w:spacing w:line="360" w:lineRule="auto"/>
        <w:rPr>
          <w:rFonts w:ascii="Arial Unicode MS" w:hAnsi="Arial Unicode MS" w:eastAsia="Arial Unicode MS" w:cs="Arial Unicode MS"/>
          <w:bCs/>
          <w:color w:val="000000" w:themeColor="text1"/>
          <w:sz w:val="32"/>
          <w:szCs w:val="32"/>
          <w14:textFill>
            <w14:solidFill>
              <w14:schemeClr w14:val="tx1"/>
            </w14:solidFill>
          </w14:textFill>
        </w:rPr>
      </w:pPr>
      <w:r>
        <w:rPr>
          <w:rFonts w:ascii="宋体" w:hAnsi="宋体"/>
          <w:b/>
          <w:bCs/>
          <w:color w:val="000000" w:themeColor="text1"/>
          <w:sz w:val="24"/>
          <w14:textFill>
            <w14:solidFill>
              <w14:schemeClr w14:val="tx1"/>
            </w14:solidFill>
          </w14:textFill>
        </w:rPr>
        <w:br w:type="page" w:clear="all"/>
      </w:r>
      <w:bookmarkEnd w:id="68"/>
      <w:bookmarkEnd w:id="69"/>
      <w:r>
        <w:rPr>
          <w:rFonts w:hint="eastAsia" w:ascii="Arial Unicode MS" w:hAnsi="Arial Unicode MS" w:eastAsia="Arial Unicode MS" w:cs="Arial Unicode MS"/>
          <w:bCs/>
          <w:color w:val="000000" w:themeColor="text1"/>
          <w:sz w:val="44"/>
          <w:szCs w:val="44"/>
          <w14:textFill>
            <w14:solidFill>
              <w14:schemeClr w14:val="tx1"/>
            </w14:solidFill>
          </w14:textFill>
        </w:rPr>
        <w:t>12.供应商认为需要提供的其他有关资料。</w:t>
      </w:r>
    </w:p>
    <w:p w14:paraId="5B676A90">
      <w:pPr>
        <w:spacing w:line="360" w:lineRule="auto"/>
        <w:ind w:left="-3" w:right="-817" w:hanging="2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297005BC">
      <w:pPr>
        <w:spacing w:line="360" w:lineRule="auto"/>
        <w:ind w:left="-3" w:right="-817" w:hanging="28"/>
        <w:rPr>
          <w:rFonts w:ascii="宋体" w:hAnsi="宋体"/>
          <w:color w:val="000000" w:themeColor="text1"/>
          <w:sz w:val="24"/>
          <w14:textFill>
            <w14:solidFill>
              <w14:schemeClr w14:val="tx1"/>
            </w14:solidFill>
          </w14:textFill>
        </w:rPr>
      </w:pPr>
    </w:p>
    <w:p w14:paraId="4998B498">
      <w:pPr>
        <w:spacing w:line="360" w:lineRule="auto"/>
        <w:ind w:left="208" w:right="-817" w:firstLine="686"/>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供应商公章（电子签章）：</w:t>
      </w:r>
    </w:p>
    <w:p w14:paraId="02550703">
      <w:pPr>
        <w:spacing w:before="50" w:after="50" w:line="360" w:lineRule="auto"/>
        <w:ind w:right="-817" w:firstLine="960"/>
        <w:jc w:val="center"/>
        <w:rPr>
          <w:rFonts w:ascii="仿宋_GB2312" w:hAnsi="仿宋_GB2312" w:eastAsia="仿宋_GB2312" w:cs="仿宋_GB2312"/>
          <w:b/>
          <w:color w:val="000000" w:themeColor="text1"/>
          <w:sz w:val="32"/>
          <w:szCs w:val="32"/>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    年   月   日</w:t>
      </w:r>
    </w:p>
    <w:p w14:paraId="12FA9EC3">
      <w:pPr>
        <w:spacing w:line="360" w:lineRule="auto"/>
        <w:rPr>
          <w:rFonts w:ascii="Arial Unicode MS" w:hAnsi="Arial Unicode MS" w:eastAsia="Arial Unicode MS" w:cs="Arial Unicode MS"/>
          <w:bCs/>
          <w:color w:val="000000" w:themeColor="text1"/>
          <w:sz w:val="32"/>
          <w:szCs w:val="32"/>
          <w14:textFill>
            <w14:solidFill>
              <w14:schemeClr w14:val="tx1"/>
            </w14:solidFill>
          </w14:textFill>
        </w:rPr>
      </w:pPr>
    </w:p>
    <w:p w14:paraId="33A959D0">
      <w:pPr>
        <w:spacing w:line="360" w:lineRule="auto"/>
        <w:rPr>
          <w:rFonts w:ascii="宋体" w:hAnsi="宋体"/>
          <w:b/>
          <w:bCs/>
          <w:color w:val="000000" w:themeColor="text1"/>
          <w:sz w:val="24"/>
          <w14:textFill>
            <w14:solidFill>
              <w14:schemeClr w14:val="tx1"/>
            </w14:solidFill>
          </w14:textFill>
        </w:rPr>
      </w:pPr>
    </w:p>
    <w:p w14:paraId="02E7492C">
      <w:pPr>
        <w:spacing w:line="360" w:lineRule="auto"/>
        <w:rPr>
          <w:rFonts w:ascii="宋体" w:hAnsi="宋体"/>
          <w:b/>
          <w:bCs/>
          <w:color w:val="000000" w:themeColor="text1"/>
          <w:sz w:val="24"/>
          <w14:textFill>
            <w14:solidFill>
              <w14:schemeClr w14:val="tx1"/>
            </w14:solidFill>
          </w14:textFill>
        </w:rPr>
      </w:pPr>
    </w:p>
    <w:p w14:paraId="7DEED0D5">
      <w:pPr>
        <w:spacing w:line="360" w:lineRule="auto"/>
        <w:rPr>
          <w:rFonts w:ascii="宋体" w:hAnsi="宋体"/>
          <w:b/>
          <w:bCs/>
          <w:color w:val="000000" w:themeColor="text1"/>
          <w:sz w:val="24"/>
          <w14:textFill>
            <w14:solidFill>
              <w14:schemeClr w14:val="tx1"/>
            </w14:solidFill>
          </w14:textFill>
        </w:rPr>
      </w:pPr>
    </w:p>
    <w:p w14:paraId="4DCE6FE5">
      <w:pPr>
        <w:spacing w:line="360" w:lineRule="auto"/>
        <w:rPr>
          <w:rFonts w:ascii="宋体" w:hAnsi="宋体"/>
          <w:b/>
          <w:bCs/>
          <w:color w:val="000000" w:themeColor="text1"/>
          <w:sz w:val="24"/>
          <w14:textFill>
            <w14:solidFill>
              <w14:schemeClr w14:val="tx1"/>
            </w14:solidFill>
          </w14:textFill>
        </w:rPr>
      </w:pPr>
    </w:p>
    <w:p w14:paraId="03A77FFC">
      <w:pPr>
        <w:spacing w:line="360" w:lineRule="auto"/>
        <w:rPr>
          <w:rFonts w:ascii="宋体" w:hAnsi="宋体"/>
          <w:b/>
          <w:bCs/>
          <w:color w:val="000000" w:themeColor="text1"/>
          <w:sz w:val="24"/>
          <w14:textFill>
            <w14:solidFill>
              <w14:schemeClr w14:val="tx1"/>
            </w14:solidFill>
          </w14:textFill>
        </w:rPr>
      </w:pPr>
    </w:p>
    <w:p w14:paraId="4BE58737">
      <w:pPr>
        <w:spacing w:line="360" w:lineRule="auto"/>
        <w:rPr>
          <w:rFonts w:ascii="宋体" w:hAnsi="宋体"/>
          <w:b/>
          <w:bCs/>
          <w:color w:val="000000" w:themeColor="text1"/>
          <w:sz w:val="24"/>
          <w14:textFill>
            <w14:solidFill>
              <w14:schemeClr w14:val="tx1"/>
            </w14:solidFill>
          </w14:textFill>
        </w:rPr>
      </w:pPr>
    </w:p>
    <w:p w14:paraId="3F812A50">
      <w:pPr>
        <w:spacing w:line="360" w:lineRule="auto"/>
        <w:rPr>
          <w:rFonts w:ascii="宋体" w:hAnsi="宋体"/>
          <w:b/>
          <w:bCs/>
          <w:color w:val="000000" w:themeColor="text1"/>
          <w:sz w:val="24"/>
          <w14:textFill>
            <w14:solidFill>
              <w14:schemeClr w14:val="tx1"/>
            </w14:solidFill>
          </w14:textFill>
        </w:rPr>
      </w:pPr>
    </w:p>
    <w:p w14:paraId="59411707">
      <w:pPr>
        <w:spacing w:line="360" w:lineRule="auto"/>
        <w:rPr>
          <w:rFonts w:ascii="宋体" w:hAnsi="宋体"/>
          <w:b/>
          <w:bCs/>
          <w:color w:val="000000" w:themeColor="text1"/>
          <w:sz w:val="24"/>
          <w14:textFill>
            <w14:solidFill>
              <w14:schemeClr w14:val="tx1"/>
            </w14:solidFill>
          </w14:textFill>
        </w:rPr>
      </w:pPr>
    </w:p>
    <w:p w14:paraId="311D4AD3">
      <w:pPr>
        <w:spacing w:line="360" w:lineRule="auto"/>
        <w:rPr>
          <w:rFonts w:ascii="宋体" w:hAnsi="宋体"/>
          <w:b/>
          <w:bCs/>
          <w:color w:val="000000" w:themeColor="text1"/>
          <w:sz w:val="24"/>
          <w14:textFill>
            <w14:solidFill>
              <w14:schemeClr w14:val="tx1"/>
            </w14:solidFill>
          </w14:textFill>
        </w:rPr>
      </w:pPr>
    </w:p>
    <w:p w14:paraId="4BCC4DFA">
      <w:pPr>
        <w:spacing w:line="360" w:lineRule="auto"/>
        <w:rPr>
          <w:rFonts w:ascii="宋体" w:hAnsi="宋体"/>
          <w:b/>
          <w:bCs/>
          <w:color w:val="000000" w:themeColor="text1"/>
          <w:sz w:val="24"/>
          <w14:textFill>
            <w14:solidFill>
              <w14:schemeClr w14:val="tx1"/>
            </w14:solidFill>
          </w14:textFill>
        </w:rPr>
      </w:pPr>
    </w:p>
    <w:p w14:paraId="77D85B0A">
      <w:pPr>
        <w:spacing w:line="360" w:lineRule="auto"/>
        <w:rPr>
          <w:rFonts w:ascii="宋体" w:hAnsi="宋体"/>
          <w:b/>
          <w:bCs/>
          <w:color w:val="000000" w:themeColor="text1"/>
          <w:sz w:val="24"/>
          <w14:textFill>
            <w14:solidFill>
              <w14:schemeClr w14:val="tx1"/>
            </w14:solidFill>
          </w14:textFill>
        </w:rPr>
      </w:pPr>
    </w:p>
    <w:p w14:paraId="42298C10">
      <w:pPr>
        <w:spacing w:line="360" w:lineRule="auto"/>
        <w:rPr>
          <w:rFonts w:ascii="宋体" w:hAnsi="宋体"/>
          <w:b/>
          <w:bCs/>
          <w:color w:val="000000" w:themeColor="text1"/>
          <w:sz w:val="24"/>
          <w14:textFill>
            <w14:solidFill>
              <w14:schemeClr w14:val="tx1"/>
            </w14:solidFill>
          </w14:textFill>
        </w:rPr>
      </w:pPr>
    </w:p>
    <w:p w14:paraId="4EEF1E59">
      <w:pPr>
        <w:spacing w:line="360" w:lineRule="auto"/>
        <w:rPr>
          <w:rFonts w:ascii="宋体" w:hAnsi="宋体"/>
          <w:b/>
          <w:bCs/>
          <w:color w:val="000000" w:themeColor="text1"/>
          <w:sz w:val="24"/>
          <w14:textFill>
            <w14:solidFill>
              <w14:schemeClr w14:val="tx1"/>
            </w14:solidFill>
          </w14:textFill>
        </w:rPr>
      </w:pPr>
    </w:p>
    <w:p w14:paraId="466C22AF">
      <w:pPr>
        <w:spacing w:line="360" w:lineRule="auto"/>
        <w:rPr>
          <w:rFonts w:ascii="宋体" w:hAnsi="宋体"/>
          <w:b/>
          <w:bCs/>
          <w:color w:val="000000" w:themeColor="text1"/>
          <w:sz w:val="24"/>
          <w14:textFill>
            <w14:solidFill>
              <w14:schemeClr w14:val="tx1"/>
            </w14:solidFill>
          </w14:textFill>
        </w:rPr>
      </w:pPr>
    </w:p>
    <w:p w14:paraId="3D7B720F">
      <w:pPr>
        <w:spacing w:line="360" w:lineRule="auto"/>
        <w:rPr>
          <w:rFonts w:ascii="宋体" w:hAnsi="宋体"/>
          <w:b/>
          <w:bCs/>
          <w:color w:val="000000" w:themeColor="text1"/>
          <w:sz w:val="24"/>
          <w14:textFill>
            <w14:solidFill>
              <w14:schemeClr w14:val="tx1"/>
            </w14:solidFill>
          </w14:textFill>
        </w:rPr>
      </w:pPr>
    </w:p>
    <w:p w14:paraId="43D38529">
      <w:pPr>
        <w:spacing w:line="360" w:lineRule="auto"/>
        <w:rPr>
          <w:rFonts w:ascii="宋体" w:hAnsi="宋体"/>
          <w:b/>
          <w:bCs/>
          <w:color w:val="000000" w:themeColor="text1"/>
          <w:sz w:val="24"/>
          <w14:textFill>
            <w14:solidFill>
              <w14:schemeClr w14:val="tx1"/>
            </w14:solidFill>
          </w14:textFill>
        </w:rPr>
      </w:pPr>
    </w:p>
    <w:p w14:paraId="24A85C53">
      <w:pPr>
        <w:spacing w:line="360" w:lineRule="auto"/>
        <w:rPr>
          <w:rFonts w:ascii="宋体" w:hAnsi="宋体"/>
          <w:b/>
          <w:bCs/>
          <w:color w:val="000000" w:themeColor="text1"/>
          <w:sz w:val="24"/>
          <w14:textFill>
            <w14:solidFill>
              <w14:schemeClr w14:val="tx1"/>
            </w14:solidFill>
          </w14:textFill>
        </w:rPr>
      </w:pPr>
    </w:p>
    <w:p w14:paraId="69EA9B3D">
      <w:pPr>
        <w:spacing w:line="360" w:lineRule="auto"/>
        <w:rPr>
          <w:rFonts w:ascii="宋体" w:hAnsi="宋体"/>
          <w:b/>
          <w:bCs/>
          <w:color w:val="000000" w:themeColor="text1"/>
          <w:sz w:val="24"/>
          <w14:textFill>
            <w14:solidFill>
              <w14:schemeClr w14:val="tx1"/>
            </w14:solidFill>
          </w14:textFill>
        </w:rPr>
      </w:pPr>
    </w:p>
    <w:p w14:paraId="6852711D">
      <w:pPr>
        <w:spacing w:line="360" w:lineRule="auto"/>
        <w:rPr>
          <w:rFonts w:ascii="宋体" w:hAnsi="宋体"/>
          <w:b/>
          <w:bCs/>
          <w:color w:val="000000" w:themeColor="text1"/>
          <w:sz w:val="24"/>
          <w14:textFill>
            <w14:solidFill>
              <w14:schemeClr w14:val="tx1"/>
            </w14:solidFill>
          </w14:textFill>
        </w:rPr>
      </w:pPr>
    </w:p>
    <w:p w14:paraId="3DCA4C56">
      <w:pPr>
        <w:spacing w:line="360" w:lineRule="auto"/>
        <w:rPr>
          <w:rFonts w:ascii="宋体" w:hAnsi="宋体"/>
          <w:b/>
          <w:bCs/>
          <w:color w:val="000000" w:themeColor="text1"/>
          <w:sz w:val="24"/>
          <w14:textFill>
            <w14:solidFill>
              <w14:schemeClr w14:val="tx1"/>
            </w14:solidFill>
          </w14:textFill>
        </w:rPr>
      </w:pPr>
    </w:p>
    <w:p w14:paraId="14DF612D">
      <w:pPr>
        <w:spacing w:line="360" w:lineRule="auto"/>
        <w:rPr>
          <w:rFonts w:ascii="宋体" w:hAnsi="宋体"/>
          <w:b/>
          <w:bCs/>
          <w:color w:val="000000" w:themeColor="text1"/>
          <w:sz w:val="24"/>
          <w14:textFill>
            <w14:solidFill>
              <w14:schemeClr w14:val="tx1"/>
            </w14:solidFill>
          </w14:textFill>
        </w:rPr>
      </w:pPr>
    </w:p>
    <w:p w14:paraId="589FBE55">
      <w:pPr>
        <w:spacing w:line="360" w:lineRule="auto"/>
        <w:rPr>
          <w:rFonts w:ascii="宋体" w:hAnsi="宋体"/>
          <w:b/>
          <w:bCs/>
          <w:color w:val="000000" w:themeColor="text1"/>
          <w:sz w:val="24"/>
          <w14:textFill>
            <w14:solidFill>
              <w14:schemeClr w14:val="tx1"/>
            </w14:solidFill>
          </w14:textFill>
        </w:rPr>
      </w:pPr>
    </w:p>
    <w:p w14:paraId="0355AB8F">
      <w:pPr>
        <w:spacing w:line="360" w:lineRule="auto"/>
        <w:rPr>
          <w:rFonts w:ascii="宋体" w:hAnsi="宋体"/>
          <w:b/>
          <w:bCs/>
          <w:color w:val="000000" w:themeColor="text1"/>
          <w:sz w:val="24"/>
          <w14:textFill>
            <w14:solidFill>
              <w14:schemeClr w14:val="tx1"/>
            </w14:solidFill>
          </w14:textFill>
        </w:rPr>
      </w:pPr>
    </w:p>
    <w:p w14:paraId="08A336EA">
      <w:pPr>
        <w:pStyle w:val="2"/>
        <w:jc w:val="center"/>
        <w:rPr>
          <w:color w:val="000000" w:themeColor="text1"/>
          <w14:textFill>
            <w14:solidFill>
              <w14:schemeClr w14:val="tx1"/>
            </w14:solidFill>
          </w14:textFill>
        </w:rPr>
      </w:pPr>
      <w:bookmarkStart w:id="70" w:name="_Toc222"/>
      <w:bookmarkStart w:id="71" w:name="_Toc23871"/>
      <w:r>
        <w:rPr>
          <w:rFonts w:hint="eastAsia"/>
          <w:color w:val="000000" w:themeColor="text1"/>
          <w14:textFill>
            <w14:solidFill>
              <w14:schemeClr w14:val="tx1"/>
            </w14:solidFill>
          </w14:textFill>
        </w:rPr>
        <w:t>第六章 合同文本</w:t>
      </w:r>
      <w:bookmarkEnd w:id="70"/>
      <w:bookmarkEnd w:id="71"/>
    </w:p>
    <w:p w14:paraId="787E57B1">
      <w:pPr>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《广西壮族自治区政府采购合同》</w:t>
      </w:r>
      <w:r>
        <w:rPr>
          <w:rFonts w:hint="eastAsia" w:ascii="宋体" w:hAnsi="宋体"/>
          <w:b/>
          <w:color w:val="000000" w:themeColor="text1"/>
          <w:sz w:val="32"/>
          <w:szCs w:val="32"/>
          <w14:textFill>
            <w14:solidFill>
              <w14:schemeClr w14:val="tx1"/>
            </w14:solidFill>
          </w14:textFill>
        </w:rPr>
        <w:t>文本</w:t>
      </w:r>
    </w:p>
    <w:p w14:paraId="21F71358">
      <w:pPr>
        <w:spacing w:line="400" w:lineRule="exact"/>
        <w:ind w:right="480" w:firstLine="5250"/>
        <w:rPr>
          <w:rFonts w:ascii="宋体" w:hAnsi="宋体"/>
          <w:bCs/>
          <w:color w:val="000000" w:themeColor="text1"/>
          <w:szCs w:val="21"/>
          <w14:textFill>
            <w14:solidFill>
              <w14:schemeClr w14:val="tx1"/>
            </w14:solidFill>
          </w14:textFill>
        </w:rPr>
      </w:pPr>
    </w:p>
    <w:p w14:paraId="1EADDC21">
      <w:pPr>
        <w:spacing w:line="400" w:lineRule="exact"/>
        <w:ind w:right="480" w:firstLine="5250"/>
        <w:rPr>
          <w:rFonts w:ascii="宋体" w:hAnsi="宋体" w:cs="宋体"/>
          <w:bCs/>
          <w:color w:val="000000" w:themeColor="text1"/>
          <w:szCs w:val="21"/>
          <w:u w:val="single"/>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合同编号：</w:t>
      </w:r>
    </w:p>
    <w:p w14:paraId="0EE2AA91">
      <w:pPr>
        <w:spacing w:line="400" w:lineRule="exact"/>
        <w:rPr>
          <w:rFonts w:ascii="宋体" w:hAnsi="宋体" w:cs="宋体"/>
          <w:color w:val="000000" w:themeColor="text1"/>
          <w:szCs w:val="21"/>
          <w14:textFill>
            <w14:solidFill>
              <w14:schemeClr w14:val="tx1"/>
            </w14:solidFill>
          </w14:textFill>
        </w:rPr>
      </w:pPr>
    </w:p>
    <w:p w14:paraId="28B64894">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采购人（甲方）：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14:paraId="740B2FAD">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供应商（乙方）：</w:t>
      </w:r>
      <w:r>
        <w:rPr>
          <w:rFonts w:hint="eastAsia" w:ascii="宋体" w:hAnsi="宋体"/>
          <w:color w:val="000000" w:themeColor="text1"/>
          <w:szCs w:val="21"/>
          <w:u w:val="single"/>
          <w14:textFill>
            <w14:solidFill>
              <w14:schemeClr w14:val="tx1"/>
            </w14:solidFill>
          </w14:textFill>
        </w:rPr>
        <w:t xml:space="preserve">                          </w:t>
      </w:r>
    </w:p>
    <w:p w14:paraId="6C30FED9">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pacing w:val="-20"/>
          <w:szCs w:val="21"/>
          <w14:textFill>
            <w14:solidFill>
              <w14:schemeClr w14:val="tx1"/>
            </w14:solidFill>
          </w14:textFill>
        </w:rPr>
        <w:t>采 购 计 划 号：</w:t>
      </w:r>
      <w:r>
        <w:rPr>
          <w:rFonts w:hint="eastAsia" w:ascii="宋体" w:hAnsi="宋体"/>
          <w:color w:val="000000" w:themeColor="text1"/>
          <w:szCs w:val="21"/>
          <w:u w:val="single"/>
          <w14:textFill>
            <w14:solidFill>
              <w14:schemeClr w14:val="tx1"/>
            </w14:solidFill>
          </w14:textFill>
        </w:rPr>
        <w:t xml:space="preserve">                         </w:t>
      </w:r>
    </w:p>
    <w:p w14:paraId="2EADC68A">
      <w:pPr>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项目编号：</w:t>
      </w:r>
      <w:r>
        <w:rPr>
          <w:rFonts w:hint="eastAsia" w:ascii="宋体" w:hAnsi="宋体"/>
          <w:color w:val="000000" w:themeColor="text1"/>
          <w:szCs w:val="21"/>
          <w:u w:val="single"/>
          <w14:textFill>
            <w14:solidFill>
              <w14:schemeClr w14:val="tx1"/>
            </w14:solidFill>
          </w14:textFill>
        </w:rPr>
        <w:t xml:space="preserve">                       </w:t>
      </w:r>
    </w:p>
    <w:p w14:paraId="5BA671C6">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合同</w:t>
      </w:r>
      <w:r>
        <w:rPr>
          <w:rFonts w:hint="eastAsia" w:ascii="宋体" w:hAnsi="宋体"/>
          <w:color w:val="000000" w:themeColor="text1"/>
          <w14:textFill>
            <w14:solidFill>
              <w14:schemeClr w14:val="tx1"/>
            </w14:solidFill>
          </w14:textFill>
        </w:rPr>
        <w:t>类型：</w:t>
      </w:r>
      <w:r>
        <w:rPr>
          <w:rFonts w:hint="eastAsia" w:ascii="宋体" w:hAnsi="宋体"/>
          <w:color w:val="000000" w:themeColor="text1"/>
          <w:u w:val="single"/>
          <w14:textFill>
            <w14:solidFill>
              <w14:schemeClr w14:val="tx1"/>
            </w14:solidFill>
          </w14:textFill>
        </w:rPr>
        <w:t>买卖合同</w:t>
      </w:r>
    </w:p>
    <w:p w14:paraId="1B67AA60">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本合同为中小企业预留合同：</w:t>
      </w:r>
      <w:r>
        <w:rPr>
          <w:rFonts w:hint="eastAsia" w:ascii="宋体" w:hAnsi="宋体" w:cs="宋体"/>
          <w:iCs/>
          <w:color w:val="000000" w:themeColor="text1"/>
          <w:szCs w:val="21"/>
          <w:u w:val="single"/>
          <w14:textFill>
            <w14:solidFill>
              <w14:schemeClr w14:val="tx1"/>
            </w14:solidFill>
          </w14:textFill>
        </w:rPr>
        <w:t>（是）</w:t>
      </w:r>
      <w:r>
        <w:rPr>
          <w:rFonts w:hint="eastAsia" w:ascii="宋体" w:hAnsi="宋体" w:cs="宋体"/>
          <w:color w:val="000000" w:themeColor="text1"/>
          <w:szCs w:val="21"/>
          <w14:textFill>
            <w14:solidFill>
              <w14:schemeClr w14:val="tx1"/>
            </w14:solidFill>
          </w14:textFill>
        </w:rPr>
        <w:t>。</w:t>
      </w:r>
    </w:p>
    <w:p w14:paraId="72FFD87F">
      <w:pPr>
        <w:pStyle w:val="17"/>
        <w:spacing w:line="360" w:lineRule="auto"/>
        <w:rPr>
          <w:rFonts w:ascii="宋体" w:hAnsi="宋体"/>
          <w:color w:val="000000" w:themeColor="text1"/>
          <w14:textFill>
            <w14:solidFill>
              <w14:schemeClr w14:val="tx1"/>
            </w14:solidFill>
          </w14:textFill>
        </w:rPr>
      </w:pPr>
    </w:p>
    <w:p w14:paraId="5C21861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根据《中华人民共和国政府采购法》《中华人民共和国民法典》等法律法规规定，按照采购文件规定条款和乙方投标（竞标）承诺，甲乙双方签订本合同。</w:t>
      </w:r>
    </w:p>
    <w:p w14:paraId="0D22B153">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第一条　合同标的</w:t>
      </w:r>
    </w:p>
    <w:tbl>
      <w:tblPr>
        <w:tblStyle w:val="4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87"/>
        <w:gridCol w:w="1191"/>
        <w:gridCol w:w="1167"/>
        <w:gridCol w:w="1090"/>
        <w:gridCol w:w="908"/>
        <w:gridCol w:w="668"/>
        <w:gridCol w:w="947"/>
        <w:gridCol w:w="1189"/>
      </w:tblGrid>
      <w:tr w14:paraId="26D9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vAlign w:val="center"/>
          </w:tcPr>
          <w:p w14:paraId="06F965C4">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1287" w:type="dxa"/>
            <w:vAlign w:val="center"/>
          </w:tcPr>
          <w:p w14:paraId="28C1D4EA">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标的名称</w:t>
            </w:r>
          </w:p>
        </w:tc>
        <w:tc>
          <w:tcPr>
            <w:tcW w:w="1191" w:type="dxa"/>
            <w:vAlign w:val="center"/>
          </w:tcPr>
          <w:p w14:paraId="2F11DE24">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商标品牌</w:t>
            </w:r>
          </w:p>
        </w:tc>
        <w:tc>
          <w:tcPr>
            <w:tcW w:w="1167" w:type="dxa"/>
            <w:vAlign w:val="center"/>
          </w:tcPr>
          <w:p w14:paraId="5B83C958">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规格型号</w:t>
            </w:r>
          </w:p>
        </w:tc>
        <w:tc>
          <w:tcPr>
            <w:tcW w:w="1090" w:type="dxa"/>
            <w:vAlign w:val="center"/>
          </w:tcPr>
          <w:p w14:paraId="69D00CA2">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生产厂家</w:t>
            </w:r>
          </w:p>
        </w:tc>
        <w:tc>
          <w:tcPr>
            <w:tcW w:w="908" w:type="dxa"/>
            <w:vAlign w:val="center"/>
          </w:tcPr>
          <w:p w14:paraId="6D81909E">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  量</w:t>
            </w:r>
          </w:p>
        </w:tc>
        <w:tc>
          <w:tcPr>
            <w:tcW w:w="668" w:type="dxa"/>
            <w:vAlign w:val="center"/>
          </w:tcPr>
          <w:p w14:paraId="1E960193">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p>
        </w:tc>
        <w:tc>
          <w:tcPr>
            <w:tcW w:w="947" w:type="dxa"/>
            <w:vAlign w:val="center"/>
          </w:tcPr>
          <w:p w14:paraId="7BC727C2">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  价</w:t>
            </w:r>
          </w:p>
          <w:p w14:paraId="224D48FF">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（元）</w:t>
            </w:r>
          </w:p>
        </w:tc>
        <w:tc>
          <w:tcPr>
            <w:tcW w:w="1189" w:type="dxa"/>
            <w:vAlign w:val="center"/>
          </w:tcPr>
          <w:p w14:paraId="09F61A82">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金  额</w:t>
            </w:r>
          </w:p>
          <w:p w14:paraId="4163A5B9">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（元）</w:t>
            </w:r>
          </w:p>
        </w:tc>
      </w:tr>
      <w:tr w14:paraId="3129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016C54E1">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87" w:type="dxa"/>
            <w:vAlign w:val="center"/>
          </w:tcPr>
          <w:p w14:paraId="3400FCB4">
            <w:pPr>
              <w:spacing w:line="360" w:lineRule="auto"/>
              <w:jc w:val="center"/>
              <w:rPr>
                <w:rFonts w:ascii="宋体" w:hAnsi="宋体"/>
                <w:color w:val="000000" w:themeColor="text1"/>
                <w:szCs w:val="21"/>
                <w14:textFill>
                  <w14:solidFill>
                    <w14:schemeClr w14:val="tx1"/>
                  </w14:solidFill>
                </w14:textFill>
              </w:rPr>
            </w:pPr>
          </w:p>
        </w:tc>
        <w:tc>
          <w:tcPr>
            <w:tcW w:w="1191" w:type="dxa"/>
            <w:vAlign w:val="center"/>
          </w:tcPr>
          <w:p w14:paraId="24EB4B60">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71B779E0">
            <w:pPr>
              <w:spacing w:line="360" w:lineRule="auto"/>
              <w:jc w:val="center"/>
              <w:rPr>
                <w:rFonts w:ascii="宋体" w:hAnsi="宋体"/>
                <w:color w:val="000000" w:themeColor="text1"/>
                <w:szCs w:val="21"/>
                <w14:textFill>
                  <w14:solidFill>
                    <w14:schemeClr w14:val="tx1"/>
                  </w14:solidFill>
                </w14:textFill>
              </w:rPr>
            </w:pPr>
          </w:p>
        </w:tc>
        <w:tc>
          <w:tcPr>
            <w:tcW w:w="1090" w:type="dxa"/>
            <w:vAlign w:val="center"/>
          </w:tcPr>
          <w:p w14:paraId="26CB8053">
            <w:pPr>
              <w:spacing w:line="360" w:lineRule="auto"/>
              <w:jc w:val="center"/>
              <w:rPr>
                <w:rFonts w:ascii="宋体" w:hAnsi="宋体"/>
                <w:color w:val="000000" w:themeColor="text1"/>
                <w:szCs w:val="21"/>
                <w14:textFill>
                  <w14:solidFill>
                    <w14:schemeClr w14:val="tx1"/>
                  </w14:solidFill>
                </w14:textFill>
              </w:rPr>
            </w:pPr>
          </w:p>
        </w:tc>
        <w:tc>
          <w:tcPr>
            <w:tcW w:w="908" w:type="dxa"/>
            <w:vAlign w:val="center"/>
          </w:tcPr>
          <w:p w14:paraId="6806A846">
            <w:pPr>
              <w:spacing w:line="360" w:lineRule="auto"/>
              <w:jc w:val="center"/>
              <w:rPr>
                <w:rFonts w:ascii="宋体" w:hAnsi="宋体"/>
                <w:color w:val="000000" w:themeColor="text1"/>
                <w:szCs w:val="21"/>
                <w14:textFill>
                  <w14:solidFill>
                    <w14:schemeClr w14:val="tx1"/>
                  </w14:solidFill>
                </w14:textFill>
              </w:rPr>
            </w:pPr>
          </w:p>
        </w:tc>
        <w:tc>
          <w:tcPr>
            <w:tcW w:w="668" w:type="dxa"/>
            <w:vAlign w:val="center"/>
          </w:tcPr>
          <w:p w14:paraId="62726124">
            <w:pPr>
              <w:spacing w:line="360" w:lineRule="auto"/>
              <w:jc w:val="center"/>
              <w:rPr>
                <w:rFonts w:ascii="宋体" w:hAnsi="宋体"/>
                <w:color w:val="000000" w:themeColor="text1"/>
                <w:szCs w:val="21"/>
                <w14:textFill>
                  <w14:solidFill>
                    <w14:schemeClr w14:val="tx1"/>
                  </w14:solidFill>
                </w14:textFill>
              </w:rPr>
            </w:pPr>
          </w:p>
        </w:tc>
        <w:tc>
          <w:tcPr>
            <w:tcW w:w="947" w:type="dxa"/>
            <w:vAlign w:val="center"/>
          </w:tcPr>
          <w:p w14:paraId="59058881">
            <w:pPr>
              <w:spacing w:line="360" w:lineRule="auto"/>
              <w:jc w:val="center"/>
              <w:rPr>
                <w:rFonts w:ascii="宋体" w:hAnsi="宋体"/>
                <w:color w:val="000000" w:themeColor="text1"/>
                <w:szCs w:val="21"/>
                <w14:textFill>
                  <w14:solidFill>
                    <w14:schemeClr w14:val="tx1"/>
                  </w14:solidFill>
                </w14:textFill>
              </w:rPr>
            </w:pPr>
          </w:p>
        </w:tc>
        <w:tc>
          <w:tcPr>
            <w:tcW w:w="1189" w:type="dxa"/>
            <w:vAlign w:val="center"/>
          </w:tcPr>
          <w:p w14:paraId="4452A251">
            <w:pPr>
              <w:spacing w:line="360" w:lineRule="auto"/>
              <w:jc w:val="center"/>
              <w:rPr>
                <w:rFonts w:ascii="宋体" w:hAnsi="宋体"/>
                <w:color w:val="000000" w:themeColor="text1"/>
                <w:szCs w:val="21"/>
                <w14:textFill>
                  <w14:solidFill>
                    <w14:schemeClr w14:val="tx1"/>
                  </w14:solidFill>
                </w14:textFill>
              </w:rPr>
            </w:pPr>
          </w:p>
        </w:tc>
      </w:tr>
      <w:tr w14:paraId="127D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2CDDE142">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87" w:type="dxa"/>
            <w:vAlign w:val="center"/>
          </w:tcPr>
          <w:p w14:paraId="57175C8B">
            <w:pPr>
              <w:spacing w:line="360" w:lineRule="auto"/>
              <w:jc w:val="center"/>
              <w:rPr>
                <w:rFonts w:ascii="宋体" w:hAnsi="宋体"/>
                <w:color w:val="000000" w:themeColor="text1"/>
                <w:szCs w:val="21"/>
                <w14:textFill>
                  <w14:solidFill>
                    <w14:schemeClr w14:val="tx1"/>
                  </w14:solidFill>
                </w14:textFill>
              </w:rPr>
            </w:pPr>
          </w:p>
        </w:tc>
        <w:tc>
          <w:tcPr>
            <w:tcW w:w="1191" w:type="dxa"/>
            <w:vAlign w:val="center"/>
          </w:tcPr>
          <w:p w14:paraId="364629D9">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3CC02C25">
            <w:pPr>
              <w:spacing w:line="360" w:lineRule="auto"/>
              <w:jc w:val="center"/>
              <w:rPr>
                <w:rFonts w:ascii="宋体" w:hAnsi="宋体"/>
                <w:color w:val="000000" w:themeColor="text1"/>
                <w:szCs w:val="21"/>
                <w14:textFill>
                  <w14:solidFill>
                    <w14:schemeClr w14:val="tx1"/>
                  </w14:solidFill>
                </w14:textFill>
              </w:rPr>
            </w:pPr>
          </w:p>
        </w:tc>
        <w:tc>
          <w:tcPr>
            <w:tcW w:w="1090" w:type="dxa"/>
            <w:vAlign w:val="center"/>
          </w:tcPr>
          <w:p w14:paraId="336A57C4">
            <w:pPr>
              <w:spacing w:line="360" w:lineRule="auto"/>
              <w:jc w:val="center"/>
              <w:rPr>
                <w:rFonts w:ascii="宋体" w:hAnsi="宋体"/>
                <w:color w:val="000000" w:themeColor="text1"/>
                <w:szCs w:val="21"/>
                <w14:textFill>
                  <w14:solidFill>
                    <w14:schemeClr w14:val="tx1"/>
                  </w14:solidFill>
                </w14:textFill>
              </w:rPr>
            </w:pPr>
          </w:p>
        </w:tc>
        <w:tc>
          <w:tcPr>
            <w:tcW w:w="908" w:type="dxa"/>
            <w:vAlign w:val="center"/>
          </w:tcPr>
          <w:p w14:paraId="11B5C941">
            <w:pPr>
              <w:spacing w:line="360" w:lineRule="auto"/>
              <w:jc w:val="center"/>
              <w:rPr>
                <w:rFonts w:ascii="宋体" w:hAnsi="宋体"/>
                <w:color w:val="000000" w:themeColor="text1"/>
                <w:szCs w:val="21"/>
                <w14:textFill>
                  <w14:solidFill>
                    <w14:schemeClr w14:val="tx1"/>
                  </w14:solidFill>
                </w14:textFill>
              </w:rPr>
            </w:pPr>
          </w:p>
        </w:tc>
        <w:tc>
          <w:tcPr>
            <w:tcW w:w="668" w:type="dxa"/>
            <w:vAlign w:val="center"/>
          </w:tcPr>
          <w:p w14:paraId="05F68E4B">
            <w:pPr>
              <w:spacing w:line="360" w:lineRule="auto"/>
              <w:jc w:val="center"/>
              <w:rPr>
                <w:rFonts w:ascii="宋体" w:hAnsi="宋体"/>
                <w:color w:val="000000" w:themeColor="text1"/>
                <w:szCs w:val="21"/>
                <w14:textFill>
                  <w14:solidFill>
                    <w14:schemeClr w14:val="tx1"/>
                  </w14:solidFill>
                </w14:textFill>
              </w:rPr>
            </w:pPr>
          </w:p>
        </w:tc>
        <w:tc>
          <w:tcPr>
            <w:tcW w:w="947" w:type="dxa"/>
            <w:vAlign w:val="center"/>
          </w:tcPr>
          <w:p w14:paraId="5EBD9841">
            <w:pPr>
              <w:spacing w:line="360" w:lineRule="auto"/>
              <w:jc w:val="center"/>
              <w:rPr>
                <w:rFonts w:ascii="宋体" w:hAnsi="宋体"/>
                <w:color w:val="000000" w:themeColor="text1"/>
                <w:szCs w:val="21"/>
                <w14:textFill>
                  <w14:solidFill>
                    <w14:schemeClr w14:val="tx1"/>
                  </w14:solidFill>
                </w14:textFill>
              </w:rPr>
            </w:pPr>
          </w:p>
        </w:tc>
        <w:tc>
          <w:tcPr>
            <w:tcW w:w="1189" w:type="dxa"/>
            <w:vAlign w:val="center"/>
          </w:tcPr>
          <w:p w14:paraId="2A86DA9E">
            <w:pPr>
              <w:spacing w:line="360" w:lineRule="auto"/>
              <w:jc w:val="center"/>
              <w:rPr>
                <w:rFonts w:ascii="宋体" w:hAnsi="宋体"/>
                <w:color w:val="000000" w:themeColor="text1"/>
                <w:szCs w:val="21"/>
                <w14:textFill>
                  <w14:solidFill>
                    <w14:schemeClr w14:val="tx1"/>
                  </w14:solidFill>
                </w14:textFill>
              </w:rPr>
            </w:pPr>
          </w:p>
        </w:tc>
      </w:tr>
      <w:tr w14:paraId="7658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7B5DB4A8">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287" w:type="dxa"/>
            <w:vAlign w:val="center"/>
          </w:tcPr>
          <w:p w14:paraId="54E89714">
            <w:pPr>
              <w:spacing w:line="360" w:lineRule="auto"/>
              <w:jc w:val="center"/>
              <w:rPr>
                <w:rFonts w:ascii="宋体" w:hAnsi="宋体"/>
                <w:color w:val="000000" w:themeColor="text1"/>
                <w:szCs w:val="21"/>
                <w14:textFill>
                  <w14:solidFill>
                    <w14:schemeClr w14:val="tx1"/>
                  </w14:solidFill>
                </w14:textFill>
              </w:rPr>
            </w:pPr>
          </w:p>
        </w:tc>
        <w:tc>
          <w:tcPr>
            <w:tcW w:w="1191" w:type="dxa"/>
            <w:vAlign w:val="center"/>
          </w:tcPr>
          <w:p w14:paraId="79F8B274">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54E30453">
            <w:pPr>
              <w:spacing w:line="360" w:lineRule="auto"/>
              <w:jc w:val="center"/>
              <w:rPr>
                <w:rFonts w:ascii="宋体" w:hAnsi="宋体"/>
                <w:color w:val="000000" w:themeColor="text1"/>
                <w:szCs w:val="21"/>
                <w14:textFill>
                  <w14:solidFill>
                    <w14:schemeClr w14:val="tx1"/>
                  </w14:solidFill>
                </w14:textFill>
              </w:rPr>
            </w:pPr>
          </w:p>
        </w:tc>
        <w:tc>
          <w:tcPr>
            <w:tcW w:w="1090" w:type="dxa"/>
            <w:vAlign w:val="center"/>
          </w:tcPr>
          <w:p w14:paraId="2429CB7B">
            <w:pPr>
              <w:spacing w:line="360" w:lineRule="auto"/>
              <w:jc w:val="center"/>
              <w:rPr>
                <w:rFonts w:ascii="宋体" w:hAnsi="宋体"/>
                <w:color w:val="000000" w:themeColor="text1"/>
                <w:szCs w:val="21"/>
                <w14:textFill>
                  <w14:solidFill>
                    <w14:schemeClr w14:val="tx1"/>
                  </w14:solidFill>
                </w14:textFill>
              </w:rPr>
            </w:pPr>
          </w:p>
        </w:tc>
        <w:tc>
          <w:tcPr>
            <w:tcW w:w="908" w:type="dxa"/>
            <w:vAlign w:val="center"/>
          </w:tcPr>
          <w:p w14:paraId="726FF3AA">
            <w:pPr>
              <w:spacing w:line="360" w:lineRule="auto"/>
              <w:jc w:val="center"/>
              <w:rPr>
                <w:rFonts w:ascii="宋体" w:hAnsi="宋体"/>
                <w:color w:val="000000" w:themeColor="text1"/>
                <w:szCs w:val="21"/>
                <w14:textFill>
                  <w14:solidFill>
                    <w14:schemeClr w14:val="tx1"/>
                  </w14:solidFill>
                </w14:textFill>
              </w:rPr>
            </w:pPr>
          </w:p>
        </w:tc>
        <w:tc>
          <w:tcPr>
            <w:tcW w:w="668" w:type="dxa"/>
            <w:vAlign w:val="center"/>
          </w:tcPr>
          <w:p w14:paraId="4BE3B39F">
            <w:pPr>
              <w:spacing w:line="360" w:lineRule="auto"/>
              <w:jc w:val="center"/>
              <w:rPr>
                <w:rFonts w:ascii="宋体" w:hAnsi="宋体"/>
                <w:color w:val="000000" w:themeColor="text1"/>
                <w:szCs w:val="21"/>
                <w14:textFill>
                  <w14:solidFill>
                    <w14:schemeClr w14:val="tx1"/>
                  </w14:solidFill>
                </w14:textFill>
              </w:rPr>
            </w:pPr>
          </w:p>
        </w:tc>
        <w:tc>
          <w:tcPr>
            <w:tcW w:w="947" w:type="dxa"/>
            <w:vAlign w:val="center"/>
          </w:tcPr>
          <w:p w14:paraId="796EC621">
            <w:pPr>
              <w:spacing w:line="360" w:lineRule="auto"/>
              <w:jc w:val="center"/>
              <w:rPr>
                <w:rFonts w:ascii="宋体" w:hAnsi="宋体"/>
                <w:color w:val="000000" w:themeColor="text1"/>
                <w:szCs w:val="21"/>
                <w14:textFill>
                  <w14:solidFill>
                    <w14:schemeClr w14:val="tx1"/>
                  </w14:solidFill>
                </w14:textFill>
              </w:rPr>
            </w:pPr>
          </w:p>
        </w:tc>
        <w:tc>
          <w:tcPr>
            <w:tcW w:w="1189" w:type="dxa"/>
            <w:vAlign w:val="center"/>
          </w:tcPr>
          <w:p w14:paraId="29B3EB5B">
            <w:pPr>
              <w:spacing w:line="360" w:lineRule="auto"/>
              <w:jc w:val="center"/>
              <w:rPr>
                <w:rFonts w:ascii="宋体" w:hAnsi="宋体"/>
                <w:color w:val="000000" w:themeColor="text1"/>
                <w:szCs w:val="21"/>
                <w14:textFill>
                  <w14:solidFill>
                    <w14:schemeClr w14:val="tx1"/>
                  </w14:solidFill>
                </w14:textFill>
              </w:rPr>
            </w:pPr>
          </w:p>
        </w:tc>
      </w:tr>
      <w:tr w14:paraId="2469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491E620E">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87" w:type="dxa"/>
            <w:vAlign w:val="center"/>
          </w:tcPr>
          <w:p w14:paraId="2DA492EC">
            <w:pPr>
              <w:spacing w:line="360" w:lineRule="auto"/>
              <w:jc w:val="center"/>
              <w:rPr>
                <w:rFonts w:ascii="宋体" w:hAnsi="宋体"/>
                <w:color w:val="000000" w:themeColor="text1"/>
                <w:szCs w:val="21"/>
                <w14:textFill>
                  <w14:solidFill>
                    <w14:schemeClr w14:val="tx1"/>
                  </w14:solidFill>
                </w14:textFill>
              </w:rPr>
            </w:pPr>
          </w:p>
        </w:tc>
        <w:tc>
          <w:tcPr>
            <w:tcW w:w="1191" w:type="dxa"/>
            <w:vAlign w:val="center"/>
          </w:tcPr>
          <w:p w14:paraId="1DA5276D">
            <w:pPr>
              <w:spacing w:line="360" w:lineRule="auto"/>
              <w:jc w:val="center"/>
              <w:rPr>
                <w:rFonts w:ascii="宋体" w:hAnsi="宋体"/>
                <w:color w:val="000000" w:themeColor="text1"/>
                <w:szCs w:val="21"/>
                <w14:textFill>
                  <w14:solidFill>
                    <w14:schemeClr w14:val="tx1"/>
                  </w14:solidFill>
                </w14:textFill>
              </w:rPr>
            </w:pPr>
          </w:p>
        </w:tc>
        <w:tc>
          <w:tcPr>
            <w:tcW w:w="1167" w:type="dxa"/>
            <w:vAlign w:val="center"/>
          </w:tcPr>
          <w:p w14:paraId="63E64335">
            <w:pPr>
              <w:spacing w:line="360" w:lineRule="auto"/>
              <w:jc w:val="center"/>
              <w:rPr>
                <w:rFonts w:ascii="宋体" w:hAnsi="宋体"/>
                <w:color w:val="000000" w:themeColor="text1"/>
                <w:szCs w:val="21"/>
                <w14:textFill>
                  <w14:solidFill>
                    <w14:schemeClr w14:val="tx1"/>
                  </w14:solidFill>
                </w14:textFill>
              </w:rPr>
            </w:pPr>
          </w:p>
        </w:tc>
        <w:tc>
          <w:tcPr>
            <w:tcW w:w="1090" w:type="dxa"/>
            <w:vAlign w:val="center"/>
          </w:tcPr>
          <w:p w14:paraId="13AD3474">
            <w:pPr>
              <w:spacing w:line="360" w:lineRule="auto"/>
              <w:jc w:val="center"/>
              <w:rPr>
                <w:rFonts w:ascii="宋体" w:hAnsi="宋体"/>
                <w:color w:val="000000" w:themeColor="text1"/>
                <w:szCs w:val="21"/>
                <w14:textFill>
                  <w14:solidFill>
                    <w14:schemeClr w14:val="tx1"/>
                  </w14:solidFill>
                </w14:textFill>
              </w:rPr>
            </w:pPr>
          </w:p>
        </w:tc>
        <w:tc>
          <w:tcPr>
            <w:tcW w:w="908" w:type="dxa"/>
            <w:vAlign w:val="center"/>
          </w:tcPr>
          <w:p w14:paraId="76C204B4">
            <w:pPr>
              <w:spacing w:line="360" w:lineRule="auto"/>
              <w:jc w:val="center"/>
              <w:rPr>
                <w:rFonts w:ascii="宋体" w:hAnsi="宋体"/>
                <w:color w:val="000000" w:themeColor="text1"/>
                <w:szCs w:val="21"/>
                <w14:textFill>
                  <w14:solidFill>
                    <w14:schemeClr w14:val="tx1"/>
                  </w14:solidFill>
                </w14:textFill>
              </w:rPr>
            </w:pPr>
          </w:p>
        </w:tc>
        <w:tc>
          <w:tcPr>
            <w:tcW w:w="668" w:type="dxa"/>
            <w:vAlign w:val="center"/>
          </w:tcPr>
          <w:p w14:paraId="0C3B60EF">
            <w:pPr>
              <w:spacing w:line="360" w:lineRule="auto"/>
              <w:jc w:val="center"/>
              <w:rPr>
                <w:rFonts w:ascii="宋体" w:hAnsi="宋体"/>
                <w:color w:val="000000" w:themeColor="text1"/>
                <w:szCs w:val="21"/>
                <w14:textFill>
                  <w14:solidFill>
                    <w14:schemeClr w14:val="tx1"/>
                  </w14:solidFill>
                </w14:textFill>
              </w:rPr>
            </w:pPr>
          </w:p>
        </w:tc>
        <w:tc>
          <w:tcPr>
            <w:tcW w:w="947" w:type="dxa"/>
            <w:vAlign w:val="center"/>
          </w:tcPr>
          <w:p w14:paraId="5D0267E5">
            <w:pPr>
              <w:spacing w:line="360" w:lineRule="auto"/>
              <w:jc w:val="center"/>
              <w:rPr>
                <w:rFonts w:ascii="宋体" w:hAnsi="宋体"/>
                <w:color w:val="000000" w:themeColor="text1"/>
                <w:szCs w:val="21"/>
                <w14:textFill>
                  <w14:solidFill>
                    <w14:schemeClr w14:val="tx1"/>
                  </w14:solidFill>
                </w14:textFill>
              </w:rPr>
            </w:pPr>
          </w:p>
        </w:tc>
        <w:tc>
          <w:tcPr>
            <w:tcW w:w="1189" w:type="dxa"/>
            <w:vAlign w:val="center"/>
          </w:tcPr>
          <w:p w14:paraId="4058A970">
            <w:pPr>
              <w:spacing w:line="360" w:lineRule="auto"/>
              <w:jc w:val="center"/>
              <w:rPr>
                <w:rFonts w:ascii="宋体" w:hAnsi="宋体"/>
                <w:color w:val="000000" w:themeColor="text1"/>
                <w:szCs w:val="21"/>
                <w14:textFill>
                  <w14:solidFill>
                    <w14:schemeClr w14:val="tx1"/>
                  </w14:solidFill>
                </w14:textFill>
              </w:rPr>
            </w:pPr>
          </w:p>
        </w:tc>
      </w:tr>
      <w:tr w14:paraId="2BEB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vAlign w:val="center"/>
          </w:tcPr>
          <w:p w14:paraId="6B5B62D6">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合计金额（人民币）：</w:t>
            </w:r>
            <w:r>
              <w:rPr>
                <w:rFonts w:hint="eastAsia" w:ascii="宋体" w:hAnsi="宋体"/>
                <w:color w:val="000000" w:themeColor="text1"/>
                <w:szCs w:val="21"/>
                <w:u w:val="single"/>
                <w14:textFill>
                  <w14:solidFill>
                    <w14:schemeClr w14:val="tx1"/>
                  </w14:solidFill>
                </w14:textFill>
              </w:rPr>
              <w:t xml:space="preserve">（大写）                          （小写）                 </w:t>
            </w:r>
          </w:p>
        </w:tc>
      </w:tr>
    </w:tbl>
    <w:p w14:paraId="06BDE7E1">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第二条　标的质量</w:t>
      </w:r>
    </w:p>
    <w:p w14:paraId="3E754B0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1.乙方所提供标的的名称、商标品牌、生产厂家、规格型号、技术参数等内容必须与乙方投标（响应）文件及有关承诺相一致，且满足项目实施要求。</w:t>
      </w:r>
    </w:p>
    <w:p w14:paraId="34CD00E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2.乙方所提供的货物必须是全新、未使用的原装产品，且在正常安装、使用和保养条件下，其使用寿命期内各项指标均达到投标（响应）文件的承诺。</w:t>
      </w:r>
    </w:p>
    <w:p w14:paraId="37A93759">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第三条　</w:t>
      </w:r>
      <w:r>
        <w:rPr>
          <w:rFonts w:hint="eastAsia" w:ascii="宋体" w:hAnsi="宋体"/>
          <w:color w:val="000000" w:themeColor="text1"/>
          <w:szCs w:val="21"/>
          <w14:textFill>
            <w14:solidFill>
              <w14:schemeClr w14:val="tx1"/>
            </w14:solidFill>
          </w14:textFill>
        </w:rPr>
        <w:t>履行时间（期限）、地点和方式</w:t>
      </w:r>
    </w:p>
    <w:p w14:paraId="71BD347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1.履行时间（期限）：</w:t>
      </w:r>
    </w:p>
    <w:p w14:paraId="029278A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2.履行地点：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482A390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3.履行方式</w:t>
      </w:r>
    </w:p>
    <w:p w14:paraId="16DA0C5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乙方负责货物运输，</w:t>
      </w:r>
      <w:r>
        <w:rPr>
          <w:rFonts w:hint="eastAsia" w:ascii="宋体" w:hAnsi="宋体" w:cs="宋体"/>
          <w:color w:val="000000" w:themeColor="text1"/>
          <w:szCs w:val="21"/>
          <w14:textFill>
            <w14:solidFill>
              <w14:schemeClr w14:val="tx1"/>
            </w14:solidFill>
          </w14:textFill>
        </w:rPr>
        <w:t>货物的运输方式：</w:t>
      </w:r>
      <w:r>
        <w:rPr>
          <w:rFonts w:hint="eastAsia" w:ascii="宋体" w:hAnsi="宋体" w:cs="宋体"/>
          <w:color w:val="000000" w:themeColor="text1"/>
          <w:szCs w:val="21"/>
          <w:u w:val="single"/>
          <w14:textFill>
            <w14:solidFill>
              <w14:schemeClr w14:val="tx1"/>
            </w14:solidFill>
          </w14:textFill>
        </w:rPr>
        <w:t xml:space="preserve"> 满足本次采购供货要求 </w:t>
      </w:r>
      <w:r>
        <w:rPr>
          <w:rFonts w:hint="eastAsia" w:ascii="宋体" w:hAnsi="宋体" w:cs="宋体"/>
          <w:color w:val="000000" w:themeColor="text1"/>
          <w:szCs w:val="21"/>
          <w14:textFill>
            <w14:solidFill>
              <w14:schemeClr w14:val="tx1"/>
            </w14:solidFill>
          </w14:textFill>
        </w:rPr>
        <w:t>。</w:t>
      </w:r>
    </w:p>
    <w:p w14:paraId="46187E2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（2）交货方式</w:t>
      </w:r>
    </w:p>
    <w:p w14:paraId="34ACBDD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乙方将货物送到甲方指定地点。</w:t>
      </w:r>
    </w:p>
    <w:p w14:paraId="61FBBDD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甲方自行到乙方指定地点提货。</w:t>
      </w:r>
    </w:p>
    <w:p w14:paraId="11AFC28C">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其他：</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1EC7209F">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第四条　</w:t>
      </w:r>
      <w:r>
        <w:rPr>
          <w:rFonts w:hint="eastAsia" w:ascii="宋体" w:hAnsi="宋体"/>
          <w:b/>
          <w:color w:val="000000" w:themeColor="text1"/>
          <w14:textFill>
            <w14:solidFill>
              <w14:schemeClr w14:val="tx1"/>
            </w14:solidFill>
          </w14:textFill>
        </w:rPr>
        <w:t>包装方式</w:t>
      </w:r>
    </w:p>
    <w:p w14:paraId="583B2A3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1.乙方提供的货物均应按投标（响应）文件承诺的要求的包装材料、包装标准、包装方式进行包装。</w:t>
      </w:r>
    </w:p>
    <w:p w14:paraId="70D01BA8">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2.乙方应在货物发运前对其进行满足运输距离、防水、防潮、防震、防锈和防破损装卸等要求包装，以保证货物安全运达甲方指定地点。</w:t>
      </w:r>
    </w:p>
    <w:p w14:paraId="7AC1F064">
      <w:pPr>
        <w:pStyle w:val="17"/>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3.货物的使用说明书（货物属于进口产品的，供货时应同时附上中文使用说明书）、质量检验证明书、质量合格证、随配附件和工具以及清单一并附于货物包装内。</w:t>
      </w:r>
    </w:p>
    <w:p w14:paraId="7D302FF9">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第五条　安装和培训</w:t>
      </w:r>
    </w:p>
    <w:p w14:paraId="3CAD693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1.安装时间：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甲方指定时间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；安装地点：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甲方指定地点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63A9D29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2.安装要求：</w:t>
      </w:r>
      <w:r>
        <w:rPr>
          <w:rFonts w:hint="eastAsia" w:ascii="宋体" w:hAnsi="宋体"/>
          <w:i/>
          <w:color w:val="000000" w:themeColor="text1"/>
          <w:szCs w:val="21"/>
          <w:u w:val="single"/>
          <w14:textFill>
            <w14:solidFill>
              <w14:schemeClr w14:val="tx1"/>
            </w14:solidFill>
          </w14:textFill>
        </w:rPr>
        <w:t xml:space="preserve">   </w:t>
      </w:r>
      <w:r>
        <w:rPr>
          <w:rFonts w:hint="eastAsia" w:ascii="宋体" w:hAnsi="宋体"/>
          <w:iCs/>
          <w:color w:val="000000" w:themeColor="text1"/>
          <w:szCs w:val="21"/>
          <w:u w:val="single"/>
          <w14:textFill>
            <w14:solidFill>
              <w14:schemeClr w14:val="tx1"/>
            </w14:solidFill>
          </w14:textFill>
        </w:rPr>
        <w:t>满足本次</w:t>
      </w:r>
      <w:r>
        <w:rPr>
          <w:rFonts w:hint="eastAsia" w:ascii="宋体" w:hAnsi="宋体" w:cs="宋体"/>
          <w:iCs/>
          <w:color w:val="000000" w:themeColor="text1"/>
          <w:szCs w:val="21"/>
          <w:u w:val="single"/>
          <w14:textFill>
            <w14:solidFill>
              <w14:schemeClr w14:val="tx1"/>
            </w14:solidFill>
          </w14:textFill>
        </w:rPr>
        <w:t>采购安装要求</w:t>
      </w:r>
      <w:r>
        <w:rPr>
          <w:rFonts w:hint="eastAsia" w:ascii="宋体" w:hAnsi="宋体"/>
          <w:iCs/>
          <w:color w:val="000000" w:themeColor="text1"/>
          <w:szCs w:val="21"/>
          <w:u w:val="single"/>
          <w14:textFill>
            <w14:solidFill>
              <w14:schemeClr w14:val="tx1"/>
            </w14:solidFill>
          </w14:textFill>
        </w:rPr>
        <w:t xml:space="preserve"> </w:t>
      </w:r>
      <w:r>
        <w:rPr>
          <w:rFonts w:hint="eastAsia" w:ascii="宋体" w:hAnsi="宋体"/>
          <w:i/>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05000D5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3.甲方应提供必要安装条件（如场地、电源、水源等）。</w:t>
      </w:r>
    </w:p>
    <w:p w14:paraId="6E0CCECB">
      <w:pPr>
        <w:pStyle w:val="17"/>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4.乙方应当按照投标（响应）文件的承诺对甲方有关人员进行培训。</w:t>
      </w:r>
    </w:p>
    <w:p w14:paraId="7C663C2D">
      <w:pPr>
        <w:pStyle w:val="17"/>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培训时间：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甲方指定时间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；培训地点：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甲方指定地点</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791F830E">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第六条　合同价款及支付</w:t>
      </w:r>
    </w:p>
    <w:p w14:paraId="48F3A1E7">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1.本合同以人民币付款。</w:t>
      </w:r>
    </w:p>
    <w:p w14:paraId="4596F176">
      <w:pPr>
        <w:pStyle w:val="19"/>
        <w:spacing w:line="360" w:lineRule="auto"/>
        <w:ind w:firstLine="420"/>
        <w:rPr>
          <w:rFonts w:hAnsi="宋体"/>
          <w:color w:val="000000" w:themeColor="text1"/>
          <w14:textFill>
            <w14:solidFill>
              <w14:schemeClr w14:val="tx1"/>
            </w14:solidFill>
          </w14:textFill>
        </w:rPr>
      </w:pPr>
      <w:r>
        <w:rPr>
          <w:rFonts w:hint="eastAsia" w:hAnsi="宋体"/>
          <w:color w:val="000000" w:themeColor="text1"/>
          <w:sz w:val="21"/>
          <w14:textFill>
            <w14:solidFill>
              <w14:schemeClr w14:val="tx1"/>
            </w14:solidFill>
          </w14:textFill>
        </w:rPr>
        <w:t>2.合同价款（或者报酬）：</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w:t>
      </w:r>
    </w:p>
    <w:p w14:paraId="4ABA0DD7">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合同价款包括：竞标报价含货物、随配附件、辅料、备品备件、工具、运抵指定交货地点、现场安装调试的各种费用和售后服务、培训、税金及其他所有成本费用的总和及采购文件所要求的相关服务以及合同所述全部责任、义务和一般风险等全过程产生的所有成本和费用以及一切税费，对采购的全部货物进行完整唯一报价。</w:t>
      </w:r>
    </w:p>
    <w:p w14:paraId="029E80B6">
      <w:pPr>
        <w:pStyle w:val="17"/>
        <w:spacing w:line="360" w:lineRule="auto"/>
        <w:ind w:firstLine="420"/>
        <w:rPr>
          <w:rFonts w:hint="eastAsia"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4.付款进度安排：合同签订后，10个工作日内按合同总价款的30%支付，乙方交货并经现场安装调试，甲方验收合格后，由乙方开具正式有效发票，甲方收到发票后</w:t>
      </w:r>
      <w:r>
        <w:rPr>
          <w:rFonts w:hint="eastAsia" w:hAnsi="宋体"/>
          <w:color w:val="000000" w:themeColor="text1"/>
          <w:sz w:val="21"/>
          <w:lang w:val="en-US" w:eastAsia="zh-CN"/>
          <w14:textFill>
            <w14:solidFill>
              <w14:schemeClr w14:val="tx1"/>
            </w14:solidFill>
          </w14:textFill>
        </w:rPr>
        <w:t>1</w:t>
      </w:r>
      <w:r>
        <w:rPr>
          <w:rFonts w:hint="eastAsia" w:hAnsi="宋体"/>
          <w:color w:val="000000" w:themeColor="text1"/>
          <w:sz w:val="21"/>
          <w14:textFill>
            <w14:solidFill>
              <w14:schemeClr w14:val="tx1"/>
            </w14:solidFill>
          </w14:textFill>
        </w:rPr>
        <w:t>0个工作日内按合同总价款</w:t>
      </w:r>
      <w:r>
        <w:rPr>
          <w:rFonts w:hint="eastAsia" w:hAnsi="宋体"/>
          <w:color w:val="000000" w:themeColor="text1"/>
          <w:sz w:val="21"/>
          <w:lang w:val="en-US" w:eastAsia="zh-CN"/>
          <w14:textFill>
            <w14:solidFill>
              <w14:schemeClr w14:val="tx1"/>
            </w14:solidFill>
          </w14:textFill>
        </w:rPr>
        <w:t>7</w:t>
      </w:r>
      <w:r>
        <w:rPr>
          <w:rFonts w:hint="eastAsia" w:hAnsi="宋体"/>
          <w:color w:val="000000" w:themeColor="text1"/>
          <w:sz w:val="21"/>
          <w14:textFill>
            <w14:solidFill>
              <w14:schemeClr w14:val="tx1"/>
            </w14:solidFill>
          </w14:textFill>
        </w:rPr>
        <w:t>0%支付。</w:t>
      </w:r>
    </w:p>
    <w:p w14:paraId="641FCA77">
      <w:pPr>
        <w:pStyle w:val="17"/>
        <w:spacing w:line="360" w:lineRule="auto"/>
        <w:ind w:firstLine="420"/>
        <w:rPr>
          <w:rFonts w:ascii="宋体" w:hAnsi="宋体"/>
          <w:b/>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5.资金支付方式：</w:t>
      </w:r>
      <w:r>
        <w:rPr>
          <w:rFonts w:hint="eastAsia" w:hAnsi="宋体"/>
          <w:i/>
          <w:color w:val="000000" w:themeColor="text1"/>
          <w:u w:val="single"/>
          <w14:textFill>
            <w14:solidFill>
              <w14:schemeClr w14:val="tx1"/>
            </w14:solidFill>
          </w14:textFill>
        </w:rPr>
        <w:t xml:space="preserve"> </w:t>
      </w:r>
      <w:r>
        <w:rPr>
          <w:rFonts w:hint="eastAsia" w:hAnsi="宋体"/>
          <w:iCs/>
          <w:color w:val="000000" w:themeColor="text1"/>
          <w:u w:val="single"/>
          <w14:textFill>
            <w14:solidFill>
              <w14:schemeClr w14:val="tx1"/>
            </w14:solidFill>
          </w14:textFill>
        </w:rPr>
        <w:t>银行转账</w:t>
      </w:r>
      <w:r>
        <w:rPr>
          <w:rFonts w:hint="eastAsia" w:hAnsi="宋体"/>
          <w:color w:val="000000" w:themeColor="text1"/>
          <w:u w:val="single"/>
          <w14:textFill>
            <w14:solidFill>
              <w14:schemeClr w14:val="tx1"/>
            </w14:solidFill>
          </w14:textFill>
        </w:rPr>
        <w:t xml:space="preserve"> </w:t>
      </w:r>
      <w:r>
        <w:rPr>
          <w:rFonts w:hint="eastAsia" w:hAnsi="宋体"/>
          <w:color w:val="000000" w:themeColor="text1"/>
          <w14:textFill>
            <w14:solidFill>
              <w14:schemeClr w14:val="tx1"/>
            </w14:solidFill>
          </w14:textFill>
        </w:rPr>
        <w:t>。</w:t>
      </w:r>
    </w:p>
    <w:p w14:paraId="32A72AD9">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第七条　验收、交付标准和方法</w:t>
      </w:r>
    </w:p>
    <w:p w14:paraId="522384B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1.验收标准和方法</w:t>
      </w:r>
    </w:p>
    <w:p w14:paraId="37A78865">
      <w:pPr>
        <w:spacing w:line="360" w:lineRule="auto"/>
        <w:ind w:firstLine="420"/>
        <w:rPr>
          <w:rFonts w:ascii="宋体" w:hAnsi="宋体"/>
          <w:i/>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（1）验收标准：</w:t>
      </w:r>
      <w:r>
        <w:rPr>
          <w:rFonts w:hint="eastAsia" w:ascii="宋体" w:hAnsi="宋体"/>
          <w:iCs/>
          <w:color w:val="000000" w:themeColor="text1"/>
          <w:szCs w:val="21"/>
          <w14:textFill>
            <w14:solidFill>
              <w14:schemeClr w14:val="tx1"/>
            </w14:solidFill>
          </w14:textFill>
        </w:rPr>
        <w:t>货物验收标准，伴随工程、服务验收标准（符合现行国家相关标准、行业标准、地方标准或者其他标准、规范）</w:t>
      </w:r>
    </w:p>
    <w:p w14:paraId="312866B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（2）验收程序及方法：</w:t>
      </w:r>
    </w:p>
    <w:p w14:paraId="75F8E35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1）乙方完成货物安装调试和培训后，书面向甲方提交验收申请。</w:t>
      </w:r>
    </w:p>
    <w:p w14:paraId="6835E27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2）甲方收到乙方验收申请之日起</w:t>
      </w:r>
      <w:r>
        <w:rPr>
          <w:rFonts w:hint="eastAsia" w:ascii="宋体" w:hAnsi="宋体"/>
          <w:color w:val="000000" w:themeColor="text1"/>
          <w:szCs w:val="21"/>
          <w:u w:val="single"/>
          <w14:textFill>
            <w14:solidFill>
              <w14:schemeClr w14:val="tx1"/>
            </w14:solidFill>
          </w14:textFill>
        </w:rPr>
        <w:t xml:space="preserve"> 5</w:t>
      </w:r>
      <w:r>
        <w:rPr>
          <w:rFonts w:hint="eastAsia" w:ascii="宋体" w:hAnsi="宋体"/>
          <w:color w:val="000000" w:themeColor="text1"/>
          <w:szCs w:val="21"/>
          <w14:textFill>
            <w14:solidFill>
              <w14:schemeClr w14:val="tx1"/>
            </w14:solidFill>
          </w14:textFill>
        </w:rPr>
        <w:t>个工作日进行验收，逾期不验收的，视同验收合格。甲方委托第三方机构组织项目验收的，其验收时间以该项目验收方案确定的验收时间为准。</w:t>
      </w:r>
    </w:p>
    <w:p w14:paraId="763E884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3）本项目验收由验收小组按照采购合同约定对每一项技术和商务要求的履约情况进行确认。</w:t>
      </w:r>
    </w:p>
    <w:p w14:paraId="57FF3F2C">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4）验收结束后，验收小组出具采购验收书，验收书应当包括每一项技术和商务要求的履约情况，并列明项目总体评价，由验收小组、甲方和乙方共同签署。甲方委托第三方机构组织项目验收的，其验收结果以第三方机构出具验收结论为准，甲方和乙方共同签署确认。</w:t>
      </w:r>
    </w:p>
    <w:p w14:paraId="76274F2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5）验收过程中所产生的一切费用均由乙方承担。</w:t>
      </w:r>
    </w:p>
    <w:p w14:paraId="5D137E2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验收书一式</w:t>
      </w:r>
      <w:r>
        <w:rPr>
          <w:rFonts w:hint="eastAsia"/>
          <w:color w:val="000000" w:themeColor="text1"/>
          <w:u w:val="single"/>
          <w14:textFill>
            <w14:solidFill>
              <w14:schemeClr w14:val="tx1"/>
            </w14:solidFill>
          </w14:textFill>
        </w:rPr>
        <w:t xml:space="preserve"> 四  </w:t>
      </w:r>
      <w:r>
        <w:rPr>
          <w:rFonts w:hint="eastAsia"/>
          <w:color w:val="000000" w:themeColor="text1"/>
          <w14:textFill>
            <w14:solidFill>
              <w14:schemeClr w14:val="tx1"/>
            </w14:solidFill>
          </w14:textFill>
        </w:rPr>
        <w:t>份，甲乙双方各执</w:t>
      </w:r>
      <w:r>
        <w:rPr>
          <w:rFonts w:hint="eastAsia"/>
          <w:color w:val="000000" w:themeColor="text1"/>
          <w:u w:val="single"/>
          <w14:textFill>
            <w14:solidFill>
              <w14:schemeClr w14:val="tx1"/>
            </w14:solidFill>
          </w14:textFill>
        </w:rPr>
        <w:t xml:space="preserve"> 二  </w:t>
      </w:r>
      <w:r>
        <w:rPr>
          <w:rFonts w:hint="eastAsia"/>
          <w:color w:val="000000" w:themeColor="text1"/>
          <w14:textFill>
            <w14:solidFill>
              <w14:schemeClr w14:val="tx1"/>
            </w14:solidFill>
          </w14:textFill>
        </w:rPr>
        <w:t>份、受托第三方机构一份（如有）</w:t>
      </w:r>
      <w:r>
        <w:rPr>
          <w:rFonts w:hint="eastAsia" w:ascii="宋体" w:hAnsi="宋体"/>
          <w:color w:val="000000" w:themeColor="text1"/>
          <w:szCs w:val="21"/>
          <w14:textFill>
            <w14:solidFill>
              <w14:schemeClr w14:val="tx1"/>
            </w14:solidFill>
          </w14:textFill>
        </w:rPr>
        <w:t xml:space="preserve">。 </w:t>
      </w:r>
    </w:p>
    <w:p w14:paraId="4FDB7E0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7）验收结论不合格的，乙方应自收到验收书后</w:t>
      </w:r>
      <w:r>
        <w:rPr>
          <w:rFonts w:hint="eastAsia" w:ascii="宋体" w:hAnsi="宋体"/>
          <w:color w:val="000000" w:themeColor="text1"/>
          <w:szCs w:val="21"/>
          <w:u w:val="single"/>
          <w14:textFill>
            <w14:solidFill>
              <w14:schemeClr w14:val="tx1"/>
            </w14:solidFill>
          </w14:textFill>
        </w:rPr>
        <w:t xml:space="preserve"> 5 </w:t>
      </w:r>
      <w:r>
        <w:rPr>
          <w:rFonts w:hint="eastAsia" w:ascii="宋体" w:hAnsi="宋体"/>
          <w:color w:val="000000" w:themeColor="text1"/>
          <w:szCs w:val="21"/>
          <w14:textFill>
            <w14:solidFill>
              <w14:schemeClr w14:val="tx1"/>
            </w14:solidFill>
          </w14:textFill>
        </w:rPr>
        <w:t>日内及时予以解决。经乙方对验收结论不合格的货物进行整改后，仍然达不到要求的，经双方协商，可按以下办法处理：</w:t>
      </w:r>
    </w:p>
    <w:p w14:paraId="327DAC0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①更换：由乙方承担所发生的全部费用。</w:t>
      </w:r>
    </w:p>
    <w:p w14:paraId="1A3E57B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②贬值处理：由甲乙双方合议定价。</w:t>
      </w:r>
    </w:p>
    <w:p w14:paraId="64B733DC">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2.交付标准和方法</w:t>
      </w:r>
    </w:p>
    <w:p w14:paraId="634D63D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（1）除售后服务验收外，</w:t>
      </w:r>
      <w:r>
        <w:rPr>
          <w:rFonts w:hint="eastAsia" w:ascii="宋体" w:hAnsi="宋体"/>
          <w:color w:val="000000" w:themeColor="text1"/>
          <w:szCs w:val="21"/>
          <w14:textFill>
            <w14:solidFill>
              <w14:schemeClr w14:val="tx1"/>
            </w14:solidFill>
          </w14:textFill>
        </w:rPr>
        <w:t>验收结论合格的，乙方应自收到验收书后</w:t>
      </w:r>
      <w:r>
        <w:rPr>
          <w:rFonts w:hint="eastAsia" w:ascii="宋体" w:hAnsi="宋体"/>
          <w:color w:val="000000" w:themeColor="text1"/>
          <w:szCs w:val="21"/>
          <w:u w:val="single"/>
          <w14:textFill>
            <w14:solidFill>
              <w14:schemeClr w14:val="tx1"/>
            </w14:solidFill>
          </w14:textFill>
        </w:rPr>
        <w:t xml:space="preserve"> 5</w:t>
      </w:r>
      <w:r>
        <w:rPr>
          <w:rFonts w:hint="eastAsia" w:ascii="宋体" w:hAnsi="宋体"/>
          <w:color w:val="000000" w:themeColor="text1"/>
          <w:szCs w:val="21"/>
          <w14:textFill>
            <w14:solidFill>
              <w14:schemeClr w14:val="tx1"/>
            </w14:solidFill>
          </w14:textFill>
        </w:rPr>
        <w:t>日内向甲方交付使用。</w:t>
      </w:r>
    </w:p>
    <w:p w14:paraId="2AFC6F60">
      <w:pPr>
        <w:spacing w:line="360" w:lineRule="auto"/>
        <w:ind w:firstLine="420"/>
        <w:rPr>
          <w:rFonts w:ascii="宋体" w:hAnsi="宋体"/>
          <w:b/>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（2）货物的所有权和风险自交付时起由乙方转移至甲方，货物交付给甲方之前所有风险均由乙方承担。</w:t>
      </w:r>
    </w:p>
    <w:p w14:paraId="31496CCC">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第八条  售后服务</w:t>
      </w:r>
    </w:p>
    <w:p w14:paraId="68DFAD6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1.乙方应按照国家有关法律法规规定以及投标（响应）文件承诺，为甲方提供售后服务。</w:t>
      </w:r>
    </w:p>
    <w:p w14:paraId="680CBD8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2.质量保修范围</w:t>
      </w:r>
      <w:r>
        <w:rPr>
          <w:rFonts w:hint="eastAsia" w:ascii="宋体" w:hAnsi="宋体"/>
          <w:color w:val="000000" w:themeColor="text1"/>
          <w:szCs w:val="21"/>
          <w:u w:val="single"/>
          <w14:textFill>
            <w14:solidFill>
              <w14:schemeClr w14:val="tx1"/>
            </w14:solidFill>
          </w14:textFill>
        </w:rPr>
        <w:t xml:space="preserve"> </w:t>
      </w:r>
      <w:r>
        <w:rPr>
          <w:rFonts w:hint="eastAsia" w:ascii="新宋体" w:hAnsi="新宋体" w:eastAsia="新宋体" w:cs="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保修期：</w:t>
      </w:r>
      <w:r>
        <w:rPr>
          <w:rFonts w:hint="eastAsia" w:ascii="宋体" w:hAnsi="宋体"/>
          <w:color w:val="000000" w:themeColor="text1"/>
          <w:szCs w:val="21"/>
          <w:u w:val="single"/>
          <w14:textFill>
            <w14:solidFill>
              <w14:schemeClr w14:val="tx1"/>
            </w14:solidFill>
          </w14:textFill>
        </w:rPr>
        <w:t xml:space="preserve"> </w:t>
      </w:r>
      <w:r>
        <w:rPr>
          <w:rFonts w:hint="eastAsia" w:ascii="新宋体" w:hAnsi="新宋体" w:eastAsia="新宋体" w:cs="宋体"/>
          <w:color w:val="000000" w:themeColor="text1"/>
          <w:szCs w:val="21"/>
          <w:u w:val="single"/>
          <w14:textFill>
            <w14:solidFill>
              <w14:schemeClr w14:val="tx1"/>
            </w14:solidFill>
          </w14:textFill>
        </w:rPr>
        <w:t xml:space="preserve">  年</w:t>
      </w:r>
      <w:r>
        <w:rPr>
          <w:rFonts w:hint="eastAsia" w:ascii="宋体" w:hAnsi="宋体"/>
          <w:color w:val="000000" w:themeColor="text1"/>
          <w:szCs w:val="21"/>
          <w:u w:val="single"/>
          <w14:textFill>
            <w14:solidFill>
              <w14:schemeClr w14:val="tx1"/>
            </w14:solidFill>
          </w14:textFill>
        </w:rPr>
        <w:t>。</w:t>
      </w:r>
    </w:p>
    <w:p w14:paraId="4BCF03AF">
      <w:pPr>
        <w:spacing w:line="360" w:lineRule="auto"/>
        <w:ind w:left="-61" w:firstLine="517"/>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第九条　履约保证金</w:t>
      </w:r>
    </w:p>
    <w:p w14:paraId="5FCD3A26">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1.履约保证金金额：</w:t>
      </w:r>
      <w:r>
        <w:rPr>
          <w:rFonts w:hint="eastAsia" w:ascii="宋体" w:hAnsi="宋体" w:cs="宋体"/>
          <w:iCs/>
          <w:color w:val="000000" w:themeColor="text1"/>
          <w:szCs w:val="21"/>
          <w:u w:val="single"/>
          <w14:textFill>
            <w14:solidFill>
              <w14:schemeClr w14:val="tx1"/>
            </w14:solidFill>
          </w14:textFill>
        </w:rPr>
        <w:t xml:space="preserve">  0 % </w:t>
      </w:r>
      <w:r>
        <w:rPr>
          <w:rFonts w:hint="eastAsia" w:ascii="宋体" w:hAnsi="宋体" w:cs="宋体"/>
          <w:iCs/>
          <w:color w:val="000000" w:themeColor="text1"/>
          <w:szCs w:val="21"/>
          <w14:textFill>
            <w14:solidFill>
              <w14:schemeClr w14:val="tx1"/>
            </w14:solidFill>
          </w14:textFill>
        </w:rPr>
        <w:t>。</w:t>
      </w:r>
    </w:p>
    <w:p w14:paraId="5F3C9B05">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2.履约保证金递交方式：</w:t>
      </w:r>
      <w:r>
        <w:rPr>
          <w:rFonts w:hint="eastAsia" w:ascii="宋体" w:hAnsi="宋体" w:cs="宋体"/>
          <w:iCs/>
          <w:color w:val="000000" w:themeColor="text1"/>
          <w:szCs w:val="21"/>
          <w:u w:val="single"/>
          <w14:textFill>
            <w14:solidFill>
              <w14:schemeClr w14:val="tx1"/>
            </w14:solidFill>
          </w14:textFill>
        </w:rPr>
        <w:t>支票、汇票、本票或者金融、担保机构出具的保函（包含电子保函）等非现金方式。</w:t>
      </w:r>
    </w:p>
    <w:p w14:paraId="3313F924">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3.履约保证金退付的方式、时间及条件：</w:t>
      </w:r>
      <w:r>
        <w:rPr>
          <w:rFonts w:hint="eastAsia" w:ascii="宋体" w:hAnsi="宋体" w:cs="宋体"/>
          <w:iCs/>
          <w:color w:val="000000" w:themeColor="text1"/>
          <w:szCs w:val="21"/>
          <w:u w:val="single"/>
          <w14:textFill>
            <w14:solidFill>
              <w14:schemeClr w14:val="tx1"/>
            </w14:solidFill>
          </w14:textFill>
        </w:rPr>
        <w:t>由乙方向履约保证金收取单位提供《广西壮族自治区政府采购项目合同验收书》（详见桂财采〔2015〕22号），保证金收取单位在收到合格材料后5个工作日内办理退还手续（不计利息）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000000" w:themeColor="text1"/>
          <w:szCs w:val="21"/>
          <w14:textFill>
            <w14:solidFill>
              <w14:schemeClr w14:val="tx1"/>
            </w14:solidFill>
          </w14:textFill>
        </w:rPr>
        <w:t>。</w:t>
      </w:r>
    </w:p>
    <w:p w14:paraId="2049AA41">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4.不予退还的情形：签订合同后，如乙方不按双方签订的合同规定履约，则其全部履约保证金不予退还。</w:t>
      </w:r>
    </w:p>
    <w:p w14:paraId="451540BA">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第十条　违约责任</w:t>
      </w:r>
    </w:p>
    <w:p w14:paraId="5B60F37D">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1.合同一方不履行合同义务、履行合同义务不符合约定或者违反合同项下所作保证的， 应向对方承担继续履行、采取修理、更换、退货等补救措施或者赔偿损失等违约责任。</w:t>
      </w:r>
    </w:p>
    <w:p w14:paraId="3169ED09">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2.乙方未能按时交付货物的，应向甲方支付迟延交付违约金。迟延交付违约金的计算方法如下：</w:t>
      </w:r>
    </w:p>
    <w:p w14:paraId="47B737F4">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（1）从迟交的第一周到第四周，每周迟延交付违约金为合同价款（报酬）的</w:t>
      </w:r>
      <w:r>
        <w:rPr>
          <w:rFonts w:hint="eastAsia" w:hAnsi="宋体"/>
          <w:color w:val="000000" w:themeColor="text1"/>
          <w:sz w:val="21"/>
          <w:u w:val="single"/>
          <w14:textFill>
            <w14:solidFill>
              <w14:schemeClr w14:val="tx1"/>
            </w14:solidFill>
          </w14:textFill>
        </w:rPr>
        <w:t xml:space="preserve"> 0.5% </w:t>
      </w:r>
      <w:r>
        <w:rPr>
          <w:rFonts w:hint="eastAsia" w:hAnsi="宋体"/>
          <w:color w:val="000000" w:themeColor="text1"/>
          <w:sz w:val="21"/>
          <w14:textFill>
            <w14:solidFill>
              <w14:schemeClr w14:val="tx1"/>
            </w14:solidFill>
          </w14:textFill>
        </w:rPr>
        <w:t>；</w:t>
      </w:r>
    </w:p>
    <w:p w14:paraId="5AEA62A2">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（2）从迟交的第五周到第八周，每周迟延交付违约金为合同价款（报酬）的</w:t>
      </w:r>
      <w:r>
        <w:rPr>
          <w:rFonts w:hint="eastAsia" w:hAnsi="宋体"/>
          <w:color w:val="000000" w:themeColor="text1"/>
          <w:sz w:val="21"/>
          <w:u w:val="single"/>
          <w14:textFill>
            <w14:solidFill>
              <w14:schemeClr w14:val="tx1"/>
            </w14:solidFill>
          </w14:textFill>
        </w:rPr>
        <w:t xml:space="preserve"> 1% </w:t>
      </w:r>
      <w:r>
        <w:rPr>
          <w:rFonts w:hint="eastAsia" w:hAnsi="宋体"/>
          <w:color w:val="000000" w:themeColor="text1"/>
          <w:sz w:val="21"/>
          <w14:textFill>
            <w14:solidFill>
              <w14:schemeClr w14:val="tx1"/>
            </w14:solidFill>
          </w14:textFill>
        </w:rPr>
        <w:t>；</w:t>
      </w:r>
    </w:p>
    <w:p w14:paraId="6CD6B644">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（3）从迟交第九周起，每周迟延交付违约金为合同价款（报酬）的</w:t>
      </w:r>
      <w:r>
        <w:rPr>
          <w:rFonts w:hint="eastAsia" w:hAnsi="宋体"/>
          <w:color w:val="000000" w:themeColor="text1"/>
          <w:sz w:val="21"/>
          <w:u w:val="single"/>
          <w14:textFill>
            <w14:solidFill>
              <w14:schemeClr w14:val="tx1"/>
            </w14:solidFill>
          </w14:textFill>
        </w:rPr>
        <w:t xml:space="preserve"> 1.5% </w:t>
      </w:r>
      <w:r>
        <w:rPr>
          <w:rFonts w:hint="eastAsia" w:hAnsi="宋体"/>
          <w:color w:val="000000" w:themeColor="text1"/>
          <w:sz w:val="21"/>
          <w14:textFill>
            <w14:solidFill>
              <w14:schemeClr w14:val="tx1"/>
            </w14:solidFill>
          </w14:textFill>
        </w:rPr>
        <w:t>。在计算迟延交付违约金时，迟交不足一周的按一周计算。迟延交付违约金的总额不得超过合同价款（报酬）的</w:t>
      </w:r>
      <w:r>
        <w:rPr>
          <w:rFonts w:hint="eastAsia" w:hAnsi="宋体"/>
          <w:color w:val="000000" w:themeColor="text1"/>
          <w:sz w:val="21"/>
          <w:u w:val="single"/>
          <w14:textFill>
            <w14:solidFill>
              <w14:schemeClr w14:val="tx1"/>
            </w14:solidFill>
          </w14:textFill>
        </w:rPr>
        <w:t xml:space="preserve"> 10% </w:t>
      </w:r>
      <w:r>
        <w:rPr>
          <w:rFonts w:hint="eastAsia" w:hAnsi="宋体"/>
          <w:color w:val="000000" w:themeColor="text1"/>
          <w:sz w:val="21"/>
          <w14:textFill>
            <w14:solidFill>
              <w14:schemeClr w14:val="tx1"/>
            </w14:solidFill>
          </w14:textFill>
        </w:rPr>
        <w:t>。迟延交付违约金的支付不能免除乙方继续交付相关合同货物的义务，但如迟延交付必然导致合同货物安装、调试、验收等工作推迟的，相关工作应相应顺延。</w:t>
      </w:r>
    </w:p>
    <w:p w14:paraId="041B519B">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3.甲方未能按合同约定支付合同价款的，应向乙方支付延迟付款违约金。迟延付款违约金的计算方法如下：</w:t>
      </w:r>
    </w:p>
    <w:p w14:paraId="27166760">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（1）从迟付的第一周到第四周，每周迟延付款违约金为迟延付款金额的</w:t>
      </w:r>
      <w:r>
        <w:rPr>
          <w:rFonts w:hint="eastAsia" w:hAnsi="宋体"/>
          <w:color w:val="000000" w:themeColor="text1"/>
          <w:sz w:val="21"/>
          <w:u w:val="single"/>
          <w14:textFill>
            <w14:solidFill>
              <w14:schemeClr w14:val="tx1"/>
            </w14:solidFill>
          </w14:textFill>
        </w:rPr>
        <w:t xml:space="preserve"> 0.5% </w:t>
      </w:r>
      <w:r>
        <w:rPr>
          <w:rFonts w:hint="eastAsia" w:hAnsi="宋体"/>
          <w:color w:val="000000" w:themeColor="text1"/>
          <w:sz w:val="21"/>
          <w14:textFill>
            <w14:solidFill>
              <w14:schemeClr w14:val="tx1"/>
            </w14:solidFill>
          </w14:textFill>
        </w:rPr>
        <w:t>；</w:t>
      </w:r>
    </w:p>
    <w:p w14:paraId="21888CF8">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（2）从迟付的第五周到第八周，每周迟延付款违约金为迟延付款金额的</w:t>
      </w:r>
      <w:r>
        <w:rPr>
          <w:rFonts w:hint="eastAsia" w:hAnsi="宋体"/>
          <w:color w:val="000000" w:themeColor="text1"/>
          <w:sz w:val="21"/>
          <w:u w:val="single"/>
          <w14:textFill>
            <w14:solidFill>
              <w14:schemeClr w14:val="tx1"/>
            </w14:solidFill>
          </w14:textFill>
        </w:rPr>
        <w:t xml:space="preserve"> 1% </w:t>
      </w:r>
      <w:r>
        <w:rPr>
          <w:rFonts w:hint="eastAsia" w:hAnsi="宋体"/>
          <w:color w:val="000000" w:themeColor="text1"/>
          <w:sz w:val="21"/>
          <w14:textFill>
            <w14:solidFill>
              <w14:schemeClr w14:val="tx1"/>
            </w14:solidFill>
          </w14:textFill>
        </w:rPr>
        <w:t>；</w:t>
      </w:r>
    </w:p>
    <w:p w14:paraId="0E94B753">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（3）从迟付第九周起，每周迟延付款违约金为迟延付款金额的</w:t>
      </w:r>
      <w:r>
        <w:rPr>
          <w:rFonts w:hint="eastAsia" w:hAnsi="宋体"/>
          <w:color w:val="000000" w:themeColor="text1"/>
          <w:sz w:val="21"/>
          <w:u w:val="single"/>
          <w14:textFill>
            <w14:solidFill>
              <w14:schemeClr w14:val="tx1"/>
            </w14:solidFill>
          </w14:textFill>
        </w:rPr>
        <w:t xml:space="preserve"> 1.5% </w:t>
      </w:r>
      <w:r>
        <w:rPr>
          <w:rFonts w:hint="eastAsia" w:hAnsi="宋体"/>
          <w:color w:val="000000" w:themeColor="text1"/>
          <w:sz w:val="21"/>
          <w14:textFill>
            <w14:solidFill>
              <w14:schemeClr w14:val="tx1"/>
            </w14:solidFill>
          </w14:textFill>
        </w:rPr>
        <w:t>。在计算迟延付款违约金时，迟付不足一周的按一周计算。迟延付款违约金的总额不得超过合同价格的</w:t>
      </w:r>
      <w:r>
        <w:rPr>
          <w:rFonts w:hint="eastAsia" w:hAnsi="宋体"/>
          <w:color w:val="000000" w:themeColor="text1"/>
          <w:sz w:val="21"/>
          <w:u w:val="single"/>
          <w14:textFill>
            <w14:solidFill>
              <w14:schemeClr w14:val="tx1"/>
            </w14:solidFill>
          </w14:textFill>
        </w:rPr>
        <w:t xml:space="preserve"> 10% </w:t>
      </w:r>
      <w:r>
        <w:rPr>
          <w:rFonts w:hint="eastAsia" w:hAnsi="宋体"/>
          <w:color w:val="000000" w:themeColor="text1"/>
          <w:sz w:val="21"/>
          <w14:textFill>
            <w14:solidFill>
              <w14:schemeClr w14:val="tx1"/>
            </w14:solidFill>
          </w14:textFill>
        </w:rPr>
        <w:t>。</w:t>
      </w:r>
    </w:p>
    <w:p w14:paraId="7A49AB96">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 xml:space="preserve">4.乙方未按本合同和投标（响应）文件承诺提供售后服务的，乙方应按本合同价款（报酬）的 </w:t>
      </w:r>
      <w:r>
        <w:rPr>
          <w:rFonts w:hint="eastAsia" w:hAnsi="宋体"/>
          <w:color w:val="000000" w:themeColor="text1"/>
          <w:sz w:val="21"/>
          <w:u w:val="single"/>
          <w14:textFill>
            <w14:solidFill>
              <w14:schemeClr w14:val="tx1"/>
            </w14:solidFill>
          </w14:textFill>
        </w:rPr>
        <w:t xml:space="preserve"> 5 </w:t>
      </w:r>
      <w:r>
        <w:rPr>
          <w:rFonts w:hint="eastAsia" w:hAnsi="宋体"/>
          <w:color w:val="000000" w:themeColor="text1"/>
          <w:sz w:val="21"/>
          <w14:textFill>
            <w14:solidFill>
              <w14:schemeClr w14:val="tx1"/>
            </w14:solidFill>
          </w14:textFill>
        </w:rPr>
        <w:t>%向甲方支付违约金。</w:t>
      </w:r>
    </w:p>
    <w:p w14:paraId="7748A1C9">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5.因某一方原因导致变更、中止或者终止政府采购合同的，该方应当对另一方受到的损失予以赔偿或者补偿。</w:t>
      </w:r>
    </w:p>
    <w:p w14:paraId="38738572">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6.其他违约责任按《中华人民共和国民法典》处理。</w:t>
      </w:r>
    </w:p>
    <w:p w14:paraId="42D32FC5">
      <w:pPr>
        <w:pStyle w:val="19"/>
        <w:spacing w:line="360" w:lineRule="auto"/>
        <w:ind w:firstLine="413"/>
        <w:rPr>
          <w:rFonts w:hAnsi="宋体"/>
          <w:b/>
          <w:color w:val="000000" w:themeColor="text1"/>
          <w:sz w:val="21"/>
          <w14:textFill>
            <w14:solidFill>
              <w14:schemeClr w14:val="tx1"/>
            </w14:solidFill>
          </w14:textFill>
        </w:rPr>
      </w:pPr>
      <w:r>
        <w:rPr>
          <w:rFonts w:hint="eastAsia" w:hAnsi="宋体"/>
          <w:b/>
          <w:color w:val="000000" w:themeColor="text1"/>
          <w:sz w:val="21"/>
          <w14:textFill>
            <w14:solidFill>
              <w14:schemeClr w14:val="tx1"/>
            </w14:solidFill>
          </w14:textFill>
        </w:rPr>
        <w:t>第十一条  不可抗力事件处理</w:t>
      </w:r>
    </w:p>
    <w:p w14:paraId="3ADC6BBD">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1.在合同有效期内，任何一方因不可抗力事件导致不能履行合同，则合同履行期可延长，其延长期与不可抗力影响期相同。</w:t>
      </w:r>
    </w:p>
    <w:p w14:paraId="351DFCF7">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2.不可抗力事件发生后，应立即通知对方，并寄送有关权威机构出具的证明。</w:t>
      </w:r>
    </w:p>
    <w:p w14:paraId="5A7E584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3.不可抗力事件延续一百二十天以上，双方应通过友好协商，确定是否继续履行合同。</w:t>
      </w:r>
    </w:p>
    <w:p w14:paraId="3C0CD596">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第十二条  合同争议解决</w:t>
      </w:r>
    </w:p>
    <w:p w14:paraId="536AADC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14:paraId="3E98FC9D">
      <w:pPr>
        <w:spacing w:line="360" w:lineRule="auto"/>
        <w:ind w:left="100" w:right="42"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2.因履行本合同引起的或者与本合同有关的争议，甲乙双方应首先通过友好协商解决，如果协商不能解决，按下列</w:t>
      </w:r>
      <w:r>
        <w:rPr>
          <w:rFonts w:hint="eastAsia" w:ascii="宋体" w:hAnsi="宋体"/>
          <w:color w:val="000000" w:themeColor="text1"/>
          <w:szCs w:val="21"/>
          <w:u w:val="single"/>
          <w14:textFill>
            <w14:solidFill>
              <w14:schemeClr w14:val="tx1"/>
            </w14:solidFill>
          </w14:textFill>
        </w:rPr>
        <w:t xml:space="preserve">  （1） </w:t>
      </w:r>
      <w:r>
        <w:rPr>
          <w:rFonts w:hint="eastAsia" w:ascii="宋体" w:hAnsi="宋体"/>
          <w:color w:val="000000" w:themeColor="text1"/>
          <w:szCs w:val="21"/>
          <w14:textFill>
            <w14:solidFill>
              <w14:schemeClr w14:val="tx1"/>
            </w14:solidFill>
          </w14:textFill>
        </w:rPr>
        <w:t>方式解决：</w:t>
      </w:r>
    </w:p>
    <w:p w14:paraId="0E1FE6A9">
      <w:pPr>
        <w:spacing w:line="360" w:lineRule="auto"/>
        <w:ind w:right="40"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）向</w:t>
      </w:r>
      <w:r>
        <w:rPr>
          <w:rFonts w:hint="eastAsia" w:ascii="宋体" w:hAnsi="宋体"/>
          <w:color w:val="000000" w:themeColor="text1"/>
          <w:szCs w:val="21"/>
          <w:u w:val="single"/>
          <w14:textFill>
            <w14:solidFill>
              <w14:schemeClr w14:val="tx1"/>
            </w14:solidFill>
          </w14:textFill>
        </w:rPr>
        <w:t xml:space="preserve">  崇左 </w:t>
      </w:r>
      <w:r>
        <w:rPr>
          <w:rFonts w:hint="eastAsia" w:ascii="宋体" w:hAnsi="宋体"/>
          <w:color w:val="000000" w:themeColor="text1"/>
          <w:szCs w:val="21"/>
          <w14:textFill>
            <w14:solidFill>
              <w14:schemeClr w14:val="tx1"/>
            </w14:solidFill>
          </w14:textFill>
        </w:rPr>
        <w:t>仲裁委员会申请仲裁；</w:t>
      </w:r>
    </w:p>
    <w:p w14:paraId="78E089C7">
      <w:pPr>
        <w:spacing w:line="360" w:lineRule="auto"/>
        <w:ind w:right="40"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）向甲方所在地的人民法院提起诉讼。</w:t>
      </w:r>
    </w:p>
    <w:p w14:paraId="591293D3">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第十三条　合同的变更、中止或者终止</w:t>
      </w:r>
    </w:p>
    <w:p w14:paraId="38BDDB4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除《中华人民共和国政府采购法》第五十条规定的情形外，本合同一经签订，甲乙双方不得擅自变更、中止或者终止合同。</w:t>
      </w:r>
    </w:p>
    <w:p w14:paraId="6692BDAF">
      <w:pPr>
        <w:pStyle w:val="17"/>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2.采购合同继续履行将损害国家利益和社会公共利益的，双方当事人应当变更、中止或者终止合同。有过错的一方应当承担赔偿责任，双方都有过错的，各自承担相应的责任。</w:t>
      </w:r>
    </w:p>
    <w:p w14:paraId="2683E2EE">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第十四条　</w:t>
      </w:r>
      <w:r>
        <w:rPr>
          <w:rFonts w:hint="eastAsia" w:ascii="宋体" w:hAnsi="宋体" w:cs="微软雅黑"/>
          <w:b/>
          <w:color w:val="000000" w:themeColor="text1"/>
          <w:szCs w:val="21"/>
          <w14:textFill>
            <w14:solidFill>
              <w14:schemeClr w14:val="tx1"/>
            </w14:solidFill>
          </w14:textFill>
        </w:rPr>
        <w:t>合</w:t>
      </w:r>
      <w:r>
        <w:rPr>
          <w:rFonts w:hint="eastAsia" w:ascii="宋体" w:hAnsi="宋体" w:cs="微软雅黑"/>
          <w:b/>
          <w:color w:val="000000" w:themeColor="text1"/>
          <w:spacing w:val="-2"/>
          <w:szCs w:val="21"/>
          <w14:textFill>
            <w14:solidFill>
              <w14:schemeClr w14:val="tx1"/>
            </w14:solidFill>
          </w14:textFill>
        </w:rPr>
        <w:t>同</w:t>
      </w:r>
      <w:r>
        <w:rPr>
          <w:rFonts w:hint="eastAsia" w:ascii="宋体" w:hAnsi="宋体" w:cs="微软雅黑"/>
          <w:b/>
          <w:color w:val="000000" w:themeColor="text1"/>
          <w:szCs w:val="21"/>
          <w14:textFill>
            <w14:solidFill>
              <w14:schemeClr w14:val="tx1"/>
            </w14:solidFill>
          </w14:textFill>
        </w:rPr>
        <w:t>文</w:t>
      </w:r>
      <w:r>
        <w:rPr>
          <w:rFonts w:hint="eastAsia" w:ascii="宋体" w:hAnsi="宋体" w:cs="微软雅黑"/>
          <w:b/>
          <w:color w:val="000000" w:themeColor="text1"/>
          <w:spacing w:val="-2"/>
          <w:szCs w:val="21"/>
          <w14:textFill>
            <w14:solidFill>
              <w14:schemeClr w14:val="tx1"/>
            </w14:solidFill>
          </w14:textFill>
        </w:rPr>
        <w:t>件构成</w:t>
      </w:r>
    </w:p>
    <w:p w14:paraId="2CA57DB5">
      <w:pPr>
        <w:pStyle w:val="19"/>
        <w:spacing w:line="360" w:lineRule="auto"/>
        <w:ind w:left="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1.政府采购合同</w:t>
      </w:r>
    </w:p>
    <w:p w14:paraId="63D459E6">
      <w:pPr>
        <w:pStyle w:val="19"/>
        <w:spacing w:line="360" w:lineRule="auto"/>
        <w:ind w:left="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2.中标（成交）通知书；</w:t>
      </w:r>
    </w:p>
    <w:p w14:paraId="6489C1E4">
      <w:pPr>
        <w:pStyle w:val="19"/>
        <w:spacing w:line="360" w:lineRule="auto"/>
        <w:ind w:left="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3.投标（响应）文件；</w:t>
      </w:r>
    </w:p>
    <w:p w14:paraId="13E032E7">
      <w:pPr>
        <w:pStyle w:val="19"/>
        <w:spacing w:line="360" w:lineRule="auto"/>
        <w:ind w:left="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4.采购文件及更正公告（澄清或补充通知）；</w:t>
      </w:r>
    </w:p>
    <w:p w14:paraId="1B0D910D">
      <w:pPr>
        <w:pStyle w:val="19"/>
        <w:spacing w:line="360" w:lineRule="auto"/>
        <w:ind w:left="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5.标准、规范及有关技术文件；</w:t>
      </w:r>
    </w:p>
    <w:p w14:paraId="72825DFC">
      <w:pPr>
        <w:pStyle w:val="19"/>
        <w:spacing w:line="360" w:lineRule="auto"/>
        <w:ind w:left="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6.双方约定的其他合同文件。</w:t>
      </w:r>
    </w:p>
    <w:p w14:paraId="0E5C8A94">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上述合同文件互相补充和解释。如果合同文件之间存在矛盾或者不一致之处，以上述文件的排列顺序在先者为准。</w:t>
      </w:r>
    </w:p>
    <w:p w14:paraId="0F3D1753">
      <w:pPr>
        <w:spacing w:line="360" w:lineRule="auto"/>
        <w:ind w:firstLine="42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第</w:t>
      </w:r>
      <w:r>
        <w:rPr>
          <w:rFonts w:hint="eastAsia" w:hAnsi="宋体"/>
          <w:b/>
          <w:color w:val="000000" w:themeColor="text1"/>
          <w14:textFill>
            <w14:solidFill>
              <w14:schemeClr w14:val="tx1"/>
            </w14:solidFill>
          </w14:textFill>
        </w:rPr>
        <w:t>十五</w:t>
      </w:r>
      <w:r>
        <w:rPr>
          <w:rFonts w:hint="eastAsia" w:ascii="宋体" w:hAnsi="宋体"/>
          <w:b/>
          <w:color w:val="000000" w:themeColor="text1"/>
          <w:szCs w:val="21"/>
          <w14:textFill>
            <w14:solidFill>
              <w14:schemeClr w14:val="tx1"/>
            </w14:solidFill>
          </w14:textFill>
        </w:rPr>
        <w:t>条　知识产权和保密要求</w:t>
      </w:r>
    </w:p>
    <w:p w14:paraId="35B4908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1.甲方在履行合同过程中提供给乙方的全部图纸、文件和其他含有数据和信息的资料，其知识产权属于甲方。</w:t>
      </w:r>
    </w:p>
    <w:p w14:paraId="6B19B94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2.除采购文件采购需求另有约定外，甲方不因签署和履行合同而享有乙方在履行合同过程中提供给甲方的图纸、文件、配套软件、电子辅助程序和其他含有数据和信息的资料的知识产权。</w:t>
      </w:r>
    </w:p>
    <w:p w14:paraId="54E4B22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64935D3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w:t>
      </w:r>
      <w:r>
        <w:rPr>
          <w:rFonts w:ascii="宋体" w:hAnsi="宋体"/>
          <w:color w:val="000000" w:themeColor="text1"/>
          <w:szCs w:val="21"/>
          <w14:textFill>
            <w14:solidFill>
              <w14:schemeClr w14:val="tx1"/>
            </w14:solidFill>
          </w14:textFill>
        </w:rPr>
        <w:t>28</w:t>
      </w:r>
      <w:r>
        <w:rPr>
          <w:rFonts w:hint="eastAsia" w:ascii="宋体" w:hAnsi="宋体"/>
          <w:color w:val="000000" w:themeColor="text1"/>
          <w:szCs w:val="21"/>
          <w14:textFill>
            <w14:solidFill>
              <w14:schemeClr w14:val="tx1"/>
            </w14:solidFill>
          </w14:textFill>
        </w:rPr>
        <w:t>日内未作表示，甲方可以自己的名义进行这些索赔或诉讼，因此发生的费用和遭受的损失均应由乙方承担。</w:t>
      </w:r>
    </w:p>
    <w:p w14:paraId="046B885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2C59E2B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6.乙方保证将要交付的货物的所有权完全属于乙方且无任何抵押、质押、查封等产权瑕疵。</w:t>
      </w:r>
    </w:p>
    <w:p w14:paraId="0F5A9AE3">
      <w:pPr>
        <w:pStyle w:val="19"/>
        <w:spacing w:line="360" w:lineRule="auto"/>
        <w:ind w:firstLine="413"/>
        <w:rPr>
          <w:rFonts w:hAnsi="宋体"/>
          <w:b/>
          <w:color w:val="000000" w:themeColor="text1"/>
          <w:sz w:val="21"/>
          <w14:textFill>
            <w14:solidFill>
              <w14:schemeClr w14:val="tx1"/>
            </w14:solidFill>
          </w14:textFill>
        </w:rPr>
      </w:pPr>
      <w:r>
        <w:rPr>
          <w:rFonts w:hint="eastAsia" w:hAnsi="宋体"/>
          <w:b/>
          <w:color w:val="000000" w:themeColor="text1"/>
          <w:sz w:val="21"/>
          <w14:textFill>
            <w14:solidFill>
              <w14:schemeClr w14:val="tx1"/>
            </w14:solidFill>
          </w14:textFill>
        </w:rPr>
        <w:t>第十六条  合同生效及其他</w:t>
      </w:r>
    </w:p>
    <w:p w14:paraId="21F4B03D">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1.合同经双方法定代表人或者委托代理人签字并加盖单位公章后生效（委托代理人签字的需后附授权委托书，格式自拟）。</w:t>
      </w:r>
    </w:p>
    <w:p w14:paraId="4319C95C">
      <w:pPr>
        <w:pStyle w:val="17"/>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2.合同执行中涉及采购资金和采购内容修改或者补充的，并签订书面补充协议报财政部门备案，方可作为主合同不可分割的一部分。</w:t>
      </w:r>
    </w:p>
    <w:p w14:paraId="4F4EA6E9">
      <w:pPr>
        <w:pStyle w:val="17"/>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3.合同生效后，甲乙双方不得因姓名、名称的变更或者法定代表人、负责人、承办人的变动而不履行合同义务。</w:t>
      </w:r>
    </w:p>
    <w:p w14:paraId="17662658">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4.本合同未尽事宜，遵照《中华人民共和国民法典》有关条文执行。</w:t>
      </w:r>
    </w:p>
    <w:p w14:paraId="44D9AE73">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5.本合同一式5份（可根据需要另增加），经甲乙双方法定代表人或被授权人签字并加盖公章后生效。甲方执2份，乙方执1份，云之龙咨询集团有限公司执1份，政府采购监督管理部门执1份，具有同等法律效力。</w:t>
      </w:r>
    </w:p>
    <w:p w14:paraId="6E063942">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6.本合同在甲乙双方签字盖章后生效，自签订之日起七个工作日内，甲方应当将合同副本报同级财政部门备案。</w:t>
      </w:r>
    </w:p>
    <w:p w14:paraId="7FCF7DC0">
      <w:pPr>
        <w:pStyle w:val="19"/>
        <w:spacing w:line="360" w:lineRule="auto"/>
        <w:ind w:firstLine="420"/>
        <w:rPr>
          <w:rFonts w:hAnsi="宋体"/>
          <w:color w:val="000000" w:themeColor="text1"/>
          <w:sz w:val="21"/>
          <w14:textFill>
            <w14:solidFill>
              <w14:schemeClr w14:val="tx1"/>
            </w14:solidFill>
          </w14:textFill>
        </w:rPr>
      </w:pPr>
      <w:r>
        <w:rPr>
          <w:rFonts w:hint="eastAsia" w:hAnsi="宋体"/>
          <w:color w:val="000000" w:themeColor="text1"/>
          <w:sz w:val="21"/>
          <w14:textFill>
            <w14:solidFill>
              <w14:schemeClr w14:val="tx1"/>
            </w14:solidFill>
          </w14:textFill>
        </w:rPr>
        <w:t>7.本合同自签订之日起2个工作日内，甲方应当将采购合同在广西壮族自治区财政厅指定的媒体上公告。</w:t>
      </w:r>
    </w:p>
    <w:p w14:paraId="56183ACA">
      <w:pPr>
        <w:spacing w:line="360" w:lineRule="auto"/>
        <w:ind w:firstLine="480"/>
        <w:rPr>
          <w:rFonts w:ascii="宋体" w:hAnsi="宋体" w:cs="宋体"/>
          <w:color w:val="000000" w:themeColor="text1"/>
          <w:sz w:val="24"/>
          <w14:textFill>
            <w14:solidFill>
              <w14:schemeClr w14:val="tx1"/>
            </w14:solidFill>
          </w14:textFill>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7"/>
        <w:gridCol w:w="4455"/>
      </w:tblGrid>
      <w:tr w14:paraId="67D0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617" w:type="dxa"/>
            <w:vAlign w:val="center"/>
          </w:tcPr>
          <w:p w14:paraId="7A9443F3">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 xml:space="preserve">甲方（章）           </w:t>
            </w:r>
          </w:p>
          <w:p w14:paraId="24FFC90D">
            <w:pPr>
              <w:spacing w:line="400" w:lineRule="exact"/>
              <w:ind w:firstLine="945"/>
              <w:jc w:val="righ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年   月   日</w:t>
            </w:r>
          </w:p>
        </w:tc>
        <w:tc>
          <w:tcPr>
            <w:tcW w:w="4455" w:type="dxa"/>
            <w:vAlign w:val="center"/>
          </w:tcPr>
          <w:p w14:paraId="03D0B04C">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 xml:space="preserve">乙方（章）              </w:t>
            </w:r>
          </w:p>
          <w:p w14:paraId="78080C67">
            <w:pPr>
              <w:spacing w:line="400" w:lineRule="exact"/>
              <w:jc w:val="righ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 xml:space="preserve"> 年   月   日</w:t>
            </w:r>
          </w:p>
        </w:tc>
      </w:tr>
      <w:tr w14:paraId="1C5E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vAlign w:val="center"/>
          </w:tcPr>
          <w:p w14:paraId="4E4EB975">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单位地址：</w:t>
            </w:r>
          </w:p>
        </w:tc>
        <w:tc>
          <w:tcPr>
            <w:tcW w:w="4455" w:type="dxa"/>
            <w:vAlign w:val="center"/>
          </w:tcPr>
          <w:p w14:paraId="3D2DAD4C">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单位地址：</w:t>
            </w:r>
          </w:p>
        </w:tc>
      </w:tr>
      <w:tr w14:paraId="4FB6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Pr>
          <w:p w14:paraId="609B8AEE">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法定代表人或委托代理人：</w:t>
            </w:r>
          </w:p>
          <w:p w14:paraId="4A2DBBBB">
            <w:pPr>
              <w:spacing w:line="400" w:lineRule="exact"/>
              <w:rPr>
                <w:rFonts w:ascii="新宋体" w:hAnsi="新宋体" w:eastAsia="新宋体" w:cs="新宋体"/>
                <w:color w:val="000000" w:themeColor="text1"/>
                <w:szCs w:val="21"/>
                <w14:textFill>
                  <w14:solidFill>
                    <w14:schemeClr w14:val="tx1"/>
                  </w14:solidFill>
                </w14:textFill>
              </w:rPr>
            </w:pPr>
          </w:p>
        </w:tc>
        <w:tc>
          <w:tcPr>
            <w:tcW w:w="4455" w:type="dxa"/>
          </w:tcPr>
          <w:p w14:paraId="5787C4A8">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法定代表人或委托代理人：</w:t>
            </w:r>
          </w:p>
          <w:p w14:paraId="0E904510">
            <w:pPr>
              <w:spacing w:line="400" w:lineRule="exact"/>
              <w:rPr>
                <w:rFonts w:ascii="新宋体" w:hAnsi="新宋体" w:eastAsia="新宋体" w:cs="新宋体"/>
                <w:color w:val="000000" w:themeColor="text1"/>
                <w:szCs w:val="21"/>
                <w14:textFill>
                  <w14:solidFill>
                    <w14:schemeClr w14:val="tx1"/>
                  </w14:solidFill>
                </w14:textFill>
              </w:rPr>
            </w:pPr>
          </w:p>
        </w:tc>
      </w:tr>
      <w:tr w14:paraId="4496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vAlign w:val="center"/>
          </w:tcPr>
          <w:p w14:paraId="1D52AA19">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电话：</w:t>
            </w:r>
          </w:p>
        </w:tc>
        <w:tc>
          <w:tcPr>
            <w:tcW w:w="4455" w:type="dxa"/>
            <w:vAlign w:val="center"/>
          </w:tcPr>
          <w:p w14:paraId="07543589">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电话：</w:t>
            </w:r>
          </w:p>
        </w:tc>
      </w:tr>
      <w:tr w14:paraId="14C3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vAlign w:val="center"/>
          </w:tcPr>
          <w:p w14:paraId="5D03C4BA">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电子邮箱：</w:t>
            </w:r>
          </w:p>
        </w:tc>
        <w:tc>
          <w:tcPr>
            <w:tcW w:w="4455" w:type="dxa"/>
            <w:vAlign w:val="center"/>
          </w:tcPr>
          <w:p w14:paraId="749F0D07">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电子邮箱：</w:t>
            </w:r>
          </w:p>
        </w:tc>
      </w:tr>
      <w:tr w14:paraId="6E5C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vAlign w:val="center"/>
          </w:tcPr>
          <w:p w14:paraId="324D072D">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开户名称：</w:t>
            </w:r>
          </w:p>
        </w:tc>
        <w:tc>
          <w:tcPr>
            <w:tcW w:w="4455" w:type="dxa"/>
            <w:vAlign w:val="center"/>
          </w:tcPr>
          <w:p w14:paraId="50191C38">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开户名称：</w:t>
            </w:r>
          </w:p>
        </w:tc>
      </w:tr>
      <w:tr w14:paraId="3794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vAlign w:val="center"/>
          </w:tcPr>
          <w:p w14:paraId="69C725BA">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纳税人识别号：</w:t>
            </w:r>
          </w:p>
        </w:tc>
        <w:tc>
          <w:tcPr>
            <w:tcW w:w="4455" w:type="dxa"/>
            <w:vAlign w:val="center"/>
          </w:tcPr>
          <w:p w14:paraId="17FF48AF">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纳税人识别号：</w:t>
            </w:r>
          </w:p>
        </w:tc>
      </w:tr>
      <w:tr w14:paraId="312A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vAlign w:val="center"/>
          </w:tcPr>
          <w:p w14:paraId="47F27A25">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开户银行：</w:t>
            </w:r>
          </w:p>
        </w:tc>
        <w:tc>
          <w:tcPr>
            <w:tcW w:w="4455" w:type="dxa"/>
            <w:vAlign w:val="center"/>
          </w:tcPr>
          <w:p w14:paraId="3C44A992">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开户银行：</w:t>
            </w:r>
          </w:p>
        </w:tc>
      </w:tr>
      <w:tr w14:paraId="0A31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vAlign w:val="center"/>
          </w:tcPr>
          <w:p w14:paraId="357AEA6A">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账号：</w:t>
            </w:r>
          </w:p>
        </w:tc>
        <w:tc>
          <w:tcPr>
            <w:tcW w:w="4455" w:type="dxa"/>
            <w:vAlign w:val="center"/>
          </w:tcPr>
          <w:p w14:paraId="477FBAE6">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账号：</w:t>
            </w:r>
          </w:p>
        </w:tc>
      </w:tr>
      <w:tr w14:paraId="03ED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vAlign w:val="center"/>
          </w:tcPr>
          <w:p w14:paraId="3968AEC8">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邮政编码：</w:t>
            </w:r>
          </w:p>
        </w:tc>
        <w:tc>
          <w:tcPr>
            <w:tcW w:w="4455" w:type="dxa"/>
            <w:vAlign w:val="center"/>
          </w:tcPr>
          <w:p w14:paraId="00061204">
            <w:pPr>
              <w:spacing w:line="400" w:lineRule="exact"/>
              <w:rPr>
                <w:rFonts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邮政编码：</w:t>
            </w:r>
          </w:p>
        </w:tc>
      </w:tr>
    </w:tbl>
    <w:p w14:paraId="558683B4">
      <w:pPr>
        <w:spacing w:line="360" w:lineRule="auto"/>
        <w:ind w:left="480" w:hanging="480"/>
        <w:rPr>
          <w:rFonts w:ascii="宋体" w:hAnsi="宋体"/>
          <w:color w:val="000000" w:themeColor="text1"/>
          <w:sz w:val="24"/>
          <w14:textFill>
            <w14:solidFill>
              <w14:schemeClr w14:val="tx1"/>
            </w14:solidFill>
          </w14:textFill>
        </w:rPr>
      </w:pPr>
    </w:p>
    <w:p w14:paraId="2477757D">
      <w:pPr>
        <w:spacing w:line="360" w:lineRule="auto"/>
        <w:jc w:val="left"/>
        <w:rPr>
          <w:rFonts w:ascii="宋体" w:hAnsi="宋体"/>
          <w:color w:val="000000" w:themeColor="text1"/>
          <w:sz w:val="24"/>
          <w14:textFill>
            <w14:solidFill>
              <w14:schemeClr w14:val="tx1"/>
            </w14:solidFill>
          </w14:textFill>
        </w:rPr>
      </w:pPr>
    </w:p>
    <w:p w14:paraId="15E30FA9">
      <w:pPr>
        <w:pStyle w:val="35"/>
        <w:rPr>
          <w:rFonts w:ascii="宋体" w:hAnsi="宋体"/>
          <w:color w:val="000000" w:themeColor="text1"/>
          <w:sz w:val="24"/>
          <w14:textFill>
            <w14:solidFill>
              <w14:schemeClr w14:val="tx1"/>
            </w14:solidFill>
          </w14:textFill>
        </w:rPr>
      </w:pPr>
    </w:p>
    <w:p w14:paraId="42DC724D">
      <w:pPr>
        <w:pStyle w:val="285"/>
        <w:rPr>
          <w:rFonts w:hAnsi="宋体"/>
          <w:color w:val="000000" w:themeColor="text1"/>
          <w:sz w:val="24"/>
          <w14:textFill>
            <w14:solidFill>
              <w14:schemeClr w14:val="tx1"/>
            </w14:solidFill>
          </w14:textFill>
        </w:rPr>
      </w:pPr>
    </w:p>
    <w:p w14:paraId="1E19DEBF">
      <w:pPr>
        <w:rPr>
          <w:rFonts w:hAnsi="宋体"/>
          <w:color w:val="000000" w:themeColor="text1"/>
          <w:sz w:val="24"/>
          <w14:textFill>
            <w14:solidFill>
              <w14:schemeClr w14:val="tx1"/>
            </w14:solidFill>
          </w14:textFill>
        </w:rPr>
      </w:pPr>
    </w:p>
    <w:p w14:paraId="61831901">
      <w:pPr>
        <w:pStyle w:val="35"/>
        <w:rPr>
          <w:rFonts w:hAnsi="宋体"/>
          <w:color w:val="000000" w:themeColor="text1"/>
          <w:sz w:val="24"/>
          <w14:textFill>
            <w14:solidFill>
              <w14:schemeClr w14:val="tx1"/>
            </w14:solidFill>
          </w14:textFill>
        </w:rPr>
      </w:pPr>
    </w:p>
    <w:p w14:paraId="7D633079">
      <w:pPr>
        <w:spacing w:line="360" w:lineRule="auto"/>
        <w:rPr>
          <w:rFonts w:ascii="宋体" w:hAnsi="宋体"/>
          <w:b/>
          <w:bCs/>
          <w:color w:val="000000" w:themeColor="text1"/>
          <w:sz w:val="24"/>
          <w14:textFill>
            <w14:solidFill>
              <w14:schemeClr w14:val="tx1"/>
            </w14:solidFill>
          </w14:textFill>
        </w:rPr>
      </w:pPr>
    </w:p>
    <w:p w14:paraId="61478E7C">
      <w:pPr>
        <w:spacing w:line="360" w:lineRule="auto"/>
        <w:rPr>
          <w:rFonts w:ascii="宋体" w:hAnsi="宋体"/>
          <w:b/>
          <w:bCs/>
          <w:color w:val="000000" w:themeColor="text1"/>
          <w:sz w:val="24"/>
          <w14:textFill>
            <w14:solidFill>
              <w14:schemeClr w14:val="tx1"/>
            </w14:solidFill>
          </w14:textFill>
        </w:rPr>
      </w:pPr>
    </w:p>
    <w:p w14:paraId="1132270E">
      <w:pPr>
        <w:spacing w:line="360" w:lineRule="auto"/>
        <w:rPr>
          <w:rFonts w:ascii="宋体" w:hAnsi="宋体"/>
          <w:b/>
          <w:bCs/>
          <w:color w:val="000000" w:themeColor="text1"/>
          <w:sz w:val="24"/>
          <w14:textFill>
            <w14:solidFill>
              <w14:schemeClr w14:val="tx1"/>
            </w14:solidFill>
          </w14:textFill>
        </w:rPr>
      </w:pPr>
    </w:p>
    <w:p w14:paraId="4C110F2A">
      <w:pPr>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其他文书、文件格式</w:t>
      </w:r>
    </w:p>
    <w:p w14:paraId="457F983F">
      <w:pPr>
        <w:spacing w:line="360" w:lineRule="auto"/>
        <w:jc w:val="center"/>
        <w:rPr>
          <w:rFonts w:ascii="宋体" w:hAnsi="宋体"/>
          <w:b/>
          <w:bCs/>
          <w:color w:val="000000" w:themeColor="text1"/>
          <w:sz w:val="32"/>
          <w:szCs w:val="32"/>
          <w14:textFill>
            <w14:solidFill>
              <w14:schemeClr w14:val="tx1"/>
            </w14:solidFill>
          </w14:textFill>
        </w:rPr>
      </w:pPr>
      <w:r>
        <w:rPr>
          <w:rFonts w:hint="eastAsia" w:ascii="Arial Unicode MS" w:hAnsi="Arial Unicode MS" w:eastAsia="Arial Unicode MS" w:cs="Arial Unicode MS"/>
          <w:color w:val="000000" w:themeColor="text1"/>
          <w:sz w:val="44"/>
          <w:szCs w:val="44"/>
          <w14:textFill>
            <w14:solidFill>
              <w14:schemeClr w14:val="tx1"/>
            </w14:solidFill>
          </w14:textFill>
        </w:rPr>
        <w:t>质疑函（格式）</w:t>
      </w:r>
    </w:p>
    <w:p w14:paraId="4B00887F">
      <w:pPr>
        <w:spacing w:line="360" w:lineRule="auto"/>
        <w:jc w:val="center"/>
        <w:rPr>
          <w:rFonts w:ascii="宋体" w:hAnsi="宋体"/>
          <w:b/>
          <w:bCs/>
          <w:color w:val="000000" w:themeColor="text1"/>
          <w:sz w:val="32"/>
          <w:szCs w:val="32"/>
          <w14:textFill>
            <w14:solidFill>
              <w14:schemeClr w14:val="tx1"/>
            </w14:solidFill>
          </w14:textFill>
        </w:rPr>
      </w:pPr>
    </w:p>
    <w:p w14:paraId="6E814148">
      <w:pPr>
        <w:pStyle w:val="19"/>
        <w:spacing w:line="360" w:lineRule="auto"/>
        <w:ind w:firstLine="482"/>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6FB25C7E">
      <w:pPr>
        <w:pStyle w:val="19"/>
        <w:spacing w:line="360" w:lineRule="auto"/>
        <w:ind w:firstLine="48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289338FF">
      <w:pPr>
        <w:pStyle w:val="19"/>
        <w:spacing w:line="360" w:lineRule="auto"/>
        <w:ind w:firstLine="480"/>
        <w:contextualSpacing/>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32FE65C8">
      <w:pPr>
        <w:pStyle w:val="19"/>
        <w:spacing w:line="360" w:lineRule="auto"/>
        <w:ind w:firstLine="480"/>
        <w:contextualSpacing/>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649366A5">
      <w:pPr>
        <w:pStyle w:val="19"/>
        <w:spacing w:line="360" w:lineRule="auto"/>
        <w:ind w:firstLine="48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int="eastAsia" w:hAnsi="宋体"/>
          <w:bCs/>
          <w:color w:val="000000" w:themeColor="text1"/>
          <w:sz w:val="24"/>
          <w:szCs w:val="24"/>
          <w:u w:val="single"/>
          <w14:textFill>
            <w14:solidFill>
              <w14:schemeClr w14:val="tx1"/>
            </w14:solidFill>
          </w14:textFill>
        </w:rPr>
        <w:t xml:space="preserve">                      </w:t>
      </w:r>
    </w:p>
    <w:p w14:paraId="05D5C29A">
      <w:pPr>
        <w:pStyle w:val="19"/>
        <w:spacing w:line="360" w:lineRule="auto"/>
        <w:ind w:firstLine="480"/>
        <w:contextualSpacing/>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74974EAE">
      <w:pPr>
        <w:pStyle w:val="19"/>
        <w:spacing w:line="360" w:lineRule="auto"/>
        <w:ind w:firstLine="480"/>
        <w:contextualSpacing/>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6BB26703">
      <w:pPr>
        <w:pStyle w:val="19"/>
        <w:spacing w:line="360" w:lineRule="auto"/>
        <w:ind w:firstLine="482"/>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3626DD65">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r>
        <w:rPr>
          <w:rFonts w:hint="eastAsia" w:hAnsi="宋体"/>
          <w:bCs/>
          <w:color w:val="000000" w:themeColor="text1"/>
          <w:sz w:val="24"/>
          <w:szCs w:val="24"/>
          <w:u w:val="single"/>
          <w14:textFill>
            <w14:solidFill>
              <w14:schemeClr w14:val="tx1"/>
            </w14:solidFill>
          </w14:textFill>
        </w:rPr>
        <w:t xml:space="preserve">                                     </w:t>
      </w:r>
    </w:p>
    <w:p w14:paraId="0C08368C">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r>
        <w:rPr>
          <w:rFonts w:hint="eastAsia" w:hAnsi="宋体"/>
          <w:bCs/>
          <w:color w:val="000000" w:themeColor="text1"/>
          <w:sz w:val="24"/>
          <w:szCs w:val="24"/>
          <w:u w:val="single"/>
          <w14:textFill>
            <w14:solidFill>
              <w14:schemeClr w14:val="tx1"/>
            </w14:solidFill>
          </w14:textFill>
        </w:rPr>
        <w:t xml:space="preserve">                                     </w:t>
      </w:r>
    </w:p>
    <w:p w14:paraId="32215DF2">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r>
        <w:rPr>
          <w:rFonts w:hint="eastAsia" w:hAnsi="宋体"/>
          <w:bCs/>
          <w:color w:val="000000" w:themeColor="text1"/>
          <w:sz w:val="24"/>
          <w:szCs w:val="24"/>
          <w:u w:val="single"/>
          <w14:textFill>
            <w14:solidFill>
              <w14:schemeClr w14:val="tx1"/>
            </w14:solidFill>
          </w14:textFill>
        </w:rPr>
        <w:t xml:space="preserve">                                         </w:t>
      </w:r>
    </w:p>
    <w:p w14:paraId="451DD286">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24222EB5">
      <w:pPr>
        <w:pStyle w:val="19"/>
        <w:spacing w:line="360" w:lineRule="auto"/>
        <w:ind w:left="25" w:firstLine="35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   采购文件获取日期：</w:t>
      </w:r>
      <w:r>
        <w:rPr>
          <w:rFonts w:hint="eastAsia" w:hAnsi="宋体"/>
          <w:bCs/>
          <w:color w:val="000000" w:themeColor="text1"/>
          <w:sz w:val="24"/>
          <w:szCs w:val="24"/>
          <w:u w:val="single"/>
          <w14:textFill>
            <w14:solidFill>
              <w14:schemeClr w14:val="tx1"/>
            </w14:solidFill>
          </w14:textFill>
        </w:rPr>
        <w:t xml:space="preserve">                                   </w:t>
      </w:r>
    </w:p>
    <w:p w14:paraId="4E6688EE">
      <w:pPr>
        <w:pStyle w:val="19"/>
        <w:spacing w:line="360" w:lineRule="auto"/>
        <w:ind w:left="25" w:firstLine="35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□采购过程   </w:t>
      </w:r>
    </w:p>
    <w:p w14:paraId="4E9FEE9F">
      <w:pPr>
        <w:pStyle w:val="19"/>
        <w:spacing w:line="360" w:lineRule="auto"/>
        <w:ind w:left="25" w:firstLine="352"/>
        <w:contextualSpacing/>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□成交结果   </w:t>
      </w:r>
    </w:p>
    <w:p w14:paraId="689233A2">
      <w:pPr>
        <w:pStyle w:val="19"/>
        <w:spacing w:line="360" w:lineRule="auto"/>
        <w:ind w:left="25" w:firstLine="472"/>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4BD3C0F1">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质疑事项1：</w:t>
      </w:r>
      <w:r>
        <w:rPr>
          <w:rFonts w:hint="eastAsia" w:hAnsi="宋体"/>
          <w:bCs/>
          <w:color w:val="000000" w:themeColor="text1"/>
          <w:sz w:val="24"/>
          <w:szCs w:val="24"/>
          <w:u w:val="single"/>
          <w14:textFill>
            <w14:solidFill>
              <w14:schemeClr w14:val="tx1"/>
            </w14:solidFill>
          </w14:textFill>
        </w:rPr>
        <w:t xml:space="preserve">                                                                    </w:t>
      </w:r>
    </w:p>
    <w:p w14:paraId="159DB765">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r>
        <w:rPr>
          <w:rFonts w:hint="eastAsia" w:hAnsi="宋体"/>
          <w:bCs/>
          <w:color w:val="000000" w:themeColor="text1"/>
          <w:sz w:val="24"/>
          <w:szCs w:val="24"/>
          <w:u w:val="single"/>
          <w14:textFill>
            <w14:solidFill>
              <w14:schemeClr w14:val="tx1"/>
            </w14:solidFill>
          </w14:textFill>
        </w:rPr>
        <w:t xml:space="preserve">                                                                      </w:t>
      </w:r>
    </w:p>
    <w:p w14:paraId="5E914900">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r>
        <w:rPr>
          <w:rFonts w:hint="eastAsia" w:hAnsi="宋体"/>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06AA5E65">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质疑事项2</w:t>
      </w:r>
    </w:p>
    <w:p w14:paraId="50F3F08D">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w:t>
      </w:r>
    </w:p>
    <w:p w14:paraId="39604357">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3D042C95">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r>
        <w:rPr>
          <w:rFonts w:hint="eastAsia" w:hAnsi="宋体"/>
          <w:bCs/>
          <w:color w:val="000000" w:themeColor="text1"/>
          <w:sz w:val="24"/>
          <w:szCs w:val="24"/>
          <w:u w:val="single"/>
          <w14:textFill>
            <w14:solidFill>
              <w14:schemeClr w14:val="tx1"/>
            </w14:solidFill>
          </w14:textFill>
        </w:rPr>
        <w:t xml:space="preserve">                                                                </w:t>
      </w:r>
    </w:p>
    <w:p w14:paraId="642F3102">
      <w:pPr>
        <w:pStyle w:val="19"/>
        <w:spacing w:line="360" w:lineRule="auto"/>
        <w:ind w:left="25" w:firstLine="352"/>
        <w:contextualSpacing/>
        <w:rPr>
          <w:rFonts w:hAnsi="宋体"/>
          <w:color w:val="000000" w:themeColor="text1"/>
          <w:sz w:val="24"/>
          <w:szCs w:val="24"/>
          <w14:textFill>
            <w14:solidFill>
              <w14:schemeClr w14:val="tx1"/>
            </w14:solidFill>
          </w14:textFill>
        </w:rPr>
      </w:pPr>
    </w:p>
    <w:p w14:paraId="0178149D">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76BB7A50">
      <w:pPr>
        <w:pStyle w:val="19"/>
        <w:spacing w:line="360" w:lineRule="auto"/>
        <w:ind w:left="25" w:firstLine="352"/>
        <w:contextualSpacing/>
        <w:rPr>
          <w:rFonts w:hAnsi="宋体"/>
          <w:color w:val="000000" w:themeColor="text1"/>
          <w:sz w:val="24"/>
          <w:szCs w:val="24"/>
          <w14:textFill>
            <w14:solidFill>
              <w14:schemeClr w14:val="tx1"/>
            </w14:solidFill>
          </w14:textFill>
        </w:rPr>
      </w:pPr>
    </w:p>
    <w:p w14:paraId="11504082">
      <w:pPr>
        <w:pStyle w:val="19"/>
        <w:spacing w:line="360" w:lineRule="auto"/>
        <w:ind w:left="25" w:firstLine="472"/>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4EC77A64">
      <w:pPr>
        <w:pStyle w:val="19"/>
        <w:spacing w:line="360" w:lineRule="auto"/>
        <w:contextualSpacing/>
        <w:rPr>
          <w:rFonts w:hAnsi="宋体"/>
          <w:b/>
          <w:color w:val="000000" w:themeColor="text1"/>
          <w:sz w:val="24"/>
          <w:szCs w:val="24"/>
          <w14:textFill>
            <w14:solidFill>
              <w14:schemeClr w14:val="tx1"/>
            </w14:solidFill>
          </w14:textFill>
        </w:rPr>
      </w:pPr>
    </w:p>
    <w:p w14:paraId="55AF2CE3">
      <w:pPr>
        <w:pStyle w:val="19"/>
        <w:spacing w:line="360" w:lineRule="auto"/>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3C59E325">
      <w:pPr>
        <w:pStyle w:val="19"/>
        <w:spacing w:line="360" w:lineRule="auto"/>
        <w:ind w:left="25" w:firstLine="354"/>
        <w:contextualSpacing/>
        <w:rPr>
          <w:rFonts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5F6BE4BF">
      <w:pPr>
        <w:pStyle w:val="19"/>
        <w:spacing w:line="360" w:lineRule="auto"/>
        <w:ind w:left="25" w:firstLine="354"/>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335937">
      <w:pPr>
        <w:pStyle w:val="19"/>
        <w:spacing w:line="360" w:lineRule="auto"/>
        <w:ind w:left="25" w:firstLine="354"/>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3.质疑函的质疑事项应具体、明确，并有必要的事实依据和法律依据。</w:t>
      </w:r>
    </w:p>
    <w:p w14:paraId="51F2670D">
      <w:pPr>
        <w:pStyle w:val="19"/>
        <w:spacing w:line="360" w:lineRule="auto"/>
        <w:ind w:left="25" w:firstLine="354"/>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4.质疑函的质疑请求应与质疑事项相关。</w:t>
      </w:r>
    </w:p>
    <w:p w14:paraId="5B682FEB">
      <w:pPr>
        <w:pStyle w:val="19"/>
        <w:spacing w:line="360" w:lineRule="auto"/>
        <w:ind w:left="25" w:firstLine="354"/>
        <w:contextualSpacing/>
        <w:rPr>
          <w:rFonts w:hAnsi="宋体"/>
          <w:b/>
          <w:color w:val="000000" w:themeColor="text1"/>
          <w14:textFill>
            <w14:solidFill>
              <w14:schemeClr w14:val="tx1"/>
            </w14:solidFill>
          </w14:textFill>
        </w:rPr>
      </w:pPr>
      <w:r>
        <w:rPr>
          <w:rFonts w:hint="eastAsia" w:hAnsi="宋体"/>
          <w:b/>
          <w:color w:val="000000" w:themeColor="text1"/>
          <w:sz w:val="24"/>
          <w:szCs w:val="24"/>
          <w14:textFill>
            <w14:solidFill>
              <w14:schemeClr w14:val="tx1"/>
            </w14:solidFill>
          </w14:textFill>
        </w:rPr>
        <w:t>5.质疑供应商为法人或者其他组织的，质疑函应由法定代表人、主要负责人，或者其授权代表签字或者盖章，并加盖公章。</w:t>
      </w:r>
    </w:p>
    <w:p w14:paraId="47032E2D">
      <w:pPr>
        <w:pStyle w:val="19"/>
        <w:rPr>
          <w:b/>
          <w:color w:val="000000" w:themeColor="text1"/>
          <w:sz w:val="24"/>
          <w:szCs w:val="24"/>
          <w14:textFill>
            <w14:solidFill>
              <w14:schemeClr w14:val="tx1"/>
            </w14:solidFill>
          </w14:textFill>
        </w:rPr>
      </w:pPr>
    </w:p>
    <w:p w14:paraId="600F4C16">
      <w:pPr>
        <w:rPr>
          <w:color w:val="000000" w:themeColor="text1"/>
          <w14:textFill>
            <w14:solidFill>
              <w14:schemeClr w14:val="tx1"/>
            </w14:solidFill>
          </w14:textFill>
        </w:rPr>
      </w:pPr>
      <w:r>
        <w:rPr>
          <w:color w:val="000000" w:themeColor="text1"/>
          <w14:textFill>
            <w14:solidFill>
              <w14:schemeClr w14:val="tx1"/>
            </w14:solidFill>
          </w14:textFill>
        </w:rPr>
        <w:br w:type="page" w:clear="all"/>
      </w:r>
    </w:p>
    <w:p w14:paraId="45E6DCBB">
      <w:pPr>
        <w:spacing w:line="360" w:lineRule="auto"/>
        <w:jc w:val="center"/>
        <w:rPr>
          <w:rFonts w:ascii="Arial Unicode MS" w:hAnsi="Arial Unicode MS" w:eastAsia="Arial Unicode MS" w:cs="Arial Unicode MS"/>
          <w:color w:val="000000" w:themeColor="text1"/>
          <w:sz w:val="44"/>
          <w:szCs w:val="44"/>
          <w14:textFill>
            <w14:solidFill>
              <w14:schemeClr w14:val="tx1"/>
            </w14:solidFill>
          </w14:textFill>
        </w:rPr>
      </w:pPr>
      <w:r>
        <w:rPr>
          <w:rFonts w:hint="eastAsia" w:ascii="Arial Unicode MS" w:hAnsi="Arial Unicode MS" w:eastAsia="Arial Unicode MS" w:cs="Arial Unicode MS"/>
          <w:color w:val="000000" w:themeColor="text1"/>
          <w:sz w:val="44"/>
          <w:szCs w:val="44"/>
          <w14:textFill>
            <w14:solidFill>
              <w14:schemeClr w14:val="tx1"/>
            </w14:solidFill>
          </w14:textFill>
        </w:rPr>
        <w:t>投诉书（格式）</w:t>
      </w:r>
    </w:p>
    <w:p w14:paraId="44AECB9F">
      <w:pPr>
        <w:pStyle w:val="19"/>
        <w:spacing w:line="360" w:lineRule="auto"/>
        <w:ind w:firstLine="482"/>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00C67CDD">
      <w:pPr>
        <w:pStyle w:val="19"/>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59B0E58D">
      <w:pPr>
        <w:pStyle w:val="19"/>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7263460F">
      <w:pPr>
        <w:pStyle w:val="19"/>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法定代表人/主要负责人：</w:t>
      </w:r>
      <w:r>
        <w:rPr>
          <w:rFonts w:hint="eastAsia" w:hAnsi="宋体"/>
          <w:bCs/>
          <w:color w:val="000000" w:themeColor="text1"/>
          <w:sz w:val="24"/>
          <w:szCs w:val="24"/>
          <w:u w:val="single"/>
          <w14:textFill>
            <w14:solidFill>
              <w14:schemeClr w14:val="tx1"/>
            </w14:solidFill>
          </w14:textFill>
        </w:rPr>
        <w:t xml:space="preserve">                                                         </w:t>
      </w:r>
    </w:p>
    <w:p w14:paraId="6583B212">
      <w:pPr>
        <w:pStyle w:val="19"/>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联系电话</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085349DD">
      <w:pPr>
        <w:pStyle w:val="19"/>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7E455748">
      <w:pPr>
        <w:pStyle w:val="19"/>
        <w:spacing w:line="360" w:lineRule="auto"/>
        <w:ind w:firstLine="480"/>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4532679B">
      <w:pPr>
        <w:pStyle w:val="19"/>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39BD884A">
      <w:pPr>
        <w:pStyle w:val="19"/>
        <w:spacing w:line="360" w:lineRule="auto"/>
        <w:ind w:firstLine="48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被投诉人1：</w:t>
      </w:r>
    </w:p>
    <w:p w14:paraId="372256B3">
      <w:pPr>
        <w:pStyle w:val="19"/>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r>
        <w:rPr>
          <w:rFonts w:hint="eastAsia" w:hAnsi="宋体"/>
          <w:bCs/>
          <w:color w:val="000000" w:themeColor="text1"/>
          <w:sz w:val="24"/>
          <w:szCs w:val="24"/>
          <w:u w:val="single"/>
          <w14:textFill>
            <w14:solidFill>
              <w14:schemeClr w14:val="tx1"/>
            </w14:solidFill>
          </w14:textFill>
        </w:rPr>
        <w:t xml:space="preserve">                                                            </w:t>
      </w:r>
    </w:p>
    <w:p w14:paraId="3B64E65F">
      <w:pPr>
        <w:pStyle w:val="19"/>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28E6A015">
      <w:pPr>
        <w:pStyle w:val="19"/>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p>
    <w:p w14:paraId="329809BD">
      <w:pPr>
        <w:pStyle w:val="19"/>
        <w:spacing w:line="360" w:lineRule="auto"/>
        <w:ind w:firstLine="48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被投诉人2：</w:t>
      </w:r>
    </w:p>
    <w:p w14:paraId="0DBA75C6">
      <w:pPr>
        <w:pStyle w:val="19"/>
        <w:spacing w:line="360" w:lineRule="auto"/>
        <w:ind w:firstLine="480"/>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4544E5CD">
      <w:pPr>
        <w:pStyle w:val="19"/>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r>
        <w:rPr>
          <w:rFonts w:hint="eastAsia" w:hAnsi="宋体"/>
          <w:bCs/>
          <w:color w:val="000000" w:themeColor="text1"/>
          <w:sz w:val="24"/>
          <w:szCs w:val="24"/>
          <w:u w:val="single"/>
          <w14:textFill>
            <w14:solidFill>
              <w14:schemeClr w14:val="tx1"/>
            </w14:solidFill>
          </w14:textFill>
        </w:rPr>
        <w:t xml:space="preserve">                                                                       </w:t>
      </w:r>
    </w:p>
    <w:p w14:paraId="7F30BE23">
      <w:pPr>
        <w:pStyle w:val="19"/>
        <w:spacing w:line="360" w:lineRule="auto"/>
        <w:ind w:firstLine="480"/>
        <w:rPr>
          <w:rFonts w:hAnsi="宋体"/>
          <w:bCs/>
          <w:color w:val="000000" w:themeColor="text1"/>
          <w:sz w:val="24"/>
          <w:szCs w:val="24"/>
          <w:u w:val="single"/>
          <w14:textFill>
            <w14:solidFill>
              <w14:schemeClr w14:val="tx1"/>
            </w14:solidFill>
          </w14:textFill>
        </w:rPr>
      </w:pPr>
      <w:r>
        <w:rPr>
          <w:rFonts w:hAnsi="宋体"/>
          <w:bCs/>
          <w:color w:val="000000" w:themeColor="text1"/>
          <w:sz w:val="24"/>
          <w:szCs w:val="24"/>
          <w14:textFill>
            <w14:solidFill>
              <w14:schemeClr w14:val="tx1"/>
            </w14:solidFill>
          </w14:textFill>
        </w:rPr>
        <w:t>地址</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邮编</w:t>
      </w:r>
      <w:r>
        <w:rPr>
          <w:rFonts w:hint="eastAsia" w:hAnsi="宋体"/>
          <w:bCs/>
          <w:color w:val="000000" w:themeColor="text1"/>
          <w:sz w:val="24"/>
          <w:szCs w:val="24"/>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 xml:space="preserve">                         </w:t>
      </w:r>
    </w:p>
    <w:p w14:paraId="0BFB4EA9">
      <w:pPr>
        <w:pStyle w:val="19"/>
        <w:spacing w:line="360" w:lineRule="auto"/>
        <w:ind w:firstLine="48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w:t>
      </w:r>
      <w:r>
        <w:rPr>
          <w:rFonts w:hint="eastAsia" w:hAnsi="宋体"/>
          <w:bCs/>
          <w:color w:val="000000" w:themeColor="text1"/>
          <w:sz w:val="24"/>
          <w:szCs w:val="24"/>
          <w:u w:val="single"/>
          <w14:textFill>
            <w14:solidFill>
              <w14:schemeClr w14:val="tx1"/>
            </w14:solidFill>
          </w14:textFill>
        </w:rPr>
        <w:t xml:space="preserve">                                            </w:t>
      </w:r>
      <w:r>
        <w:rPr>
          <w:rFonts w:hAnsi="宋体"/>
          <w:bCs/>
          <w:color w:val="000000" w:themeColor="text1"/>
          <w:sz w:val="24"/>
          <w:szCs w:val="24"/>
          <w14:textFill>
            <w14:solidFill>
              <w14:schemeClr w14:val="tx1"/>
            </w14:solidFill>
          </w14:textFill>
        </w:rPr>
        <w:t>联系</w:t>
      </w:r>
      <w:r>
        <w:rPr>
          <w:rFonts w:hint="eastAsia" w:hAnsi="宋体"/>
          <w:bCs/>
          <w:color w:val="000000" w:themeColor="text1"/>
          <w:sz w:val="24"/>
          <w:szCs w:val="24"/>
          <w14:textFill>
            <w14:solidFill>
              <w14:schemeClr w14:val="tx1"/>
            </w14:solidFill>
          </w14:textFill>
        </w:rPr>
        <w:t>电话：</w:t>
      </w:r>
      <w:r>
        <w:rPr>
          <w:rFonts w:hint="eastAsia" w:hAnsi="宋体"/>
          <w:bCs/>
          <w:color w:val="000000" w:themeColor="text1"/>
          <w:sz w:val="24"/>
          <w:szCs w:val="24"/>
          <w:u w:val="single"/>
          <w14:textFill>
            <w14:solidFill>
              <w14:schemeClr w14:val="tx1"/>
            </w14:solidFill>
          </w14:textFill>
        </w:rPr>
        <w:t xml:space="preserve">                     </w:t>
      </w:r>
      <w:r>
        <w:rPr>
          <w:rFonts w:hint="eastAsia" w:hAnsi="宋体"/>
          <w:bCs/>
          <w:color w:val="000000" w:themeColor="text1"/>
          <w:sz w:val="24"/>
          <w:szCs w:val="24"/>
          <w14:textFill>
            <w14:solidFill>
              <w14:schemeClr w14:val="tx1"/>
            </w14:solidFill>
          </w14:textFill>
        </w:rPr>
        <w:t xml:space="preserve">                </w:t>
      </w:r>
    </w:p>
    <w:p w14:paraId="43056C4E">
      <w:pPr>
        <w:pStyle w:val="19"/>
        <w:spacing w:line="360" w:lineRule="auto"/>
        <w:ind w:firstLine="482"/>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4218CE0B">
      <w:pPr>
        <w:pStyle w:val="19"/>
        <w:spacing w:line="360" w:lineRule="auto"/>
        <w:ind w:left="25" w:firstLine="472"/>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r>
        <w:rPr>
          <w:rFonts w:hint="eastAsia" w:hAnsi="宋体"/>
          <w:bCs/>
          <w:color w:val="000000" w:themeColor="text1"/>
          <w:sz w:val="24"/>
          <w:szCs w:val="24"/>
          <w:u w:val="single"/>
          <w14:textFill>
            <w14:solidFill>
              <w14:schemeClr w14:val="tx1"/>
            </w14:solidFill>
          </w14:textFill>
        </w:rPr>
        <w:t xml:space="preserve">                                                                   </w:t>
      </w:r>
    </w:p>
    <w:p w14:paraId="4CA55071">
      <w:pPr>
        <w:pStyle w:val="19"/>
        <w:spacing w:line="360" w:lineRule="auto"/>
        <w:ind w:left="25" w:firstLine="472"/>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r>
        <w:rPr>
          <w:rFonts w:hint="eastAsia" w:hAnsi="宋体"/>
          <w:bCs/>
          <w:color w:val="000000" w:themeColor="text1"/>
          <w:sz w:val="24"/>
          <w:szCs w:val="24"/>
          <w:u w:val="single"/>
          <w14:textFill>
            <w14:solidFill>
              <w14:schemeClr w14:val="tx1"/>
            </w14:solidFill>
          </w14:textFill>
        </w:rPr>
        <w:t xml:space="preserve">                                          </w:t>
      </w:r>
    </w:p>
    <w:p w14:paraId="7D0BCDB9">
      <w:pPr>
        <w:pStyle w:val="19"/>
        <w:spacing w:line="360" w:lineRule="auto"/>
        <w:ind w:left="25" w:firstLine="472"/>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r>
        <w:rPr>
          <w:rFonts w:hint="eastAsia" w:hAnsi="宋体"/>
          <w:bCs/>
          <w:color w:val="000000" w:themeColor="text1"/>
          <w:sz w:val="24"/>
          <w:szCs w:val="24"/>
          <w:u w:val="single"/>
          <w14:textFill>
            <w14:solidFill>
              <w14:schemeClr w14:val="tx1"/>
            </w14:solidFill>
          </w14:textFill>
        </w:rPr>
        <w:t xml:space="preserve">                                                                        </w:t>
      </w:r>
    </w:p>
    <w:p w14:paraId="48E027C5">
      <w:pPr>
        <w:pStyle w:val="19"/>
        <w:spacing w:line="360" w:lineRule="auto"/>
        <w:ind w:left="25" w:firstLine="472"/>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r>
        <w:rPr>
          <w:rFonts w:hint="eastAsia" w:hAnsi="宋体"/>
          <w:bCs/>
          <w:color w:val="000000" w:themeColor="text1"/>
          <w:sz w:val="24"/>
          <w:szCs w:val="24"/>
          <w:u w:val="single"/>
          <w14:textFill>
            <w14:solidFill>
              <w14:schemeClr w14:val="tx1"/>
            </w14:solidFill>
          </w14:textFill>
        </w:rPr>
        <w:t xml:space="preserve">                                                                      </w:t>
      </w:r>
    </w:p>
    <w:p w14:paraId="5A628A41">
      <w:pPr>
        <w:pStyle w:val="19"/>
        <w:spacing w:line="360" w:lineRule="auto"/>
        <w:ind w:left="25" w:firstLine="472"/>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r>
        <w:rPr>
          <w:rFonts w:hint="eastAsia" w:hAnsi="宋体"/>
          <w:bCs/>
          <w:color w:val="000000" w:themeColor="text1"/>
          <w:sz w:val="24"/>
          <w:szCs w:val="24"/>
          <w:u w:val="single"/>
          <w14:textFill>
            <w14:solidFill>
              <w14:schemeClr w14:val="tx1"/>
            </w14:solidFill>
          </w14:textFill>
        </w:rPr>
        <w:t xml:space="preserve">                                                       </w:t>
      </w:r>
    </w:p>
    <w:p w14:paraId="115EC9B7">
      <w:pPr>
        <w:pStyle w:val="19"/>
        <w:spacing w:line="360" w:lineRule="auto"/>
        <w:ind w:left="25" w:firstLine="472"/>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是/否</w:t>
      </w:r>
      <w:r>
        <w:rPr>
          <w:rFonts w:hint="eastAsia" w:hAnsi="宋体"/>
          <w:bCs/>
          <w:color w:val="000000" w:themeColor="text1"/>
          <w:sz w:val="24"/>
          <w:szCs w:val="24"/>
          <w14:textFill>
            <w14:solidFill>
              <w14:schemeClr w14:val="tx1"/>
            </w14:solidFill>
          </w14:textFill>
        </w:rPr>
        <w:t>公告期限：</w:t>
      </w:r>
      <w:r>
        <w:rPr>
          <w:rFonts w:hint="eastAsia" w:hAnsi="宋体"/>
          <w:bCs/>
          <w:color w:val="000000" w:themeColor="text1"/>
          <w:sz w:val="24"/>
          <w:szCs w:val="24"/>
          <w:u w:val="single"/>
          <w14:textFill>
            <w14:solidFill>
              <w14:schemeClr w14:val="tx1"/>
            </w14:solidFill>
          </w14:textFill>
        </w:rPr>
        <w:t xml:space="preserve">                                                       </w:t>
      </w:r>
    </w:p>
    <w:p w14:paraId="7C6D2CBF">
      <w:pPr>
        <w:pStyle w:val="19"/>
        <w:spacing w:line="360" w:lineRule="auto"/>
        <w:ind w:left="25" w:firstLine="472"/>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035A8F3B">
      <w:pPr>
        <w:pStyle w:val="19"/>
        <w:spacing w:line="360" w:lineRule="auto"/>
        <w:ind w:left="23" w:firstLine="54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日，向</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提出质疑，质疑事项为：</w:t>
      </w:r>
    </w:p>
    <w:p w14:paraId="44357704">
      <w:pPr>
        <w:pStyle w:val="19"/>
        <w:spacing w:line="360" w:lineRule="auto"/>
        <w:ind w:left="23" w:firstLine="540"/>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5223B137">
      <w:pPr>
        <w:pStyle w:val="19"/>
        <w:spacing w:line="360" w:lineRule="auto"/>
        <w:ind w:left="23" w:firstLine="54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3E525FE0">
      <w:pPr>
        <w:pStyle w:val="19"/>
        <w:spacing w:line="360" w:lineRule="auto"/>
        <w:ind w:left="23" w:firstLine="54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年</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月</w:t>
      </w:r>
      <w:r>
        <w:rPr>
          <w:rFonts w:hint="eastAsia"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14:textFill>
            <w14:solidFill>
              <w14:schemeClr w14:val="tx1"/>
            </w14:solidFill>
          </w14:textFill>
        </w:rPr>
        <w:t>日，</w:t>
      </w:r>
      <w:r>
        <w:rPr>
          <w:rFonts w:hint="eastAsia" w:hAnsi="宋体"/>
          <w:bCs/>
          <w:color w:val="000000" w:themeColor="text1"/>
          <w:sz w:val="24"/>
          <w:szCs w:val="24"/>
          <w14:textFill>
            <w14:solidFill>
              <w14:schemeClr w14:val="tx1"/>
            </w14:solidFill>
          </w14:textFill>
        </w:rPr>
        <w:t xml:space="preserve">就质疑事项作出了答复/没有在法定期限内作出答复。                                                                                             </w:t>
      </w:r>
    </w:p>
    <w:p w14:paraId="7934E67E">
      <w:pPr>
        <w:pStyle w:val="19"/>
        <w:spacing w:line="360" w:lineRule="auto"/>
        <w:ind w:left="25" w:firstLine="472"/>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7D7B72F8">
      <w:pPr>
        <w:pStyle w:val="19"/>
        <w:spacing w:line="360" w:lineRule="auto"/>
        <w:ind w:left="25" w:firstLine="472"/>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投诉事项1：</w:t>
      </w:r>
      <w:r>
        <w:rPr>
          <w:rFonts w:hint="eastAsia" w:hAnsi="宋体"/>
          <w:bCs/>
          <w:color w:val="000000" w:themeColor="text1"/>
          <w:sz w:val="24"/>
          <w:szCs w:val="24"/>
          <w:u w:val="single"/>
          <w14:textFill>
            <w14:solidFill>
              <w14:schemeClr w14:val="tx1"/>
            </w14:solidFill>
          </w14:textFill>
        </w:rPr>
        <w:t xml:space="preserve">                                                                           </w:t>
      </w:r>
    </w:p>
    <w:p w14:paraId="03F69666">
      <w:pPr>
        <w:pStyle w:val="19"/>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25F475BD">
      <w:pPr>
        <w:pStyle w:val="19"/>
        <w:spacing w:line="360" w:lineRule="auto"/>
        <w:ind w:left="25" w:firstLine="472"/>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 xml:space="preserve">                                                                                        </w:t>
      </w:r>
    </w:p>
    <w:p w14:paraId="2E558D5B">
      <w:pPr>
        <w:pStyle w:val="19"/>
        <w:spacing w:line="360" w:lineRule="auto"/>
        <w:ind w:firstLine="48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r>
        <w:rPr>
          <w:rFonts w:hint="eastAsia" w:hAnsi="宋体"/>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231CB0A8">
      <w:pPr>
        <w:pStyle w:val="19"/>
        <w:spacing w:line="360" w:lineRule="auto"/>
        <w:ind w:left="25" w:firstLine="352"/>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r>
        <w:rPr>
          <w:rFonts w:hint="eastAsia" w:hAnsi="宋体"/>
          <w:bCs/>
          <w:color w:val="000000" w:themeColor="text1"/>
          <w:sz w:val="24"/>
          <w:szCs w:val="24"/>
          <w:u w:val="single"/>
          <w14:textFill>
            <w14:solidFill>
              <w14:schemeClr w14:val="tx1"/>
            </w14:solidFill>
          </w14:textFill>
        </w:rPr>
        <w:t xml:space="preserve">                                                                                        </w:t>
      </w:r>
    </w:p>
    <w:p w14:paraId="1EB1D348">
      <w:pPr>
        <w:pStyle w:val="19"/>
        <w:spacing w:line="360" w:lineRule="auto"/>
        <w:ind w:left="25" w:firstLine="472"/>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投诉事项2  </w:t>
      </w:r>
      <w:r>
        <w:rPr>
          <w:rFonts w:hint="eastAsia" w:hAnsi="宋体"/>
          <w:bCs/>
          <w:color w:val="000000" w:themeColor="text1"/>
          <w:sz w:val="24"/>
          <w:szCs w:val="24"/>
          <w14:textFill>
            <w14:solidFill>
              <w14:schemeClr w14:val="tx1"/>
            </w14:solidFill>
          </w14:textFill>
        </w:rPr>
        <w:t xml:space="preserve">   </w:t>
      </w:r>
    </w:p>
    <w:p w14:paraId="2703381D">
      <w:pPr>
        <w:pStyle w:val="19"/>
        <w:spacing w:line="360" w:lineRule="auto"/>
        <w:ind w:left="25" w:firstLine="472"/>
        <w:rPr>
          <w:rFonts w:hAnsi="宋体"/>
          <w:bCs/>
          <w:color w:val="000000" w:themeColor="text1"/>
          <w:sz w:val="24"/>
          <w:szCs w:val="24"/>
          <w14:textFill>
            <w14:solidFill>
              <w14:schemeClr w14:val="tx1"/>
            </w14:solidFill>
          </w14:textFill>
        </w:rPr>
      </w:pPr>
      <w:r>
        <w:rPr>
          <w:rFonts w:hAnsi="宋体"/>
          <w:bCs/>
          <w:color w:val="000000" w:themeColor="text1"/>
          <w:sz w:val="24"/>
          <w:szCs w:val="24"/>
          <w14:textFill>
            <w14:solidFill>
              <w14:schemeClr w14:val="tx1"/>
            </w14:solidFill>
          </w14:textFill>
        </w:rPr>
        <w:t>……</w:t>
      </w:r>
    </w:p>
    <w:p w14:paraId="418C8AE6">
      <w:pPr>
        <w:pStyle w:val="19"/>
        <w:spacing w:line="360" w:lineRule="auto"/>
        <w:ind w:left="25" w:firstLine="472"/>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47B975A4">
      <w:pPr>
        <w:pStyle w:val="19"/>
        <w:spacing w:line="360" w:lineRule="auto"/>
        <w:ind w:left="25" w:firstLine="472"/>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r>
        <w:rPr>
          <w:rFonts w:hint="eastAsia" w:hAnsi="宋体"/>
          <w:bCs/>
          <w:color w:val="000000" w:themeColor="text1"/>
          <w:sz w:val="24"/>
          <w:szCs w:val="24"/>
          <w:u w:val="single"/>
          <w14:textFill>
            <w14:solidFill>
              <w14:schemeClr w14:val="tx1"/>
            </w14:solidFill>
          </w14:textFill>
        </w:rPr>
        <w:t xml:space="preserve">                                                                                 </w:t>
      </w:r>
    </w:p>
    <w:p w14:paraId="30E2F77C">
      <w:pPr>
        <w:pStyle w:val="19"/>
        <w:spacing w:line="360" w:lineRule="auto"/>
        <w:ind w:left="25" w:firstLine="352"/>
        <w:rPr>
          <w:rFonts w:hAnsi="宋体"/>
          <w:color w:val="000000" w:themeColor="text1"/>
          <w:sz w:val="24"/>
          <w:szCs w:val="24"/>
          <w14:textFill>
            <w14:solidFill>
              <w14:schemeClr w14:val="tx1"/>
            </w14:solidFill>
          </w14:textFill>
        </w:rPr>
      </w:pPr>
    </w:p>
    <w:p w14:paraId="0E3D20E6">
      <w:pPr>
        <w:pStyle w:val="19"/>
        <w:spacing w:line="360" w:lineRule="auto"/>
        <w:ind w:left="25" w:firstLine="472"/>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                                       公章：</w:t>
      </w:r>
    </w:p>
    <w:p w14:paraId="5A23CAA8">
      <w:pPr>
        <w:pStyle w:val="19"/>
        <w:spacing w:line="360" w:lineRule="auto"/>
        <w:ind w:left="25" w:firstLine="352"/>
        <w:rPr>
          <w:rFonts w:hAnsi="宋体"/>
          <w:color w:val="000000" w:themeColor="text1"/>
          <w:sz w:val="24"/>
          <w:szCs w:val="24"/>
          <w14:textFill>
            <w14:solidFill>
              <w14:schemeClr w14:val="tx1"/>
            </w14:solidFill>
          </w14:textFill>
        </w:rPr>
      </w:pPr>
    </w:p>
    <w:p w14:paraId="2A22643A">
      <w:pPr>
        <w:pStyle w:val="19"/>
        <w:spacing w:line="360" w:lineRule="auto"/>
        <w:ind w:left="25" w:firstLine="472"/>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046BCCB5">
      <w:pPr>
        <w:pStyle w:val="19"/>
        <w:spacing w:line="360" w:lineRule="auto"/>
        <w:ind w:left="25" w:firstLine="472"/>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 xml:space="preserve">                                                                                 </w:t>
      </w:r>
    </w:p>
    <w:p w14:paraId="3698E1BE">
      <w:pPr>
        <w:pStyle w:val="19"/>
        <w:spacing w:line="360" w:lineRule="auto"/>
        <w:rPr>
          <w:rFonts w:hAnsi="宋体"/>
          <w:b/>
          <w:color w:val="000000" w:themeColor="text1"/>
          <w:sz w:val="24"/>
          <w:szCs w:val="24"/>
          <w14:textFill>
            <w14:solidFill>
              <w14:schemeClr w14:val="tx1"/>
            </w14:solidFill>
          </w14:textFill>
        </w:rPr>
      </w:pPr>
    </w:p>
    <w:p w14:paraId="22191363">
      <w:pPr>
        <w:pStyle w:val="19"/>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37097CE1">
      <w:pPr>
        <w:pStyle w:val="19"/>
        <w:spacing w:line="360" w:lineRule="auto"/>
        <w:ind w:left="25" w:firstLine="354"/>
        <w:rPr>
          <w:rFonts w:hAnsi="宋体"/>
          <w:b/>
          <w:bCs/>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02089B42">
      <w:pPr>
        <w:pStyle w:val="19"/>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F38EC73">
      <w:pPr>
        <w:pStyle w:val="19"/>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3.投诉书应简要列明质疑事项，质疑函、质疑答复等作为附件材料提供。</w:t>
      </w:r>
    </w:p>
    <w:p w14:paraId="65D3B777">
      <w:pPr>
        <w:pStyle w:val="19"/>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4.投诉书的投诉事项应具体、明确，并有必要的事实依据和法律依据。</w:t>
      </w:r>
    </w:p>
    <w:p w14:paraId="06325036">
      <w:pPr>
        <w:pStyle w:val="19"/>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5.投诉书的投诉请求应与投诉事项相关。</w:t>
      </w:r>
    </w:p>
    <w:p w14:paraId="533BE462">
      <w:pPr>
        <w:pStyle w:val="19"/>
        <w:spacing w:line="360" w:lineRule="auto"/>
        <w:ind w:left="25" w:firstLine="354"/>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6.投诉人为法人或者其他组织的，投诉书应由法定代表人、主要负责人，或者其授权代表签字或者盖章，并加盖公章。</w:t>
      </w:r>
    </w:p>
    <w:p w14:paraId="3BB5695B">
      <w:pPr>
        <w:pStyle w:val="35"/>
        <w:rPr>
          <w:color w:val="000000" w:themeColor="text1"/>
          <w14:textFill>
            <w14:solidFill>
              <w14:schemeClr w14:val="tx1"/>
            </w14:solidFill>
          </w14:textFill>
        </w:rPr>
      </w:pPr>
    </w:p>
    <w:p w14:paraId="39979529">
      <w:pPr>
        <w:jc w:val="center"/>
        <w:rPr>
          <w:rFonts w:ascii="宋体" w:hAnsi="宋体" w:cs="宋体"/>
          <w:b/>
          <w:color w:val="000000" w:themeColor="text1"/>
          <w:sz w:val="84"/>
          <w:szCs w:val="84"/>
          <w14:textFill>
            <w14:solidFill>
              <w14:schemeClr w14:val="tx1"/>
            </w14:solidFill>
          </w14:textFill>
        </w:rPr>
      </w:pPr>
      <w:r>
        <w:rPr>
          <w:rFonts w:hint="eastAsia" w:ascii="宋体" w:hAnsi="宋体" w:cs="宋体"/>
          <w:b/>
          <w:color w:val="000000" w:themeColor="text1"/>
          <w:spacing w:val="92"/>
          <w:sz w:val="84"/>
          <w:szCs w:val="84"/>
          <w14:textFill>
            <w14:solidFill>
              <w14:schemeClr w14:val="tx1"/>
            </w14:solidFill>
          </w14:textFill>
        </w:rPr>
        <w:t>崇左市财政局文</w:t>
      </w:r>
      <w:r>
        <w:rPr>
          <w:rFonts w:hint="eastAsia" w:ascii="宋体" w:hAnsi="宋体" w:cs="宋体"/>
          <w:b/>
          <w:color w:val="000000" w:themeColor="text1"/>
          <w:sz w:val="84"/>
          <w:szCs w:val="84"/>
          <w14:textFill>
            <w14:solidFill>
              <w14:schemeClr w14:val="tx1"/>
            </w14:solidFill>
          </w14:textFill>
        </w:rPr>
        <w:t>件</w:t>
      </w:r>
    </w:p>
    <w:p w14:paraId="07421C37">
      <w:pPr>
        <w:rPr>
          <w:b/>
          <w:color w:val="000000" w:themeColor="text1"/>
          <w:sz w:val="24"/>
          <w14:textFill>
            <w14:solidFill>
              <w14:schemeClr w14:val="tx1"/>
            </w14:solidFill>
          </w14:textFill>
        </w:rPr>
      </w:pPr>
    </w:p>
    <w:p w14:paraId="0E41270D">
      <w:pPr>
        <w:spacing w:line="56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崇财采〔2023〕10号</w:t>
      </w:r>
    </w:p>
    <w:p w14:paraId="7483D29F">
      <w:pPr>
        <w:ind w:left="-283" w:right="-197"/>
        <w:jc w:val="center"/>
        <w:rPr>
          <w:b/>
          <w:color w:val="000000" w:themeColor="text1"/>
          <w:sz w:val="18"/>
          <w:szCs w:val="18"/>
          <w14:textFill>
            <w14:solidFill>
              <w14:schemeClr w14:val="tx1"/>
            </w14:solidFill>
          </w14:textFill>
        </w:rPr>
      </w:pPr>
      <w:r>
        <w:rPr>
          <w:b/>
          <w:color w:val="000000" w:themeColor="text1"/>
          <w:sz w:val="18"/>
          <w:szCs w:val="18"/>
          <w14:textFill>
            <w14:solidFill>
              <w14:schemeClr w14:val="tx1"/>
            </w14:solidFill>
          </w14:textFill>
        </w:rPr>
        <mc:AlternateContent>
          <mc:Choice Requires="wps">
            <w:drawing>
              <wp:inline distT="0" distB="0" distL="0" distR="0">
                <wp:extent cx="5579110" cy="38100"/>
                <wp:effectExtent l="0" t="0" r="0" b="0"/>
                <wp:docPr id="3" name="_x0000_i1025"/>
                <wp:cNvGraphicFramePr/>
                <a:graphic xmlns:a="http://schemas.openxmlformats.org/drawingml/2006/main">
                  <a:graphicData uri="http://schemas.microsoft.com/office/word/2010/wordprocessingShape">
                    <wps:wsp>
                      <wps:cNvSpPr/>
                      <wps:spPr bwMode="auto">
                        <a:xfrm>
                          <a:off x="0" y="0"/>
                          <a:ext cx="5579110" cy="38100"/>
                        </a:xfrm>
                        <a:prstGeom prst="rect">
                          <a:avLst/>
                        </a:prstGeom>
                        <a:gradFill rotWithShape="0">
                          <a:gsLst>
                            <a:gs pos="0">
                              <a:srgbClr val="FF0000"/>
                            </a:gs>
                            <a:gs pos="100000">
                              <a:srgbClr val="FF0000"/>
                            </a:gs>
                          </a:gsLst>
                          <a:lin ang="5400000" scaled="1"/>
                        </a:gradFill>
                        <a:ln>
                          <a:noFill/>
                        </a:ln>
                      </wps:spPr>
                      <wps:bodyPr rot="0">
                        <a:noAutofit/>
                      </wps:bodyPr>
                    </wps:wsp>
                  </a:graphicData>
                </a:graphic>
              </wp:inline>
            </w:drawing>
          </mc:Choice>
          <mc:Fallback>
            <w:pict>
              <v:rect id="_x0000_i1025" o:spid="_x0000_s1026" o:spt="1" style="height:3pt;width:439.3pt;" fillcolor="#FF0000" filled="t" stroked="f" coordsize="21600,21600" o:gfxdata="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B7ms/0wAAAAMBAAAPAAAAAAAAAAEAIAAAACIAAABkcnMvZG93bnJldi54bWxQSwECFAAUAAAA&#10;CACHTuJAIZ+f+PMBAAARBAAADgAAAAAAAAABACAAAAAiAQAAZHJzL2Uyb0RvYy54bWxQSwUGAAAA&#10;AAYABgBZAQAAhwUAAAAA&#10;">
                <v:fill type="gradient" on="t" color2="#FF0000" focus="100%" focussize="0,0"/>
                <v:stroke on="f"/>
                <v:imagedata o:title=""/>
                <o:lock v:ext="edit" aspectratio="f"/>
                <w10:wrap type="none"/>
                <w10:anchorlock/>
              </v:rect>
            </w:pict>
          </mc:Fallback>
        </mc:AlternateContent>
      </w:r>
    </w:p>
    <w:p w14:paraId="003400BF">
      <w:pPr>
        <w:spacing w:line="440" w:lineRule="exact"/>
        <w:jc w:val="center"/>
        <w:rPr>
          <w:rFonts w:ascii="Arial Unicode MS" w:hAnsi="Arial Unicode MS" w:eastAsia="Arial Unicode MS" w:cs="Arial Unicode MS"/>
          <w:color w:val="000000" w:themeColor="text1"/>
          <w:sz w:val="44"/>
          <w:szCs w:val="44"/>
          <w14:textFill>
            <w14:solidFill>
              <w14:schemeClr w14:val="tx1"/>
            </w14:solidFill>
          </w14:textFill>
        </w:rPr>
      </w:pPr>
    </w:p>
    <w:p w14:paraId="660D50EA">
      <w:pPr>
        <w:spacing w:line="560" w:lineRule="exact"/>
        <w:jc w:val="center"/>
        <w:rPr>
          <w:rFonts w:ascii="方正小标宋_GBK" w:hAnsi="仿宋" w:eastAsia="方正小标宋_GBK"/>
          <w:color w:val="000000" w:themeColor="text1"/>
          <w:sz w:val="44"/>
          <w:szCs w:val="44"/>
          <w14:textFill>
            <w14:solidFill>
              <w14:schemeClr w14:val="tx1"/>
            </w14:solidFill>
          </w14:textFill>
        </w:rPr>
      </w:pPr>
      <w:r>
        <w:rPr>
          <w:rFonts w:hint="eastAsia" w:ascii="方正小标宋_GBK" w:hAnsi="仿宋" w:eastAsia="方正小标宋_GBK"/>
          <w:color w:val="000000" w:themeColor="text1"/>
          <w:sz w:val="44"/>
          <w:szCs w:val="44"/>
          <w14:textFill>
            <w14:solidFill>
              <w14:schemeClr w14:val="tx1"/>
            </w14:solidFill>
          </w14:textFill>
        </w:rPr>
        <w:t>崇左市财政局关于进一步做好线上“政采贷”</w:t>
      </w:r>
    </w:p>
    <w:p w14:paraId="27E5FD53">
      <w:pPr>
        <w:spacing w:line="560" w:lineRule="exact"/>
        <w:jc w:val="center"/>
        <w:rPr>
          <w:rFonts w:ascii="方正小标宋_GBK" w:hAnsi="仿宋" w:eastAsia="方正小标宋_GBK"/>
          <w:color w:val="000000" w:themeColor="text1"/>
          <w:sz w:val="44"/>
          <w:szCs w:val="44"/>
          <w14:textFill>
            <w14:solidFill>
              <w14:schemeClr w14:val="tx1"/>
            </w14:solidFill>
          </w14:textFill>
        </w:rPr>
      </w:pPr>
      <w:r>
        <w:rPr>
          <w:rFonts w:hint="eastAsia" w:ascii="方正小标宋_GBK" w:hAnsi="仿宋" w:eastAsia="方正小标宋_GBK"/>
          <w:color w:val="000000" w:themeColor="text1"/>
          <w:sz w:val="44"/>
          <w:szCs w:val="44"/>
          <w14:textFill>
            <w14:solidFill>
              <w14:schemeClr w14:val="tx1"/>
            </w14:solidFill>
          </w14:textFill>
        </w:rPr>
        <w:t>融资业务工作的通知</w:t>
      </w:r>
    </w:p>
    <w:p w14:paraId="3D34129F">
      <w:pPr>
        <w:spacing w:line="540" w:lineRule="exact"/>
        <w:jc w:val="center"/>
        <w:rPr>
          <w:rFonts w:ascii="方正小标宋_GBK" w:hAnsi="仿宋" w:eastAsia="方正小标宋_GBK"/>
          <w:color w:val="000000" w:themeColor="text1"/>
          <w:sz w:val="44"/>
          <w:szCs w:val="44"/>
          <w14:textFill>
            <w14:solidFill>
              <w14:schemeClr w14:val="tx1"/>
            </w14:solidFill>
          </w14:textFill>
        </w:rPr>
      </w:pPr>
    </w:p>
    <w:p w14:paraId="11BB43D1">
      <w:pPr>
        <w:spacing w:line="560" w:lineRule="exact"/>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市直各预算单位、</w:t>
      </w:r>
      <w:r>
        <w:rPr>
          <w:rFonts w:hint="eastAsia" w:ascii="仿宋_GB2312" w:eastAsia="仿宋_GB2312"/>
          <w:color w:val="000000" w:themeColor="text1"/>
          <w:spacing w:val="16"/>
          <w:sz w:val="32"/>
          <w:szCs w:val="32"/>
          <w:lang w:eastAsia="zh-Hans"/>
          <w14:textFill>
            <w14:solidFill>
              <w14:schemeClr w14:val="tx1"/>
            </w14:solidFill>
          </w14:textFill>
        </w:rPr>
        <w:t>各县（</w:t>
      </w:r>
      <w:r>
        <w:rPr>
          <w:rFonts w:hint="eastAsia" w:ascii="仿宋_GB2312" w:eastAsia="仿宋_GB2312"/>
          <w:color w:val="000000" w:themeColor="text1"/>
          <w:spacing w:val="16"/>
          <w:sz w:val="32"/>
          <w:szCs w:val="32"/>
          <w14:textFill>
            <w14:solidFill>
              <w14:schemeClr w14:val="tx1"/>
            </w14:solidFill>
          </w14:textFill>
        </w:rPr>
        <w:t>市、</w:t>
      </w:r>
      <w:r>
        <w:rPr>
          <w:rFonts w:hint="eastAsia" w:ascii="仿宋_GB2312" w:eastAsia="仿宋_GB2312"/>
          <w:color w:val="000000" w:themeColor="text1"/>
          <w:spacing w:val="16"/>
          <w:sz w:val="32"/>
          <w:szCs w:val="32"/>
          <w:lang w:eastAsia="zh-Hans"/>
          <w14:textFill>
            <w14:solidFill>
              <w14:schemeClr w14:val="tx1"/>
            </w14:solidFill>
          </w14:textFill>
        </w:rPr>
        <w:t>区）财政局</w:t>
      </w:r>
      <w:r>
        <w:rPr>
          <w:rFonts w:hint="eastAsia" w:ascii="仿宋_GB2312" w:eastAsia="仿宋_GB2312"/>
          <w:color w:val="000000" w:themeColor="text1"/>
          <w:spacing w:val="16"/>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各采购代理机构：</w:t>
      </w:r>
    </w:p>
    <w:p w14:paraId="58256B89">
      <w:pPr>
        <w:spacing w:line="560" w:lineRule="exact"/>
        <w:ind w:firstLine="640"/>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为加大政府采购支持中小企业力度，帮助</w:t>
      </w:r>
      <w:r>
        <w:rPr>
          <w:rFonts w:hint="eastAsia" w:ascii="仿宋_GB2312" w:eastAsia="仿宋_GB2312"/>
          <w:color w:val="000000" w:themeColor="text1"/>
          <w:sz w:val="32"/>
          <w:szCs w:val="32"/>
          <w:shd w:val="clear" w:color="auto" w:fill="FFFFFF"/>
          <w14:textFill>
            <w14:solidFill>
              <w14:schemeClr w14:val="tx1"/>
            </w14:solidFill>
          </w14:textFill>
        </w:rPr>
        <w:t>政府采购中标（成交）供应商解决融资难、融资贵的问题，进一步做好线上“政采贷”融资业务工作。经研究，现将有关事项通知如下：</w:t>
      </w:r>
    </w:p>
    <w:p w14:paraId="2E9B52F8">
      <w:pPr>
        <w:spacing w:line="560" w:lineRule="exact"/>
        <w:ind w:firstLine="640"/>
        <w:rPr>
          <w:rFonts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一、采购人、采购代理机构在编制政府采购文件时，应将《崇左市线上“政采贷”政策告知函》、《崇左市线上“政采贷”业务流程图》、《崇左市金融机构线上“政采贷”业务办理联络表》作为政策宣传材料排入文件显眼版块中。（详见：附件2至附件4）。</w:t>
      </w:r>
    </w:p>
    <w:p w14:paraId="17CAB2A9">
      <w:pPr>
        <w:spacing w:line="560" w:lineRule="exact"/>
        <w:ind w:firstLine="64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w:t>
      </w:r>
      <w:r>
        <w:rPr>
          <w:rFonts w:hint="eastAsia" w:ascii="仿宋_GB2312" w:eastAsia="仿宋_GB2312"/>
          <w:color w:val="000000" w:themeColor="text1"/>
          <w:sz w:val="32"/>
          <w:szCs w:val="32"/>
          <w14:textFill>
            <w14:solidFill>
              <w14:schemeClr w14:val="tx1"/>
            </w14:solidFill>
          </w14:textFill>
        </w:rPr>
        <w:t>采购人</w:t>
      </w:r>
      <w:r>
        <w:rPr>
          <w:rFonts w:hint="eastAsia" w:ascii="仿宋_GB2312" w:hAnsi="宋体" w:eastAsia="仿宋_GB2312"/>
          <w:color w:val="000000" w:themeColor="text1"/>
          <w:sz w:val="32"/>
          <w:szCs w:val="32"/>
          <w14:textFill>
            <w14:solidFill>
              <w14:schemeClr w14:val="tx1"/>
            </w14:solidFill>
          </w14:textFill>
        </w:rPr>
        <w:t>应及时</w:t>
      </w:r>
      <w:r>
        <w:rPr>
          <w:rFonts w:hint="eastAsia" w:ascii="仿宋_GB2312" w:eastAsia="仿宋_GB2312"/>
          <w:color w:val="000000" w:themeColor="text1"/>
          <w:sz w:val="32"/>
          <w:szCs w:val="32"/>
          <w14:textFill>
            <w14:solidFill>
              <w14:schemeClr w14:val="tx1"/>
            </w14:solidFill>
          </w14:textFill>
        </w:rPr>
        <w:t>配合</w:t>
      </w:r>
      <w:r>
        <w:rPr>
          <w:rFonts w:hint="eastAsia" w:ascii="仿宋_GB2312" w:hAnsi="宋体" w:eastAsia="仿宋_GB2312"/>
          <w:color w:val="000000" w:themeColor="text1"/>
          <w:sz w:val="32"/>
          <w:szCs w:val="32"/>
          <w14:textFill>
            <w14:solidFill>
              <w14:schemeClr w14:val="tx1"/>
            </w14:solidFill>
          </w14:textFill>
        </w:rPr>
        <w:t>签订政府采购合同，</w:t>
      </w:r>
      <w:r>
        <w:rPr>
          <w:rFonts w:hint="eastAsia" w:ascii="仿宋_GB2312" w:eastAsia="仿宋_GB2312"/>
          <w:color w:val="000000" w:themeColor="text1"/>
          <w:sz w:val="32"/>
          <w:szCs w:val="32"/>
          <w14:textFill>
            <w14:solidFill>
              <w14:schemeClr w14:val="tx1"/>
            </w14:solidFill>
          </w14:textFill>
        </w:rPr>
        <w:t>督促采购代理机构按时完成合同公告工作（政府采购公告法定网站“广西政府采购网”），缩短“政采贷”办理时间。采购人应主动向中标（成交）供应商宣传“政采贷”相关政策，配合、协助其在</w:t>
      </w:r>
      <w:r>
        <w:rPr>
          <w:rFonts w:hint="eastAsia" w:ascii="仿宋_GB2312" w:hAnsi="宋体" w:eastAsia="仿宋_GB2312"/>
          <w:color w:val="000000" w:themeColor="text1"/>
          <w:sz w:val="32"/>
          <w:szCs w:val="32"/>
          <w14:textFill>
            <w14:solidFill>
              <w14:schemeClr w14:val="tx1"/>
            </w14:solidFill>
          </w14:textFill>
        </w:rPr>
        <w:t>“中征应收账款融资服务平台”</w:t>
      </w:r>
      <w:r>
        <w:rPr>
          <w:rFonts w:hint="eastAsia" w:ascii="仿宋_GB2312" w:eastAsia="仿宋_GB2312"/>
          <w:color w:val="000000" w:themeColor="text1"/>
          <w:sz w:val="32"/>
          <w:szCs w:val="32"/>
          <w14:textFill>
            <w14:solidFill>
              <w14:schemeClr w14:val="tx1"/>
            </w14:solidFill>
          </w14:textFill>
        </w:rPr>
        <w:t>向相关金融机构申请</w:t>
      </w:r>
      <w:r>
        <w:rPr>
          <w:rFonts w:hint="eastAsia" w:ascii="仿宋_GB2312" w:hAnsi="宋体" w:eastAsia="仿宋_GB2312"/>
          <w:color w:val="000000" w:themeColor="text1"/>
          <w:sz w:val="32"/>
          <w:szCs w:val="32"/>
          <w14:textFill>
            <w14:solidFill>
              <w14:schemeClr w14:val="tx1"/>
            </w14:solidFill>
          </w14:textFill>
        </w:rPr>
        <w:t>“政采贷”</w:t>
      </w:r>
      <w:r>
        <w:rPr>
          <w:rFonts w:hint="eastAsia" w:ascii="仿宋_GB2312" w:eastAsia="仿宋_GB2312"/>
          <w:color w:val="000000" w:themeColor="text1"/>
          <w:sz w:val="32"/>
          <w:szCs w:val="32"/>
          <w14:textFill>
            <w14:solidFill>
              <w14:schemeClr w14:val="tx1"/>
            </w14:solidFill>
          </w14:textFill>
        </w:rPr>
        <w:t>。</w:t>
      </w:r>
    </w:p>
    <w:p w14:paraId="5634CA92">
      <w:pPr>
        <w:spacing w:line="56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采购人应将中标（成交）供应商与金融机构签订《“政采贷”融资协议》的“融资回款账户”做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14:paraId="424C2053">
      <w:pPr>
        <w:spacing w:line="560" w:lineRule="exact"/>
        <w:ind w:firstLine="640"/>
        <w:rPr>
          <w:rFonts w:ascii="仿宋_GB2312" w:eastAsia="仿宋_GB2312"/>
          <w:color w:val="000000" w:themeColor="text1"/>
          <w:sz w:val="32"/>
          <w:szCs w:val="32"/>
          <w14:textFill>
            <w14:solidFill>
              <w14:schemeClr w14:val="tx1"/>
            </w14:solidFill>
          </w14:textFill>
        </w:rPr>
      </w:pPr>
    </w:p>
    <w:p w14:paraId="7D80EF75">
      <w:pPr>
        <w:pStyle w:val="39"/>
        <w:spacing w:after="0" w:line="560" w:lineRule="exact"/>
        <w:ind w:left="1700" w:hanging="1280"/>
        <w:jc w:val="left"/>
        <w:rPr>
          <w:rFonts w:hAnsi="仿宋_GB2312" w:eastAsia="仿宋_GB2312" w:cs="仿宋_GB2312"/>
          <w:color w:val="000000" w:themeColor="text1"/>
          <w14:textFill>
            <w14:solidFill>
              <w14:schemeClr w14:val="tx1"/>
            </w14:solidFill>
          </w14:textFill>
        </w:rPr>
      </w:pPr>
      <w:r>
        <w:rPr>
          <w:rFonts w:hint="eastAsia" w:hAnsi="仿宋_GB2312" w:eastAsia="仿宋_GB2312" w:cs="仿宋_GB2312"/>
          <w:color w:val="000000" w:themeColor="text1"/>
          <w14:textFill>
            <w14:solidFill>
              <w14:schemeClr w14:val="tx1"/>
            </w14:solidFill>
          </w14:textFill>
        </w:rPr>
        <w:t>附件：1.中国人民银行崇左市中心支行 崇左市财政局转发关于推广线上“政采贷”融资模式文件的通知</w:t>
      </w:r>
    </w:p>
    <w:p w14:paraId="566F5D81">
      <w:pPr>
        <w:pStyle w:val="39"/>
        <w:spacing w:after="0" w:line="560" w:lineRule="exact"/>
        <w:ind w:left="0" w:firstLine="1600"/>
        <w:jc w:val="left"/>
        <w:rPr>
          <w:rFonts w:hAnsi="仿宋_GB2312" w:eastAsia="仿宋_GB2312" w:cs="仿宋_GB2312"/>
          <w:color w:val="000000" w:themeColor="text1"/>
          <w14:textFill>
            <w14:solidFill>
              <w14:schemeClr w14:val="tx1"/>
            </w14:solidFill>
          </w14:textFill>
        </w:rPr>
      </w:pPr>
      <w:r>
        <w:rPr>
          <w:rFonts w:hint="eastAsia" w:hAnsi="仿宋_GB2312" w:eastAsia="仿宋_GB2312" w:cs="仿宋_GB2312"/>
          <w:color w:val="000000" w:themeColor="text1"/>
          <w14:textFill>
            <w14:solidFill>
              <w14:schemeClr w14:val="tx1"/>
            </w14:solidFill>
          </w14:textFill>
        </w:rPr>
        <w:t>2.崇左市线上“政采贷”政策告知函</w:t>
      </w:r>
    </w:p>
    <w:p w14:paraId="0962FD67">
      <w:pPr>
        <w:pStyle w:val="39"/>
        <w:spacing w:after="0" w:line="560" w:lineRule="exact"/>
        <w:ind w:left="0" w:firstLine="640"/>
        <w:jc w:val="left"/>
        <w:rPr>
          <w:rFonts w:hAnsi="仿宋_GB2312" w:eastAsia="仿宋_GB2312" w:cs="仿宋_GB2312"/>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eastAsia="仿宋_GB2312"/>
          <w:color w:val="000000" w:themeColor="text1"/>
          <w14:textFill>
            <w14:solidFill>
              <w14:schemeClr w14:val="tx1"/>
            </w14:solidFill>
          </w14:textFill>
        </w:rPr>
        <w:t>3.</w:t>
      </w:r>
      <w:r>
        <w:rPr>
          <w:rFonts w:hint="eastAsia" w:hAnsi="仿宋_GB2312" w:eastAsia="仿宋_GB2312" w:cs="仿宋_GB2312"/>
          <w:color w:val="000000" w:themeColor="text1"/>
          <w14:textFill>
            <w14:solidFill>
              <w14:schemeClr w14:val="tx1"/>
            </w14:solidFill>
          </w14:textFill>
        </w:rPr>
        <w:t>崇左市线上“政采贷”业务流程图</w:t>
      </w:r>
    </w:p>
    <w:p w14:paraId="359FFC3C">
      <w:pPr>
        <w:pStyle w:val="39"/>
        <w:spacing w:after="0" w:line="560" w:lineRule="exact"/>
        <w:ind w:left="0" w:firstLine="64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hAnsi="仿宋_GB2312" w:eastAsia="仿宋_GB2312" w:cs="仿宋_GB2312"/>
          <w:color w:val="000000" w:themeColor="text1"/>
          <w14:textFill>
            <w14:solidFill>
              <w14:schemeClr w14:val="tx1"/>
            </w14:solidFill>
          </w14:textFill>
        </w:rPr>
        <w:t xml:space="preserve"> 4.</w:t>
      </w:r>
      <w:r>
        <w:rPr>
          <w:rFonts w:hint="eastAsia"/>
          <w:color w:val="000000" w:themeColor="text1"/>
          <w14:textFill>
            <w14:solidFill>
              <w14:schemeClr w14:val="tx1"/>
            </w14:solidFill>
          </w14:textFill>
        </w:rPr>
        <w:t>崇左</w:t>
      </w:r>
      <w:r>
        <w:rPr>
          <w:rFonts w:hint="eastAsia" w:eastAsia="仿宋_GB2312"/>
          <w:color w:val="000000" w:themeColor="text1"/>
          <w14:textFill>
            <w14:solidFill>
              <w14:schemeClr w14:val="tx1"/>
            </w14:solidFill>
          </w14:textFill>
        </w:rPr>
        <w:t>市金融机构线上“政采贷”业务办理联络表</w:t>
      </w:r>
    </w:p>
    <w:p w14:paraId="559C5CE4">
      <w:pPr>
        <w:pStyle w:val="39"/>
        <w:spacing w:after="0" w:line="560" w:lineRule="exact"/>
        <w:ind w:left="0" w:firstLine="640"/>
        <w:jc w:val="left"/>
        <w:rPr>
          <w:rFonts w:eastAsia="仿宋_GB2312"/>
          <w:color w:val="000000" w:themeColor="text1"/>
          <w14:textFill>
            <w14:solidFill>
              <w14:schemeClr w14:val="tx1"/>
            </w14:solidFill>
          </w14:textFill>
        </w:rPr>
      </w:pPr>
    </w:p>
    <w:p w14:paraId="6AA48186">
      <w:pPr>
        <w:pStyle w:val="39"/>
        <w:spacing w:after="0" w:line="560" w:lineRule="exact"/>
        <w:ind w:left="0" w:firstLine="640"/>
        <w:jc w:val="left"/>
        <w:rPr>
          <w:rFonts w:eastAsia="仿宋_GB2312"/>
          <w:color w:val="000000" w:themeColor="text1"/>
          <w14:textFill>
            <w14:solidFill>
              <w14:schemeClr w14:val="tx1"/>
            </w14:solidFill>
          </w14:textFill>
        </w:rPr>
      </w:pPr>
    </w:p>
    <w:p w14:paraId="4409E4B2">
      <w:pPr>
        <w:pStyle w:val="39"/>
        <w:spacing w:after="0" w:line="560" w:lineRule="exact"/>
        <w:ind w:left="0" w:firstLine="640"/>
        <w:jc w:val="left"/>
        <w:rPr>
          <w:rFonts w:eastAsia="仿宋_GB2312"/>
          <w:color w:val="000000" w:themeColor="text1"/>
          <w14:textFill>
            <w14:solidFill>
              <w14:schemeClr w14:val="tx1"/>
            </w14:solidFill>
          </w14:textFill>
        </w:rPr>
      </w:pPr>
    </w:p>
    <w:p w14:paraId="4A975389">
      <w:pPr>
        <w:pStyle w:val="39"/>
        <w:spacing w:after="0" w:line="560" w:lineRule="exact"/>
        <w:ind w:left="0" w:firstLine="640"/>
        <w:jc w:val="left"/>
        <w:rPr>
          <w:rFonts w:eastAsia="仿宋_GB2312"/>
          <w:color w:val="000000" w:themeColor="text1"/>
          <w14:textFill>
            <w14:solidFill>
              <w14:schemeClr w14:val="tx1"/>
            </w14:solidFill>
          </w14:textFill>
        </w:rPr>
      </w:pPr>
    </w:p>
    <w:p w14:paraId="2A6C8490">
      <w:pPr>
        <w:spacing w:line="560" w:lineRule="exact"/>
        <w:ind w:firstLine="96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崇左市财政局 </w:t>
      </w:r>
    </w:p>
    <w:p w14:paraId="20266154">
      <w:pPr>
        <w:spacing w:line="560" w:lineRule="exact"/>
        <w:ind w:firstLine="512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2023年7月31日</w:t>
      </w:r>
    </w:p>
    <w:p w14:paraId="7B70A542">
      <w:pPr>
        <w:pStyle w:val="258"/>
        <w:spacing w:line="560" w:lineRule="exact"/>
        <w:ind w:firstLine="480"/>
        <w:rPr>
          <w:rFonts w:ascii="仿宋_GB2312" w:eastAsia="仿宋_GB2312"/>
          <w:color w:val="000000" w:themeColor="text1"/>
          <w14:textFill>
            <w14:solidFill>
              <w14:schemeClr w14:val="tx1"/>
            </w14:solidFill>
          </w14:textFill>
        </w:rPr>
      </w:pPr>
    </w:p>
    <w:p w14:paraId="2B80DBB3">
      <w:pPr>
        <w:spacing w:line="560" w:lineRule="exact"/>
        <w:jc w:val="left"/>
        <w:rPr>
          <w:rFonts w:ascii="仿宋_GB2312" w:hAnsi="仿宋_GB2312" w:eastAsia="仿宋_GB2312" w:cs="仿宋_GB2312"/>
          <w:b/>
          <w:bCs/>
          <w:color w:val="000000" w:themeColor="text1"/>
          <w:sz w:val="28"/>
          <w:szCs w:val="28"/>
          <w14:textFill>
            <w14:solidFill>
              <w14:schemeClr w14:val="tx1"/>
            </w14:solidFill>
          </w14:textFill>
        </w:rPr>
      </w:pPr>
    </w:p>
    <w:p w14:paraId="09792C49">
      <w:pPr>
        <w:pStyle w:val="258"/>
        <w:ind w:firstLine="562"/>
        <w:rPr>
          <w:rFonts w:ascii="仿宋_GB2312" w:hAnsi="仿宋_GB2312" w:eastAsia="仿宋_GB2312" w:cs="仿宋_GB2312"/>
          <w:b/>
          <w:bCs/>
          <w:color w:val="000000" w:themeColor="text1"/>
          <w:sz w:val="28"/>
          <w:szCs w:val="28"/>
          <w14:textFill>
            <w14:solidFill>
              <w14:schemeClr w14:val="tx1"/>
            </w14:solidFill>
          </w14:textFill>
        </w:rPr>
      </w:pPr>
    </w:p>
    <w:p w14:paraId="08A4A039">
      <w:pPr>
        <w:rPr>
          <w:color w:val="000000" w:themeColor="text1"/>
          <w14:textFill>
            <w14:solidFill>
              <w14:schemeClr w14:val="tx1"/>
            </w14:solidFill>
          </w14:textFill>
        </w:rPr>
      </w:pPr>
    </w:p>
    <w:p w14:paraId="2EA36AEC">
      <w:pPr>
        <w:pStyle w:val="258"/>
        <w:ind w:firstLine="480"/>
        <w:rPr>
          <w:color w:val="000000" w:themeColor="text1"/>
          <w14:textFill>
            <w14:solidFill>
              <w14:schemeClr w14:val="tx1"/>
            </w14:solidFill>
          </w14:textFill>
        </w:rPr>
      </w:pPr>
    </w:p>
    <w:p w14:paraId="4E49ACC3">
      <w:pPr>
        <w:spacing w:line="560" w:lineRule="exact"/>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公开方式：主动公开</w:t>
      </w:r>
      <w:r>
        <w:rPr>
          <w:rFonts w:hint="eastAsia" w:ascii="仿宋_GB2312" w:hAnsi="仿宋_GB2312" w:eastAsia="仿宋_GB2312" w:cs="仿宋_GB2312"/>
          <w:color w:val="000000" w:themeColor="text1"/>
          <w:sz w:val="28"/>
          <w:szCs w:val="28"/>
          <w14:textFill>
            <w14:solidFill>
              <w14:schemeClr w14:val="tx1"/>
            </w14:solidFill>
          </w14:textFill>
        </w:rPr>
        <w:t xml:space="preserve">                                     </w:t>
      </w:r>
    </w:p>
    <w:p w14:paraId="7B758430">
      <w:pPr>
        <w:spacing w:line="560" w:lineRule="exact"/>
        <w:ind w:firstLine="280"/>
        <w:jc w:val="left"/>
        <w:rPr>
          <w:rFonts w:ascii="仿宋_GB2312" w:hAnsi="仿宋_GB2312" w:eastAsia="仿宋_GB2312" w:cs="仿宋_GB2312"/>
          <w:color w:val="000000" w:themeColor="text1"/>
          <w:sz w:val="28"/>
          <w:szCs w:val="28"/>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380365</wp:posOffset>
                </wp:positionV>
                <wp:extent cx="5615940" cy="0"/>
                <wp:effectExtent l="0" t="4445" r="0" b="5080"/>
                <wp:wrapNone/>
                <wp:docPr id="4" name="直接箭头连接符 42"/>
                <wp:cNvGraphicFramePr/>
                <a:graphic xmlns:a="http://schemas.openxmlformats.org/drawingml/2006/main">
                  <a:graphicData uri="http://schemas.microsoft.com/office/word/2010/wordprocessingShape">
                    <wps:wsp>
                      <wps:cNvCnPr/>
                      <wps:spPr bwMode="auto">
                        <a:xfrm>
                          <a:off x="0" y="0"/>
                          <a:ext cx="5615940" cy="0"/>
                        </a:xfrm>
                        <a:prstGeom prst="straightConnector1">
                          <a:avLst/>
                        </a:prstGeom>
                        <a:noFill/>
                        <a:ln w="9525">
                          <a:solidFill>
                            <a:srgbClr val="000000"/>
                          </a:solidFill>
                          <a:round/>
                        </a:ln>
                        <a:effectLst/>
                      </wps:spPr>
                      <wps:bodyPr/>
                    </wps:wsp>
                  </a:graphicData>
                </a:graphic>
              </wp:anchor>
            </w:drawing>
          </mc:Choice>
          <mc:Fallback>
            <w:pict>
              <v:shape id="直接箭头连接符 42" o:spid="_x0000_s1026" o:spt="32" type="#_x0000_t32" style="position:absolute;left:0pt;margin-left:1.6pt;margin-top:29.95pt;height:0pt;width:442.2pt;z-index:251661312;mso-width-relative:page;mso-height-relative:page;" filled="f" stroked="t" coordsize="21600,21600" o:gfxdata="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ueEWXVAAAABwEAAA8A&#10;AAAAAAAAAQAgAAAAIgAAAGRycy9kb3ducmV2LnhtbFBLAQIUABQAAAAIAIdO4kDZ6nCz4QEAAJsD&#10;AAAOAAAAAAAAAAEAIAAAACQBAABkcnMvZTJvRG9jLnhtbFBLBQYAAAAABgAGAFkBAAB3BQAAAAA=&#10;">
                <v:fill on="f" focussize="0,0"/>
                <v:stroke color="#000000" joinstyle="round"/>
                <v:imagedata o:title=""/>
                <o:lock v:ext="edit" aspectratio="f"/>
              </v:shape>
            </w:pict>
          </mc:Fallback>
        </mc:AlternateContent>
      </w:r>
      <w:r>
        <w:rPr>
          <w:rFonts w:hint="eastAsia" w:ascii="仿宋_GB2312" w:hAnsi="仿宋_GB2312" w:eastAsia="仿宋_GB2312" w:cs="仿宋_GB2312"/>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20320</wp:posOffset>
                </wp:positionH>
                <wp:positionV relativeFrom="paragraph">
                  <wp:posOffset>46990</wp:posOffset>
                </wp:positionV>
                <wp:extent cx="5615940" cy="0"/>
                <wp:effectExtent l="0" t="4445" r="0" b="5080"/>
                <wp:wrapNone/>
                <wp:docPr id="5" name="直接箭头连接符 41"/>
                <wp:cNvGraphicFramePr/>
                <a:graphic xmlns:a="http://schemas.openxmlformats.org/drawingml/2006/main">
                  <a:graphicData uri="http://schemas.microsoft.com/office/word/2010/wordprocessingShape">
                    <wps:wsp>
                      <wps:cNvCnPr/>
                      <wps:spPr bwMode="auto">
                        <a:xfrm>
                          <a:off x="0" y="0"/>
                          <a:ext cx="5615940" cy="0"/>
                        </a:xfrm>
                        <a:prstGeom prst="straightConnector1">
                          <a:avLst/>
                        </a:prstGeom>
                        <a:noFill/>
                        <a:ln w="9525">
                          <a:solidFill>
                            <a:srgbClr val="000000"/>
                          </a:solidFill>
                          <a:round/>
                        </a:ln>
                        <a:effectLst/>
                      </wps:spPr>
                      <wps:bodyPr/>
                    </wps:wsp>
                  </a:graphicData>
                </a:graphic>
              </wp:anchor>
            </w:drawing>
          </mc:Choice>
          <mc:Fallback>
            <w:pict>
              <v:shape id="直接箭头连接符 41" o:spid="_x0000_s1026" o:spt="32" type="#_x0000_t32" style="position:absolute;left:0pt;margin-left:1.6pt;margin-top:3.7pt;height:0pt;width:442.2pt;z-index:251660288;mso-width-relative:page;mso-height-relative:page;" filled="f" stroked="t" coordsize="21600,21600" o:gfxdata="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KK5ntQAAAAFAQAADwAA&#10;AAAAAAABACAAAAAiAAAAZHJzL2Rvd25yZXYueG1sUEsBAhQAFAAAAAgAh07iQO2PTjjhAQAAmwMA&#10;AA4AAAAAAAAAAQAgAAAAIwEAAGRycy9lMm9Eb2MueG1sUEsFBgAAAAAGAAYAWQEAAHYFAAAAAA==&#10;">
                <v:fill on="f" focussize="0,0"/>
                <v:stroke color="#000000" joinstyle="round"/>
                <v:imagedata o:title=""/>
                <o:lock v:ext="edit" aspectratio="f"/>
              </v:shape>
            </w:pict>
          </mc:Fallback>
        </mc:AlternateContent>
      </w:r>
      <w:r>
        <w:rPr>
          <w:rFonts w:hint="eastAsia" w:ascii="仿宋_GB2312" w:hAnsi="仿宋_GB2312" w:eastAsia="仿宋_GB2312" w:cs="仿宋_GB2312"/>
          <w:color w:val="000000" w:themeColor="text1"/>
          <w:sz w:val="28"/>
          <w:szCs w:val="28"/>
          <w14:textFill>
            <w14:solidFill>
              <w14:schemeClr w14:val="tx1"/>
            </w14:solidFill>
          </w14:textFill>
        </w:rPr>
        <w:t>崇左市财政局办公室                       2023年7月31日印发</w:t>
      </w:r>
    </w:p>
    <w:p w14:paraId="665D0CFD">
      <w:pPr>
        <w:widowControl/>
        <w:spacing w:line="720" w:lineRule="exact"/>
        <w:jc w:val="left"/>
        <w:rPr>
          <w:rFonts w:ascii="黑体" w:hAnsi="黑体" w:eastAsia="黑体" w:cs="黑体"/>
          <w:color w:val="000000" w:themeColor="text1"/>
          <w:sz w:val="32"/>
          <w:szCs w:val="32"/>
          <w14:textFill>
            <w14:solidFill>
              <w14:schemeClr w14:val="tx1"/>
            </w14:solidFill>
          </w14:textFill>
        </w:rPr>
      </w:pPr>
      <w:r>
        <w:rPr>
          <w:rFonts w:ascii="黑体" w:hAnsi="黑体" w:eastAsia="黑体" w:cs="黑体"/>
          <w:color w:val="000000" w:themeColor="text1"/>
          <w:sz w:val="32"/>
          <w:szCs w:val="32"/>
          <w:lang w:val="zh-CN"/>
          <w14:textFill>
            <w14:solidFill>
              <w14:schemeClr w14:val="tx1"/>
            </w14:solidFill>
          </w14:textFill>
        </w:rPr>
        <w:br w:type="page" w:clear="all"/>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14:textFill>
            <w14:solidFill>
              <w14:schemeClr w14:val="tx1"/>
            </w14:solidFill>
          </w14:textFill>
        </w:rPr>
        <w:t>2</w:t>
      </w:r>
    </w:p>
    <w:p w14:paraId="1AC820F3">
      <w:pPr>
        <w:pStyle w:val="258"/>
        <w:ind w:firstLine="480"/>
        <w:rPr>
          <w:color w:val="000000" w:themeColor="text1"/>
          <w14:textFill>
            <w14:solidFill>
              <w14:schemeClr w14:val="tx1"/>
            </w14:solidFill>
          </w14:textFill>
        </w:rPr>
      </w:pPr>
    </w:p>
    <w:p w14:paraId="0AA4D85B">
      <w:pPr>
        <w:spacing w:line="580" w:lineRule="exact"/>
        <w:jc w:val="center"/>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崇左市线上“政采贷”政策告知函</w:t>
      </w:r>
    </w:p>
    <w:p w14:paraId="710CD8DF">
      <w:pPr>
        <w:spacing w:line="580" w:lineRule="exact"/>
        <w:ind w:firstLine="420"/>
        <w:rPr>
          <w:color w:val="000000" w:themeColor="text1"/>
          <w:szCs w:val="32"/>
          <w14:textFill>
            <w14:solidFill>
              <w14:schemeClr w14:val="tx1"/>
            </w14:solidFill>
          </w14:textFill>
        </w:rPr>
      </w:pPr>
    </w:p>
    <w:p w14:paraId="14E8DD99">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各供应商：</w:t>
      </w:r>
    </w:p>
    <w:p w14:paraId="4489F05A">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欢迎贵公司参与崇左市政府采购活动！</w:t>
      </w:r>
    </w:p>
    <w:p w14:paraId="7AD68841">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3362478">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相关金融产品和银行业金融机构联系方式，可在中征应收账款融资服务平台查询（网址：</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"https://www.crcrfsp.com/" </w:instrText>
      </w:r>
      <w:r>
        <w:rPr>
          <w:color w:val="000000" w:themeColor="text1"/>
          <w14:textFill>
            <w14:solidFill>
              <w14:schemeClr w14:val="tx1"/>
            </w14:solidFill>
          </w14:textFill>
        </w:rPr>
        <w:fldChar w:fldCharType="separate"/>
      </w:r>
      <w:r>
        <w:rPr>
          <w:rStyle w:val="45"/>
          <w:rFonts w:hint="eastAsia" w:ascii="仿宋_GB2312" w:hAnsi="仿宋_GB2312" w:eastAsia="仿宋_GB2312" w:cs="仿宋_GB2312"/>
          <w:color w:val="000000" w:themeColor="text1"/>
          <w:sz w:val="32"/>
          <w:szCs w:val="32"/>
          <w14:textFill>
            <w14:solidFill>
              <w14:schemeClr w14:val="tx1"/>
            </w14:solidFill>
          </w14:textFill>
        </w:rPr>
        <w:t>https://www.crcrfsp.com/</w:t>
      </w:r>
      <w:r>
        <w:rPr>
          <w:rStyle w:val="45"/>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，客服电话：400-009-0001）。</w:t>
      </w:r>
    </w:p>
    <w:p w14:paraId="1F21D701">
      <w:pPr>
        <w:pStyle w:val="258"/>
        <w:ind w:firstLine="480"/>
        <w:rPr>
          <w:rFonts w:ascii="仿宋_GB2312" w:hAnsi="仿宋_GB2312" w:eastAsia="仿宋_GB2312" w:cs="仿宋_GB2312"/>
          <w:color w:val="000000" w:themeColor="text1"/>
          <w:szCs w:val="32"/>
          <w14:textFill>
            <w14:solidFill>
              <w14:schemeClr w14:val="tx1"/>
            </w14:solidFill>
          </w14:textFill>
        </w:rPr>
      </w:pPr>
    </w:p>
    <w:p w14:paraId="7041F8CF">
      <w:pPr>
        <w:rPr>
          <w:rFonts w:ascii="仿宋_GB2312" w:hAnsi="仿宋_GB2312" w:cs="仿宋_GB2312"/>
          <w:color w:val="000000" w:themeColor="text1"/>
          <w:szCs w:val="32"/>
          <w14:textFill>
            <w14:solidFill>
              <w14:schemeClr w14:val="tx1"/>
            </w14:solidFill>
          </w14:textFill>
        </w:rPr>
      </w:pPr>
    </w:p>
    <w:p w14:paraId="2DF306ED">
      <w:pPr>
        <w:pStyle w:val="258"/>
        <w:ind w:firstLine="480"/>
        <w:rPr>
          <w:rFonts w:ascii="仿宋_GB2312" w:hAnsi="仿宋_GB2312" w:cs="仿宋_GB2312"/>
          <w:color w:val="000000" w:themeColor="text1"/>
          <w:szCs w:val="32"/>
          <w14:textFill>
            <w14:solidFill>
              <w14:schemeClr w14:val="tx1"/>
            </w14:solidFill>
          </w14:textFill>
        </w:rPr>
      </w:pPr>
    </w:p>
    <w:p w14:paraId="5F5D70F6">
      <w:pPr>
        <w:rPr>
          <w:rFonts w:ascii="仿宋_GB2312" w:hAnsi="仿宋_GB2312" w:cs="仿宋_GB2312"/>
          <w:color w:val="000000" w:themeColor="text1"/>
          <w:szCs w:val="32"/>
          <w14:textFill>
            <w14:solidFill>
              <w14:schemeClr w14:val="tx1"/>
            </w14:solidFill>
          </w14:textFill>
        </w:rPr>
      </w:pPr>
    </w:p>
    <w:p w14:paraId="1EC3766B">
      <w:pPr>
        <w:rPr>
          <w:rFonts w:ascii="仿宋_GB2312" w:hAnsi="仿宋_GB2312" w:cs="仿宋_GB2312"/>
          <w:color w:val="000000" w:themeColor="text1"/>
          <w:szCs w:val="32"/>
          <w14:textFill>
            <w14:solidFill>
              <w14:schemeClr w14:val="tx1"/>
            </w14:solidFill>
          </w14:textFill>
        </w:rPr>
      </w:pPr>
    </w:p>
    <w:p w14:paraId="4BA2B3AC">
      <w:pPr>
        <w:pStyle w:val="258"/>
        <w:ind w:firstLine="480"/>
        <w:rPr>
          <w:rFonts w:ascii="仿宋_GB2312" w:hAnsi="仿宋_GB2312" w:cs="仿宋_GB2312"/>
          <w:color w:val="000000" w:themeColor="text1"/>
          <w:szCs w:val="32"/>
          <w14:textFill>
            <w14:solidFill>
              <w14:schemeClr w14:val="tx1"/>
            </w14:solidFill>
          </w14:textFill>
        </w:rPr>
      </w:pPr>
    </w:p>
    <w:p w14:paraId="3BD3AE4B">
      <w:pPr>
        <w:spacing w:line="540" w:lineRule="exact"/>
        <w:rPr>
          <w:rFonts w:ascii="黑体" w:hAnsi="黑体" w:eastAsia="黑体" w:cs="黑体"/>
          <w:color w:val="000000" w:themeColor="text1"/>
          <w:szCs w:val="32"/>
          <w14:textFill>
            <w14:solidFill>
              <w14:schemeClr w14:val="tx1"/>
            </w14:solidFill>
          </w14:textFill>
        </w:rPr>
      </w:pPr>
    </w:p>
    <w:p w14:paraId="42D240CC">
      <w:pPr>
        <w:spacing w:line="540" w:lineRule="exact"/>
        <w:rPr>
          <w:rFonts w:ascii="黑体" w:hAnsi="黑体" w:eastAsia="黑体" w:cs="黑体"/>
          <w:color w:val="000000" w:themeColor="text1"/>
          <w:szCs w:val="32"/>
          <w14:textFill>
            <w14:solidFill>
              <w14:schemeClr w14:val="tx1"/>
            </w14:solidFill>
          </w14:textFill>
        </w:rPr>
      </w:pPr>
      <w:r>
        <w:rPr>
          <w:rFonts w:ascii="黑体" w:hAnsi="黑体" w:eastAsia="黑体" w:cs="黑体"/>
          <w:color w:val="000000" w:themeColor="text1"/>
          <w:szCs w:val="32"/>
          <w14:textFill>
            <w14:solidFill>
              <w14:schemeClr w14:val="tx1"/>
            </w14:solidFill>
          </w14:textFill>
        </w:rPr>
        <w:br w:type="page" w:clear="all"/>
      </w:r>
      <w:r>
        <w:rPr>
          <w:rFonts w:hint="eastAsia" w:ascii="黑体" w:hAnsi="黑体" w:eastAsia="黑体" w:cs="黑体"/>
          <w:color w:val="000000" w:themeColor="text1"/>
          <w:szCs w:val="32"/>
          <w14:textFill>
            <w14:solidFill>
              <w14:schemeClr w14:val="tx1"/>
            </w14:solidFill>
          </w14:textFill>
        </w:rPr>
        <w:t>附件3</w:t>
      </w:r>
    </w:p>
    <w:p w14:paraId="170CABE0">
      <w:pPr>
        <w:pStyle w:val="258"/>
        <w:ind w:firstLine="480"/>
        <w:rPr>
          <w:color w:val="000000" w:themeColor="text1"/>
          <w14:textFill>
            <w14:solidFill>
              <w14:schemeClr w14:val="tx1"/>
            </w14:solidFill>
          </w14:textFill>
        </w:rPr>
      </w:pPr>
    </w:p>
    <w:p w14:paraId="5C2A7B14">
      <w:pPr>
        <w:spacing w:line="600" w:lineRule="exact"/>
        <w:jc w:val="center"/>
        <w:rPr>
          <w:rFonts w:ascii="黑体" w:hAnsi="黑体" w:eastAsia="黑体" w:cs="黑体"/>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崇左市线上“政采贷”业务流程图</w:t>
      </w:r>
    </w:p>
    <w:p w14:paraId="64C08BC6">
      <w:pPr>
        <w:rPr>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drawing>
          <wp:inline distT="0" distB="0" distL="0" distR="0">
            <wp:extent cx="4926965" cy="7002780"/>
            <wp:effectExtent l="0" t="0" r="6985" b="7620"/>
            <wp:docPr id="6"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流程图1011"/>
                    <pic:cNvPicPr>
                      <a:picLocks noChangeAspect="1"/>
                    </pic:cNvPicPr>
                  </pic:nvPicPr>
                  <pic:blipFill>
                    <a:blip r:embed="rId8"/>
                    <a:stretch>
                      <a:fillRect/>
                    </a:stretch>
                  </pic:blipFill>
                  <pic:spPr>
                    <a:xfrm>
                      <a:off x="0" y="0"/>
                      <a:ext cx="4926965" cy="7002780"/>
                    </a:xfrm>
                    <a:prstGeom prst="rect">
                      <a:avLst/>
                    </a:prstGeom>
                    <a:noFill/>
                    <a:ln>
                      <a:noFill/>
                    </a:ln>
                  </pic:spPr>
                </pic:pic>
              </a:graphicData>
            </a:graphic>
          </wp:inline>
        </w:drawing>
      </w:r>
    </w:p>
    <w:p w14:paraId="49BF1F25">
      <w:pPr>
        <w:widowControl/>
        <w:ind w:firstLine="420"/>
        <w:rPr>
          <w:color w:val="000000" w:themeColor="text1"/>
          <w14:textFill>
            <w14:solidFill>
              <w14:schemeClr w14:val="tx1"/>
            </w14:solidFill>
          </w14:textFill>
        </w:rPr>
      </w:pPr>
    </w:p>
    <w:p w14:paraId="441A9DB7">
      <w:pPr>
        <w:widowControl/>
        <w:spacing w:line="720" w:lineRule="exact"/>
        <w:jc w:val="left"/>
        <w:rPr>
          <w:rFonts w:ascii="黑体" w:hAnsi="黑体" w:eastAsia="黑体" w:cs="黑体"/>
          <w:color w:val="000000" w:themeColor="text1"/>
          <w:sz w:val="32"/>
          <w:szCs w:val="32"/>
          <w14:textFill>
            <w14:solidFill>
              <w14:schemeClr w14:val="tx1"/>
            </w14:solidFill>
          </w14:textFill>
        </w:rPr>
      </w:pPr>
      <w:r>
        <w:rPr>
          <w:rFonts w:ascii="黑体" w:hAnsi="黑体" w:eastAsia="黑体" w:cs="黑体"/>
          <w:color w:val="000000" w:themeColor="text1"/>
          <w:sz w:val="32"/>
          <w:szCs w:val="32"/>
          <w:lang w:val="zh-CN"/>
          <w14:textFill>
            <w14:solidFill>
              <w14:schemeClr w14:val="tx1"/>
            </w14:solidFill>
          </w14:textFill>
        </w:rPr>
        <w:br w:type="page" w:clear="all"/>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14:textFill>
            <w14:solidFill>
              <w14:schemeClr w14:val="tx1"/>
            </w14:solidFill>
          </w14:textFill>
        </w:rPr>
        <w:t>4</w:t>
      </w:r>
    </w:p>
    <w:p w14:paraId="4C215610">
      <w:pPr>
        <w:pStyle w:val="258"/>
        <w:ind w:firstLine="480"/>
        <w:rPr>
          <w:color w:val="000000" w:themeColor="text1"/>
          <w14:textFill>
            <w14:solidFill>
              <w14:schemeClr w14:val="tx1"/>
            </w14:solidFill>
          </w14:textFill>
        </w:rPr>
      </w:pPr>
    </w:p>
    <w:p w14:paraId="35EF82D3">
      <w:pPr>
        <w:pStyle w:val="258"/>
        <w:ind w:firstLine="720"/>
        <w:jc w:val="center"/>
        <w:rPr>
          <w:rFonts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崇左市金融机构线上“政采贷”业务办理联络表</w:t>
      </w:r>
    </w:p>
    <w:tbl>
      <w:tblPr>
        <w:tblStyle w:val="40"/>
        <w:tblW w:w="8943" w:type="dxa"/>
        <w:tblInd w:w="96" w:type="dxa"/>
        <w:tblLayout w:type="fixed"/>
        <w:tblCellMar>
          <w:top w:w="0" w:type="dxa"/>
          <w:left w:w="108" w:type="dxa"/>
          <w:bottom w:w="0" w:type="dxa"/>
          <w:right w:w="108" w:type="dxa"/>
        </w:tblCellMar>
      </w:tblPr>
      <w:tblGrid>
        <w:gridCol w:w="2674"/>
        <w:gridCol w:w="3515"/>
        <w:gridCol w:w="2754"/>
      </w:tblGrid>
      <w:tr w14:paraId="7E22217F">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07A986B">
            <w:pPr>
              <w:widowControl/>
              <w:spacing w:line="400" w:lineRule="exact"/>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3A360A74">
            <w:pPr>
              <w:widowControl/>
              <w:spacing w:line="400" w:lineRule="exact"/>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463BC5DA">
            <w:pPr>
              <w:widowControl/>
              <w:spacing w:line="400" w:lineRule="exact"/>
              <w:jc w:val="center"/>
              <w:rPr>
                <w:rFonts w:ascii="宋体" w:hAnsi="宋体" w:cs="宋体"/>
                <w:b/>
                <w:bCs/>
                <w:color w:val="000000" w:themeColor="text1"/>
                <w:sz w:val="28"/>
                <w:szCs w:val="28"/>
                <w14:textFill>
                  <w14:solidFill>
                    <w14:schemeClr w14:val="tx1"/>
                  </w14:solidFill>
                </w14:textFill>
              </w:rPr>
            </w:pPr>
            <w:r>
              <w:rPr>
                <w:rFonts w:hint="eastAsia" w:cs="宋体"/>
                <w:b/>
                <w:bCs/>
                <w:color w:val="000000" w:themeColor="text1"/>
                <w:sz w:val="28"/>
                <w:szCs w:val="28"/>
                <w:lang w:bidi="ar"/>
                <w14:textFill>
                  <w14:solidFill>
                    <w14:schemeClr w14:val="tx1"/>
                  </w14:solidFill>
                </w14:textFill>
              </w:rPr>
              <w:t>业务</w:t>
            </w:r>
            <w:r>
              <w:rPr>
                <w:rFonts w:hint="eastAsia" w:ascii="宋体" w:hAnsi="宋体" w:cs="宋体"/>
                <w:b/>
                <w:bCs/>
                <w:color w:val="000000" w:themeColor="text1"/>
                <w:sz w:val="28"/>
                <w:szCs w:val="28"/>
                <w:lang w:bidi="ar"/>
                <w14:textFill>
                  <w14:solidFill>
                    <w14:schemeClr w14:val="tx1"/>
                  </w14:solidFill>
                </w14:textFill>
              </w:rPr>
              <w:t>咨询电话</w:t>
            </w:r>
          </w:p>
        </w:tc>
      </w:tr>
      <w:tr w14:paraId="0EA8C84A">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E6BF527">
            <w:pPr>
              <w:widowControl/>
              <w:jc w:val="left"/>
              <w:rPr>
                <w:rFonts w:cs="宋体"/>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崇左市本级及江州区</w:t>
            </w:r>
          </w:p>
        </w:tc>
      </w:tr>
      <w:tr w14:paraId="67153E11">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1880BE">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0FEC43">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24E7AE44">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0771-7820436 0771-7820439</w:t>
            </w:r>
          </w:p>
        </w:tc>
      </w:tr>
      <w:tr w14:paraId="59CA2A0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FB0A70">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DCC329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DBEBFA0">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0771-7917212</w:t>
            </w:r>
          </w:p>
        </w:tc>
      </w:tr>
      <w:tr w14:paraId="523704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BA29C7">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FE180B8">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9141359">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0771-7917054</w:t>
            </w:r>
          </w:p>
        </w:tc>
      </w:tr>
      <w:tr w14:paraId="19504A1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B7E4B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CEA589">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72B15D2C">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0771-7831103</w:t>
            </w:r>
          </w:p>
        </w:tc>
      </w:tr>
      <w:tr w14:paraId="69D7296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37E804">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CC51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71B28CF9">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0771-7928650 0771-7920613</w:t>
            </w:r>
          </w:p>
        </w:tc>
      </w:tr>
      <w:tr w14:paraId="4099568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5D86A0">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5029944">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FBEAA55">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0771-7925660</w:t>
            </w:r>
          </w:p>
        </w:tc>
      </w:tr>
      <w:tr w14:paraId="02FF5F38">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9A0044">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0090E84">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67EA150">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0771-7968699</w:t>
            </w:r>
          </w:p>
        </w:tc>
      </w:tr>
      <w:tr w14:paraId="523B404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F4A310">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9206DBC">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4C1EBCB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0771-7916636</w:t>
            </w:r>
          </w:p>
        </w:tc>
      </w:tr>
      <w:tr w14:paraId="1526387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61EB92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B26F61">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F679E07">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0771-7988895</w:t>
            </w:r>
          </w:p>
        </w:tc>
      </w:tr>
      <w:tr w14:paraId="577730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507FAC">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3ED8E8">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B13F3A7">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0771-7960855</w:t>
            </w:r>
          </w:p>
        </w:tc>
      </w:tr>
      <w:tr w14:paraId="6F84FAB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898883">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46C4E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52FDD944">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0771-7821126</w:t>
            </w:r>
          </w:p>
        </w:tc>
      </w:tr>
      <w:tr w14:paraId="34F7890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941A39">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BED665">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333CACA">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0771-7831866</w:t>
            </w:r>
          </w:p>
        </w:tc>
      </w:tr>
      <w:tr w14:paraId="79B21C41">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17502BE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扶绥县</w:t>
            </w:r>
          </w:p>
        </w:tc>
      </w:tr>
      <w:tr w14:paraId="000806E1">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F2DECD">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05A3B9C">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0ADA10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0771-7535612</w:t>
            </w:r>
          </w:p>
        </w:tc>
      </w:tr>
      <w:tr w14:paraId="6D8FB75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FC9E15">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497C3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A306497">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0771-7917330</w:t>
            </w:r>
          </w:p>
        </w:tc>
      </w:tr>
      <w:tr w14:paraId="16AC04AD">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787CB0">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25432E5">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331558F">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0771-7516511 0771-7531157</w:t>
            </w:r>
          </w:p>
        </w:tc>
      </w:tr>
      <w:tr w14:paraId="19265E4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3C1D64">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406D2D">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2BA94E1C">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0771-7525822</w:t>
            </w:r>
          </w:p>
        </w:tc>
      </w:tr>
      <w:tr w14:paraId="5892579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FB253A">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0D009B3">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1810D399">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0771-5025887</w:t>
            </w:r>
          </w:p>
        </w:tc>
      </w:tr>
      <w:tr w14:paraId="182D5C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363E5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2D305">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C6635DF">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0771-7533041</w:t>
            </w:r>
          </w:p>
        </w:tc>
      </w:tr>
      <w:tr w14:paraId="199CB13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4F04AD">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5731FE7">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1C9BA1D9">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0771-7536178 0771-7536177</w:t>
            </w:r>
          </w:p>
        </w:tc>
      </w:tr>
      <w:tr w14:paraId="6308D7E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46507C">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38A7AEA">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29A42FE">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0771-7661101</w:t>
            </w:r>
          </w:p>
        </w:tc>
      </w:tr>
      <w:tr w14:paraId="2015143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4F7349">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406A477">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7DE0471D">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0771-7500768</w:t>
            </w:r>
          </w:p>
        </w:tc>
      </w:tr>
      <w:tr w14:paraId="0509619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B5D61A">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1E385E6">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2094BC52">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0771-7525678</w:t>
            </w:r>
          </w:p>
        </w:tc>
      </w:tr>
      <w:tr w14:paraId="0E14E624">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F2BD58">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256B5BB">
            <w:pPr>
              <w:widowControl/>
              <w:jc w:val="left"/>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73869BD3">
            <w:pPr>
              <w:widowControl/>
              <w:jc w:val="center"/>
              <w:rPr>
                <w:rFonts w:ascii="宋体" w:hAnsi="宋体" w:cs="宋体"/>
                <w:color w:val="000000" w:themeColor="text1"/>
                <w:szCs w:val="21"/>
                <w14:textFill>
                  <w14:solidFill>
                    <w14:schemeClr w14:val="tx1"/>
                  </w14:solidFill>
                </w14:textFill>
              </w:rPr>
            </w:pPr>
          </w:p>
        </w:tc>
      </w:tr>
      <w:tr w14:paraId="1146F47D">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CDA98D">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6EE6216">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235B3FD">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0771-8620729</w:t>
            </w:r>
          </w:p>
        </w:tc>
      </w:tr>
      <w:tr w14:paraId="5AA7ADF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E1163">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8DE2BA">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43FB24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0771-7917093</w:t>
            </w:r>
          </w:p>
        </w:tc>
      </w:tr>
      <w:tr w14:paraId="4588044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CA3BA4">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5EEB08">
            <w:pPr>
              <w:widowControl/>
              <w:spacing w:after="90" w:line="23" w:lineRule="atLeas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6B4D7A">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0771-8629006</w:t>
            </w:r>
          </w:p>
        </w:tc>
      </w:tr>
      <w:tr w14:paraId="07E390E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1A2404">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BE474B6">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65E39FE">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0771-8628166</w:t>
            </w:r>
          </w:p>
        </w:tc>
      </w:tr>
      <w:tr w14:paraId="64EE0843">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39C5C7">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654C6C">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03178A4">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0771-8630787</w:t>
            </w:r>
          </w:p>
        </w:tc>
      </w:tr>
      <w:tr w14:paraId="3194C014">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BFE6A2">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EFF84B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3B93D665">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0771-8622237</w:t>
            </w:r>
          </w:p>
        </w:tc>
      </w:tr>
      <w:tr w14:paraId="45240590">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32997B82">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大新县</w:t>
            </w:r>
          </w:p>
        </w:tc>
      </w:tr>
      <w:tr w14:paraId="378F4AF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F64F44">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14B9109">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B07DBFD">
            <w:pPr>
              <w:widowControl/>
              <w:jc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0771-3628078</w:t>
            </w:r>
          </w:p>
        </w:tc>
      </w:tr>
      <w:tr w14:paraId="2D4A9F13">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3B6EE0">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1940FE">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1DF4443">
            <w:pPr>
              <w:widowControl/>
              <w:jc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w:t>
            </w:r>
            <w:r>
              <w:rPr>
                <w:rFonts w:hint="eastAsia" w:ascii="宋体" w:hAnsi="宋体" w:cs="宋体"/>
                <w:color w:val="000000" w:themeColor="text1"/>
                <w:szCs w:val="21"/>
                <w14:textFill>
                  <w14:solidFill>
                    <w14:schemeClr w14:val="tx1"/>
                  </w14:solidFill>
                </w14:textFill>
              </w:rPr>
              <w:t>7917015</w:t>
            </w:r>
          </w:p>
        </w:tc>
      </w:tr>
      <w:tr w14:paraId="6C02743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C5627D">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600CF0">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4DCF727">
            <w:pPr>
              <w:widowControl/>
              <w:jc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0771-3689766</w:t>
            </w:r>
          </w:p>
        </w:tc>
      </w:tr>
      <w:tr w14:paraId="7248B28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30AAFC">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71C5319">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4ACBFDA">
            <w:pPr>
              <w:widowControl/>
              <w:jc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0771-3623887</w:t>
            </w:r>
          </w:p>
        </w:tc>
      </w:tr>
      <w:tr w14:paraId="243CAF96">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F60F47">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FB50B02">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F741AFF">
            <w:pPr>
              <w:widowControl/>
              <w:jc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0771-3621996</w:t>
            </w:r>
          </w:p>
        </w:tc>
      </w:tr>
      <w:tr w14:paraId="2400AEA4">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28C636">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48F2B8">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3941BF0">
            <w:pPr>
              <w:widowControl/>
              <w:jc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0771-3628366</w:t>
            </w:r>
          </w:p>
        </w:tc>
      </w:tr>
      <w:tr w14:paraId="72A2009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389C00">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BC57E59">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8CE7B7">
            <w:pPr>
              <w:widowControl/>
              <w:jc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0771-3698002</w:t>
            </w:r>
          </w:p>
        </w:tc>
      </w:tr>
      <w:tr w14:paraId="542B2145">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FE7C86">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CFC0A66">
            <w:pPr>
              <w:widowControl/>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C27F692">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0771-3626199</w:t>
            </w:r>
          </w:p>
        </w:tc>
      </w:tr>
      <w:tr w14:paraId="3CD0AEFF">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A83301">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96628">
            <w:pPr>
              <w:widowControl/>
              <w:jc w:val="left"/>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13910099">
            <w:pPr>
              <w:widowControl/>
              <w:jc w:val="center"/>
              <w:rPr>
                <w:rFonts w:ascii="宋体" w:hAnsi="宋体" w:cs="宋体"/>
                <w:color w:val="000000" w:themeColor="text1"/>
                <w:szCs w:val="21"/>
                <w14:textFill>
                  <w14:solidFill>
                    <w14:schemeClr w14:val="tx1"/>
                  </w14:solidFill>
                </w14:textFill>
              </w:rPr>
            </w:pPr>
          </w:p>
        </w:tc>
      </w:tr>
      <w:tr w14:paraId="19B14F94">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D63611">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0E50451">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CE35E9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0771-8868619</w:t>
            </w:r>
          </w:p>
        </w:tc>
      </w:tr>
      <w:tr w14:paraId="37DAAD41">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46B07D">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ED8F71">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0A4A856">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0771-8812504</w:t>
            </w:r>
          </w:p>
        </w:tc>
      </w:tr>
      <w:tr w14:paraId="288F208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35716D">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4D4222">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AEEDC88">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0771-8820525</w:t>
            </w:r>
          </w:p>
        </w:tc>
      </w:tr>
      <w:tr w14:paraId="70D1FAEB">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DEB933">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龙州农商行公司机构金融</w:t>
            </w:r>
            <w:r>
              <w:rPr>
                <w:rFonts w:hint="eastAsia" w:cs="宋体"/>
                <w:color w:val="000000" w:themeColor="text1"/>
                <w:szCs w:val="21"/>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C73A62E">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BBB0596">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0771-8813013</w:t>
            </w:r>
          </w:p>
        </w:tc>
      </w:tr>
      <w:tr w14:paraId="6E6DD13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9408C0">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4207F7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2DC80B7F">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0771-8871021</w:t>
            </w:r>
          </w:p>
        </w:tc>
      </w:tr>
      <w:tr w14:paraId="19DCE5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103A8">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FF5E61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78A25E7">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0771-8811533</w:t>
            </w:r>
          </w:p>
        </w:tc>
      </w:tr>
      <w:tr w14:paraId="24EF5ED9">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5BB1D7">
            <w:pPr>
              <w:widowControl/>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AC25401">
            <w:pPr>
              <w:widowControl/>
              <w:jc w:val="left"/>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4C1D8E78">
            <w:pPr>
              <w:widowControl/>
              <w:jc w:val="center"/>
              <w:rPr>
                <w:rFonts w:ascii="宋体" w:hAnsi="宋体" w:cs="宋体"/>
                <w:color w:val="000000" w:themeColor="text1"/>
                <w:szCs w:val="21"/>
                <w14:textFill>
                  <w14:solidFill>
                    <w14:schemeClr w14:val="tx1"/>
                  </w14:solidFill>
                </w14:textFill>
              </w:rPr>
            </w:pPr>
          </w:p>
        </w:tc>
      </w:tr>
      <w:tr w14:paraId="4FD7575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1668BA">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CBC5C66">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1316AB4">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0771-3532211</w:t>
            </w:r>
          </w:p>
        </w:tc>
      </w:tr>
      <w:tr w14:paraId="78E32F32">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3E067D">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8B9C23">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FF1C36D">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0771-7917046</w:t>
            </w:r>
          </w:p>
        </w:tc>
      </w:tr>
      <w:tr w14:paraId="36A002F7">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968215">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F092F47">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6793D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0771-3521361</w:t>
            </w:r>
          </w:p>
        </w:tc>
      </w:tr>
      <w:tr w14:paraId="5ABD0FF5">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9E7F5E">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289177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56BDD3">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0771-3522157</w:t>
            </w:r>
          </w:p>
        </w:tc>
      </w:tr>
      <w:tr w14:paraId="7CF17C37">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1A0EB6">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B31463">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D22039D">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0771-3528688</w:t>
            </w:r>
          </w:p>
        </w:tc>
      </w:tr>
      <w:tr w14:paraId="01000969">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5737568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凭祥市</w:t>
            </w:r>
          </w:p>
        </w:tc>
      </w:tr>
      <w:tr w14:paraId="3C9ED209">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75BEB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52317FA">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E5BA392">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0771-8529259</w:t>
            </w:r>
          </w:p>
        </w:tc>
      </w:tr>
      <w:tr w14:paraId="5503C29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EC6D60">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02CC801">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10196D2">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0771-7917258</w:t>
            </w:r>
          </w:p>
        </w:tc>
      </w:tr>
      <w:tr w14:paraId="0E163AD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4C0B12">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517593">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C185F8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0771-8525068</w:t>
            </w:r>
            <w:r>
              <w:rPr>
                <w:rFonts w:hint="eastAsia"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0771-8536852</w:t>
            </w:r>
          </w:p>
        </w:tc>
      </w:tr>
      <w:tr w14:paraId="3DD707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DC917E">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C64F82">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7E52C08">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0771-8551161</w:t>
            </w:r>
          </w:p>
        </w:tc>
      </w:tr>
      <w:tr w14:paraId="3140131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54DA9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537727">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C0EDCFA">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0771-8561665</w:t>
            </w:r>
          </w:p>
        </w:tc>
      </w:tr>
      <w:tr w14:paraId="111B00E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2898D9">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A7C613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AB925E">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0771-8520356</w:t>
            </w:r>
          </w:p>
        </w:tc>
      </w:tr>
      <w:tr w14:paraId="49DC973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FDA4A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4A3AB76">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5F59832">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0771-8535667</w:t>
            </w:r>
          </w:p>
        </w:tc>
      </w:tr>
      <w:tr w14:paraId="404709F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A13B9F">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791029">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16DE717">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0771-8520550</w:t>
            </w:r>
          </w:p>
        </w:tc>
      </w:tr>
      <w:tr w14:paraId="4D71680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05518F4">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AAF72B">
            <w:pPr>
              <w:widowControl/>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8D9251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0771-8556667</w:t>
            </w:r>
          </w:p>
        </w:tc>
      </w:tr>
    </w:tbl>
    <w:p w14:paraId="12B0D1FA">
      <w:pPr>
        <w:rPr>
          <w:rFonts w:ascii="宋体" w:hAnsi="宋体"/>
          <w:color w:val="000000" w:themeColor="text1"/>
          <w:sz w:val="24"/>
          <w14:textFill>
            <w14:solidFill>
              <w14:schemeClr w14:val="tx1"/>
            </w14:solidFill>
          </w14:textFill>
        </w:rPr>
      </w:pPr>
    </w:p>
    <w:p w14:paraId="247419D8">
      <w:pPr>
        <w:pStyle w:val="35"/>
        <w:rPr>
          <w:color w:val="000000" w:themeColor="text1"/>
          <w14:textFill>
            <w14:solidFill>
              <w14:schemeClr w14:val="tx1"/>
            </w14:solidFill>
          </w14:textFill>
        </w:rPr>
      </w:pPr>
    </w:p>
    <w:p w14:paraId="15104BE3">
      <w:pPr>
        <w:rPr>
          <w:rFonts w:ascii="宋体" w:hAnsi="宋体"/>
          <w:color w:val="000000" w:themeColor="text1"/>
          <w:sz w:val="24"/>
          <w14:textFill>
            <w14:solidFill>
              <w14:schemeClr w14:val="tx1"/>
            </w14:solidFill>
          </w14:textFill>
        </w:rPr>
      </w:pPr>
    </w:p>
    <w:sectPr>
      <w:footerReference r:id="rId5" w:type="firs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方正小标宋_GBK">
    <w:altName w:val="Malgun Gothic"/>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B7288">
    <w:pPr>
      <w:pStyle w:val="228"/>
      <w:jc w:val="center"/>
    </w:pPr>
    <w:r>
      <w:fldChar w:fldCharType="begin"/>
    </w:r>
    <w:r>
      <w:instrText xml:space="preserve"> PAGE   \* MERGEFORMAT </w:instrText>
    </w:r>
    <w:r>
      <w:fldChar w:fldCharType="separate"/>
    </w:r>
    <w:r>
      <w:rPr>
        <w:lang w:val="zh-CN"/>
      </w:rPr>
      <w:t>97</w:t>
    </w:r>
    <w:r>
      <w:fldChar w:fldCharType="end"/>
    </w:r>
  </w:p>
  <w:p w14:paraId="1555B9DB">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F5A7C">
    <w:pPr>
      <w:pStyle w:val="22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FB2C60E">
                          <w:pPr>
                            <w:pStyle w:val="22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Wckjz0gEAAKcDAAAOAAAAAAAAAAEAIAAAAB4BAABk&#10;cnMvZTJvRG9jLnhtbFBLBQYAAAAABgAGAFkBAABiBQAAAAA=&#10;">
              <v:fill on="f" focussize="0,0"/>
              <v:stroke on="f"/>
              <v:imagedata o:title=""/>
              <o:lock v:ext="edit" aspectratio="f"/>
              <v:textbox inset="0mm,0mm,0mm,0mm" style="mso-fit-shape-to-text:t;">
                <w:txbxContent>
                  <w:p w14:paraId="6FB2C60E">
                    <w:pPr>
                      <w:pStyle w:val="22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10902">
    <w:pPr>
      <w:pStyle w:val="230"/>
      <w:tabs>
        <w:tab w:val="left" w:pos="2409"/>
        <w:tab w:val="center" w:pos="4499"/>
      </w:tabs>
      <w:jc w:val="left"/>
      <w:rPr>
        <w:rFonts w:ascii="新宋体" w:hAnsi="新宋体" w:eastAsia="新宋体" w:cs="新宋体"/>
        <w:shd w:val="clear" w:color="auto" w:fill="FFFFFF"/>
      </w:rPr>
    </w:pPr>
    <w:r>
      <w:rPr>
        <w:rFonts w:hint="eastAsia" w:ascii="新宋体" w:hAnsi="新宋体" w:eastAsia="新宋体" w:cs="新宋体"/>
        <w:shd w:val="clear" w:color="auto" w:fill="FFFFFF"/>
      </w:rPr>
      <w:t>云之龙咨询集团有限公司                               宁明县海渊镇中心卫生院中医康复能力建设项目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2CA02"/>
    <w:multiLevelType w:val="multilevel"/>
    <w:tmpl w:val="F2D2CA02"/>
    <w:lvl w:ilvl="0" w:tentative="0">
      <w:start w:val="2"/>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45EBEEEF"/>
    <w:multiLevelType w:val="multilevel"/>
    <w:tmpl w:val="45EBEEEF"/>
    <w:lvl w:ilvl="0" w:tentative="0">
      <w:start w:val="4"/>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D2"/>
    <w:rsid w:val="00075100"/>
    <w:rsid w:val="000F3B87"/>
    <w:rsid w:val="002E3BB5"/>
    <w:rsid w:val="00363214"/>
    <w:rsid w:val="003A1549"/>
    <w:rsid w:val="005038DC"/>
    <w:rsid w:val="005C33D2"/>
    <w:rsid w:val="005C47E7"/>
    <w:rsid w:val="005D4775"/>
    <w:rsid w:val="005E3E6F"/>
    <w:rsid w:val="00671701"/>
    <w:rsid w:val="006A7486"/>
    <w:rsid w:val="00723C5F"/>
    <w:rsid w:val="00847FF4"/>
    <w:rsid w:val="00F9492D"/>
    <w:rsid w:val="00FF62CB"/>
    <w:rsid w:val="01A83F5E"/>
    <w:rsid w:val="0A7F70AF"/>
    <w:rsid w:val="0B692252"/>
    <w:rsid w:val="114D4B0C"/>
    <w:rsid w:val="15234842"/>
    <w:rsid w:val="17B8665A"/>
    <w:rsid w:val="1B5A7EFF"/>
    <w:rsid w:val="1C3457A1"/>
    <w:rsid w:val="1F7F6BB0"/>
    <w:rsid w:val="21F440E0"/>
    <w:rsid w:val="2A293624"/>
    <w:rsid w:val="2BE57EA2"/>
    <w:rsid w:val="2DBF51BC"/>
    <w:rsid w:val="2E8C2CB2"/>
    <w:rsid w:val="2F5873B0"/>
    <w:rsid w:val="31E519C3"/>
    <w:rsid w:val="331035D3"/>
    <w:rsid w:val="36241726"/>
    <w:rsid w:val="379624DA"/>
    <w:rsid w:val="3C60727D"/>
    <w:rsid w:val="404C4C0B"/>
    <w:rsid w:val="40B269AE"/>
    <w:rsid w:val="423D1B28"/>
    <w:rsid w:val="47B05572"/>
    <w:rsid w:val="47C36A0E"/>
    <w:rsid w:val="48284B85"/>
    <w:rsid w:val="48CC36A0"/>
    <w:rsid w:val="48DD3AFF"/>
    <w:rsid w:val="49BD3620"/>
    <w:rsid w:val="4BC82845"/>
    <w:rsid w:val="4C3E4383"/>
    <w:rsid w:val="4CD632AC"/>
    <w:rsid w:val="52A315FF"/>
    <w:rsid w:val="53DB4471"/>
    <w:rsid w:val="53F55789"/>
    <w:rsid w:val="5A8F73C9"/>
    <w:rsid w:val="6202062E"/>
    <w:rsid w:val="646709F5"/>
    <w:rsid w:val="677405C9"/>
    <w:rsid w:val="6C731947"/>
    <w:rsid w:val="709A4826"/>
    <w:rsid w:val="711C377B"/>
    <w:rsid w:val="76DF5D07"/>
    <w:rsid w:val="7AFC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sz w:val="44"/>
      <w:szCs w:val="44"/>
    </w:rPr>
  </w:style>
  <w:style w:type="paragraph" w:styleId="3">
    <w:name w:val="heading 2"/>
    <w:basedOn w:val="1"/>
    <w:next w:val="1"/>
    <w:link w:val="176"/>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77"/>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qFormat/>
    <w:uiPriority w:val="0"/>
    <w:pPr>
      <w:keepNext/>
      <w:keepLines/>
      <w:spacing w:before="120" w:after="120"/>
      <w:outlineLvl w:val="3"/>
    </w:pPr>
    <w:rPr>
      <w:rFonts w:ascii="Arial" w:hAnsi="Arial"/>
      <w:b/>
      <w:bCs/>
      <w:sz w:val="28"/>
      <w:szCs w:val="28"/>
    </w:rPr>
  </w:style>
  <w:style w:type="paragraph" w:styleId="6">
    <w:name w:val="heading 5"/>
    <w:basedOn w:val="1"/>
    <w:next w:val="1"/>
    <w:link w:val="179"/>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80"/>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81"/>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82"/>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83"/>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szCs w:val="20"/>
    </w:rPr>
  </w:style>
  <w:style w:type="paragraph" w:styleId="13">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4">
    <w:name w:val="annotation text"/>
    <w:basedOn w:val="1"/>
    <w:next w:val="15"/>
    <w:link w:val="286"/>
    <w:qFormat/>
    <w:uiPriority w:val="0"/>
    <w:pPr>
      <w:jc w:val="left"/>
    </w:pPr>
  </w:style>
  <w:style w:type="paragraph" w:styleId="15">
    <w:name w:val="toc 1"/>
    <w:basedOn w:val="1"/>
    <w:next w:val="1"/>
    <w:qFormat/>
    <w:uiPriority w:val="0"/>
  </w:style>
  <w:style w:type="paragraph" w:styleId="16">
    <w:name w:val="Body Text 3"/>
    <w:basedOn w:val="1"/>
    <w:unhideWhenUsed/>
    <w:qFormat/>
    <w:uiPriority w:val="99"/>
    <w:pPr>
      <w:spacing w:after="120"/>
    </w:pPr>
    <w:rPr>
      <w:sz w:val="16"/>
      <w:szCs w:val="16"/>
    </w:rPr>
  </w:style>
  <w:style w:type="paragraph" w:styleId="17">
    <w:name w:val="Body Text"/>
    <w:basedOn w:val="1"/>
    <w:unhideWhenUsed/>
    <w:qFormat/>
    <w:uiPriority w:val="0"/>
    <w:pPr>
      <w:spacing w:after="120"/>
    </w:pPr>
  </w:style>
  <w:style w:type="paragraph" w:styleId="18">
    <w:name w:val="Body Text Indent"/>
    <w:basedOn w:val="1"/>
    <w:next w:val="19"/>
    <w:qFormat/>
    <w:uiPriority w:val="0"/>
    <w:pPr>
      <w:ind w:firstLine="830"/>
    </w:pPr>
    <w:rPr>
      <w:rFonts w:ascii="仿宋_GB2312" w:eastAsia="仿宋_GB2312"/>
      <w:sz w:val="32"/>
      <w:szCs w:val="20"/>
    </w:rPr>
  </w:style>
  <w:style w:type="paragraph" w:styleId="19">
    <w:name w:val="Plain Text"/>
    <w:basedOn w:val="1"/>
    <w:qFormat/>
    <w:uiPriority w:val="0"/>
    <w:rPr>
      <w:rFonts w:ascii="宋体" w:hAnsi="Courier New"/>
      <w:sz w:val="20"/>
      <w:szCs w:val="21"/>
    </w:rPr>
  </w:style>
  <w:style w:type="paragraph" w:styleId="20">
    <w:name w:val="List 2"/>
    <w:basedOn w:val="1"/>
    <w:unhideWhenUsed/>
    <w:qFormat/>
    <w:uiPriority w:val="99"/>
    <w:pPr>
      <w:ind w:left="100" w:hanging="200"/>
      <w:contextualSpacing/>
    </w:pPr>
  </w:style>
  <w:style w:type="paragraph" w:styleId="21">
    <w:name w:val="toc 5"/>
    <w:basedOn w:val="1"/>
    <w:next w:val="1"/>
    <w:unhideWhenUsed/>
    <w:qFormat/>
    <w:uiPriority w:val="39"/>
    <w:pPr>
      <w:spacing w:after="100"/>
      <w:ind w:left="880"/>
    </w:pPr>
  </w:style>
  <w:style w:type="paragraph" w:styleId="22">
    <w:name w:val="toc 3"/>
    <w:basedOn w:val="1"/>
    <w:next w:val="1"/>
    <w:unhideWhenUsed/>
    <w:qFormat/>
    <w:uiPriority w:val="39"/>
    <w:pPr>
      <w:spacing w:after="100"/>
      <w:ind w:left="440"/>
    </w:pPr>
  </w:style>
  <w:style w:type="paragraph" w:styleId="23">
    <w:name w:val="toc 8"/>
    <w:basedOn w:val="1"/>
    <w:next w:val="1"/>
    <w:unhideWhenUsed/>
    <w:qFormat/>
    <w:uiPriority w:val="39"/>
    <w:pPr>
      <w:spacing w:after="100"/>
      <w:ind w:left="1540"/>
    </w:pPr>
  </w:style>
  <w:style w:type="paragraph" w:styleId="24">
    <w:name w:val="endnote text"/>
    <w:basedOn w:val="1"/>
    <w:link w:val="199"/>
    <w:semiHidden/>
    <w:unhideWhenUsed/>
    <w:qFormat/>
    <w:uiPriority w:val="99"/>
    <w:rPr>
      <w:sz w:val="20"/>
      <w:szCs w:val="20"/>
    </w:rPr>
  </w:style>
  <w:style w:type="paragraph" w:styleId="25">
    <w:name w:val="Balloon Text"/>
    <w:basedOn w:val="1"/>
    <w:link w:val="288"/>
    <w:semiHidden/>
    <w:unhideWhenUsed/>
    <w:uiPriority w:val="99"/>
    <w:rPr>
      <w:sz w:val="18"/>
      <w:szCs w:val="18"/>
    </w:rPr>
  </w:style>
  <w:style w:type="paragraph" w:styleId="26">
    <w:name w:val="footer"/>
    <w:basedOn w:val="1"/>
    <w:next w:val="1"/>
    <w:qFormat/>
    <w:uiPriority w:val="0"/>
    <w:pPr>
      <w:tabs>
        <w:tab w:val="center" w:pos="4153"/>
        <w:tab w:val="right" w:pos="8306"/>
      </w:tabs>
      <w:jc w:val="left"/>
    </w:pPr>
    <w:rPr>
      <w:sz w:val="18"/>
    </w:rPr>
  </w:style>
  <w:style w:type="paragraph" w:styleId="27">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pPr>
    <w:rPr>
      <w:sz w:val="18"/>
    </w:rPr>
  </w:style>
  <w:style w:type="paragraph" w:styleId="28">
    <w:name w:val="toc 4"/>
    <w:basedOn w:val="1"/>
    <w:next w:val="1"/>
    <w:unhideWhenUsed/>
    <w:qFormat/>
    <w:uiPriority w:val="39"/>
    <w:pPr>
      <w:spacing w:after="100"/>
      <w:ind w:left="660"/>
    </w:pPr>
  </w:style>
  <w:style w:type="paragraph" w:styleId="29">
    <w:name w:val="Subtitle"/>
    <w:basedOn w:val="1"/>
    <w:next w:val="1"/>
    <w:link w:val="18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0">
    <w:name w:val="footnote text"/>
    <w:basedOn w:val="1"/>
    <w:link w:val="198"/>
    <w:semiHidden/>
    <w:unhideWhenUsed/>
    <w:qFormat/>
    <w:uiPriority w:val="99"/>
    <w:rPr>
      <w:sz w:val="20"/>
      <w:szCs w:val="20"/>
    </w:rPr>
  </w:style>
  <w:style w:type="paragraph" w:styleId="31">
    <w:name w:val="toc 6"/>
    <w:basedOn w:val="1"/>
    <w:next w:val="1"/>
    <w:unhideWhenUsed/>
    <w:qFormat/>
    <w:uiPriority w:val="39"/>
    <w:pPr>
      <w:spacing w:after="100"/>
      <w:ind w:left="1100"/>
    </w:pPr>
  </w:style>
  <w:style w:type="paragraph" w:styleId="32">
    <w:name w:val="table of figures"/>
    <w:basedOn w:val="1"/>
    <w:next w:val="1"/>
    <w:unhideWhenUsed/>
    <w:qFormat/>
    <w:uiPriority w:val="99"/>
  </w:style>
  <w:style w:type="paragraph" w:styleId="33">
    <w:name w:val="toc 2"/>
    <w:basedOn w:val="1"/>
    <w:next w:val="1"/>
    <w:unhideWhenUsed/>
    <w:qFormat/>
    <w:uiPriority w:val="39"/>
    <w:pPr>
      <w:spacing w:after="100"/>
      <w:ind w:left="220"/>
    </w:pPr>
  </w:style>
  <w:style w:type="paragraph" w:styleId="34">
    <w:name w:val="toc 9"/>
    <w:basedOn w:val="1"/>
    <w:next w:val="1"/>
    <w:unhideWhenUsed/>
    <w:qFormat/>
    <w:uiPriority w:val="39"/>
    <w:pPr>
      <w:spacing w:after="100"/>
      <w:ind w:left="1760"/>
    </w:pPr>
  </w:style>
  <w:style w:type="paragraph" w:styleId="35">
    <w:name w:val="Body Text 2"/>
    <w:basedOn w:val="1"/>
    <w:qFormat/>
    <w:uiPriority w:val="0"/>
    <w:pPr>
      <w:spacing w:after="120" w:line="480" w:lineRule="auto"/>
    </w:pPr>
    <w:rPr>
      <w:sz w:val="20"/>
    </w:rPr>
  </w:style>
  <w:style w:type="paragraph" w:styleId="36">
    <w:name w:val="Normal (Web)"/>
    <w:basedOn w:val="1"/>
    <w:unhideWhenUsed/>
    <w:qFormat/>
    <w:uiPriority w:val="99"/>
    <w:rPr>
      <w:rFonts w:ascii="Calibri" w:hAnsi="Calibri"/>
      <w:sz w:val="24"/>
    </w:rPr>
  </w:style>
  <w:style w:type="paragraph" w:styleId="37">
    <w:name w:val="Title"/>
    <w:basedOn w:val="1"/>
    <w:next w:val="1"/>
    <w:link w:val="184"/>
    <w:qFormat/>
    <w:uiPriority w:val="10"/>
    <w:pPr>
      <w:spacing w:after="80"/>
      <w:contextualSpacing/>
    </w:pPr>
    <w:rPr>
      <w:rFonts w:ascii="Arial" w:hAnsi="Arial" w:eastAsia="Arial" w:cs="Arial"/>
      <w:spacing w:val="-10"/>
      <w:sz w:val="56"/>
      <w:szCs w:val="56"/>
    </w:rPr>
  </w:style>
  <w:style w:type="paragraph" w:styleId="38">
    <w:name w:val="annotation subject"/>
    <w:basedOn w:val="14"/>
    <w:next w:val="14"/>
    <w:link w:val="287"/>
    <w:qFormat/>
    <w:uiPriority w:val="0"/>
    <w:rPr>
      <w:b/>
      <w:bCs/>
    </w:rPr>
  </w:style>
  <w:style w:type="paragraph" w:styleId="39">
    <w:name w:val="Body Text First Indent 2"/>
    <w:basedOn w:val="18"/>
    <w:qFormat/>
    <w:uiPriority w:val="0"/>
    <w:pPr>
      <w:spacing w:after="120"/>
      <w:ind w:left="420" w:firstLine="420"/>
    </w:pPr>
    <w:rPr>
      <w:rFonts w:hAnsi="宋体" w:eastAsia="华文仿宋"/>
      <w:szCs w:val="32"/>
    </w:rPr>
  </w:style>
  <w:style w:type="table" w:styleId="41">
    <w:name w:val="Table Grid"/>
    <w:basedOn w:val="4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3">
    <w:name w:val="Strong"/>
    <w:basedOn w:val="42"/>
    <w:qFormat/>
    <w:uiPriority w:val="0"/>
    <w:rPr>
      <w:b/>
    </w:rPr>
  </w:style>
  <w:style w:type="character" w:styleId="44">
    <w:name w:val="endnote reference"/>
    <w:basedOn w:val="42"/>
    <w:semiHidden/>
    <w:unhideWhenUsed/>
    <w:qFormat/>
    <w:uiPriority w:val="99"/>
    <w:rPr>
      <w:vertAlign w:val="superscript"/>
    </w:rPr>
  </w:style>
  <w:style w:type="character" w:styleId="45">
    <w:name w:val="FollowedHyperlink"/>
    <w:qFormat/>
    <w:uiPriority w:val="0"/>
    <w:rPr>
      <w:color w:val="771CAA"/>
      <w:sz w:val="20"/>
      <w:u w:val="none"/>
    </w:rPr>
  </w:style>
  <w:style w:type="character" w:styleId="46">
    <w:name w:val="Emphasis"/>
    <w:basedOn w:val="42"/>
    <w:qFormat/>
    <w:uiPriority w:val="20"/>
    <w:rPr>
      <w:i/>
      <w:iCs/>
    </w:rPr>
  </w:style>
  <w:style w:type="character" w:styleId="47">
    <w:name w:val="Hyperlink"/>
    <w:basedOn w:val="42"/>
    <w:qFormat/>
    <w:uiPriority w:val="0"/>
    <w:rPr>
      <w:color w:val="0000FF"/>
      <w:u w:val="single"/>
    </w:rPr>
  </w:style>
  <w:style w:type="character" w:styleId="48">
    <w:name w:val="annotation reference"/>
    <w:qFormat/>
    <w:uiPriority w:val="0"/>
    <w:rPr>
      <w:sz w:val="21"/>
      <w:szCs w:val="21"/>
    </w:rPr>
  </w:style>
  <w:style w:type="character" w:styleId="49">
    <w:name w:val="footnote reference"/>
    <w:basedOn w:val="42"/>
    <w:semiHidden/>
    <w:unhideWhenUsed/>
    <w:qFormat/>
    <w:uiPriority w:val="99"/>
    <w:rPr>
      <w:vertAlign w:val="superscript"/>
    </w:rPr>
  </w:style>
  <w:style w:type="table" w:customStyle="1" w:styleId="50">
    <w:name w:val="Table Grid Light"/>
    <w:basedOn w:val="4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1">
    <w:name w:val="无格式表格 11"/>
    <w:basedOn w:val="4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2">
    <w:name w:val="无格式表格 21"/>
    <w:basedOn w:val="40"/>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3">
    <w:name w:val="无格式表格 31"/>
    <w:basedOn w:val="40"/>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4">
    <w:name w:val="无格式表格 41"/>
    <w:basedOn w:val="40"/>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5">
    <w:name w:val="无格式表格 51"/>
    <w:basedOn w:val="40"/>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6">
    <w:name w:val="网格表 1 浅色1"/>
    <w:basedOn w:val="40"/>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7">
    <w:name w:val="Grid Table 1 Light - Accent 1"/>
    <w:basedOn w:val="4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58">
    <w:name w:val="Grid Table 1 Light - Accent 2"/>
    <w:basedOn w:val="4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59">
    <w:name w:val="Grid Table 1 Light - Accent 3"/>
    <w:basedOn w:val="4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0">
    <w:name w:val="Grid Table 1 Light - Accent 4"/>
    <w:basedOn w:val="4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1">
    <w:name w:val="Grid Table 1 Light - Accent 5"/>
    <w:basedOn w:val="4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2">
    <w:name w:val="Grid Table 1 Light - Accent 6"/>
    <w:basedOn w:val="4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3">
    <w:name w:val="网格表 21"/>
    <w:basedOn w:val="4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4">
    <w:name w:val="Grid Table 2 - Accent 1"/>
    <w:basedOn w:val="4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5">
    <w:name w:val="Grid Table 2 - Accent 2"/>
    <w:basedOn w:val="4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6">
    <w:name w:val="Grid Table 2 - Accent 3"/>
    <w:basedOn w:val="4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7">
    <w:name w:val="Grid Table 2 - Accent 4"/>
    <w:basedOn w:val="4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8">
    <w:name w:val="Grid Table 2 - Accent 5"/>
    <w:basedOn w:val="40"/>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9">
    <w:name w:val="Grid Table 2 - Accent 6"/>
    <w:basedOn w:val="40"/>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0">
    <w:name w:val="网格表 31"/>
    <w:basedOn w:val="4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3 - Accent 1"/>
    <w:basedOn w:val="4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2">
    <w:name w:val="Grid Table 3 - Accent 2"/>
    <w:basedOn w:val="4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3">
    <w:name w:val="Grid Table 3 - Accent 3"/>
    <w:basedOn w:val="4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4">
    <w:name w:val="Grid Table 3 - Accent 4"/>
    <w:basedOn w:val="4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5">
    <w:name w:val="Grid Table 3 - Accent 5"/>
    <w:basedOn w:val="40"/>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6">
    <w:name w:val="Grid Table 3 - Accent 6"/>
    <w:basedOn w:val="40"/>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7">
    <w:name w:val="网格表 41"/>
    <w:basedOn w:val="40"/>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4 - Accent 1"/>
    <w:basedOn w:val="40"/>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79">
    <w:name w:val="Grid Table 4 - Accent 2"/>
    <w:basedOn w:val="40"/>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0">
    <w:name w:val="Grid Table 4 - Accent 3"/>
    <w:basedOn w:val="40"/>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1">
    <w:name w:val="Grid Table 4 - Accent 4"/>
    <w:basedOn w:val="40"/>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2">
    <w:name w:val="Grid Table 4 - Accent 5"/>
    <w:basedOn w:val="40"/>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3">
    <w:name w:val="Grid Table 4 - Accent 6"/>
    <w:basedOn w:val="40"/>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4">
    <w:name w:val="网格表 5 深色1"/>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5">
    <w:name w:val="Grid Table 5 Dark- Accent 1"/>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86">
    <w:name w:val="Grid Table 5 Dark - Accent 2"/>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87">
    <w:name w:val="Grid Table 5 Dark - Accent 3"/>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88">
    <w:name w:val="Grid Table 5 Dark- Accent 4"/>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89">
    <w:name w:val="Grid Table 5 Dark - Accent 5"/>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0">
    <w:name w:val="Grid Table 5 Dark - Accent 6"/>
    <w:basedOn w:val="4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1">
    <w:name w:val="网格表 6 彩色1"/>
    <w:basedOn w:val="40"/>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2">
    <w:name w:val="Grid Table 6 Colorful - Accent 1"/>
    <w:basedOn w:val="40"/>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3">
    <w:name w:val="Grid Table 6 Colorful - Accent 2"/>
    <w:basedOn w:val="4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4">
    <w:name w:val="Grid Table 6 Colorful - Accent 3"/>
    <w:basedOn w:val="40"/>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5">
    <w:name w:val="Grid Table 6 Colorful - Accent 4"/>
    <w:basedOn w:val="4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6">
    <w:name w:val="Grid Table 6 Colorful - Accent 5"/>
    <w:basedOn w:val="40"/>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7">
    <w:name w:val="Grid Table 6 Colorful - Accent 6"/>
    <w:basedOn w:val="40"/>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98">
    <w:name w:val="网格表 7 彩色1"/>
    <w:basedOn w:val="40"/>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7 Colorful - Accent 1"/>
    <w:basedOn w:val="40"/>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0">
    <w:name w:val="Grid Table 7 Colorful - Accent 2"/>
    <w:basedOn w:val="40"/>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1">
    <w:name w:val="Grid Table 7 Colorful - Accent 3"/>
    <w:basedOn w:val="40"/>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2">
    <w:name w:val="Grid Table 7 Colorful - Accent 4"/>
    <w:basedOn w:val="40"/>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3">
    <w:name w:val="Grid Table 7 Colorful - Accent 5"/>
    <w:basedOn w:val="40"/>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4">
    <w:name w:val="Grid Table 7 Colorful - Accent 6"/>
    <w:basedOn w:val="40"/>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5">
    <w:name w:val="清单表 1 浅色1"/>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6">
    <w:name w:val="List Table 1 Light - Accent 1"/>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07">
    <w:name w:val="List Table 1 Light - Accent 2"/>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08">
    <w:name w:val="List Table 1 Light - Accent 3"/>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09">
    <w:name w:val="List Table 1 Light - Accent 4"/>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0">
    <w:name w:val="List Table 1 Light - Accent 5"/>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1">
    <w:name w:val="List Table 1 Light - Accent 6"/>
    <w:basedOn w:val="40"/>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2">
    <w:name w:val="清单表 21"/>
    <w:basedOn w:val="40"/>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3">
    <w:name w:val="List Table 2 - Accent 1"/>
    <w:basedOn w:val="40"/>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4">
    <w:name w:val="List Table 2 - Accent 2"/>
    <w:basedOn w:val="40"/>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5">
    <w:name w:val="List Table 2 - Accent 3"/>
    <w:basedOn w:val="40"/>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16">
    <w:name w:val="List Table 2 - Accent 4"/>
    <w:basedOn w:val="40"/>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17">
    <w:name w:val="List Table 2 - Accent 5"/>
    <w:basedOn w:val="40"/>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18">
    <w:name w:val="List Table 2 - Accent 6"/>
    <w:basedOn w:val="40"/>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19">
    <w:name w:val="清单表 31"/>
    <w:basedOn w:val="4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0">
    <w:name w:val="List Table 3 - Accent 1"/>
    <w:basedOn w:val="40"/>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1">
    <w:name w:val="List Table 3 - Accent 2"/>
    <w:basedOn w:val="4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2">
    <w:name w:val="List Table 3 - Accent 3"/>
    <w:basedOn w:val="40"/>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3">
    <w:name w:val="List Table 3 - Accent 4"/>
    <w:basedOn w:val="4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4">
    <w:name w:val="List Table 3 - Accent 5"/>
    <w:basedOn w:val="40"/>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5">
    <w:name w:val="List Table 3 - Accent 6"/>
    <w:basedOn w:val="40"/>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26">
    <w:name w:val="清单表 41"/>
    <w:basedOn w:val="4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7">
    <w:name w:val="List Table 4 - Accent 1"/>
    <w:basedOn w:val="40"/>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8">
    <w:name w:val="List Table 4 - Accent 2"/>
    <w:basedOn w:val="40"/>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9">
    <w:name w:val="List Table 4 - Accent 3"/>
    <w:basedOn w:val="40"/>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0">
    <w:name w:val="List Table 4 - Accent 4"/>
    <w:basedOn w:val="40"/>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1">
    <w:name w:val="List Table 4 - Accent 5"/>
    <w:basedOn w:val="40"/>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2">
    <w:name w:val="List Table 4 - Accent 6"/>
    <w:basedOn w:val="40"/>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3">
    <w:name w:val="清单表 5 深色1"/>
    <w:basedOn w:val="40"/>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4">
    <w:name w:val="List Table 5 Dark - Accent 1"/>
    <w:basedOn w:val="40"/>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5">
    <w:name w:val="List Table 5 Dark - Accent 2"/>
    <w:basedOn w:val="40"/>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36">
    <w:name w:val="List Table 5 Dark - Accent 3"/>
    <w:basedOn w:val="40"/>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37">
    <w:name w:val="List Table 5 Dark - Accent 4"/>
    <w:basedOn w:val="40"/>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38">
    <w:name w:val="List Table 5 Dark - Accent 5"/>
    <w:basedOn w:val="40"/>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39">
    <w:name w:val="List Table 5 Dark - Accent 6"/>
    <w:basedOn w:val="40"/>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0">
    <w:name w:val="清单表 6 彩色1"/>
    <w:basedOn w:val="40"/>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1">
    <w:name w:val="List Table 6 Colorful - Accent 1"/>
    <w:basedOn w:val="40"/>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2">
    <w:name w:val="List Table 6 Colorful - Accent 2"/>
    <w:basedOn w:val="40"/>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3">
    <w:name w:val="List Table 6 Colorful - Accent 3"/>
    <w:basedOn w:val="40"/>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4">
    <w:name w:val="List Table 6 Colorful - Accent 4"/>
    <w:basedOn w:val="40"/>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5">
    <w:name w:val="List Table 6 Colorful - Accent 5"/>
    <w:basedOn w:val="40"/>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6">
    <w:name w:val="List Table 6 Colorful - Accent 6"/>
    <w:basedOn w:val="40"/>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7">
    <w:name w:val="清单表 7 彩色1"/>
    <w:basedOn w:val="40"/>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8">
    <w:name w:val="List Table 7 Colorful - Accent 1"/>
    <w:basedOn w:val="40"/>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9">
    <w:name w:val="List Table 7 Colorful - Accent 2"/>
    <w:basedOn w:val="40"/>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0">
    <w:name w:val="List Table 7 Colorful - Accent 3"/>
    <w:basedOn w:val="40"/>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1">
    <w:name w:val="List Table 7 Colorful - Accent 4"/>
    <w:basedOn w:val="40"/>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2">
    <w:name w:val="List Table 7 Colorful - Accent 5"/>
    <w:basedOn w:val="40"/>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3">
    <w:name w:val="List Table 7 Colorful - Accent 6"/>
    <w:basedOn w:val="40"/>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4">
    <w:name w:val="Lined - Accent"/>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5">
    <w:name w:val="Lined - Accent 1"/>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6">
    <w:name w:val="Lined - Accent 2"/>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7">
    <w:name w:val="Lined - Accent 3"/>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58">
    <w:name w:val="Lined - Accent 4"/>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59">
    <w:name w:val="Lined - Accent 5"/>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0">
    <w:name w:val="Lined - Accent 6"/>
    <w:basedOn w:val="40"/>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1">
    <w:name w:val="Bordered &amp; Lined - Accent"/>
    <w:basedOn w:val="40"/>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Bordered &amp; Lined - Accent 1"/>
    <w:basedOn w:val="40"/>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3">
    <w:name w:val="Bordered &amp; Lined - Accent 2"/>
    <w:basedOn w:val="40"/>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4">
    <w:name w:val="Bordered &amp; Lined - Accent 3"/>
    <w:basedOn w:val="40"/>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5">
    <w:name w:val="Bordered &amp; Lined - Accent 4"/>
    <w:basedOn w:val="40"/>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6">
    <w:name w:val="Bordered &amp; Lined - Accent 5"/>
    <w:basedOn w:val="40"/>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7">
    <w:name w:val="Bordered &amp; Lined - Accent 6"/>
    <w:basedOn w:val="40"/>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8">
    <w:name w:val="Bordered"/>
    <w:basedOn w:val="40"/>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69">
    <w:name w:val="Bordered - Accent 1"/>
    <w:basedOn w:val="4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0">
    <w:name w:val="Bordered - Accent 2"/>
    <w:basedOn w:val="4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1">
    <w:name w:val="Bordered - Accent 3"/>
    <w:basedOn w:val="4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2">
    <w:name w:val="Bordered - Accent 4"/>
    <w:basedOn w:val="4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3">
    <w:name w:val="Bordered - Accent 5"/>
    <w:basedOn w:val="4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4">
    <w:name w:val="Bordered - Accent 6"/>
    <w:basedOn w:val="4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5">
    <w:name w:val="Heading 1 Char"/>
    <w:basedOn w:val="42"/>
    <w:qFormat/>
    <w:uiPriority w:val="9"/>
    <w:rPr>
      <w:rFonts w:ascii="Arial" w:hAnsi="Arial" w:eastAsia="Arial" w:cs="Arial"/>
      <w:color w:val="376092" w:themeColor="accent1" w:themeShade="BF"/>
      <w:sz w:val="40"/>
      <w:szCs w:val="40"/>
    </w:rPr>
  </w:style>
  <w:style w:type="character" w:customStyle="1" w:styleId="176">
    <w:name w:val="标题 2 Char1"/>
    <w:basedOn w:val="42"/>
    <w:link w:val="3"/>
    <w:qFormat/>
    <w:uiPriority w:val="9"/>
    <w:rPr>
      <w:rFonts w:ascii="Arial" w:hAnsi="Arial" w:eastAsia="Arial" w:cs="Arial"/>
      <w:color w:val="376092" w:themeColor="accent1" w:themeShade="BF"/>
      <w:sz w:val="32"/>
      <w:szCs w:val="32"/>
    </w:rPr>
  </w:style>
  <w:style w:type="character" w:customStyle="1" w:styleId="177">
    <w:name w:val="标题 3 Char"/>
    <w:basedOn w:val="42"/>
    <w:link w:val="4"/>
    <w:qFormat/>
    <w:uiPriority w:val="9"/>
    <w:rPr>
      <w:rFonts w:ascii="Arial" w:hAnsi="Arial" w:eastAsia="Arial" w:cs="Arial"/>
      <w:color w:val="376092" w:themeColor="accent1" w:themeShade="BF"/>
      <w:sz w:val="28"/>
      <w:szCs w:val="28"/>
    </w:rPr>
  </w:style>
  <w:style w:type="character" w:customStyle="1" w:styleId="178">
    <w:name w:val="Heading 4 Char"/>
    <w:basedOn w:val="42"/>
    <w:qFormat/>
    <w:uiPriority w:val="9"/>
    <w:rPr>
      <w:rFonts w:ascii="Arial" w:hAnsi="Arial" w:eastAsia="Arial" w:cs="Arial"/>
      <w:i/>
      <w:iCs/>
      <w:color w:val="376092" w:themeColor="accent1" w:themeShade="BF"/>
    </w:rPr>
  </w:style>
  <w:style w:type="character" w:customStyle="1" w:styleId="179">
    <w:name w:val="标题 5 Char1"/>
    <w:basedOn w:val="42"/>
    <w:link w:val="6"/>
    <w:qFormat/>
    <w:uiPriority w:val="9"/>
    <w:rPr>
      <w:rFonts w:ascii="Arial" w:hAnsi="Arial" w:eastAsia="Arial" w:cs="Arial"/>
      <w:color w:val="376092" w:themeColor="accent1" w:themeShade="BF"/>
    </w:rPr>
  </w:style>
  <w:style w:type="character" w:customStyle="1" w:styleId="180">
    <w:name w:val="标题 6 Char"/>
    <w:basedOn w:val="42"/>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1">
    <w:name w:val="标题 7 Char"/>
    <w:basedOn w:val="42"/>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2">
    <w:name w:val="标题 8 Char"/>
    <w:basedOn w:val="42"/>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3">
    <w:name w:val="标题 9 Char"/>
    <w:basedOn w:val="42"/>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4">
    <w:name w:val="标题 Char"/>
    <w:basedOn w:val="42"/>
    <w:link w:val="37"/>
    <w:qFormat/>
    <w:uiPriority w:val="10"/>
    <w:rPr>
      <w:rFonts w:ascii="Arial" w:hAnsi="Arial" w:eastAsia="Arial" w:cs="Arial"/>
      <w:spacing w:val="-10"/>
      <w:sz w:val="56"/>
      <w:szCs w:val="56"/>
    </w:rPr>
  </w:style>
  <w:style w:type="character" w:customStyle="1" w:styleId="185">
    <w:name w:val="副标题 Char"/>
    <w:basedOn w:val="42"/>
    <w:link w:val="29"/>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6">
    <w:name w:val="Quote"/>
    <w:basedOn w:val="1"/>
    <w:next w:val="1"/>
    <w:link w:val="18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7">
    <w:name w:val="引用 Char"/>
    <w:basedOn w:val="42"/>
    <w:link w:val="186"/>
    <w:qFormat/>
    <w:uiPriority w:val="29"/>
    <w:rPr>
      <w:i/>
      <w:iCs/>
      <w:color w:val="404040" w:themeColor="text1" w:themeTint="BF"/>
      <w14:textFill>
        <w14:solidFill>
          <w14:schemeClr w14:val="tx1">
            <w14:lumMod w14:val="75000"/>
            <w14:lumOff w14:val="25000"/>
          </w14:schemeClr>
        </w14:solidFill>
      </w14:textFill>
    </w:rPr>
  </w:style>
  <w:style w:type="character" w:customStyle="1" w:styleId="188">
    <w:name w:val="明显强调1"/>
    <w:basedOn w:val="42"/>
    <w:qFormat/>
    <w:uiPriority w:val="21"/>
    <w:rPr>
      <w:i/>
      <w:iCs/>
      <w:color w:val="376092" w:themeColor="accent1" w:themeShade="BF"/>
    </w:rPr>
  </w:style>
  <w:style w:type="paragraph" w:styleId="189">
    <w:name w:val="Intense Quote"/>
    <w:basedOn w:val="1"/>
    <w:next w:val="1"/>
    <w:link w:val="19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90">
    <w:name w:val="明显引用 Char"/>
    <w:basedOn w:val="42"/>
    <w:link w:val="189"/>
    <w:qFormat/>
    <w:uiPriority w:val="30"/>
    <w:rPr>
      <w:i/>
      <w:iCs/>
      <w:color w:val="376092" w:themeColor="accent1" w:themeShade="BF"/>
    </w:rPr>
  </w:style>
  <w:style w:type="character" w:customStyle="1" w:styleId="191">
    <w:name w:val="明显参考1"/>
    <w:basedOn w:val="42"/>
    <w:qFormat/>
    <w:uiPriority w:val="32"/>
    <w:rPr>
      <w:b/>
      <w:bCs/>
      <w:smallCaps/>
      <w:color w:val="376092" w:themeColor="accent1" w:themeShade="BF"/>
      <w:spacing w:val="5"/>
    </w:rPr>
  </w:style>
  <w:style w:type="paragraph" w:styleId="192">
    <w:name w:val="No Spacing"/>
    <w:basedOn w:val="1"/>
    <w:qFormat/>
    <w:uiPriority w:val="1"/>
  </w:style>
  <w:style w:type="character" w:customStyle="1" w:styleId="193">
    <w:name w:val="不明显强调1"/>
    <w:basedOn w:val="42"/>
    <w:qFormat/>
    <w:uiPriority w:val="19"/>
    <w:rPr>
      <w:i/>
      <w:iCs/>
      <w:color w:val="404040" w:themeColor="text1" w:themeTint="BF"/>
      <w14:textFill>
        <w14:solidFill>
          <w14:schemeClr w14:val="tx1">
            <w14:lumMod w14:val="75000"/>
            <w14:lumOff w14:val="25000"/>
          </w14:schemeClr>
        </w14:solidFill>
      </w14:textFill>
    </w:rPr>
  </w:style>
  <w:style w:type="character" w:customStyle="1" w:styleId="194">
    <w:name w:val="不明显参考1"/>
    <w:basedOn w:val="4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5">
    <w:name w:val="书籍标题1"/>
    <w:basedOn w:val="42"/>
    <w:qFormat/>
    <w:uiPriority w:val="33"/>
    <w:rPr>
      <w:b/>
      <w:bCs/>
      <w:i/>
      <w:iCs/>
      <w:spacing w:val="5"/>
    </w:rPr>
  </w:style>
  <w:style w:type="character" w:customStyle="1" w:styleId="196">
    <w:name w:val="Header Char"/>
    <w:basedOn w:val="42"/>
    <w:qFormat/>
    <w:uiPriority w:val="99"/>
  </w:style>
  <w:style w:type="character" w:customStyle="1" w:styleId="197">
    <w:name w:val="Footer Char"/>
    <w:basedOn w:val="42"/>
    <w:qFormat/>
    <w:uiPriority w:val="99"/>
  </w:style>
  <w:style w:type="character" w:customStyle="1" w:styleId="198">
    <w:name w:val="脚注文本 Char"/>
    <w:basedOn w:val="42"/>
    <w:link w:val="30"/>
    <w:semiHidden/>
    <w:qFormat/>
    <w:uiPriority w:val="99"/>
    <w:rPr>
      <w:sz w:val="20"/>
      <w:szCs w:val="20"/>
    </w:rPr>
  </w:style>
  <w:style w:type="character" w:customStyle="1" w:styleId="199">
    <w:name w:val="尾注文本 Char"/>
    <w:basedOn w:val="42"/>
    <w:link w:val="24"/>
    <w:semiHidden/>
    <w:qFormat/>
    <w:uiPriority w:val="99"/>
    <w:rPr>
      <w:sz w:val="20"/>
      <w:szCs w:val="20"/>
    </w:rPr>
  </w:style>
  <w:style w:type="character" w:styleId="200">
    <w:name w:val="Placeholder Text"/>
    <w:basedOn w:val="42"/>
    <w:semiHidden/>
    <w:qFormat/>
    <w:uiPriority w:val="99"/>
    <w:rPr>
      <w:color w:val="666666"/>
    </w:rPr>
  </w:style>
  <w:style w:type="paragraph" w:customStyle="1" w:styleId="201">
    <w:name w:val="TOC 标题1"/>
    <w:unhideWhenUsed/>
    <w:qFormat/>
    <w:uiPriority w:val="39"/>
    <w:rPr>
      <w:rFonts w:ascii="Times New Roman" w:hAnsi="Times New Roman" w:eastAsia="宋体" w:cs="Times New Roman"/>
      <w:lang w:val="en-US" w:eastAsia="zh-CN" w:bidi="ar-SA"/>
    </w:rPr>
  </w:style>
  <w:style w:type="paragraph" w:customStyle="1" w:styleId="202">
    <w:name w:val="目录 11"/>
    <w:basedOn w:val="1"/>
    <w:next w:val="1"/>
    <w:unhideWhenUsed/>
    <w:qFormat/>
    <w:uiPriority w:val="39"/>
  </w:style>
  <w:style w:type="paragraph" w:customStyle="1" w:styleId="203">
    <w:name w:val="标题 11"/>
    <w:basedOn w:val="1"/>
    <w:next w:val="1"/>
    <w:link w:val="210"/>
    <w:qFormat/>
    <w:uiPriority w:val="0"/>
    <w:pPr>
      <w:keepNext/>
      <w:keepLines/>
      <w:spacing w:before="340" w:after="330" w:line="578" w:lineRule="auto"/>
      <w:outlineLvl w:val="0"/>
    </w:pPr>
    <w:rPr>
      <w:b/>
      <w:bCs/>
      <w:sz w:val="44"/>
      <w:szCs w:val="44"/>
    </w:rPr>
  </w:style>
  <w:style w:type="paragraph" w:customStyle="1" w:styleId="204">
    <w:name w:val="标题 21"/>
    <w:basedOn w:val="1"/>
    <w:next w:val="1"/>
    <w:link w:val="211"/>
    <w:qFormat/>
    <w:uiPriority w:val="9"/>
    <w:pPr>
      <w:keepNext/>
      <w:keepLines/>
      <w:spacing w:before="260" w:after="260" w:line="416" w:lineRule="auto"/>
      <w:outlineLvl w:val="1"/>
    </w:pPr>
    <w:rPr>
      <w:rFonts w:ascii="Cambria" w:hAnsi="Cambria"/>
      <w:b/>
      <w:bCs/>
      <w:sz w:val="32"/>
      <w:szCs w:val="32"/>
    </w:rPr>
  </w:style>
  <w:style w:type="paragraph" w:customStyle="1" w:styleId="205">
    <w:name w:val="标题 31"/>
    <w:basedOn w:val="1"/>
    <w:next w:val="1"/>
    <w:qFormat/>
    <w:uiPriority w:val="9"/>
    <w:pPr>
      <w:spacing w:before="100" w:beforeAutospacing="1" w:after="100" w:afterAutospacing="1"/>
      <w:jc w:val="left"/>
      <w:outlineLvl w:val="2"/>
    </w:pPr>
    <w:rPr>
      <w:rFonts w:hint="eastAsia" w:ascii="宋体" w:hAnsi="宋体"/>
      <w:b/>
      <w:bCs/>
      <w:sz w:val="27"/>
      <w:szCs w:val="27"/>
    </w:rPr>
  </w:style>
  <w:style w:type="paragraph" w:customStyle="1" w:styleId="206">
    <w:name w:val="标题 51"/>
    <w:basedOn w:val="1"/>
    <w:next w:val="207"/>
    <w:link w:val="212"/>
    <w:qFormat/>
    <w:uiPriority w:val="9"/>
    <w:pPr>
      <w:keepNext/>
      <w:keepLines/>
      <w:spacing w:before="280" w:after="290" w:line="376" w:lineRule="auto"/>
      <w:outlineLvl w:val="4"/>
    </w:pPr>
    <w:rPr>
      <w:b/>
      <w:bCs/>
      <w:sz w:val="28"/>
      <w:szCs w:val="28"/>
    </w:rPr>
  </w:style>
  <w:style w:type="paragraph" w:customStyle="1" w:styleId="207">
    <w:name w:val="正文缩进11"/>
    <w:basedOn w:val="1"/>
    <w:qFormat/>
    <w:uiPriority w:val="0"/>
    <w:pPr>
      <w:ind w:firstLine="420"/>
    </w:pPr>
    <w:rPr>
      <w:szCs w:val="20"/>
    </w:rPr>
  </w:style>
  <w:style w:type="character" w:customStyle="1" w:styleId="208">
    <w:name w:val="默认段落字体1"/>
    <w:unhideWhenUsed/>
    <w:qFormat/>
    <w:uiPriority w:val="1"/>
  </w:style>
  <w:style w:type="table" w:customStyle="1" w:styleId="209">
    <w:name w:val="普通表格1"/>
    <w:unhideWhenUsed/>
    <w:qFormat/>
    <w:uiPriority w:val="99"/>
    <w:tblPr>
      <w:tblCellMar>
        <w:top w:w="0" w:type="dxa"/>
        <w:left w:w="108" w:type="dxa"/>
        <w:bottom w:w="0" w:type="dxa"/>
        <w:right w:w="108" w:type="dxa"/>
      </w:tblCellMar>
    </w:tblPr>
  </w:style>
  <w:style w:type="character" w:customStyle="1" w:styleId="210">
    <w:name w:val="标题 1 Char"/>
    <w:link w:val="203"/>
    <w:qFormat/>
    <w:uiPriority w:val="0"/>
    <w:rPr>
      <w:b/>
      <w:bCs/>
      <w:sz w:val="44"/>
      <w:szCs w:val="44"/>
    </w:rPr>
  </w:style>
  <w:style w:type="character" w:customStyle="1" w:styleId="211">
    <w:name w:val="标题 2 Char"/>
    <w:link w:val="204"/>
    <w:qFormat/>
    <w:uiPriority w:val="9"/>
    <w:rPr>
      <w:rFonts w:ascii="Cambria" w:hAnsi="Cambria" w:eastAsia="宋体" w:cs="Times New Roman"/>
      <w:b/>
      <w:bCs/>
      <w:sz w:val="32"/>
      <w:szCs w:val="32"/>
    </w:rPr>
  </w:style>
  <w:style w:type="character" w:customStyle="1" w:styleId="212">
    <w:name w:val="标题 5 Char"/>
    <w:link w:val="206"/>
    <w:semiHidden/>
    <w:qFormat/>
    <w:uiPriority w:val="9"/>
    <w:rPr>
      <w:rFonts w:ascii="Times New Roman" w:hAnsi="Times New Roman"/>
      <w:b/>
      <w:bCs/>
      <w:sz w:val="28"/>
      <w:szCs w:val="28"/>
    </w:rPr>
  </w:style>
  <w:style w:type="paragraph" w:customStyle="1" w:styleId="213">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4">
    <w:name w:val="批注文字1"/>
    <w:basedOn w:val="1"/>
    <w:link w:val="215"/>
    <w:qFormat/>
    <w:uiPriority w:val="0"/>
    <w:pPr>
      <w:jc w:val="left"/>
    </w:pPr>
  </w:style>
  <w:style w:type="character" w:customStyle="1" w:styleId="215">
    <w:name w:val="批注文字 Char"/>
    <w:link w:val="214"/>
    <w:qFormat/>
    <w:uiPriority w:val="0"/>
    <w:rPr>
      <w:rFonts w:ascii="Times New Roman" w:hAnsi="Times New Roman"/>
      <w:sz w:val="21"/>
      <w:szCs w:val="24"/>
    </w:rPr>
  </w:style>
  <w:style w:type="paragraph" w:customStyle="1" w:styleId="216">
    <w:name w:val="正文文本 31"/>
    <w:basedOn w:val="1"/>
    <w:link w:val="217"/>
    <w:unhideWhenUsed/>
    <w:qFormat/>
    <w:uiPriority w:val="99"/>
    <w:pPr>
      <w:spacing w:after="120"/>
    </w:pPr>
    <w:rPr>
      <w:sz w:val="16"/>
      <w:szCs w:val="16"/>
    </w:rPr>
  </w:style>
  <w:style w:type="character" w:customStyle="1" w:styleId="217">
    <w:name w:val="正文文本 3 Char"/>
    <w:link w:val="216"/>
    <w:semiHidden/>
    <w:qFormat/>
    <w:uiPriority w:val="99"/>
    <w:rPr>
      <w:rFonts w:ascii="Times New Roman" w:hAnsi="Times New Roman"/>
      <w:sz w:val="16"/>
      <w:szCs w:val="16"/>
    </w:rPr>
  </w:style>
  <w:style w:type="paragraph" w:customStyle="1" w:styleId="218">
    <w:name w:val="正文文本1"/>
    <w:basedOn w:val="1"/>
    <w:next w:val="219"/>
    <w:link w:val="220"/>
    <w:unhideWhenUsed/>
    <w:qFormat/>
    <w:uiPriority w:val="0"/>
    <w:pPr>
      <w:spacing w:after="120"/>
    </w:pPr>
  </w:style>
  <w:style w:type="paragraph" w:customStyle="1" w:styleId="219">
    <w:name w:val="日期1"/>
    <w:basedOn w:val="1"/>
    <w:next w:val="1"/>
    <w:link w:val="221"/>
    <w:unhideWhenUsed/>
    <w:qFormat/>
    <w:uiPriority w:val="99"/>
    <w:pPr>
      <w:ind w:left="100"/>
    </w:pPr>
  </w:style>
  <w:style w:type="character" w:customStyle="1" w:styleId="220">
    <w:name w:val="正文文本 Char"/>
    <w:link w:val="218"/>
    <w:qFormat/>
    <w:uiPriority w:val="0"/>
    <w:rPr>
      <w:rFonts w:ascii="Times New Roman" w:hAnsi="Times New Roman"/>
      <w:sz w:val="21"/>
      <w:szCs w:val="24"/>
    </w:rPr>
  </w:style>
  <w:style w:type="character" w:customStyle="1" w:styleId="221">
    <w:name w:val="日期 Char"/>
    <w:link w:val="219"/>
    <w:semiHidden/>
    <w:qFormat/>
    <w:uiPriority w:val="99"/>
    <w:rPr>
      <w:rFonts w:ascii="Times New Roman" w:hAnsi="Times New Roman"/>
      <w:sz w:val="21"/>
      <w:szCs w:val="24"/>
    </w:rPr>
  </w:style>
  <w:style w:type="paragraph" w:customStyle="1" w:styleId="222">
    <w:name w:val="正文文本缩进1"/>
    <w:basedOn w:val="1"/>
    <w:next w:val="1"/>
    <w:link w:val="223"/>
    <w:qFormat/>
    <w:uiPriority w:val="0"/>
    <w:pPr>
      <w:ind w:firstLine="830"/>
    </w:pPr>
    <w:rPr>
      <w:rFonts w:ascii="仿宋_GB2312" w:eastAsia="仿宋_GB2312"/>
      <w:sz w:val="32"/>
      <w:szCs w:val="20"/>
    </w:rPr>
  </w:style>
  <w:style w:type="character" w:customStyle="1" w:styleId="223">
    <w:name w:val="正文文本缩进 Char"/>
    <w:link w:val="222"/>
    <w:qFormat/>
    <w:uiPriority w:val="0"/>
    <w:rPr>
      <w:rFonts w:ascii="仿宋_GB2312" w:hAnsi="Times New Roman" w:eastAsia="仿宋_GB2312" w:cs="Times New Roman"/>
      <w:sz w:val="32"/>
      <w:szCs w:val="20"/>
    </w:rPr>
  </w:style>
  <w:style w:type="paragraph" w:customStyle="1" w:styleId="224">
    <w:name w:val="列表 21"/>
    <w:basedOn w:val="1"/>
    <w:unhideWhenUsed/>
    <w:qFormat/>
    <w:uiPriority w:val="99"/>
    <w:pPr>
      <w:ind w:left="100" w:hanging="200"/>
      <w:contextualSpacing/>
    </w:pPr>
  </w:style>
  <w:style w:type="paragraph" w:customStyle="1" w:styleId="225">
    <w:name w:val="纯文本1"/>
    <w:basedOn w:val="1"/>
    <w:link w:val="226"/>
    <w:qFormat/>
    <w:uiPriority w:val="0"/>
    <w:rPr>
      <w:rFonts w:ascii="宋体" w:hAnsi="Courier New"/>
      <w:sz w:val="20"/>
      <w:szCs w:val="21"/>
    </w:rPr>
  </w:style>
  <w:style w:type="character" w:customStyle="1" w:styleId="226">
    <w:name w:val="纯文本 Char"/>
    <w:link w:val="225"/>
    <w:qFormat/>
    <w:uiPriority w:val="0"/>
    <w:rPr>
      <w:rFonts w:ascii="宋体" w:hAnsi="Courier New" w:eastAsia="宋体" w:cs="Courier New"/>
      <w:szCs w:val="21"/>
    </w:rPr>
  </w:style>
  <w:style w:type="paragraph" w:customStyle="1" w:styleId="227">
    <w:name w:val="批注框文本1"/>
    <w:basedOn w:val="1"/>
    <w:semiHidden/>
    <w:qFormat/>
    <w:uiPriority w:val="0"/>
    <w:rPr>
      <w:sz w:val="18"/>
      <w:szCs w:val="18"/>
    </w:rPr>
  </w:style>
  <w:style w:type="paragraph" w:customStyle="1" w:styleId="228">
    <w:name w:val="页脚1"/>
    <w:basedOn w:val="1"/>
    <w:next w:val="1"/>
    <w:link w:val="229"/>
    <w:unhideWhenUsed/>
    <w:qFormat/>
    <w:uiPriority w:val="99"/>
    <w:pPr>
      <w:tabs>
        <w:tab w:val="center" w:pos="4153"/>
        <w:tab w:val="right" w:pos="8306"/>
      </w:tabs>
      <w:jc w:val="left"/>
    </w:pPr>
    <w:rPr>
      <w:sz w:val="18"/>
      <w:szCs w:val="18"/>
    </w:rPr>
  </w:style>
  <w:style w:type="character" w:customStyle="1" w:styleId="229">
    <w:name w:val="页脚 Char1"/>
    <w:link w:val="228"/>
    <w:qFormat/>
    <w:uiPriority w:val="99"/>
    <w:rPr>
      <w:sz w:val="18"/>
      <w:szCs w:val="18"/>
    </w:rPr>
  </w:style>
  <w:style w:type="paragraph" w:customStyle="1" w:styleId="230">
    <w:name w:val="页眉1"/>
    <w:basedOn w:val="1"/>
    <w:link w:val="231"/>
    <w:unhideWhenUsed/>
    <w:qFormat/>
    <w:uiPriority w:val="99"/>
    <w:pPr>
      <w:pBdr>
        <w:bottom w:val="single" w:color="000000" w:sz="6" w:space="1"/>
      </w:pBdr>
      <w:tabs>
        <w:tab w:val="center" w:pos="4153"/>
        <w:tab w:val="right" w:pos="8306"/>
      </w:tabs>
      <w:jc w:val="center"/>
    </w:pPr>
    <w:rPr>
      <w:sz w:val="18"/>
      <w:szCs w:val="18"/>
    </w:rPr>
  </w:style>
  <w:style w:type="character" w:customStyle="1" w:styleId="231">
    <w:name w:val="页眉 Char"/>
    <w:link w:val="230"/>
    <w:qFormat/>
    <w:uiPriority w:val="99"/>
    <w:rPr>
      <w:sz w:val="18"/>
      <w:szCs w:val="18"/>
    </w:rPr>
  </w:style>
  <w:style w:type="paragraph" w:customStyle="1" w:styleId="232">
    <w:name w:val="目录 41"/>
    <w:basedOn w:val="1"/>
    <w:next w:val="1"/>
    <w:qFormat/>
    <w:uiPriority w:val="0"/>
    <w:pPr>
      <w:ind w:left="850"/>
    </w:pPr>
  </w:style>
  <w:style w:type="paragraph" w:customStyle="1" w:styleId="233">
    <w:name w:val="脚注文本1"/>
    <w:basedOn w:val="1"/>
    <w:qFormat/>
    <w:uiPriority w:val="0"/>
    <w:pPr>
      <w:jc w:val="left"/>
    </w:pPr>
    <w:rPr>
      <w:sz w:val="18"/>
      <w:szCs w:val="18"/>
    </w:rPr>
  </w:style>
  <w:style w:type="paragraph" w:customStyle="1" w:styleId="234">
    <w:name w:val="目录 21"/>
    <w:basedOn w:val="1"/>
    <w:next w:val="1"/>
    <w:unhideWhenUsed/>
    <w:qFormat/>
    <w:uiPriority w:val="39"/>
    <w:pPr>
      <w:tabs>
        <w:tab w:val="right" w:leader="dot" w:pos="8296"/>
      </w:tabs>
      <w:ind w:left="420"/>
    </w:pPr>
  </w:style>
  <w:style w:type="paragraph" w:customStyle="1" w:styleId="235">
    <w:name w:val="正文文本 21"/>
    <w:basedOn w:val="1"/>
    <w:qFormat/>
    <w:uiPriority w:val="0"/>
    <w:pPr>
      <w:spacing w:after="120" w:line="480" w:lineRule="auto"/>
    </w:pPr>
    <w:rPr>
      <w:sz w:val="20"/>
    </w:rPr>
  </w:style>
  <w:style w:type="paragraph" w:customStyle="1" w:styleId="236">
    <w:name w:val="普通(网站)1"/>
    <w:basedOn w:val="1"/>
    <w:unhideWhenUsed/>
    <w:qFormat/>
    <w:uiPriority w:val="99"/>
    <w:rPr>
      <w:rFonts w:ascii="Calibri" w:hAnsi="Calibri"/>
      <w:sz w:val="24"/>
    </w:rPr>
  </w:style>
  <w:style w:type="paragraph" w:customStyle="1" w:styleId="237">
    <w:name w:val="索引 11"/>
    <w:basedOn w:val="1"/>
    <w:next w:val="1"/>
    <w:qFormat/>
    <w:uiPriority w:val="0"/>
  </w:style>
  <w:style w:type="paragraph" w:customStyle="1" w:styleId="238">
    <w:name w:val="标题1"/>
    <w:basedOn w:val="1"/>
    <w:next w:val="1"/>
    <w:qFormat/>
    <w:uiPriority w:val="10"/>
    <w:pPr>
      <w:spacing w:before="240" w:after="60"/>
      <w:jc w:val="center"/>
      <w:outlineLvl w:val="0"/>
    </w:pPr>
    <w:rPr>
      <w:rFonts w:ascii="Cambria" w:hAnsi="Cambria"/>
      <w:b/>
      <w:bCs/>
      <w:sz w:val="32"/>
      <w:szCs w:val="32"/>
    </w:rPr>
  </w:style>
  <w:style w:type="paragraph" w:customStyle="1" w:styleId="239">
    <w:name w:val="批注主题1"/>
    <w:basedOn w:val="214"/>
    <w:next w:val="214"/>
    <w:link w:val="240"/>
    <w:qFormat/>
    <w:uiPriority w:val="99"/>
    <w:rPr>
      <w:b/>
      <w:bCs/>
    </w:rPr>
  </w:style>
  <w:style w:type="character" w:customStyle="1" w:styleId="240">
    <w:name w:val="批注主题 Char"/>
    <w:link w:val="239"/>
    <w:qFormat/>
    <w:uiPriority w:val="99"/>
    <w:rPr>
      <w:rFonts w:ascii="Times New Roman" w:hAnsi="Times New Roman"/>
      <w:b/>
      <w:bCs/>
      <w:sz w:val="21"/>
      <w:szCs w:val="24"/>
    </w:rPr>
  </w:style>
  <w:style w:type="paragraph" w:customStyle="1" w:styleId="241">
    <w:name w:val="正文首行缩进1"/>
    <w:basedOn w:val="218"/>
    <w:next w:val="1"/>
    <w:unhideWhenUsed/>
    <w:qFormat/>
    <w:uiPriority w:val="99"/>
    <w:pPr>
      <w:ind w:firstLine="420"/>
    </w:pPr>
  </w:style>
  <w:style w:type="paragraph" w:customStyle="1" w:styleId="242">
    <w:name w:val="正文首行缩进 211"/>
    <w:basedOn w:val="222"/>
    <w:qFormat/>
    <w:uiPriority w:val="0"/>
    <w:pPr>
      <w:spacing w:after="120"/>
      <w:ind w:left="420" w:firstLine="420"/>
    </w:pPr>
    <w:rPr>
      <w:rFonts w:hAnsi="宋体" w:eastAsia="华文仿宋"/>
      <w:szCs w:val="32"/>
    </w:rPr>
  </w:style>
  <w:style w:type="table" w:customStyle="1" w:styleId="243">
    <w:name w:val="网格型1"/>
    <w:basedOn w:val="20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44">
    <w:name w:val="要点1"/>
    <w:qFormat/>
    <w:uiPriority w:val="0"/>
    <w:rPr>
      <w:b/>
    </w:rPr>
  </w:style>
  <w:style w:type="character" w:customStyle="1" w:styleId="245">
    <w:name w:val="已访问的超链接1"/>
    <w:qFormat/>
    <w:uiPriority w:val="0"/>
    <w:rPr>
      <w:color w:val="771CAA"/>
      <w:sz w:val="20"/>
      <w:u w:val="none"/>
    </w:rPr>
  </w:style>
  <w:style w:type="character" w:customStyle="1" w:styleId="246">
    <w:name w:val="强调1"/>
    <w:qFormat/>
    <w:uiPriority w:val="20"/>
    <w:rPr>
      <w:i/>
    </w:rPr>
  </w:style>
  <w:style w:type="character" w:customStyle="1" w:styleId="247">
    <w:name w:val="超链接1"/>
    <w:unhideWhenUsed/>
    <w:qFormat/>
    <w:uiPriority w:val="99"/>
    <w:rPr>
      <w:color w:val="0000FF"/>
      <w:u w:val="single"/>
    </w:rPr>
  </w:style>
  <w:style w:type="character" w:customStyle="1" w:styleId="248">
    <w:name w:val="批注引用1"/>
    <w:qFormat/>
    <w:uiPriority w:val="0"/>
    <w:rPr>
      <w:sz w:val="21"/>
      <w:szCs w:val="21"/>
    </w:rPr>
  </w:style>
  <w:style w:type="paragraph" w:customStyle="1" w:styleId="249">
    <w:name w:val="正文缩进1"/>
    <w:basedOn w:val="1"/>
    <w:next w:val="222"/>
    <w:qFormat/>
    <w:uiPriority w:val="0"/>
    <w:pPr>
      <w:ind w:firstLine="420"/>
    </w:pPr>
    <w:rPr>
      <w:szCs w:val="20"/>
    </w:rPr>
  </w:style>
  <w:style w:type="character" w:customStyle="1" w:styleId="250">
    <w:name w:val="font21"/>
    <w:qFormat/>
    <w:uiPriority w:val="0"/>
    <w:rPr>
      <w:rFonts w:hint="eastAsia" w:ascii="宋体" w:hAnsi="宋体" w:eastAsia="宋体" w:cs="宋体"/>
      <w:color w:val="000000"/>
      <w:sz w:val="20"/>
      <w:szCs w:val="20"/>
      <w:u w:val="none"/>
    </w:rPr>
  </w:style>
  <w:style w:type="character" w:customStyle="1" w:styleId="251">
    <w:name w:val="font01"/>
    <w:qFormat/>
    <w:uiPriority w:val="0"/>
    <w:rPr>
      <w:rFonts w:hint="eastAsia" w:ascii="宋体" w:hAnsi="宋体" w:eastAsia="宋体" w:cs="宋体"/>
      <w:color w:val="000000"/>
      <w:sz w:val="22"/>
      <w:szCs w:val="22"/>
      <w:u w:val="none"/>
    </w:rPr>
  </w:style>
  <w:style w:type="character" w:customStyle="1" w:styleId="252">
    <w:name w:val="页脚 Char"/>
    <w:qFormat/>
    <w:uiPriority w:val="99"/>
    <w:rPr>
      <w:lang w:eastAsia="zh-CN"/>
    </w:rPr>
  </w:style>
  <w:style w:type="character" w:customStyle="1" w:styleId="253">
    <w:name w:val="纯文本 字符2"/>
    <w:qFormat/>
    <w:uiPriority w:val="0"/>
    <w:rPr>
      <w:rFonts w:ascii="宋体" w:hAnsi="Courier New" w:eastAsia="宋体" w:cs="Courier New"/>
      <w:szCs w:val="21"/>
    </w:rPr>
  </w:style>
  <w:style w:type="character" w:customStyle="1" w:styleId="254">
    <w:name w:val="批注文字 字符2"/>
    <w:qFormat/>
    <w:uiPriority w:val="0"/>
    <w:rPr>
      <w:rFonts w:ascii="Times New Roman" w:hAnsi="Times New Roman"/>
      <w:sz w:val="21"/>
      <w:szCs w:val="24"/>
    </w:rPr>
  </w:style>
  <w:style w:type="character" w:customStyle="1" w:styleId="255">
    <w:name w:val="font31"/>
    <w:qFormat/>
    <w:uiPriority w:val="0"/>
    <w:rPr>
      <w:rFonts w:ascii="仿宋" w:hAnsi="仿宋" w:eastAsia="仿宋" w:cs="仿宋"/>
      <w:color w:val="000000"/>
      <w:sz w:val="18"/>
      <w:szCs w:val="18"/>
      <w:u w:val="none"/>
    </w:rPr>
  </w:style>
  <w:style w:type="character" w:customStyle="1" w:styleId="256">
    <w:name w:val="apple-style-span"/>
    <w:qFormat/>
    <w:uiPriority w:val="0"/>
  </w:style>
  <w:style w:type="character" w:customStyle="1" w:styleId="257">
    <w:name w:val="正文2 Char Char"/>
    <w:link w:val="258"/>
    <w:qFormat/>
    <w:uiPriority w:val="0"/>
    <w:rPr>
      <w:sz w:val="24"/>
    </w:rPr>
  </w:style>
  <w:style w:type="paragraph" w:customStyle="1" w:styleId="258">
    <w:name w:val="正文2"/>
    <w:basedOn w:val="1"/>
    <w:link w:val="257"/>
    <w:qFormat/>
    <w:uiPriority w:val="0"/>
    <w:pPr>
      <w:spacing w:before="156" w:line="360" w:lineRule="auto"/>
      <w:ind w:firstLine="510"/>
    </w:pPr>
    <w:rPr>
      <w:sz w:val="24"/>
      <w:szCs w:val="20"/>
    </w:rPr>
  </w:style>
  <w:style w:type="character" w:customStyle="1" w:styleId="259">
    <w:name w:val="font61"/>
    <w:qFormat/>
    <w:uiPriority w:val="0"/>
    <w:rPr>
      <w:rFonts w:ascii="Helvetica" w:hAnsi="Helvetica" w:eastAsia="Helvetica" w:cs="Helvetica"/>
      <w:color w:val="333333"/>
      <w:sz w:val="22"/>
      <w:szCs w:val="22"/>
      <w:u w:val="none"/>
    </w:rPr>
  </w:style>
  <w:style w:type="character" w:customStyle="1" w:styleId="260">
    <w:name w:val="纯文本 字符1"/>
    <w:qFormat/>
    <w:uiPriority w:val="0"/>
    <w:rPr>
      <w:rFonts w:ascii="宋体" w:hAnsi="Courier New"/>
    </w:rPr>
  </w:style>
  <w:style w:type="character" w:customStyle="1" w:styleId="261">
    <w:name w:val="textcontents"/>
    <w:qFormat/>
    <w:uiPriority w:val="0"/>
  </w:style>
  <w:style w:type="character" w:customStyle="1" w:styleId="262">
    <w:name w:val="正文文本 (26) + 间距 0 pt"/>
    <w:qFormat/>
    <w:uiPriority w:val="0"/>
    <w:rPr>
      <w:rFonts w:hint="eastAsia" w:ascii="宋体" w:hAnsi="宋体" w:eastAsia="宋体" w:cs="宋体"/>
      <w:color w:val="000000"/>
      <w:spacing w:val="0"/>
      <w:position w:val="0"/>
      <w:sz w:val="22"/>
      <w:szCs w:val="22"/>
      <w:u w:val="none"/>
      <w:lang w:val="zh-CN" w:eastAsia="zh-CN" w:bidi="zh-CN"/>
    </w:rPr>
  </w:style>
  <w:style w:type="character" w:customStyle="1" w:styleId="263">
    <w:name w:val="批注文字 字符1"/>
    <w:qFormat/>
    <w:uiPriority w:val="0"/>
    <w:rPr>
      <w:sz w:val="21"/>
      <w:szCs w:val="24"/>
    </w:rPr>
  </w:style>
  <w:style w:type="character" w:customStyle="1" w:styleId="264">
    <w:name w:val="批注文字 Char1"/>
    <w:qFormat/>
    <w:uiPriority w:val="0"/>
    <w:rPr>
      <w:rFonts w:ascii="Times New Roman" w:hAnsi="Times New Roman"/>
      <w:sz w:val="21"/>
      <w:szCs w:val="24"/>
    </w:rPr>
  </w:style>
  <w:style w:type="character" w:customStyle="1" w:styleId="265">
    <w:name w:val="font41"/>
    <w:qFormat/>
    <w:uiPriority w:val="0"/>
    <w:rPr>
      <w:rFonts w:hint="eastAsia" w:ascii="微软雅黑" w:hAnsi="微软雅黑" w:eastAsia="微软雅黑" w:cs="微软雅黑"/>
      <w:color w:val="000000"/>
      <w:sz w:val="28"/>
      <w:szCs w:val="28"/>
      <w:u w:val="none"/>
    </w:rPr>
  </w:style>
  <w:style w:type="character" w:customStyle="1" w:styleId="266">
    <w:name w:val="纯文本 Char1"/>
    <w:qFormat/>
    <w:uiPriority w:val="0"/>
    <w:rPr>
      <w:rFonts w:ascii="宋体" w:hAnsi="Courier New" w:eastAsia="宋体" w:cs="Courier New"/>
      <w:szCs w:val="21"/>
    </w:rPr>
  </w:style>
  <w:style w:type="character" w:customStyle="1" w:styleId="267">
    <w:name w:val="font51"/>
    <w:qFormat/>
    <w:uiPriority w:val="0"/>
    <w:rPr>
      <w:rFonts w:hint="eastAsia" w:ascii="宋体" w:hAnsi="宋体" w:eastAsia="宋体" w:cs="宋体"/>
      <w:color w:val="000000"/>
      <w:sz w:val="21"/>
      <w:szCs w:val="21"/>
      <w:u w:val="none"/>
    </w:rPr>
  </w:style>
  <w:style w:type="character" w:customStyle="1" w:styleId="268">
    <w:name w:val="批注文字 Char2"/>
    <w:qFormat/>
    <w:uiPriority w:val="0"/>
    <w:rPr>
      <w:rFonts w:ascii="Times New Roman" w:hAnsi="Times New Roman"/>
      <w:sz w:val="21"/>
      <w:szCs w:val="24"/>
    </w:rPr>
  </w:style>
  <w:style w:type="character" w:customStyle="1" w:styleId="269">
    <w:name w:val="正文文本缩进 字符1"/>
    <w:qFormat/>
    <w:uiPriority w:val="0"/>
    <w:rPr>
      <w:rFonts w:ascii="仿宋_GB2312" w:hAnsi="Times New Roman" w:eastAsia="仿宋_GB2312" w:cs="Times New Roman"/>
      <w:sz w:val="32"/>
      <w:szCs w:val="20"/>
    </w:rPr>
  </w:style>
  <w:style w:type="character" w:customStyle="1" w:styleId="270">
    <w:name w:val="font11"/>
    <w:qFormat/>
    <w:uiPriority w:val="0"/>
    <w:rPr>
      <w:rFonts w:hint="eastAsia" w:ascii="宋体" w:hAnsi="宋体" w:eastAsia="宋体" w:cs="宋体"/>
      <w:color w:val="000000"/>
      <w:sz w:val="18"/>
      <w:szCs w:val="18"/>
      <w:u w:val="none"/>
    </w:rPr>
  </w:style>
  <w:style w:type="character" w:customStyle="1" w:styleId="271">
    <w:name w:val="标题 1 字符"/>
    <w:qFormat/>
    <w:uiPriority w:val="9"/>
    <w:rPr>
      <w:b/>
      <w:bCs/>
      <w:sz w:val="44"/>
      <w:szCs w:val="44"/>
    </w:rPr>
  </w:style>
  <w:style w:type="paragraph" w:customStyle="1" w:styleId="272">
    <w:name w:val="Default"/>
    <w:qFormat/>
    <w:uiPriority w:val="0"/>
    <w:pPr>
      <w:widowControl w:val="0"/>
      <w:jc w:val="both"/>
    </w:pPr>
    <w:rPr>
      <w:rFonts w:ascii="宋体" w:hAnsi="Times New Roman" w:eastAsia="宋体" w:cs="Times New Roman"/>
      <w:color w:val="000000"/>
      <w:sz w:val="24"/>
      <w:szCs w:val="24"/>
      <w:lang w:val="en-US" w:eastAsia="zh-CN" w:bidi="ar-SA"/>
    </w:rPr>
  </w:style>
  <w:style w:type="paragraph" w:customStyle="1" w:styleId="273">
    <w:name w:val="BodyText1"/>
    <w:basedOn w:val="1"/>
    <w:qFormat/>
    <w:uiPriority w:val="0"/>
    <w:pPr>
      <w:spacing w:line="380" w:lineRule="exact"/>
    </w:pPr>
    <w:rPr>
      <w:sz w:val="24"/>
    </w:rPr>
  </w:style>
  <w:style w:type="paragraph" w:customStyle="1" w:styleId="274">
    <w:name w:val="Title1"/>
    <w:basedOn w:val="1"/>
    <w:next w:val="1"/>
    <w:qFormat/>
    <w:uiPriority w:val="0"/>
    <w:pPr>
      <w:jc w:val="center"/>
      <w:outlineLvl w:val="0"/>
    </w:pPr>
    <w:rPr>
      <w:rFonts w:ascii="Calibri Light" w:hAnsi="Calibri Light" w:eastAsia="Arial Unicode MS"/>
      <w:b/>
    </w:rPr>
  </w:style>
  <w:style w:type="paragraph" w:customStyle="1" w:styleId="275">
    <w:name w:val="默认段落字体 Para Char Char Char Char Char Char Char Char Char1 Char Char Char Char"/>
    <w:basedOn w:val="1"/>
    <w:qFormat/>
    <w:uiPriority w:val="0"/>
    <w:rPr>
      <w:rFonts w:ascii="Tahoma" w:hAnsi="Tahoma"/>
      <w:sz w:val="24"/>
      <w:szCs w:val="20"/>
    </w:rPr>
  </w:style>
  <w:style w:type="paragraph" w:customStyle="1" w:styleId="276">
    <w:name w:val="列出段落1"/>
    <w:basedOn w:val="1"/>
    <w:qFormat/>
    <w:uiPriority w:val="34"/>
    <w:pPr>
      <w:ind w:firstLine="420"/>
    </w:pPr>
  </w:style>
  <w:style w:type="paragraph" w:customStyle="1" w:styleId="277">
    <w:name w:val="正文1"/>
    <w:qFormat/>
    <w:uiPriority w:val="0"/>
    <w:pPr>
      <w:widowControl w:val="0"/>
      <w:spacing w:line="360" w:lineRule="auto"/>
      <w:jc w:val="both"/>
    </w:pPr>
    <w:rPr>
      <w:rFonts w:ascii="宋体" w:hAnsi="宋体" w:eastAsia="宋体" w:cs="Times New Roman"/>
      <w:sz w:val="21"/>
      <w:szCs w:val="24"/>
      <w:lang w:val="en-US" w:eastAsia="zh-CN" w:bidi="ar-SA"/>
    </w:rPr>
  </w:style>
  <w:style w:type="paragraph" w:styleId="278">
    <w:name w:val="List Paragraph"/>
    <w:basedOn w:val="1"/>
    <w:qFormat/>
    <w:uiPriority w:val="34"/>
    <w:pPr>
      <w:ind w:firstLine="420"/>
    </w:pPr>
  </w:style>
  <w:style w:type="paragraph" w:customStyle="1" w:styleId="279">
    <w:name w:val="p0"/>
    <w:basedOn w:val="1"/>
    <w:qFormat/>
    <w:uiPriority w:val="0"/>
    <w:pPr>
      <w:widowControl/>
    </w:pPr>
    <w:rPr>
      <w:szCs w:val="21"/>
    </w:rPr>
  </w:style>
  <w:style w:type="paragraph" w:customStyle="1" w:styleId="280">
    <w:name w:val="表格文字"/>
    <w:basedOn w:val="1"/>
    <w:qFormat/>
    <w:uiPriority w:val="0"/>
    <w:pPr>
      <w:spacing w:before="25" w:after="25"/>
      <w:jc w:val="left"/>
    </w:pPr>
    <w:rPr>
      <w:bCs/>
      <w:spacing w:val="10"/>
      <w:sz w:val="24"/>
    </w:rPr>
  </w:style>
  <w:style w:type="paragraph" w:customStyle="1" w:styleId="281">
    <w:name w:val="正文首行缩进 21"/>
    <w:basedOn w:val="222"/>
    <w:qFormat/>
    <w:uiPriority w:val="0"/>
    <w:pPr>
      <w:spacing w:after="120"/>
      <w:ind w:left="420" w:firstLine="420"/>
    </w:pPr>
    <w:rPr>
      <w:szCs w:val="24"/>
    </w:rPr>
  </w:style>
  <w:style w:type="paragraph" w:customStyle="1" w:styleId="282">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83">
    <w:name w:val="列出段落11"/>
    <w:basedOn w:val="1"/>
    <w:qFormat/>
    <w:uiPriority w:val="34"/>
    <w:pPr>
      <w:ind w:firstLine="420"/>
    </w:pPr>
    <w:rPr>
      <w:rFonts w:ascii="Calibri" w:hAnsi="Calibri"/>
      <w:szCs w:val="22"/>
    </w:rPr>
  </w:style>
  <w:style w:type="paragraph" w:customStyle="1" w:styleId="284">
    <w:name w:val="Table Paragraph"/>
    <w:basedOn w:val="1"/>
    <w:qFormat/>
    <w:uiPriority w:val="1"/>
    <w:pPr>
      <w:jc w:val="left"/>
    </w:pPr>
    <w:rPr>
      <w:rFonts w:ascii="Calibri" w:hAnsi="Calibri"/>
      <w:sz w:val="22"/>
      <w:szCs w:val="22"/>
      <w:lang w:eastAsia="en-US"/>
    </w:rPr>
  </w:style>
  <w:style w:type="paragraph" w:customStyle="1" w:styleId="285">
    <w:name w:val="目录 81"/>
    <w:basedOn w:val="1"/>
    <w:next w:val="1"/>
    <w:semiHidden/>
    <w:qFormat/>
    <w:uiPriority w:val="0"/>
    <w:pPr>
      <w:ind w:left="1470"/>
    </w:pPr>
    <w:rPr>
      <w:rFonts w:ascii="宋体"/>
      <w:sz w:val="18"/>
    </w:rPr>
  </w:style>
  <w:style w:type="character" w:customStyle="1" w:styleId="286">
    <w:name w:val="批注文字 Char3"/>
    <w:link w:val="14"/>
    <w:qFormat/>
    <w:uiPriority w:val="0"/>
    <w:rPr>
      <w:sz w:val="21"/>
      <w:szCs w:val="24"/>
    </w:rPr>
  </w:style>
  <w:style w:type="character" w:customStyle="1" w:styleId="287">
    <w:name w:val="批注主题 Char1"/>
    <w:link w:val="38"/>
    <w:qFormat/>
    <w:uiPriority w:val="0"/>
    <w:rPr>
      <w:b/>
      <w:bCs/>
      <w:sz w:val="21"/>
      <w:szCs w:val="24"/>
    </w:rPr>
  </w:style>
  <w:style w:type="character" w:customStyle="1" w:styleId="288">
    <w:name w:val="批注框文本 Char"/>
    <w:basedOn w:val="42"/>
    <w:link w:val="2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Company>
  <Pages>104</Pages>
  <Words>18942</Words>
  <Characters>20216</Characters>
  <Lines>528</Lines>
  <Paragraphs>148</Paragraphs>
  <TotalTime>12</TotalTime>
  <ScaleCrop>false</ScaleCrop>
  <LinksUpToDate>false</LinksUpToDate>
  <CharactersWithSpaces>20535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2025-12-03T09:53:00Z</dcterms:created>
  <dc:creator>唐</dc:creator>
  <cp:lastModifiedBy>黄冬妮</cp:lastModifiedBy>
  <cp:lastPrinted>2026-07-27T00:49:00Z</cp:lastPrinted>
  <dcterms:modified xsi:type="dcterms:W3CDTF">2026-08-17T03:21:51Z</dcterms:modified>
  <dc:title>竞争性谈判</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0731AC91C5B5498A9F6AF0FAD0D4C52F_13</vt:lpwstr>
  </property>
  <property fmtid="{D5CDD505-2E9C-101B-9397-08002B2CF9AE}" pid="4" name="KSOTemplateDocerSaveRecord">
    <vt:lpwstr>eyJoZGlkIjoiZjcxNmQ5OGMyODMwODc0MDYzZTFjNmEwMmVlZWI1YmEiLCJ1c2VySWQiOiIyNDI0MjAwMyJ9</vt:lpwstr>
  </property>
</Properties>
</file>