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458365">
      <w:pPr>
        <w:spacing w:line="360" w:lineRule="auto"/>
        <w:jc w:val="center"/>
        <w:rPr>
          <w:rFonts w:ascii="方正小标宋简体" w:hAnsi="宋体" w:eastAsia="方正小标宋简体"/>
          <w:color w:val="000000" w:themeColor="text1"/>
          <w:sz w:val="52"/>
          <w:szCs w:val="52"/>
          <w:highlight w:val="none"/>
          <w14:textFill>
            <w14:solidFill>
              <w14:schemeClr w14:val="tx1"/>
            </w14:solidFill>
          </w14:textFill>
        </w:rPr>
      </w:pPr>
    </w:p>
    <w:p w14:paraId="60CBC18C">
      <w:pPr>
        <w:spacing w:line="360" w:lineRule="auto"/>
        <w:jc w:val="center"/>
        <w:rPr>
          <w:rFonts w:ascii="方正小标宋简体" w:hAnsi="宋体" w:eastAsia="方正小标宋简体"/>
          <w:color w:val="000000" w:themeColor="text1"/>
          <w:sz w:val="52"/>
          <w:szCs w:val="52"/>
          <w:highlight w:val="none"/>
          <w14:textFill>
            <w14:solidFill>
              <w14:schemeClr w14:val="tx1"/>
            </w14:solidFill>
          </w14:textFill>
        </w:rPr>
      </w:pPr>
      <w:r>
        <w:rPr>
          <w:rFonts w:hint="eastAsia" w:ascii="方正小标宋简体" w:hAnsi="宋体" w:eastAsia="方正小标宋简体"/>
          <w:color w:val="000000" w:themeColor="text1"/>
          <w:sz w:val="52"/>
          <w:szCs w:val="52"/>
          <w:highlight w:val="none"/>
          <w14:textFill>
            <w14:solidFill>
              <w14:schemeClr w14:val="tx1"/>
            </w14:solidFill>
          </w14:textFill>
        </w:rPr>
        <w:t>云之龙咨询集团有限公司</w:t>
      </w:r>
    </w:p>
    <w:p w14:paraId="46231E7E">
      <w:pPr>
        <w:spacing w:line="360" w:lineRule="auto"/>
        <w:rPr>
          <w:rFonts w:ascii="仿宋_GB2312" w:hAnsi="宋体" w:eastAsia="仿宋_GB2312"/>
          <w:b/>
          <w:color w:val="000000" w:themeColor="text1"/>
          <w:sz w:val="48"/>
          <w:szCs w:val="48"/>
          <w:highlight w:val="none"/>
          <w14:textFill>
            <w14:solidFill>
              <w14:schemeClr w14:val="tx1"/>
            </w14:solidFill>
          </w14:textFill>
        </w:rPr>
      </w:pPr>
    </w:p>
    <w:p w14:paraId="4D04955F">
      <w:pPr>
        <w:spacing w:line="360" w:lineRule="auto"/>
        <w:jc w:val="center"/>
        <w:rPr>
          <w:rFonts w:ascii="华文新魏" w:hAnsi="宋体" w:eastAsia="华文新魏"/>
          <w:color w:val="000000" w:themeColor="text1"/>
          <w:sz w:val="120"/>
          <w:szCs w:val="120"/>
          <w:highlight w:val="none"/>
          <w14:textFill>
            <w14:solidFill>
              <w14:schemeClr w14:val="tx1"/>
            </w14:solidFill>
          </w14:textFill>
        </w:rPr>
      </w:pPr>
      <w:r>
        <w:rPr>
          <w:rFonts w:hint="eastAsia" w:ascii="华文新魏" w:hAnsi="宋体" w:eastAsia="华文新魏"/>
          <w:color w:val="000000" w:themeColor="text1"/>
          <w:sz w:val="120"/>
          <w:szCs w:val="120"/>
          <w:highlight w:val="none"/>
          <w14:textFill>
            <w14:solidFill>
              <w14:schemeClr w14:val="tx1"/>
            </w14:solidFill>
          </w14:textFill>
        </w:rPr>
        <w:t>招 标 文 件</w:t>
      </w:r>
    </w:p>
    <w:p w14:paraId="0E3B1EBB">
      <w:pPr>
        <w:spacing w:line="360" w:lineRule="auto"/>
        <w:jc w:val="center"/>
        <w:rPr>
          <w:rFonts w:ascii="仿宋_GB2312" w:hAnsi="宋体" w:eastAsia="仿宋_GB2312"/>
          <w:b/>
          <w:color w:val="000000" w:themeColor="text1"/>
          <w:sz w:val="48"/>
          <w:szCs w:val="48"/>
          <w:highlight w:val="none"/>
          <w14:textFill>
            <w14:solidFill>
              <w14:schemeClr w14:val="tx1"/>
            </w14:solidFill>
          </w14:textFill>
        </w:rPr>
      </w:pPr>
      <w:r>
        <w:rPr>
          <w:rFonts w:hint="eastAsia" w:ascii="仿宋_GB2312" w:hAnsi="宋体" w:eastAsia="仿宋_GB2312"/>
          <w:b/>
          <w:color w:val="000000" w:themeColor="text1"/>
          <w:sz w:val="48"/>
          <w:szCs w:val="48"/>
          <w:highlight w:val="none"/>
          <w14:textFill>
            <w14:solidFill>
              <w14:schemeClr w14:val="tx1"/>
            </w14:solidFill>
          </w14:textFill>
        </w:rPr>
        <w:t>（全流程电子化采购）</w:t>
      </w:r>
    </w:p>
    <w:p w14:paraId="26200CB4">
      <w:pPr>
        <w:spacing w:line="360" w:lineRule="auto"/>
        <w:rPr>
          <w:rFonts w:ascii="仿宋_GB2312" w:hAnsi="宋体" w:eastAsia="仿宋_GB2312"/>
          <w:color w:val="000000" w:themeColor="text1"/>
          <w:sz w:val="30"/>
          <w:szCs w:val="72"/>
          <w:highlight w:val="none"/>
          <w14:textFill>
            <w14:solidFill>
              <w14:schemeClr w14:val="tx1"/>
            </w14:solidFill>
          </w14:textFill>
        </w:rPr>
      </w:pPr>
    </w:p>
    <w:p w14:paraId="14694305">
      <w:pPr>
        <w:spacing w:line="360" w:lineRule="auto"/>
        <w:ind w:firstLine="1205"/>
        <w:rPr>
          <w:rFonts w:hint="default" w:ascii="仿宋_GB2312" w:hAnsi="宋体" w:eastAsia="仿宋_GB2312" w:cs="Courier New"/>
          <w:b/>
          <w:bCs/>
          <w:color w:val="000000" w:themeColor="text1"/>
          <w:sz w:val="30"/>
          <w:szCs w:val="30"/>
          <w:highlight w:val="none"/>
          <w14:textFill>
            <w14:solidFill>
              <w14:schemeClr w14:val="tx1"/>
            </w14:solidFill>
          </w14:textFill>
        </w:rPr>
      </w:pPr>
      <w:r>
        <w:rPr>
          <w:rFonts w:hint="eastAsia" w:ascii="仿宋_GB2312" w:hAnsi="宋体" w:eastAsia="仿宋_GB2312"/>
          <w:b/>
          <w:bCs/>
          <w:color w:val="000000" w:themeColor="text1"/>
          <w:sz w:val="30"/>
          <w:szCs w:val="30"/>
          <w:highlight w:val="none"/>
          <w14:textFill>
            <w14:solidFill>
              <w14:schemeClr w14:val="tx1"/>
            </w14:solidFill>
          </w14:textFill>
        </w:rPr>
        <w:t>项目</w:t>
      </w:r>
      <w:r>
        <w:rPr>
          <w:rFonts w:hint="eastAsia" w:ascii="仿宋_GB2312" w:hAnsi="宋体" w:eastAsia="仿宋_GB2312" w:cs="Courier New"/>
          <w:b/>
          <w:bCs/>
          <w:color w:val="000000" w:themeColor="text1"/>
          <w:sz w:val="30"/>
          <w:szCs w:val="30"/>
          <w:highlight w:val="none"/>
          <w14:textFill>
            <w14:solidFill>
              <w14:schemeClr w14:val="tx1"/>
            </w14:solidFill>
          </w14:textFill>
        </w:rPr>
        <w:t>名称</w:t>
      </w:r>
      <w:r>
        <w:rPr>
          <w:rFonts w:hint="eastAsia" w:ascii="仿宋_GB2312" w:hAnsi="宋体" w:eastAsia="仿宋_GB2312"/>
          <w:b/>
          <w:bCs/>
          <w:color w:val="000000" w:themeColor="text1"/>
          <w:sz w:val="30"/>
          <w:szCs w:val="30"/>
          <w:highlight w:val="none"/>
          <w14:textFill>
            <w14:solidFill>
              <w14:schemeClr w14:val="tx1"/>
            </w14:solidFill>
          </w14:textFill>
        </w:rPr>
        <w:t>：</w:t>
      </w:r>
      <w:r>
        <w:rPr>
          <w:rFonts w:hint="default" w:ascii="仿宋_GB2312" w:hAnsi="宋体" w:eastAsia="仿宋_GB2312" w:cs="Courier New"/>
          <w:b/>
          <w:bCs/>
          <w:color w:val="000000" w:themeColor="text1"/>
          <w:sz w:val="30"/>
          <w:szCs w:val="30"/>
          <w:highlight w:val="none"/>
          <w14:textFill>
            <w14:solidFill>
              <w14:schemeClr w14:val="tx1"/>
            </w14:solidFill>
          </w14:textFill>
        </w:rPr>
        <w:t>钦州市钦南区人民医院眼科手术显微镜</w:t>
      </w:r>
    </w:p>
    <w:p w14:paraId="6BAC2449">
      <w:pPr>
        <w:spacing w:line="360" w:lineRule="auto"/>
        <w:ind w:firstLine="2711"/>
        <w:rPr>
          <w:rFonts w:hint="default" w:ascii="仿宋_GB2312" w:hAnsi="宋体" w:eastAsia="仿宋_GB2312"/>
          <w:b/>
          <w:bCs/>
          <w:color w:val="000000" w:themeColor="text1"/>
          <w:sz w:val="30"/>
          <w:szCs w:val="30"/>
          <w:highlight w:val="none"/>
          <w14:textFill>
            <w14:solidFill>
              <w14:schemeClr w14:val="tx1"/>
            </w14:solidFill>
          </w14:textFill>
        </w:rPr>
      </w:pPr>
      <w:r>
        <w:rPr>
          <w:rFonts w:hint="default" w:ascii="仿宋_GB2312" w:hAnsi="宋体" w:eastAsia="仿宋_GB2312" w:cs="Courier New"/>
          <w:b/>
          <w:bCs/>
          <w:color w:val="000000" w:themeColor="text1"/>
          <w:sz w:val="30"/>
          <w:szCs w:val="30"/>
          <w:highlight w:val="none"/>
          <w14:textFill>
            <w14:solidFill>
              <w14:schemeClr w14:val="tx1"/>
            </w14:solidFill>
          </w14:textFill>
        </w:rPr>
        <w:t>等医疗设备采购项目</w:t>
      </w:r>
    </w:p>
    <w:p w14:paraId="4CF7D7AB">
      <w:pPr>
        <w:spacing w:line="360" w:lineRule="auto"/>
        <w:ind w:firstLine="1145"/>
        <w:rPr>
          <w:rFonts w:ascii="仿宋_GB2312" w:hAnsi="宋体" w:eastAsia="仿宋_GB2312"/>
          <w:color w:val="000000" w:themeColor="text1"/>
          <w:sz w:val="30"/>
          <w:szCs w:val="72"/>
          <w:highlight w:val="none"/>
          <w14:textFill>
            <w14:solidFill>
              <w14:schemeClr w14:val="tx1"/>
            </w14:solidFill>
          </w14:textFill>
        </w:rPr>
      </w:pPr>
      <w:r>
        <w:rPr>
          <w:rFonts w:hint="eastAsia" w:ascii="仿宋_GB2312" w:hAnsi="宋体" w:eastAsia="仿宋_GB2312" w:cs="Courier New"/>
          <w:b/>
          <w:bCs/>
          <w:color w:val="000000" w:themeColor="text1"/>
          <w:sz w:val="30"/>
          <w:szCs w:val="30"/>
          <w:highlight w:val="none"/>
          <w14:textFill>
            <w14:solidFill>
              <w14:schemeClr w14:val="tx1"/>
            </w14:solidFill>
          </w14:textFill>
        </w:rPr>
        <w:t>项目</w:t>
      </w:r>
      <w:r>
        <w:rPr>
          <w:rFonts w:hint="eastAsia" w:ascii="仿宋_GB2312" w:hAnsi="宋体" w:eastAsia="仿宋_GB2312"/>
          <w:b/>
          <w:bCs/>
          <w:color w:val="000000" w:themeColor="text1"/>
          <w:sz w:val="30"/>
          <w:szCs w:val="30"/>
          <w:highlight w:val="none"/>
          <w14:textFill>
            <w14:solidFill>
              <w14:schemeClr w14:val="tx1"/>
            </w14:solidFill>
          </w14:textFill>
        </w:rPr>
        <w:t>编号</w:t>
      </w:r>
      <w:r>
        <w:rPr>
          <w:rFonts w:hint="eastAsia" w:ascii="仿宋_GB2312" w:hAnsi="宋体" w:eastAsia="仿宋_GB2312" w:cs="Courier New"/>
          <w:b/>
          <w:bCs/>
          <w:color w:val="000000" w:themeColor="text1"/>
          <w:sz w:val="30"/>
          <w:szCs w:val="30"/>
          <w:highlight w:val="none"/>
          <w14:textFill>
            <w14:solidFill>
              <w14:schemeClr w14:val="tx1"/>
            </w14:solidFill>
          </w14:textFill>
        </w:rPr>
        <w:t>：QZZC2026-G1-020062-YZLZ</w:t>
      </w:r>
    </w:p>
    <w:p w14:paraId="563B991A">
      <w:pPr>
        <w:pStyle w:val="25"/>
        <w:spacing w:line="360" w:lineRule="auto"/>
        <w:ind w:firstLine="1125"/>
        <w:rPr>
          <w:rFonts w:hint="default" w:ascii="仿宋_GB2312" w:hAnsi="宋体" w:eastAsia="仿宋_GB2312"/>
          <w:b/>
          <w:bCs/>
          <w:color w:val="000000" w:themeColor="text1"/>
          <w:sz w:val="30"/>
          <w:szCs w:val="30"/>
          <w:highlight w:val="none"/>
          <w14:textFill>
            <w14:solidFill>
              <w14:schemeClr w14:val="tx1"/>
            </w14:solidFill>
          </w14:textFill>
        </w:rPr>
      </w:pPr>
      <w:r>
        <w:rPr>
          <w:rFonts w:hint="eastAsia" w:ascii="仿宋_GB2312" w:hAnsi="宋体" w:eastAsia="仿宋_GB2312"/>
          <w:b/>
          <w:bCs/>
          <w:color w:val="000000" w:themeColor="text1"/>
          <w:sz w:val="30"/>
          <w:szCs w:val="30"/>
          <w:highlight w:val="none"/>
          <w14:textFill>
            <w14:solidFill>
              <w14:schemeClr w14:val="tx1"/>
            </w14:solidFill>
          </w14:textFill>
        </w:rPr>
        <w:t xml:space="preserve">采 购 人： </w:t>
      </w:r>
      <w:r>
        <w:rPr>
          <w:rFonts w:hint="default" w:ascii="仿宋_GB2312" w:hAnsi="宋体" w:eastAsia="仿宋_GB2312"/>
          <w:b/>
          <w:bCs/>
          <w:color w:val="000000" w:themeColor="text1"/>
          <w:sz w:val="30"/>
          <w:szCs w:val="30"/>
          <w:highlight w:val="none"/>
          <w14:textFill>
            <w14:solidFill>
              <w14:schemeClr w14:val="tx1"/>
            </w14:solidFill>
          </w14:textFill>
        </w:rPr>
        <w:t>钦州市钦南区人民医院</w:t>
      </w:r>
    </w:p>
    <w:p w14:paraId="0F7D5B9E">
      <w:pPr>
        <w:pStyle w:val="25"/>
        <w:spacing w:line="360" w:lineRule="auto"/>
        <w:ind w:firstLine="1125"/>
        <w:rPr>
          <w:rFonts w:ascii="仿宋_GB2312" w:hAnsi="宋体" w:eastAsia="仿宋_GB2312"/>
          <w:b/>
          <w:bCs/>
          <w:color w:val="000000" w:themeColor="text1"/>
          <w:sz w:val="30"/>
          <w:szCs w:val="30"/>
          <w:highlight w:val="none"/>
          <w14:textFill>
            <w14:solidFill>
              <w14:schemeClr w14:val="tx1"/>
            </w14:solidFill>
          </w14:textFill>
        </w:rPr>
      </w:pPr>
      <w:r>
        <w:rPr>
          <w:rFonts w:hint="eastAsia" w:ascii="仿宋_GB2312" w:hAnsi="宋体" w:eastAsia="仿宋_GB2312"/>
          <w:b/>
          <w:bCs/>
          <w:color w:val="000000" w:themeColor="text1"/>
          <w:sz w:val="30"/>
          <w:szCs w:val="30"/>
          <w:highlight w:val="none"/>
          <w14:textFill>
            <w14:solidFill>
              <w14:schemeClr w14:val="tx1"/>
            </w14:solidFill>
          </w14:textFill>
        </w:rPr>
        <w:t>采购代理机构：云之龙咨询集团有限公司</w:t>
      </w:r>
    </w:p>
    <w:p w14:paraId="5DB61EEB">
      <w:pPr>
        <w:pStyle w:val="25"/>
        <w:spacing w:line="360" w:lineRule="auto"/>
        <w:ind w:firstLine="1125"/>
        <w:rPr>
          <w:rFonts w:ascii="仿宋_GB2312" w:hAnsi="宋体" w:eastAsia="仿宋_GB2312"/>
          <w:b/>
          <w:bCs/>
          <w:color w:val="000000" w:themeColor="text1"/>
          <w:sz w:val="30"/>
          <w:szCs w:val="30"/>
          <w:highlight w:val="none"/>
          <w14:textFill>
            <w14:solidFill>
              <w14:schemeClr w14:val="tx1"/>
            </w14:solidFill>
          </w14:textFill>
        </w:rPr>
      </w:pPr>
    </w:p>
    <w:p w14:paraId="5B13FA30">
      <w:pPr>
        <w:pStyle w:val="25"/>
        <w:spacing w:line="360" w:lineRule="auto"/>
        <w:ind w:firstLine="841"/>
        <w:rPr>
          <w:rFonts w:ascii="仿宋_GB2312" w:hAnsi="宋体" w:eastAsia="仿宋_GB2312"/>
          <w:b/>
          <w:bCs/>
          <w:color w:val="000000" w:themeColor="text1"/>
          <w:sz w:val="30"/>
          <w:szCs w:val="30"/>
          <w:highlight w:val="none"/>
          <w14:textFill>
            <w14:solidFill>
              <w14:schemeClr w14:val="tx1"/>
            </w14:solidFill>
          </w14:textFill>
        </w:rPr>
      </w:pPr>
    </w:p>
    <w:p w14:paraId="6D318837">
      <w:pPr>
        <w:pStyle w:val="25"/>
        <w:spacing w:line="360" w:lineRule="auto"/>
        <w:ind w:firstLine="841"/>
        <w:rPr>
          <w:rFonts w:ascii="仿宋_GB2312" w:eastAsia="仿宋_GB2312"/>
          <w:color w:val="000000" w:themeColor="text1"/>
          <w:szCs w:val="20"/>
          <w:highlight w:val="none"/>
          <w14:textFill>
            <w14:solidFill>
              <w14:schemeClr w14:val="tx1"/>
            </w14:solidFill>
          </w14:textFill>
        </w:rPr>
      </w:pPr>
      <w:r>
        <w:rPr>
          <w:rFonts w:hint="eastAsia" w:ascii="仿宋_GB2312" w:hAnsi="宋体" w:eastAsia="仿宋_GB2312"/>
          <w:b/>
          <w:bCs/>
          <w:color w:val="000000" w:themeColor="text1"/>
          <w:sz w:val="30"/>
          <w:szCs w:val="30"/>
          <w:highlight w:val="none"/>
          <w14:textFill>
            <w14:solidFill>
              <w14:schemeClr w14:val="tx1"/>
            </w14:solidFill>
          </w14:textFill>
        </w:rPr>
        <w:t xml:space="preserve">              2026年</w:t>
      </w:r>
      <w:r>
        <w:rPr>
          <w:rFonts w:hint="eastAsia" w:ascii="仿宋_GB2312" w:hAnsi="宋体" w:eastAsia="仿宋_GB2312"/>
          <w:b/>
          <w:bCs/>
          <w:color w:val="000000" w:themeColor="text1"/>
          <w:sz w:val="30"/>
          <w:szCs w:val="30"/>
          <w:highlight w:val="none"/>
          <w:lang w:val="en-US" w:eastAsia="zh-CN"/>
          <w14:textFill>
            <w14:solidFill>
              <w14:schemeClr w14:val="tx1"/>
            </w14:solidFill>
          </w14:textFill>
        </w:rPr>
        <w:t>9</w:t>
      </w:r>
      <w:r>
        <w:rPr>
          <w:rFonts w:hint="eastAsia" w:ascii="仿宋_GB2312" w:hAnsi="宋体" w:eastAsia="仿宋_GB2312"/>
          <w:b/>
          <w:bCs/>
          <w:color w:val="000000" w:themeColor="text1"/>
          <w:sz w:val="30"/>
          <w:szCs w:val="30"/>
          <w:highlight w:val="none"/>
          <w14:textFill>
            <w14:solidFill>
              <w14:schemeClr w14:val="tx1"/>
            </w14:solidFill>
          </w14:textFill>
        </w:rPr>
        <w:t>月</w:t>
      </w:r>
      <w:r>
        <w:rPr>
          <w:rFonts w:hint="eastAsia" w:ascii="仿宋_GB2312" w:hAnsi="宋体" w:eastAsia="仿宋_GB2312"/>
          <w:b/>
          <w:bCs/>
          <w:color w:val="000000" w:themeColor="text1"/>
          <w:sz w:val="30"/>
          <w:szCs w:val="30"/>
          <w:highlight w:val="none"/>
          <w:lang w:val="en-US" w:eastAsia="zh-CN"/>
          <w14:textFill>
            <w14:solidFill>
              <w14:schemeClr w14:val="tx1"/>
            </w14:solidFill>
          </w14:textFill>
        </w:rPr>
        <w:t>14</w:t>
      </w:r>
      <w:r>
        <w:rPr>
          <w:rFonts w:hint="eastAsia" w:ascii="仿宋_GB2312" w:hAnsi="宋体" w:eastAsia="仿宋_GB2312"/>
          <w:b/>
          <w:bCs/>
          <w:color w:val="000000" w:themeColor="text1"/>
          <w:sz w:val="30"/>
          <w:szCs w:val="30"/>
          <w:highlight w:val="none"/>
          <w14:textFill>
            <w14:solidFill>
              <w14:schemeClr w14:val="tx1"/>
            </w14:solidFill>
          </w14:textFill>
        </w:rPr>
        <w:t>日</w:t>
      </w:r>
    </w:p>
    <w:p w14:paraId="251164AC">
      <w:pPr>
        <w:pStyle w:val="17"/>
        <w:ind w:firstLine="803"/>
        <w:jc w:val="center"/>
        <w:rPr>
          <w:rFonts w:ascii="Arial" w:hAnsi="Arial" w:eastAsia="黑体"/>
          <w:bCs/>
          <w:color w:val="000000" w:themeColor="text1"/>
          <w:sz w:val="32"/>
          <w:szCs w:val="32"/>
          <w:highlight w:val="none"/>
          <w14:textFill>
            <w14:solidFill>
              <w14:schemeClr w14:val="tx1"/>
            </w14:solidFill>
          </w14:textFill>
        </w:rPr>
      </w:pPr>
      <w:r>
        <w:rPr>
          <w:rFonts w:ascii="Arial" w:hAnsi="Arial" w:eastAsia="黑体"/>
          <w:bCs/>
          <w:color w:val="000000" w:themeColor="text1"/>
          <w:sz w:val="32"/>
          <w:szCs w:val="32"/>
          <w:highlight w:val="none"/>
          <w14:textFill>
            <w14:solidFill>
              <w14:schemeClr w14:val="tx1"/>
            </w14:solidFill>
          </w14:textFill>
        </w:rPr>
        <w:br w:type="page" w:clear="all"/>
      </w:r>
    </w:p>
    <w:p w14:paraId="28BAB8D5">
      <w:pPr>
        <w:pStyle w:val="17"/>
        <w:ind w:firstLine="803"/>
        <w:jc w:val="center"/>
        <w:rPr>
          <w:b/>
          <w:color w:val="000000" w:themeColor="text1"/>
          <w:sz w:val="40"/>
          <w:highlight w:val="none"/>
          <w14:textFill>
            <w14:solidFill>
              <w14:schemeClr w14:val="tx1"/>
            </w14:solidFill>
          </w14:textFill>
        </w:rPr>
      </w:pPr>
    </w:p>
    <w:p w14:paraId="6A0ABFE4">
      <w:pPr>
        <w:pStyle w:val="25"/>
        <w:spacing w:before="120" w:after="120" w:line="360" w:lineRule="auto"/>
        <w:jc w:val="center"/>
        <w:rPr>
          <w:rFonts w:ascii="仿宋_GB2312" w:hAnsi="宋体" w:eastAsia="仿宋_GB2312"/>
          <w:color w:val="000000" w:themeColor="text1"/>
          <w:highlight w:val="none"/>
          <w14:textFill>
            <w14:solidFill>
              <w14:schemeClr w14:val="tx1"/>
            </w14:solidFill>
          </w14:textFill>
        </w:rPr>
      </w:pPr>
    </w:p>
    <w:p w14:paraId="20FC628A">
      <w:pPr>
        <w:spacing w:line="360" w:lineRule="auto"/>
        <w:jc w:val="center"/>
        <w:rPr>
          <w:rFonts w:ascii="宋体" w:hAnsi="宋体"/>
          <w:b/>
          <w:color w:val="000000" w:themeColor="text1"/>
          <w:sz w:val="44"/>
          <w:szCs w:val="44"/>
          <w:highlight w:val="none"/>
          <w14:textFill>
            <w14:solidFill>
              <w14:schemeClr w14:val="tx1"/>
            </w14:solidFill>
          </w14:textFill>
        </w:rPr>
      </w:pPr>
      <w:r>
        <w:rPr>
          <w:rFonts w:hint="eastAsia" w:ascii="宋体" w:hAnsi="宋体"/>
          <w:b/>
          <w:color w:val="000000" w:themeColor="text1"/>
          <w:sz w:val="44"/>
          <w:szCs w:val="44"/>
          <w:highlight w:val="none"/>
          <w14:textFill>
            <w14:solidFill>
              <w14:schemeClr w14:val="tx1"/>
            </w14:solidFill>
          </w14:textFill>
        </w:rPr>
        <w:t>目  录</w:t>
      </w:r>
    </w:p>
    <w:p w14:paraId="7AA95ECB">
      <w:pPr>
        <w:pStyle w:val="33"/>
        <w:tabs>
          <w:tab w:val="right" w:leader="dot" w:pos="8504"/>
          <w:tab w:val="clear" w:pos="8398"/>
        </w:tabs>
        <w:rPr>
          <w:color w:val="000000" w:themeColor="text1"/>
          <w:highlight w:val="none"/>
          <w14:textFill>
            <w14:solidFill>
              <w14:schemeClr w14:val="tx1"/>
            </w14:solidFill>
          </w14:textFill>
        </w:rPr>
      </w:pPr>
      <w:r>
        <w:rPr>
          <w:rFonts w:ascii="仿宋_GB2312" w:eastAsia="仿宋_GB2312"/>
          <w:b w:val="0"/>
          <w:color w:val="000000" w:themeColor="text1"/>
          <w:highlight w:val="none"/>
          <w14:textFill>
            <w14:solidFill>
              <w14:schemeClr w14:val="tx1"/>
            </w14:solidFill>
          </w14:textFill>
        </w:rPr>
        <w:fldChar w:fldCharType="begin"/>
      </w:r>
      <w:r>
        <w:rPr>
          <w:rFonts w:ascii="仿宋_GB2312" w:eastAsia="仿宋_GB2312"/>
          <w:b w:val="0"/>
          <w:color w:val="000000" w:themeColor="text1"/>
          <w:highlight w:val="none"/>
          <w14:textFill>
            <w14:solidFill>
              <w14:schemeClr w14:val="tx1"/>
            </w14:solidFill>
          </w14:textFill>
        </w:rPr>
        <w:instrText xml:space="preserve"> </w:instrText>
      </w:r>
      <w:r>
        <w:rPr>
          <w:rFonts w:hint="eastAsia" w:ascii="仿宋_GB2312" w:eastAsia="仿宋_GB2312"/>
          <w:b w:val="0"/>
          <w:color w:val="000000" w:themeColor="text1"/>
          <w:highlight w:val="none"/>
          <w14:textFill>
            <w14:solidFill>
              <w14:schemeClr w14:val="tx1"/>
            </w14:solidFill>
          </w14:textFill>
        </w:rPr>
        <w:instrText xml:space="preserve">TOC \o "1-2" \h \z \u</w:instrText>
      </w:r>
      <w:r>
        <w:rPr>
          <w:rFonts w:ascii="仿宋_GB2312" w:eastAsia="仿宋_GB2312"/>
          <w:b w:val="0"/>
          <w:color w:val="000000" w:themeColor="text1"/>
          <w:highlight w:val="none"/>
          <w14:textFill>
            <w14:solidFill>
              <w14:schemeClr w14:val="tx1"/>
            </w14:solidFill>
          </w14:textFill>
        </w:rPr>
        <w:instrText xml:space="preserve"> </w:instrText>
      </w:r>
      <w:r>
        <w:rPr>
          <w:rFonts w:ascii="仿宋_GB2312" w:eastAsia="仿宋_GB2312"/>
          <w:b w:val="0"/>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"_Toc25461"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 xml:space="preserve">第一章 </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招标公告</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_Toc25461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D526CA1">
      <w:pPr>
        <w:pStyle w:val="33"/>
        <w:tabs>
          <w:tab w:val="right" w:leader="dot" w:pos="8504"/>
          <w:tab w:val="clear" w:pos="839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"_Toc20586"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第二章  采购需求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_Toc20586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8818735">
      <w:pPr>
        <w:pStyle w:val="33"/>
        <w:tabs>
          <w:tab w:val="right" w:leader="dot" w:pos="8504"/>
          <w:tab w:val="clear" w:pos="839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"_Toc24568"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第三章  投标人须知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_Toc24568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64571A3">
      <w:pPr>
        <w:pStyle w:val="33"/>
        <w:tabs>
          <w:tab w:val="right" w:leader="dot" w:pos="8504"/>
          <w:tab w:val="clear" w:pos="839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"_Toc13922"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第四章  评标方法及评标标准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_Toc13922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2458B90">
      <w:pPr>
        <w:pStyle w:val="33"/>
        <w:tabs>
          <w:tab w:val="right" w:leader="dot" w:pos="8504"/>
          <w:tab w:val="clear" w:pos="839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"_Toc5670"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第五章  拟签订的合同文本</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_Toc5670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620ED00">
      <w:pPr>
        <w:pStyle w:val="33"/>
        <w:tabs>
          <w:tab w:val="right" w:leader="dot" w:pos="8504"/>
          <w:tab w:val="clear" w:pos="839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"_Toc17283"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第六章　投标文件格式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_Toc17283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103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9E2BC24">
      <w:pPr>
        <w:spacing w:line="360" w:lineRule="auto"/>
        <w:rPr>
          <w:rFonts w:ascii="仿宋_GB2312" w:hAnsi="宋体" w:eastAsia="仿宋_GB2312"/>
          <w:color w:val="000000" w:themeColor="text1"/>
          <w:sz w:val="24"/>
          <w:highlight w:val="none"/>
          <w14:textFill>
            <w14:solidFill>
              <w14:schemeClr w14:val="tx1"/>
            </w14:solidFill>
          </w14:textFill>
        </w:rPr>
      </w:pPr>
      <w:r>
        <w:rPr>
          <w:rFonts w:ascii="仿宋_GB2312" w:hAnsi="宋体" w:eastAsia="仿宋_GB2312"/>
          <w:b/>
          <w:color w:val="000000" w:themeColor="text1"/>
          <w:sz w:val="24"/>
          <w:highlight w:val="none"/>
          <w14:textFill>
            <w14:solidFill>
              <w14:schemeClr w14:val="tx1"/>
            </w14:solidFill>
          </w14:textFill>
        </w:rPr>
        <w:fldChar w:fldCharType="end"/>
      </w:r>
    </w:p>
    <w:p w14:paraId="7AB53C48">
      <w:pPr>
        <w:spacing w:line="480" w:lineRule="exact"/>
        <w:rPr>
          <w:rFonts w:ascii="仿宋_GB2312" w:hAnsi="宋体" w:eastAsia="仿宋_GB2312"/>
          <w:color w:val="000000" w:themeColor="text1"/>
          <w:sz w:val="30"/>
          <w:highlight w:val="none"/>
          <w14:textFill>
            <w14:solidFill>
              <w14:schemeClr w14:val="tx1"/>
            </w14:solidFill>
          </w14:textFill>
        </w:rPr>
      </w:pPr>
    </w:p>
    <w:p w14:paraId="78AB380C">
      <w:pPr>
        <w:rPr>
          <w:color w:val="000000" w:themeColor="text1"/>
          <w:highlight w:val="none"/>
          <w14:textFill>
            <w14:solidFill>
              <w14:schemeClr w14:val="tx1"/>
            </w14:solidFill>
          </w14:textFill>
        </w:rPr>
      </w:pPr>
    </w:p>
    <w:p w14:paraId="0A4C1238">
      <w:pPr>
        <w:spacing w:line="480" w:lineRule="exact"/>
        <w:rPr>
          <w:rFonts w:ascii="仿宋_GB2312" w:hAnsi="宋体" w:eastAsia="仿宋_GB2312"/>
          <w:color w:val="000000" w:themeColor="text1"/>
          <w:sz w:val="30"/>
          <w:highlight w:val="none"/>
          <w14:textFill>
            <w14:solidFill>
              <w14:schemeClr w14:val="tx1"/>
            </w14:solidFill>
          </w14:textFill>
        </w:rPr>
      </w:pPr>
    </w:p>
    <w:p w14:paraId="119EBECE">
      <w:pPr>
        <w:spacing w:line="480" w:lineRule="exact"/>
        <w:rPr>
          <w:rFonts w:ascii="仿宋_GB2312" w:hAnsi="宋体" w:eastAsia="仿宋_GB2312"/>
          <w:color w:val="000000" w:themeColor="text1"/>
          <w:sz w:val="30"/>
          <w:highlight w:val="none"/>
          <w14:textFill>
            <w14:solidFill>
              <w14:schemeClr w14:val="tx1"/>
            </w14:solidFill>
          </w14:textFill>
        </w:rPr>
      </w:pPr>
    </w:p>
    <w:p w14:paraId="150BEE05">
      <w:pPr>
        <w:pStyle w:val="17"/>
        <w:rPr>
          <w:rFonts w:ascii="宋体" w:hAnsi="宋体" w:cs="宋体"/>
          <w:b/>
          <w:bCs/>
          <w:color w:val="000000" w:themeColor="text1"/>
          <w:highlight w:val="none"/>
          <w14:textFill>
            <w14:solidFill>
              <w14:schemeClr w14:val="tx1"/>
            </w14:solidFill>
          </w14:textFill>
        </w:rPr>
      </w:pPr>
    </w:p>
    <w:p w14:paraId="341E98E6">
      <w:pPr>
        <w:pStyle w:val="2"/>
        <w:keepNext w:val="0"/>
        <w:keepLines w:val="0"/>
        <w:spacing w:before="0" w:after="0" w:line="240" w:lineRule="auto"/>
        <w:jc w:val="center"/>
        <w:rPr>
          <w:color w:val="000000" w:themeColor="text1"/>
          <w:highlight w:val="none"/>
          <w14:textFill>
            <w14:solidFill>
              <w14:schemeClr w14:val="tx1"/>
            </w14:solidFill>
          </w14:textFill>
        </w:rPr>
      </w:pPr>
      <w:r>
        <w:rPr>
          <w:rFonts w:ascii="宋体" w:hAnsi="宋体" w:cs="宋体"/>
          <w:b w:val="0"/>
          <w:bCs w:val="0"/>
          <w:color w:val="000000" w:themeColor="text1"/>
          <w:highlight w:val="none"/>
          <w14:textFill>
            <w14:solidFill>
              <w14:schemeClr w14:val="tx1"/>
            </w14:solidFill>
          </w14:textFill>
        </w:rPr>
        <w:br w:type="page" w:clear="all"/>
      </w:r>
      <w:bookmarkStart w:id="0" w:name="_Toc25461"/>
      <w:r>
        <w:rPr>
          <w:rFonts w:hint="eastAsia"/>
          <w:color w:val="000000" w:themeColor="text1"/>
          <w:highlight w:val="none"/>
          <w14:textFill>
            <w14:solidFill>
              <w14:schemeClr w14:val="tx1"/>
            </w14:solidFill>
          </w14:textFill>
        </w:rPr>
        <w:t>第一章 招标公告</w:t>
      </w:r>
      <w:bookmarkEnd w:id="0"/>
    </w:p>
    <w:p w14:paraId="39EDDFE7">
      <w:pPr>
        <w:spacing w:line="360" w:lineRule="auto"/>
        <w:rPr>
          <w:rFonts w:ascii="宋体" w:hAnsi="宋体"/>
          <w:color w:val="000000" w:themeColor="text1"/>
          <w:szCs w:val="21"/>
          <w:highlight w:val="none"/>
          <w14:textFill>
            <w14:solidFill>
              <w14:schemeClr w14:val="tx1"/>
            </w14:solidFill>
          </w14:textFill>
        </w:rPr>
      </w:pPr>
    </w:p>
    <w:p w14:paraId="5778D9C2">
      <w:pPr>
        <w:pBdr>
          <w:top w:val="single" w:color="000000" w:sz="4" w:space="1"/>
          <w:left w:val="single" w:color="000000" w:sz="4" w:space="4"/>
          <w:bottom w:val="single" w:color="000000" w:sz="4" w:space="1"/>
          <w:right w:val="single" w:color="000000" w:sz="4" w:space="4"/>
        </w:pBdr>
        <w:spacing w:line="480" w:lineRule="exact"/>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项目概况</w:t>
      </w:r>
    </w:p>
    <w:p w14:paraId="00B68990">
      <w:pPr>
        <w:pBdr>
          <w:top w:val="single" w:color="000000" w:sz="4" w:space="1"/>
          <w:left w:val="single" w:color="000000" w:sz="4" w:space="4"/>
          <w:bottom w:val="single" w:color="000000" w:sz="4" w:space="1"/>
          <w:right w:val="single" w:color="000000" w:sz="4" w:space="4"/>
        </w:pBdr>
        <w:spacing w:line="480" w:lineRule="exact"/>
        <w:ind w:firstLine="420"/>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u w:val="single"/>
          <w14:textFill>
            <w14:solidFill>
              <w14:schemeClr w14:val="tx1"/>
            </w14:solidFill>
          </w14:textFill>
        </w:rPr>
        <w:t xml:space="preserve"> </w:t>
      </w:r>
      <w:r>
        <w:rPr>
          <w:rFonts w:hint="default" w:ascii="宋体" w:hAnsi="宋体"/>
          <w:color w:val="000000" w:themeColor="text1"/>
          <w:szCs w:val="21"/>
          <w:highlight w:val="none"/>
          <w:u w:val="single"/>
          <w14:textFill>
            <w14:solidFill>
              <w14:schemeClr w14:val="tx1"/>
            </w14:solidFill>
          </w14:textFill>
        </w:rPr>
        <w:t>钦州市钦南区人民医院眼科手术显微镜等医疗设备采购项目</w:t>
      </w:r>
      <w:r>
        <w:rPr>
          <w:rFonts w:hint="eastAsia" w:ascii="宋体" w:hAnsi="宋体"/>
          <w:color w:val="000000" w:themeColor="text1"/>
          <w:szCs w:val="21"/>
          <w:highlight w:val="none"/>
          <w14:textFill>
            <w14:solidFill>
              <w14:schemeClr w14:val="tx1"/>
            </w14:solidFill>
          </w14:textFill>
        </w:rPr>
        <w:t xml:space="preserve"> 招标项目的潜在投标人应在广西政府采购云平台（</w:t>
      </w:r>
      <w:r>
        <w:rPr>
          <w:rFonts w:hint="eastAsia" w:ascii="宋体" w:hAnsi="宋体"/>
          <w:bCs/>
          <w:color w:val="000000" w:themeColor="text1"/>
          <w:szCs w:val="21"/>
          <w:highlight w:val="none"/>
          <w14:textFill>
            <w14:solidFill>
              <w14:schemeClr w14:val="tx1"/>
            </w14:solidFill>
          </w14:textFill>
        </w:rPr>
        <w:t>https://www.gcy.zfcg.gxzf.gov.cn/</w:t>
      </w:r>
      <w:r>
        <w:rPr>
          <w:rFonts w:hint="eastAsia" w:ascii="宋体" w:hAnsi="宋体"/>
          <w:color w:val="000000" w:themeColor="text1"/>
          <w:szCs w:val="21"/>
          <w:highlight w:val="none"/>
          <w14:textFill>
            <w14:solidFill>
              <w14:schemeClr w14:val="tx1"/>
            </w14:solidFill>
          </w14:textFill>
        </w:rPr>
        <w:t>）获取（下载）招标文件，并于</w:t>
      </w:r>
      <w:r>
        <w:rPr>
          <w:rFonts w:hint="eastAsia" w:ascii="宋体" w:hAnsi="宋体"/>
          <w:color w:val="000000" w:themeColor="text1"/>
          <w:szCs w:val="21"/>
          <w:highlight w:val="none"/>
          <w:u w:val="single"/>
          <w:lang w:eastAsia="zh-CN"/>
          <w14:textFill>
            <w14:solidFill>
              <w14:schemeClr w14:val="tx1"/>
            </w14:solidFill>
          </w14:textFill>
        </w:rPr>
        <w:t>2026年</w:t>
      </w:r>
      <w:r>
        <w:rPr>
          <w:rFonts w:hint="eastAsia" w:ascii="宋体" w:hAnsi="宋体"/>
          <w:color w:val="000000" w:themeColor="text1"/>
          <w:szCs w:val="21"/>
          <w:highlight w:val="none"/>
          <w:u w:val="single"/>
          <w:lang w:val="en-US" w:eastAsia="zh-CN"/>
          <w14:textFill>
            <w14:solidFill>
              <w14:schemeClr w14:val="tx1"/>
            </w14:solidFill>
          </w14:textFill>
        </w:rPr>
        <w:t>10</w:t>
      </w:r>
      <w:r>
        <w:rPr>
          <w:rFonts w:hint="eastAsia" w:ascii="宋体" w:hAnsi="宋体"/>
          <w:color w:val="000000" w:themeColor="text1"/>
          <w:szCs w:val="21"/>
          <w:highlight w:val="none"/>
          <w:u w:val="single"/>
          <w:lang w:eastAsia="zh-CN"/>
          <w14:textFill>
            <w14:solidFill>
              <w14:schemeClr w14:val="tx1"/>
            </w14:solidFill>
          </w14:textFill>
        </w:rPr>
        <w:t>月</w:t>
      </w:r>
      <w:r>
        <w:rPr>
          <w:rFonts w:hint="eastAsia" w:ascii="宋体" w:hAnsi="宋体"/>
          <w:color w:val="000000" w:themeColor="text1"/>
          <w:szCs w:val="21"/>
          <w:highlight w:val="none"/>
          <w:u w:val="single"/>
          <w:lang w:val="en-US" w:eastAsia="zh-CN"/>
          <w14:textFill>
            <w14:solidFill>
              <w14:schemeClr w14:val="tx1"/>
            </w14:solidFill>
          </w14:textFill>
        </w:rPr>
        <w:t>13</w:t>
      </w:r>
      <w:r>
        <w:rPr>
          <w:rFonts w:hint="eastAsia" w:ascii="宋体" w:hAnsi="宋体"/>
          <w:color w:val="000000" w:themeColor="text1"/>
          <w:szCs w:val="21"/>
          <w:highlight w:val="none"/>
          <w:u w:val="single"/>
          <w:lang w:eastAsia="zh-CN"/>
          <w14:textFill>
            <w14:solidFill>
              <w14:schemeClr w14:val="tx1"/>
            </w14:solidFill>
          </w14:textFill>
        </w:rPr>
        <w:t>日</w:t>
      </w:r>
      <w:r>
        <w:rPr>
          <w:rFonts w:hint="eastAsia" w:ascii="宋体" w:hAnsi="宋体"/>
          <w:bCs/>
          <w:color w:val="000000" w:themeColor="text1"/>
          <w:szCs w:val="21"/>
          <w:highlight w:val="none"/>
          <w:u w:val="single"/>
          <w14:textFill>
            <w14:solidFill>
              <w14:schemeClr w14:val="tx1"/>
            </w14:solidFill>
          </w14:textFill>
        </w:rPr>
        <w:t>9时30分（</w:t>
      </w:r>
      <w:r>
        <w:rPr>
          <w:rFonts w:hint="eastAsia" w:ascii="宋体" w:hAnsi="宋体"/>
          <w:bCs/>
          <w:color w:val="000000" w:themeColor="text1"/>
          <w:szCs w:val="21"/>
          <w:highlight w:val="none"/>
          <w14:textFill>
            <w14:solidFill>
              <w14:schemeClr w14:val="tx1"/>
            </w14:solidFill>
          </w14:textFill>
        </w:rPr>
        <w:t>北京时间）前按要求递交（上传）投标</w:t>
      </w:r>
      <w:r>
        <w:rPr>
          <w:rFonts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w:t>
      </w:r>
    </w:p>
    <w:p w14:paraId="414579D3">
      <w:pPr>
        <w:spacing w:line="480" w:lineRule="exact"/>
        <w:rPr>
          <w:rFonts w:ascii="黑体" w:hAnsi="黑体" w:eastAsia="黑体"/>
          <w:b/>
          <w:bCs/>
          <w:color w:val="000000" w:themeColor="text1"/>
          <w:sz w:val="24"/>
          <w:highlight w:val="none"/>
          <w14:textFill>
            <w14:solidFill>
              <w14:schemeClr w14:val="tx1"/>
            </w14:solidFill>
          </w14:textFill>
        </w:rPr>
      </w:pPr>
      <w:r>
        <w:rPr>
          <w:rFonts w:hint="eastAsia" w:ascii="黑体" w:hAnsi="黑体" w:eastAsia="黑体"/>
          <w:b/>
          <w:bCs/>
          <w:color w:val="000000" w:themeColor="text1"/>
          <w:sz w:val="24"/>
          <w:highlight w:val="none"/>
          <w14:textFill>
            <w14:solidFill>
              <w14:schemeClr w14:val="tx1"/>
            </w14:solidFill>
          </w14:textFill>
        </w:rPr>
        <w:t>一、项目基本情况</w:t>
      </w:r>
    </w:p>
    <w:p w14:paraId="4E19BC2B">
      <w:pPr>
        <w:spacing w:line="480" w:lineRule="exact"/>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项目编号：QZZC2026-G1-020062-YZLZ</w:t>
      </w:r>
    </w:p>
    <w:p w14:paraId="5A6CB4BB">
      <w:pPr>
        <w:spacing w:line="480" w:lineRule="exact"/>
        <w:ind w:firstLine="420"/>
        <w:rPr>
          <w:rFonts w:hint="default"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项目名称： </w:t>
      </w:r>
      <w:r>
        <w:rPr>
          <w:rFonts w:hint="default" w:ascii="宋体" w:hAnsi="宋体"/>
          <w:color w:val="000000" w:themeColor="text1"/>
          <w:szCs w:val="21"/>
          <w:highlight w:val="none"/>
          <w14:textFill>
            <w14:solidFill>
              <w14:schemeClr w14:val="tx1"/>
            </w14:solidFill>
          </w14:textFill>
        </w:rPr>
        <w:t>钦州市钦南区人民医院眼科手术显微镜等医疗设备采购项目</w:t>
      </w:r>
    </w:p>
    <w:p w14:paraId="2E1C23E0">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预算总金额（元）</w:t>
      </w:r>
      <w:r>
        <w:rPr>
          <w:rFonts w:hint="eastAsia" w:ascii="宋体" w:hAnsi="宋体"/>
          <w:color w:val="000000" w:themeColor="text1"/>
          <w:szCs w:val="21"/>
          <w:highlight w:val="none"/>
          <w14:textFill>
            <w14:solidFill>
              <w14:schemeClr w14:val="tx1"/>
            </w14:solidFill>
          </w14:textFill>
        </w:rPr>
        <w:t>：人民币肆佰柒拾肆万元整（¥</w:t>
      </w:r>
      <w:r>
        <w:rPr>
          <w:rFonts w:hint="eastAsia" w:ascii="宋体" w:hAnsi="宋体"/>
          <w:color w:val="000000" w:themeColor="text1"/>
          <w:szCs w:val="21"/>
          <w:highlight w:val="none"/>
          <w:lang w:val="en-US" w:eastAsia="zh-CN"/>
          <w14:textFill>
            <w14:solidFill>
              <w14:schemeClr w14:val="tx1"/>
            </w14:solidFill>
          </w14:textFill>
        </w:rPr>
        <w:t>4740000</w:t>
      </w:r>
      <w:r>
        <w:rPr>
          <w:rFonts w:hint="eastAsia" w:ascii="宋体" w:hAnsi="宋体"/>
          <w:color w:val="000000" w:themeColor="text1"/>
          <w:szCs w:val="21"/>
          <w:highlight w:val="none"/>
          <w14:textFill>
            <w14:solidFill>
              <w14:schemeClr w14:val="tx1"/>
            </w14:solidFill>
          </w14:textFill>
        </w:rPr>
        <w:t>.00）</w:t>
      </w:r>
    </w:p>
    <w:p w14:paraId="684DE588">
      <w:pPr>
        <w:spacing w:line="360" w:lineRule="auto"/>
        <w:ind w:firstLine="420"/>
        <w:rPr>
          <w:rFonts w:hint="default" w:ascii="宋体" w:hAnsi="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1分标</w:t>
      </w:r>
    </w:p>
    <w:p w14:paraId="1523F698">
      <w:pPr>
        <w:spacing w:line="360" w:lineRule="auto"/>
        <w:ind w:firstLine="420"/>
        <w:rPr>
          <w:rFonts w:hint="eastAsia" w:ascii="宋体" w:hAnsi="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标项名称：</w:t>
      </w:r>
      <w:r>
        <w:rPr>
          <w:rFonts w:hint="eastAsia" w:ascii="宋体" w:hAnsi="宋体" w:eastAsia="宋体" w:cs="Times New Roman"/>
          <w:color w:val="000000" w:themeColor="text1"/>
          <w:sz w:val="21"/>
          <w:szCs w:val="21"/>
          <w:highlight w:val="none"/>
          <w:lang w:val="en-US" w:eastAsia="zh-CN" w:bidi="ar-SA"/>
          <w14:textFill>
            <w14:solidFill>
              <w14:schemeClr w14:val="tx1"/>
            </w14:solidFill>
          </w14:textFill>
        </w:rPr>
        <w:t>眼科手术显微镜1台、焦度计1台等</w:t>
      </w:r>
      <w:r>
        <w:rPr>
          <w:rFonts w:hint="eastAsia" w:ascii="宋体" w:hAnsi="宋体" w:cs="Times New Roman"/>
          <w:color w:val="000000" w:themeColor="text1"/>
          <w:sz w:val="21"/>
          <w:szCs w:val="21"/>
          <w:highlight w:val="none"/>
          <w:lang w:val="en-US" w:eastAsia="zh-CN" w:bidi="ar-SA"/>
          <w14:textFill>
            <w14:solidFill>
              <w14:schemeClr w14:val="tx1"/>
            </w14:solidFill>
          </w14:textFill>
        </w:rPr>
        <w:t>医疗</w:t>
      </w:r>
      <w:r>
        <w:rPr>
          <w:rFonts w:hint="eastAsia" w:ascii="宋体" w:hAnsi="宋体" w:eastAsia="宋体" w:cs="Times New Roman"/>
          <w:color w:val="000000" w:themeColor="text1"/>
          <w:sz w:val="21"/>
          <w:szCs w:val="21"/>
          <w:highlight w:val="none"/>
          <w:lang w:val="en-US" w:eastAsia="zh-CN" w:bidi="ar-SA"/>
          <w14:textFill>
            <w14:solidFill>
              <w14:schemeClr w14:val="tx1"/>
            </w14:solidFill>
          </w14:textFill>
        </w:rPr>
        <w:t>设备一批</w:t>
      </w:r>
    </w:p>
    <w:p w14:paraId="0D85EE49">
      <w:pPr>
        <w:spacing w:line="360" w:lineRule="auto"/>
        <w:ind w:firstLine="420"/>
        <w:rPr>
          <w:rFonts w:hint="default" w:ascii="宋体" w:hAnsi="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数量：</w:t>
      </w:r>
      <w:r>
        <w:rPr>
          <w:rFonts w:hint="eastAsia" w:ascii="宋体" w:hAnsi="宋体"/>
          <w:color w:val="000000" w:themeColor="text1"/>
          <w:szCs w:val="21"/>
          <w:highlight w:val="none"/>
          <w:lang w:val="en-US" w:eastAsia="zh-CN"/>
          <w14:textFill>
            <w14:solidFill>
              <w14:schemeClr w14:val="tx1"/>
            </w14:solidFill>
          </w14:textFill>
        </w:rPr>
        <w:t>1项</w:t>
      </w:r>
    </w:p>
    <w:p w14:paraId="10B625BA">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预算金额（元）：</w:t>
      </w:r>
      <w:r>
        <w:rPr>
          <w:rFonts w:hint="eastAsia" w:ascii="宋体" w:hAnsi="宋体" w:eastAsia="宋体" w:cs="Times New Roman"/>
          <w:color w:val="000000" w:themeColor="text1"/>
          <w:sz w:val="21"/>
          <w:szCs w:val="21"/>
          <w:highlight w:val="none"/>
          <w:lang w:val="en-US" w:eastAsia="zh-CN" w:bidi="ar-SA"/>
          <w14:textFill>
            <w14:solidFill>
              <w14:schemeClr w14:val="tx1"/>
            </w14:solidFill>
          </w14:textFill>
        </w:rPr>
        <w:t>人民币壹佰零捌万元整（¥</w:t>
      </w:r>
      <w:r>
        <w:rPr>
          <w:rFonts w:hint="eastAsia" w:ascii="宋体" w:hAnsi="宋体" w:cs="Times New Roman"/>
          <w:color w:val="000000" w:themeColor="text1"/>
          <w:sz w:val="21"/>
          <w:szCs w:val="21"/>
          <w:highlight w:val="none"/>
          <w:lang w:val="en-US" w:eastAsia="zh-CN" w:bidi="ar-SA"/>
          <w14:textFill>
            <w14:solidFill>
              <w14:schemeClr w14:val="tx1"/>
            </w14:solidFill>
          </w14:textFill>
        </w:rPr>
        <w:t>1080000</w:t>
      </w:r>
      <w:r>
        <w:rPr>
          <w:rFonts w:hint="eastAsia" w:ascii="宋体" w:hAnsi="宋体" w:eastAsia="宋体" w:cs="Times New Roman"/>
          <w:color w:val="000000" w:themeColor="text1"/>
          <w:sz w:val="21"/>
          <w:szCs w:val="21"/>
          <w:highlight w:val="none"/>
          <w:lang w:val="en-US" w:eastAsia="zh-CN" w:bidi="ar-SA"/>
          <w14:textFill>
            <w14:solidFill>
              <w14:schemeClr w14:val="tx1"/>
            </w14:solidFill>
          </w14:textFill>
        </w:rPr>
        <w:t>.00）</w:t>
      </w:r>
    </w:p>
    <w:p w14:paraId="1129CDA7">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简要规格描述或项目基本概况介绍、用途：眼科手术显微镜1台、焦度计1台等医疗设备一批，详细内容见公告附件：采购需求。</w:t>
      </w:r>
    </w:p>
    <w:p w14:paraId="05D7FDA7">
      <w:pPr>
        <w:spacing w:line="360" w:lineRule="auto"/>
        <w:ind w:firstLine="420"/>
        <w:rPr>
          <w:rFonts w:hint="eastAsia" w:ascii="宋体" w:hAnsi="宋体" w:eastAsia="宋体" w:cs="Times New Roman"/>
          <w:color w:val="000000" w:themeColor="text1"/>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最高限价（元）：</w:t>
      </w:r>
      <w:bookmarkStart w:id="1" w:name="OLE_LINK64"/>
      <w:r>
        <w:rPr>
          <w:rFonts w:hint="eastAsia" w:ascii="宋体" w:hAnsi="宋体" w:eastAsia="宋体" w:cs="Times New Roman"/>
          <w:color w:val="000000" w:themeColor="text1"/>
          <w:sz w:val="21"/>
          <w:szCs w:val="21"/>
          <w:highlight w:val="none"/>
          <w:lang w:val="en-US" w:eastAsia="zh-CN" w:bidi="ar-SA"/>
          <w14:textFill>
            <w14:solidFill>
              <w14:schemeClr w14:val="tx1"/>
            </w14:solidFill>
          </w14:textFill>
        </w:rPr>
        <w:t>人民币壹佰零捌万元整（¥</w:t>
      </w:r>
      <w:r>
        <w:rPr>
          <w:rFonts w:hint="eastAsia" w:ascii="宋体" w:hAnsi="宋体" w:cs="Times New Roman"/>
          <w:color w:val="000000" w:themeColor="text1"/>
          <w:sz w:val="21"/>
          <w:szCs w:val="21"/>
          <w:highlight w:val="none"/>
          <w:lang w:val="en-US" w:eastAsia="zh-CN" w:bidi="ar-SA"/>
          <w14:textFill>
            <w14:solidFill>
              <w14:schemeClr w14:val="tx1"/>
            </w14:solidFill>
          </w14:textFill>
        </w:rPr>
        <w:t>1080000</w:t>
      </w:r>
      <w:r>
        <w:rPr>
          <w:rFonts w:hint="eastAsia" w:ascii="宋体" w:hAnsi="宋体" w:eastAsia="宋体" w:cs="Times New Roman"/>
          <w:color w:val="000000" w:themeColor="text1"/>
          <w:sz w:val="21"/>
          <w:szCs w:val="21"/>
          <w:highlight w:val="none"/>
          <w:lang w:val="en-US" w:eastAsia="zh-CN" w:bidi="ar-SA"/>
          <w14:textFill>
            <w14:solidFill>
              <w14:schemeClr w14:val="tx1"/>
            </w14:solidFill>
          </w14:textFill>
        </w:rPr>
        <w:t>.00）</w:t>
      </w:r>
    </w:p>
    <w:p w14:paraId="4C4AFE04">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合同履约期限：</w:t>
      </w:r>
      <w:bookmarkEnd w:id="1"/>
      <w:r>
        <w:rPr>
          <w:rFonts w:hint="eastAsia" w:ascii="宋体" w:hAnsi="宋体"/>
          <w:color w:val="000000" w:themeColor="text1"/>
          <w:szCs w:val="21"/>
          <w:highlight w:val="none"/>
          <w14:textFill>
            <w14:solidFill>
              <w14:schemeClr w14:val="tx1"/>
            </w14:solidFill>
          </w14:textFill>
        </w:rPr>
        <w:t>签订合同之日起</w:t>
      </w:r>
      <w:r>
        <w:rPr>
          <w:rFonts w:hint="eastAsia" w:ascii="宋体" w:hAnsi="宋体"/>
          <w:color w:val="000000" w:themeColor="text1"/>
          <w:szCs w:val="21"/>
          <w:highlight w:val="none"/>
          <w:lang w:val="en-US" w:eastAsia="zh-CN"/>
          <w14:textFill>
            <w14:solidFill>
              <w14:schemeClr w14:val="tx1"/>
            </w14:solidFill>
          </w14:textFill>
        </w:rPr>
        <w:t>60</w:t>
      </w:r>
      <w:r>
        <w:rPr>
          <w:rFonts w:hint="eastAsia" w:ascii="宋体" w:hAnsi="宋体"/>
          <w:color w:val="000000" w:themeColor="text1"/>
          <w:szCs w:val="21"/>
          <w:highlight w:val="none"/>
          <w14:textFill>
            <w14:solidFill>
              <w14:schemeClr w14:val="tx1"/>
            </w14:solidFill>
          </w14:textFill>
        </w:rPr>
        <w:t>天内调试完毕验收合格并交付使用。</w:t>
      </w:r>
    </w:p>
    <w:p w14:paraId="0496EA2F">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本标项（</w:t>
      </w:r>
      <w:r>
        <w:rPr>
          <w:rFonts w:hint="eastAsia" w:ascii="宋体" w:hAnsi="宋体"/>
          <w:color w:val="000000" w:themeColor="text1"/>
          <w:szCs w:val="21"/>
          <w:highlight w:val="none"/>
          <w:lang w:val="en-US" w:eastAsia="zh-CN"/>
          <w14:textFill>
            <w14:solidFill>
              <w14:schemeClr w14:val="tx1"/>
            </w14:solidFill>
          </w14:textFill>
        </w:rPr>
        <w:t>否</w:t>
      </w:r>
      <w:r>
        <w:rPr>
          <w:rFonts w:hint="eastAsia" w:ascii="宋体" w:hAnsi="宋体"/>
          <w:color w:val="000000" w:themeColor="text1"/>
          <w:szCs w:val="21"/>
          <w:highlight w:val="none"/>
          <w14:textFill>
            <w14:solidFill>
              <w14:schemeClr w14:val="tx1"/>
            </w14:solidFill>
          </w14:textFill>
        </w:rPr>
        <w:t>）接受联合体投标</w:t>
      </w:r>
    </w:p>
    <w:p w14:paraId="0C36F57B">
      <w:pPr>
        <w:spacing w:line="360" w:lineRule="auto"/>
        <w:ind w:firstLine="420"/>
        <w:rPr>
          <w:rFonts w:hint="eastAsia" w:ascii="宋体" w:hAnsi="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备注：</w:t>
      </w:r>
      <w:r>
        <w:rPr>
          <w:rFonts w:hint="eastAsia" w:ascii="宋体" w:hAnsi="宋体"/>
          <w:color w:val="000000" w:themeColor="text1"/>
          <w:szCs w:val="21"/>
          <w:highlight w:val="none"/>
          <w:lang w:val="en-US" w:eastAsia="zh-CN"/>
          <w14:textFill>
            <w14:solidFill>
              <w14:schemeClr w14:val="tx1"/>
            </w14:solidFill>
          </w14:textFill>
        </w:rPr>
        <w:t>/</w:t>
      </w:r>
    </w:p>
    <w:p w14:paraId="1AD01D93">
      <w:pPr>
        <w:spacing w:line="360" w:lineRule="auto"/>
        <w:ind w:firstLine="420"/>
        <w:rPr>
          <w:rFonts w:hint="eastAsia" w:ascii="宋体" w:hAnsi="宋体"/>
          <w:color w:val="000000" w:themeColor="text1"/>
          <w:szCs w:val="21"/>
          <w:highlight w:val="none"/>
          <w:lang w:val="en-US" w:eastAsia="zh-CN"/>
          <w14:textFill>
            <w14:solidFill>
              <w14:schemeClr w14:val="tx1"/>
            </w14:solidFill>
          </w14:textFill>
        </w:rPr>
      </w:pPr>
    </w:p>
    <w:p w14:paraId="2D8C9E83">
      <w:pPr>
        <w:spacing w:line="360" w:lineRule="auto"/>
        <w:ind w:firstLine="420"/>
        <w:rPr>
          <w:rFonts w:hint="default" w:ascii="宋体" w:hAnsi="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2分标</w:t>
      </w:r>
    </w:p>
    <w:p w14:paraId="07501EDD">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标项名称：</w:t>
      </w:r>
      <w:r>
        <w:rPr>
          <w:rFonts w:hint="default" w:ascii="宋体" w:hAnsi="宋体" w:eastAsia="宋体" w:cs="Times New Roman"/>
          <w:color w:val="000000" w:themeColor="text1"/>
          <w:sz w:val="21"/>
          <w:szCs w:val="21"/>
          <w:highlight w:val="none"/>
          <w:lang w:val="en-US" w:eastAsia="zh-CN" w:bidi="ar-SA"/>
          <w14:textFill>
            <w14:solidFill>
              <w14:schemeClr w14:val="tx1"/>
            </w14:solidFill>
          </w14:textFill>
        </w:rPr>
        <w:t>处方调配膏药机1台、关节镜系统1</w:t>
      </w:r>
      <w:r>
        <w:rPr>
          <w:rFonts w:hint="eastAsia" w:ascii="宋体" w:hAnsi="宋体" w:cs="Times New Roman"/>
          <w:color w:val="000000" w:themeColor="text1"/>
          <w:sz w:val="21"/>
          <w:szCs w:val="21"/>
          <w:highlight w:val="none"/>
          <w:lang w:val="en-US" w:eastAsia="zh-CN" w:bidi="ar-SA"/>
          <w14:textFill>
            <w14:solidFill>
              <w14:schemeClr w14:val="tx1"/>
            </w14:solidFill>
          </w14:textFill>
        </w:rPr>
        <w:t>套</w:t>
      </w:r>
      <w:r>
        <w:rPr>
          <w:rFonts w:hint="default" w:ascii="宋体" w:hAnsi="宋体" w:eastAsia="宋体" w:cs="Times New Roman"/>
          <w:color w:val="000000" w:themeColor="text1"/>
          <w:sz w:val="21"/>
          <w:szCs w:val="21"/>
          <w:highlight w:val="none"/>
          <w:lang w:val="en-US" w:eastAsia="zh-CN" w:bidi="ar-SA"/>
          <w14:textFill>
            <w14:solidFill>
              <w14:schemeClr w14:val="tx1"/>
            </w14:solidFill>
          </w14:textFill>
        </w:rPr>
        <w:t>等</w:t>
      </w:r>
      <w:r>
        <w:rPr>
          <w:rFonts w:hint="eastAsia" w:ascii="宋体" w:hAnsi="宋体" w:cs="Times New Roman"/>
          <w:color w:val="000000" w:themeColor="text1"/>
          <w:sz w:val="21"/>
          <w:szCs w:val="21"/>
          <w:highlight w:val="none"/>
          <w:lang w:val="en-US" w:eastAsia="zh-CN" w:bidi="ar-SA"/>
          <w14:textFill>
            <w14:solidFill>
              <w14:schemeClr w14:val="tx1"/>
            </w14:solidFill>
          </w14:textFill>
        </w:rPr>
        <w:t>医疗</w:t>
      </w:r>
      <w:r>
        <w:rPr>
          <w:rFonts w:hint="default" w:ascii="宋体" w:hAnsi="宋体" w:eastAsia="宋体" w:cs="Times New Roman"/>
          <w:color w:val="000000" w:themeColor="text1"/>
          <w:sz w:val="21"/>
          <w:szCs w:val="21"/>
          <w:highlight w:val="none"/>
          <w:lang w:val="en-US" w:eastAsia="zh-CN" w:bidi="ar-SA"/>
          <w14:textFill>
            <w14:solidFill>
              <w14:schemeClr w14:val="tx1"/>
            </w14:solidFill>
          </w14:textFill>
        </w:rPr>
        <w:t>设备一批</w:t>
      </w:r>
    </w:p>
    <w:p w14:paraId="7039FB80">
      <w:pPr>
        <w:spacing w:line="360" w:lineRule="auto"/>
        <w:ind w:firstLine="420"/>
        <w:rPr>
          <w:rFonts w:hint="default" w:ascii="宋体" w:hAnsi="宋体" w:eastAsia="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数量：</w:t>
      </w:r>
      <w:r>
        <w:rPr>
          <w:rFonts w:hint="eastAsia" w:ascii="宋体" w:hAnsi="宋体"/>
          <w:color w:val="000000" w:themeColor="text1"/>
          <w:szCs w:val="21"/>
          <w:highlight w:val="none"/>
          <w:lang w:val="en-US" w:eastAsia="zh-CN"/>
          <w14:textFill>
            <w14:solidFill>
              <w14:schemeClr w14:val="tx1"/>
            </w14:solidFill>
          </w14:textFill>
        </w:rPr>
        <w:t>1项</w:t>
      </w:r>
    </w:p>
    <w:p w14:paraId="4CDBD925">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预算金额（元）：</w:t>
      </w:r>
      <w:r>
        <w:rPr>
          <w:rFonts w:hint="eastAsia" w:ascii="宋体" w:hAnsi="宋体" w:eastAsia="宋体" w:cs="Times New Roman"/>
          <w:color w:val="000000" w:themeColor="text1"/>
          <w:sz w:val="21"/>
          <w:szCs w:val="21"/>
          <w:highlight w:val="none"/>
          <w:lang w:val="en-US" w:eastAsia="zh-CN" w:bidi="ar-SA"/>
          <w14:textFill>
            <w14:solidFill>
              <w14:schemeClr w14:val="tx1"/>
            </w14:solidFill>
          </w14:textFill>
        </w:rPr>
        <w:t>人民币壹佰叁拾捌万柒仟元整（¥</w:t>
      </w:r>
      <w:r>
        <w:rPr>
          <w:rFonts w:hint="eastAsia" w:ascii="宋体" w:hAnsi="宋体" w:cs="Times New Roman"/>
          <w:color w:val="000000" w:themeColor="text1"/>
          <w:sz w:val="21"/>
          <w:szCs w:val="21"/>
          <w:highlight w:val="none"/>
          <w:lang w:val="en-US" w:eastAsia="zh-CN" w:bidi="ar-SA"/>
          <w14:textFill>
            <w14:solidFill>
              <w14:schemeClr w14:val="tx1"/>
            </w14:solidFill>
          </w14:textFill>
        </w:rPr>
        <w:t>1387000</w:t>
      </w:r>
      <w:r>
        <w:rPr>
          <w:rFonts w:hint="eastAsia" w:ascii="宋体" w:hAnsi="宋体" w:eastAsia="宋体" w:cs="Times New Roman"/>
          <w:color w:val="000000" w:themeColor="text1"/>
          <w:sz w:val="21"/>
          <w:szCs w:val="21"/>
          <w:highlight w:val="none"/>
          <w:lang w:val="en-US" w:eastAsia="zh-CN" w:bidi="ar-SA"/>
          <w14:textFill>
            <w14:solidFill>
              <w14:schemeClr w14:val="tx1"/>
            </w14:solidFill>
          </w14:textFill>
        </w:rPr>
        <w:t>.00）</w:t>
      </w:r>
    </w:p>
    <w:p w14:paraId="66DEA0D4">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简要规格描述或项目基本概况介绍、用途：</w:t>
      </w:r>
      <w:r>
        <w:rPr>
          <w:rFonts w:hint="default" w:ascii="宋体" w:hAnsi="宋体" w:eastAsia="宋体" w:cs="Times New Roman"/>
          <w:color w:val="000000" w:themeColor="text1"/>
          <w:sz w:val="21"/>
          <w:szCs w:val="21"/>
          <w:highlight w:val="none"/>
          <w:lang w:val="en-US" w:eastAsia="zh-CN" w:bidi="ar-SA"/>
          <w14:textFill>
            <w14:solidFill>
              <w14:schemeClr w14:val="tx1"/>
            </w14:solidFill>
          </w14:textFill>
        </w:rPr>
        <w:t>处方调配膏药机1台、关节镜系统1</w:t>
      </w:r>
      <w:r>
        <w:rPr>
          <w:rFonts w:hint="eastAsia" w:ascii="宋体" w:hAnsi="宋体" w:cs="Times New Roman"/>
          <w:color w:val="000000" w:themeColor="text1"/>
          <w:sz w:val="21"/>
          <w:szCs w:val="21"/>
          <w:highlight w:val="none"/>
          <w:lang w:val="en-US" w:eastAsia="zh-CN" w:bidi="ar-SA"/>
          <w14:textFill>
            <w14:solidFill>
              <w14:schemeClr w14:val="tx1"/>
            </w14:solidFill>
          </w14:textFill>
        </w:rPr>
        <w:t>套</w:t>
      </w:r>
      <w:r>
        <w:rPr>
          <w:rFonts w:hint="default" w:ascii="宋体" w:hAnsi="宋体" w:eastAsia="宋体" w:cs="Times New Roman"/>
          <w:color w:val="000000" w:themeColor="text1"/>
          <w:sz w:val="21"/>
          <w:szCs w:val="21"/>
          <w:highlight w:val="none"/>
          <w:lang w:val="en-US" w:eastAsia="zh-CN" w:bidi="ar-SA"/>
          <w14:textFill>
            <w14:solidFill>
              <w14:schemeClr w14:val="tx1"/>
            </w14:solidFill>
          </w14:textFill>
        </w:rPr>
        <w:t>等</w:t>
      </w:r>
      <w:r>
        <w:rPr>
          <w:rFonts w:hint="eastAsia" w:ascii="宋体" w:hAnsi="宋体" w:cs="Times New Roman"/>
          <w:color w:val="000000" w:themeColor="text1"/>
          <w:sz w:val="21"/>
          <w:szCs w:val="21"/>
          <w:highlight w:val="none"/>
          <w:lang w:val="en-US" w:eastAsia="zh-CN" w:bidi="ar-SA"/>
          <w14:textFill>
            <w14:solidFill>
              <w14:schemeClr w14:val="tx1"/>
            </w14:solidFill>
          </w14:textFill>
        </w:rPr>
        <w:t>医疗</w:t>
      </w:r>
      <w:r>
        <w:rPr>
          <w:rFonts w:hint="default" w:ascii="宋体" w:hAnsi="宋体" w:eastAsia="宋体" w:cs="Times New Roman"/>
          <w:color w:val="000000" w:themeColor="text1"/>
          <w:sz w:val="21"/>
          <w:szCs w:val="21"/>
          <w:highlight w:val="none"/>
          <w:lang w:val="en-US" w:eastAsia="zh-CN" w:bidi="ar-SA"/>
          <w14:textFill>
            <w14:solidFill>
              <w14:schemeClr w14:val="tx1"/>
            </w14:solidFill>
          </w14:textFill>
        </w:rPr>
        <w:t>设备一批，详细内容见</w:t>
      </w:r>
      <w:r>
        <w:rPr>
          <w:rFonts w:hint="eastAsia" w:ascii="宋体" w:hAnsi="宋体" w:cs="Times New Roman"/>
          <w:color w:val="000000" w:themeColor="text1"/>
          <w:sz w:val="21"/>
          <w:szCs w:val="21"/>
          <w:highlight w:val="none"/>
          <w:lang w:val="en-US" w:eastAsia="zh-CN" w:bidi="ar-SA"/>
          <w14:textFill>
            <w14:solidFill>
              <w14:schemeClr w14:val="tx1"/>
            </w14:solidFill>
          </w14:textFill>
        </w:rPr>
        <w:t>公告</w:t>
      </w:r>
      <w:r>
        <w:rPr>
          <w:rFonts w:hint="default" w:ascii="宋体" w:hAnsi="宋体" w:eastAsia="宋体" w:cs="Times New Roman"/>
          <w:color w:val="000000" w:themeColor="text1"/>
          <w:sz w:val="21"/>
          <w:szCs w:val="21"/>
          <w:highlight w:val="none"/>
          <w:lang w:val="en-US" w:eastAsia="zh-CN" w:bidi="ar-SA"/>
          <w14:textFill>
            <w14:solidFill>
              <w14:schemeClr w14:val="tx1"/>
            </w14:solidFill>
          </w14:textFill>
        </w:rPr>
        <w:t>附件：采购需求。</w:t>
      </w:r>
    </w:p>
    <w:p w14:paraId="0FD371B9">
      <w:pPr>
        <w:spacing w:line="360" w:lineRule="auto"/>
        <w:ind w:firstLine="420"/>
        <w:rPr>
          <w:rFonts w:hint="eastAsia" w:ascii="宋体" w:hAnsi="宋体" w:eastAsia="宋体" w:cs="Times New Roman"/>
          <w:color w:val="000000" w:themeColor="text1"/>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最高限价（元）：</w:t>
      </w:r>
      <w:r>
        <w:rPr>
          <w:rFonts w:hint="eastAsia" w:ascii="宋体" w:hAnsi="宋体" w:eastAsia="宋体" w:cs="Times New Roman"/>
          <w:color w:val="000000" w:themeColor="text1"/>
          <w:sz w:val="21"/>
          <w:szCs w:val="21"/>
          <w:highlight w:val="none"/>
          <w:lang w:val="en-US" w:eastAsia="zh-CN" w:bidi="ar-SA"/>
          <w14:textFill>
            <w14:solidFill>
              <w14:schemeClr w14:val="tx1"/>
            </w14:solidFill>
          </w14:textFill>
        </w:rPr>
        <w:t>人民币壹佰叁拾捌万柒仟元整（¥</w:t>
      </w:r>
      <w:r>
        <w:rPr>
          <w:rFonts w:hint="eastAsia" w:ascii="宋体" w:hAnsi="宋体" w:cs="Times New Roman"/>
          <w:color w:val="000000" w:themeColor="text1"/>
          <w:sz w:val="21"/>
          <w:szCs w:val="21"/>
          <w:highlight w:val="none"/>
          <w:lang w:val="en-US" w:eastAsia="zh-CN" w:bidi="ar-SA"/>
          <w14:textFill>
            <w14:solidFill>
              <w14:schemeClr w14:val="tx1"/>
            </w14:solidFill>
          </w14:textFill>
        </w:rPr>
        <w:t>1387000</w:t>
      </w:r>
      <w:r>
        <w:rPr>
          <w:rFonts w:hint="eastAsia" w:ascii="宋体" w:hAnsi="宋体" w:eastAsia="宋体" w:cs="Times New Roman"/>
          <w:color w:val="000000" w:themeColor="text1"/>
          <w:sz w:val="21"/>
          <w:szCs w:val="21"/>
          <w:highlight w:val="none"/>
          <w:lang w:val="en-US" w:eastAsia="zh-CN" w:bidi="ar-SA"/>
          <w14:textFill>
            <w14:solidFill>
              <w14:schemeClr w14:val="tx1"/>
            </w14:solidFill>
          </w14:textFill>
        </w:rPr>
        <w:t>.00）</w:t>
      </w:r>
    </w:p>
    <w:p w14:paraId="7412B907">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合同履约期限：签订合同之日起</w:t>
      </w:r>
      <w:r>
        <w:rPr>
          <w:rFonts w:hint="eastAsia" w:ascii="宋体" w:hAnsi="宋体"/>
          <w:color w:val="000000" w:themeColor="text1"/>
          <w:szCs w:val="21"/>
          <w:highlight w:val="none"/>
          <w:lang w:val="en-US" w:eastAsia="zh-CN"/>
          <w14:textFill>
            <w14:solidFill>
              <w14:schemeClr w14:val="tx1"/>
            </w14:solidFill>
          </w14:textFill>
        </w:rPr>
        <w:t>60</w:t>
      </w:r>
      <w:r>
        <w:rPr>
          <w:rFonts w:hint="eastAsia" w:ascii="宋体" w:hAnsi="宋体"/>
          <w:color w:val="000000" w:themeColor="text1"/>
          <w:szCs w:val="21"/>
          <w:highlight w:val="none"/>
          <w14:textFill>
            <w14:solidFill>
              <w14:schemeClr w14:val="tx1"/>
            </w14:solidFill>
          </w14:textFill>
        </w:rPr>
        <w:t>天内调试完毕验收合格并交付使用。</w:t>
      </w:r>
    </w:p>
    <w:p w14:paraId="2F8344FA">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本标项（</w:t>
      </w:r>
      <w:r>
        <w:rPr>
          <w:rFonts w:hint="eastAsia" w:ascii="宋体" w:hAnsi="宋体"/>
          <w:color w:val="000000" w:themeColor="text1"/>
          <w:szCs w:val="21"/>
          <w:highlight w:val="none"/>
          <w:lang w:val="en-US" w:eastAsia="zh-CN"/>
          <w14:textFill>
            <w14:solidFill>
              <w14:schemeClr w14:val="tx1"/>
            </w14:solidFill>
          </w14:textFill>
        </w:rPr>
        <w:t>否</w:t>
      </w:r>
      <w:r>
        <w:rPr>
          <w:rFonts w:hint="eastAsia" w:ascii="宋体" w:hAnsi="宋体"/>
          <w:color w:val="000000" w:themeColor="text1"/>
          <w:szCs w:val="21"/>
          <w:highlight w:val="none"/>
          <w14:textFill>
            <w14:solidFill>
              <w14:schemeClr w14:val="tx1"/>
            </w14:solidFill>
          </w14:textFill>
        </w:rPr>
        <w:t>）接受联合体投标</w:t>
      </w:r>
    </w:p>
    <w:p w14:paraId="4A9FD4EB">
      <w:pPr>
        <w:spacing w:line="360" w:lineRule="auto"/>
        <w:ind w:firstLine="420"/>
        <w:rPr>
          <w:rFonts w:hint="eastAsia" w:ascii="宋体" w:hAnsi="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备注：</w:t>
      </w:r>
      <w:r>
        <w:rPr>
          <w:rFonts w:hint="eastAsia" w:ascii="宋体" w:hAnsi="宋体"/>
          <w:color w:val="000000" w:themeColor="text1"/>
          <w:szCs w:val="21"/>
          <w:highlight w:val="none"/>
          <w:lang w:val="en-US" w:eastAsia="zh-CN"/>
          <w14:textFill>
            <w14:solidFill>
              <w14:schemeClr w14:val="tx1"/>
            </w14:solidFill>
          </w14:textFill>
        </w:rPr>
        <w:t>/</w:t>
      </w:r>
    </w:p>
    <w:p w14:paraId="0672FE17">
      <w:pPr>
        <w:rPr>
          <w:rFonts w:hint="eastAsia" w:ascii="宋体" w:hAnsi="宋体"/>
          <w:color w:val="000000" w:themeColor="text1"/>
          <w:szCs w:val="21"/>
          <w:highlight w:val="none"/>
          <w:lang w:val="en-US" w:eastAsia="zh-CN"/>
          <w14:textFill>
            <w14:solidFill>
              <w14:schemeClr w14:val="tx1"/>
            </w14:solidFill>
          </w14:textFill>
        </w:rPr>
      </w:pPr>
    </w:p>
    <w:p w14:paraId="2D3A4DBD">
      <w:pPr>
        <w:spacing w:line="360" w:lineRule="auto"/>
        <w:ind w:firstLine="420"/>
        <w:rPr>
          <w:rFonts w:hint="default" w:ascii="宋体" w:hAnsi="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3分标</w:t>
      </w:r>
    </w:p>
    <w:p w14:paraId="0AEBC800">
      <w:pPr>
        <w:spacing w:line="360" w:lineRule="auto"/>
        <w:ind w:firstLine="420"/>
        <w:rPr>
          <w:rFonts w:hint="default" w:ascii="宋体" w:hAnsi="宋体" w:eastAsia="宋体" w:cs="Times New Roman"/>
          <w:color w:val="000000" w:themeColor="text1"/>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标项名称：</w:t>
      </w:r>
      <w:r>
        <w:rPr>
          <w:rFonts w:hint="default" w:ascii="宋体" w:hAnsi="宋体" w:eastAsia="宋体" w:cs="Times New Roman"/>
          <w:color w:val="000000" w:themeColor="text1"/>
          <w:sz w:val="21"/>
          <w:szCs w:val="21"/>
          <w:highlight w:val="none"/>
          <w:lang w:val="en-US" w:eastAsia="zh-CN" w:bidi="ar-SA"/>
          <w14:textFill>
            <w14:solidFill>
              <w14:schemeClr w14:val="tx1"/>
            </w14:solidFill>
          </w14:textFill>
        </w:rPr>
        <w:t>生物反馈神经功能重建治疗系统1台、</w:t>
      </w:r>
      <w:r>
        <w:rPr>
          <w:rFonts w:hint="eastAsia" w:ascii="宋体" w:hAnsi="宋体" w:cs="Times New Roman"/>
          <w:color w:val="000000" w:themeColor="text1"/>
          <w:sz w:val="21"/>
          <w:szCs w:val="21"/>
          <w:highlight w:val="none"/>
          <w:lang w:val="en-US" w:eastAsia="zh-CN" w:bidi="ar-SA"/>
          <w14:textFill>
            <w14:solidFill>
              <w14:schemeClr w14:val="tx1"/>
            </w14:solidFill>
          </w14:textFill>
        </w:rPr>
        <w:t>磁刺激仪（盆底）</w:t>
      </w:r>
      <w:r>
        <w:rPr>
          <w:rFonts w:hint="default" w:ascii="宋体" w:hAnsi="宋体" w:eastAsia="宋体" w:cs="Times New Roman"/>
          <w:color w:val="000000" w:themeColor="text1"/>
          <w:sz w:val="21"/>
          <w:szCs w:val="21"/>
          <w:highlight w:val="none"/>
          <w:lang w:val="en-US" w:eastAsia="zh-CN" w:bidi="ar-SA"/>
          <w14:textFill>
            <w14:solidFill>
              <w14:schemeClr w14:val="tx1"/>
            </w14:solidFill>
          </w14:textFill>
        </w:rPr>
        <w:t>1</w:t>
      </w:r>
      <w:r>
        <w:rPr>
          <w:rFonts w:hint="eastAsia" w:ascii="宋体" w:hAnsi="宋体" w:cs="Times New Roman"/>
          <w:color w:val="000000" w:themeColor="text1"/>
          <w:sz w:val="21"/>
          <w:szCs w:val="21"/>
          <w:highlight w:val="none"/>
          <w:lang w:val="en-US" w:eastAsia="zh-CN" w:bidi="ar-SA"/>
          <w14:textFill>
            <w14:solidFill>
              <w14:schemeClr w14:val="tx1"/>
            </w14:solidFill>
          </w14:textFill>
        </w:rPr>
        <w:t>台</w:t>
      </w:r>
      <w:r>
        <w:rPr>
          <w:rFonts w:hint="default" w:ascii="宋体" w:hAnsi="宋体" w:eastAsia="宋体" w:cs="Times New Roman"/>
          <w:color w:val="000000" w:themeColor="text1"/>
          <w:sz w:val="21"/>
          <w:szCs w:val="21"/>
          <w:highlight w:val="none"/>
          <w:lang w:val="en-US" w:eastAsia="zh-CN" w:bidi="ar-SA"/>
          <w14:textFill>
            <w14:solidFill>
              <w14:schemeClr w14:val="tx1"/>
            </w14:solidFill>
          </w14:textFill>
        </w:rPr>
        <w:t>等</w:t>
      </w:r>
      <w:r>
        <w:rPr>
          <w:rFonts w:hint="eastAsia" w:ascii="宋体" w:hAnsi="宋体" w:cs="Times New Roman"/>
          <w:color w:val="000000" w:themeColor="text1"/>
          <w:sz w:val="21"/>
          <w:szCs w:val="21"/>
          <w:highlight w:val="none"/>
          <w:lang w:val="en-US" w:eastAsia="zh-CN" w:bidi="ar-SA"/>
          <w14:textFill>
            <w14:solidFill>
              <w14:schemeClr w14:val="tx1"/>
            </w14:solidFill>
          </w14:textFill>
        </w:rPr>
        <w:t>医疗</w:t>
      </w:r>
      <w:r>
        <w:rPr>
          <w:rFonts w:hint="default" w:ascii="宋体" w:hAnsi="宋体" w:eastAsia="宋体" w:cs="Times New Roman"/>
          <w:color w:val="000000" w:themeColor="text1"/>
          <w:sz w:val="21"/>
          <w:szCs w:val="21"/>
          <w:highlight w:val="none"/>
          <w:lang w:val="en-US" w:eastAsia="zh-CN" w:bidi="ar-SA"/>
          <w14:textFill>
            <w14:solidFill>
              <w14:schemeClr w14:val="tx1"/>
            </w14:solidFill>
          </w14:textFill>
        </w:rPr>
        <w:t>设备一批</w:t>
      </w:r>
    </w:p>
    <w:p w14:paraId="34B7E5E5">
      <w:pPr>
        <w:spacing w:line="360" w:lineRule="auto"/>
        <w:ind w:firstLine="420"/>
        <w:rPr>
          <w:rFonts w:hint="default" w:ascii="宋体" w:hAnsi="宋体" w:eastAsia="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数量：</w:t>
      </w:r>
      <w:r>
        <w:rPr>
          <w:rFonts w:hint="eastAsia" w:ascii="宋体" w:hAnsi="宋体"/>
          <w:color w:val="000000" w:themeColor="text1"/>
          <w:szCs w:val="21"/>
          <w:highlight w:val="none"/>
          <w:lang w:val="en-US" w:eastAsia="zh-CN"/>
          <w14:textFill>
            <w14:solidFill>
              <w14:schemeClr w14:val="tx1"/>
            </w14:solidFill>
          </w14:textFill>
        </w:rPr>
        <w:t>1项</w:t>
      </w:r>
    </w:p>
    <w:p w14:paraId="6CE9D260">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预算金额（元）：</w:t>
      </w:r>
      <w:r>
        <w:rPr>
          <w:rFonts w:hint="eastAsia" w:ascii="宋体" w:hAnsi="宋体" w:eastAsia="宋体" w:cs="Times New Roman"/>
          <w:color w:val="000000" w:themeColor="text1"/>
          <w:sz w:val="21"/>
          <w:szCs w:val="21"/>
          <w:highlight w:val="none"/>
          <w:lang w:val="en-US" w:eastAsia="zh-CN" w:bidi="ar-SA"/>
          <w14:textFill>
            <w14:solidFill>
              <w14:schemeClr w14:val="tx1"/>
            </w14:solidFill>
          </w14:textFill>
        </w:rPr>
        <w:t>人民币贰佰贰拾柒万叁仟元整（¥</w:t>
      </w:r>
      <w:r>
        <w:rPr>
          <w:rFonts w:hint="eastAsia" w:ascii="宋体" w:hAnsi="宋体" w:cs="Times New Roman"/>
          <w:color w:val="000000" w:themeColor="text1"/>
          <w:sz w:val="21"/>
          <w:szCs w:val="21"/>
          <w:highlight w:val="none"/>
          <w:lang w:val="en-US" w:eastAsia="zh-CN" w:bidi="ar-SA"/>
          <w14:textFill>
            <w14:solidFill>
              <w14:schemeClr w14:val="tx1"/>
            </w14:solidFill>
          </w14:textFill>
        </w:rPr>
        <w:t>2273000</w:t>
      </w:r>
      <w:r>
        <w:rPr>
          <w:rFonts w:hint="eastAsia" w:ascii="宋体" w:hAnsi="宋体" w:eastAsia="宋体" w:cs="Times New Roman"/>
          <w:color w:val="000000" w:themeColor="text1"/>
          <w:sz w:val="21"/>
          <w:szCs w:val="21"/>
          <w:highlight w:val="none"/>
          <w:lang w:val="en-US" w:eastAsia="zh-CN" w:bidi="ar-SA"/>
          <w14:textFill>
            <w14:solidFill>
              <w14:schemeClr w14:val="tx1"/>
            </w14:solidFill>
          </w14:textFill>
        </w:rPr>
        <w:t>.00）</w:t>
      </w:r>
    </w:p>
    <w:p w14:paraId="68638050">
      <w:pPr>
        <w:pStyle w:val="19"/>
        <w:ind w:firstLine="420" w:firstLineChars="200"/>
        <w:rPr>
          <w:rFonts w:hint="default" w:ascii="宋体" w:hAnsi="宋体" w:eastAsia="宋体" w:cs="Times New Roman"/>
          <w:color w:val="000000" w:themeColor="text1"/>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sz w:val="21"/>
          <w:szCs w:val="21"/>
          <w:highlight w:val="none"/>
          <w:lang w:val="en-US" w:eastAsia="zh-CN" w:bidi="ar-SA"/>
          <w14:textFill>
            <w14:solidFill>
              <w14:schemeClr w14:val="tx1"/>
            </w14:solidFill>
          </w14:textFill>
        </w:rPr>
        <w:t>简要规格描述或项目基本概况介绍、用途：</w:t>
      </w:r>
      <w:r>
        <w:rPr>
          <w:rFonts w:hint="default" w:ascii="宋体" w:hAnsi="宋体" w:eastAsia="宋体" w:cs="Times New Roman"/>
          <w:color w:val="000000" w:themeColor="text1"/>
          <w:sz w:val="21"/>
          <w:szCs w:val="21"/>
          <w:highlight w:val="none"/>
          <w:lang w:val="en-US" w:eastAsia="zh-CN" w:bidi="ar-SA"/>
          <w14:textFill>
            <w14:solidFill>
              <w14:schemeClr w14:val="tx1"/>
            </w14:solidFill>
          </w14:textFill>
        </w:rPr>
        <w:t>生物反馈神经功能重建治疗系统1台、关</w:t>
      </w:r>
      <w:r>
        <w:rPr>
          <w:rFonts w:hint="eastAsia" w:ascii="宋体" w:hAnsi="宋体" w:eastAsia="宋体" w:cs="Times New Roman"/>
          <w:color w:val="000000" w:themeColor="text1"/>
          <w:sz w:val="21"/>
          <w:szCs w:val="21"/>
          <w:highlight w:val="none"/>
          <w:lang w:val="en-US" w:eastAsia="zh-CN" w:bidi="ar-SA"/>
          <w14:textFill>
            <w14:solidFill>
              <w14:schemeClr w14:val="tx1"/>
            </w14:solidFill>
          </w14:textFill>
        </w:rPr>
        <w:t>磁刺激仪（盆底）</w:t>
      </w:r>
      <w:r>
        <w:rPr>
          <w:rFonts w:hint="default" w:ascii="宋体" w:hAnsi="宋体" w:eastAsia="宋体" w:cs="Times New Roman"/>
          <w:color w:val="000000" w:themeColor="text1"/>
          <w:sz w:val="21"/>
          <w:szCs w:val="21"/>
          <w:highlight w:val="none"/>
          <w:lang w:val="en-US" w:eastAsia="zh-CN" w:bidi="ar-SA"/>
          <w14:textFill>
            <w14:solidFill>
              <w14:schemeClr w14:val="tx1"/>
            </w14:solidFill>
          </w14:textFill>
        </w:rPr>
        <w:t>1</w:t>
      </w:r>
      <w:r>
        <w:rPr>
          <w:rFonts w:hint="eastAsia" w:ascii="宋体" w:hAnsi="宋体" w:eastAsia="宋体" w:cs="Times New Roman"/>
          <w:color w:val="000000" w:themeColor="text1"/>
          <w:sz w:val="21"/>
          <w:szCs w:val="21"/>
          <w:highlight w:val="none"/>
          <w:lang w:val="en-US" w:eastAsia="zh-CN" w:bidi="ar-SA"/>
          <w14:textFill>
            <w14:solidFill>
              <w14:schemeClr w14:val="tx1"/>
            </w14:solidFill>
          </w14:textFill>
        </w:rPr>
        <w:t>台</w:t>
      </w:r>
      <w:r>
        <w:rPr>
          <w:rFonts w:hint="default" w:ascii="宋体" w:hAnsi="宋体" w:eastAsia="宋体" w:cs="Times New Roman"/>
          <w:color w:val="000000" w:themeColor="text1"/>
          <w:sz w:val="21"/>
          <w:szCs w:val="21"/>
          <w:highlight w:val="none"/>
          <w:lang w:val="en-US" w:eastAsia="zh-CN" w:bidi="ar-SA"/>
          <w14:textFill>
            <w14:solidFill>
              <w14:schemeClr w14:val="tx1"/>
            </w14:solidFill>
          </w14:textFill>
        </w:rPr>
        <w:t>等</w:t>
      </w:r>
      <w:r>
        <w:rPr>
          <w:rFonts w:hint="eastAsia" w:ascii="宋体" w:hAnsi="宋体" w:eastAsia="宋体" w:cs="Times New Roman"/>
          <w:color w:val="000000" w:themeColor="text1"/>
          <w:sz w:val="21"/>
          <w:szCs w:val="21"/>
          <w:highlight w:val="none"/>
          <w:lang w:val="en-US" w:eastAsia="zh-CN" w:bidi="ar-SA"/>
          <w14:textFill>
            <w14:solidFill>
              <w14:schemeClr w14:val="tx1"/>
            </w14:solidFill>
          </w14:textFill>
        </w:rPr>
        <w:t>医疗</w:t>
      </w:r>
      <w:r>
        <w:rPr>
          <w:rFonts w:hint="default" w:ascii="宋体" w:hAnsi="宋体" w:eastAsia="宋体" w:cs="Times New Roman"/>
          <w:color w:val="000000" w:themeColor="text1"/>
          <w:sz w:val="21"/>
          <w:szCs w:val="21"/>
          <w:highlight w:val="none"/>
          <w:lang w:val="en-US" w:eastAsia="zh-CN" w:bidi="ar-SA"/>
          <w14:textFill>
            <w14:solidFill>
              <w14:schemeClr w14:val="tx1"/>
            </w14:solidFill>
          </w14:textFill>
        </w:rPr>
        <w:t>设备一批，详细内容见</w:t>
      </w:r>
      <w:r>
        <w:rPr>
          <w:rFonts w:hint="eastAsia" w:ascii="宋体" w:hAnsi="宋体" w:eastAsia="宋体" w:cs="Times New Roman"/>
          <w:color w:val="000000" w:themeColor="text1"/>
          <w:sz w:val="21"/>
          <w:szCs w:val="21"/>
          <w:highlight w:val="none"/>
          <w:lang w:val="en-US" w:eastAsia="zh-CN" w:bidi="ar-SA"/>
          <w14:textFill>
            <w14:solidFill>
              <w14:schemeClr w14:val="tx1"/>
            </w14:solidFill>
          </w14:textFill>
        </w:rPr>
        <w:t>公告</w:t>
      </w:r>
      <w:r>
        <w:rPr>
          <w:rFonts w:hint="default" w:ascii="宋体" w:hAnsi="宋体" w:eastAsia="宋体" w:cs="Times New Roman"/>
          <w:color w:val="000000" w:themeColor="text1"/>
          <w:sz w:val="21"/>
          <w:szCs w:val="21"/>
          <w:highlight w:val="none"/>
          <w:lang w:val="en-US" w:eastAsia="zh-CN" w:bidi="ar-SA"/>
          <w14:textFill>
            <w14:solidFill>
              <w14:schemeClr w14:val="tx1"/>
            </w14:solidFill>
          </w14:textFill>
        </w:rPr>
        <w:t>附件：采购需求。</w:t>
      </w:r>
    </w:p>
    <w:p w14:paraId="4A97065D">
      <w:pPr>
        <w:spacing w:line="360" w:lineRule="auto"/>
        <w:ind w:firstLine="420"/>
        <w:rPr>
          <w:rFonts w:hint="eastAsia" w:ascii="宋体" w:hAnsi="宋体" w:eastAsia="宋体" w:cs="Times New Roman"/>
          <w:color w:val="000000" w:themeColor="text1"/>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sz w:val="21"/>
          <w:szCs w:val="21"/>
          <w:highlight w:val="none"/>
          <w:lang w:val="en-US" w:eastAsia="zh-CN" w:bidi="ar-SA"/>
          <w14:textFill>
            <w14:solidFill>
              <w14:schemeClr w14:val="tx1"/>
            </w14:solidFill>
          </w14:textFill>
        </w:rPr>
        <w:t>最高限价（元）：人民币贰佰贰拾柒万叁仟元整（¥2273000.00）</w:t>
      </w:r>
    </w:p>
    <w:p w14:paraId="47DEB22B">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合同履约期限：签订合同之日起</w:t>
      </w:r>
      <w:r>
        <w:rPr>
          <w:rFonts w:hint="eastAsia" w:ascii="宋体" w:hAnsi="宋体"/>
          <w:color w:val="000000" w:themeColor="text1"/>
          <w:szCs w:val="21"/>
          <w:highlight w:val="none"/>
          <w:lang w:val="en-US" w:eastAsia="zh-CN"/>
          <w14:textFill>
            <w14:solidFill>
              <w14:schemeClr w14:val="tx1"/>
            </w14:solidFill>
          </w14:textFill>
        </w:rPr>
        <w:t>60</w:t>
      </w:r>
      <w:r>
        <w:rPr>
          <w:rFonts w:hint="eastAsia" w:ascii="宋体" w:hAnsi="宋体"/>
          <w:color w:val="000000" w:themeColor="text1"/>
          <w:szCs w:val="21"/>
          <w:highlight w:val="none"/>
          <w14:textFill>
            <w14:solidFill>
              <w14:schemeClr w14:val="tx1"/>
            </w14:solidFill>
          </w14:textFill>
        </w:rPr>
        <w:t>天内调试完毕验收合格并交付使用。</w:t>
      </w:r>
    </w:p>
    <w:p w14:paraId="08E63222">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本标项（</w:t>
      </w:r>
      <w:r>
        <w:rPr>
          <w:rFonts w:hint="eastAsia" w:ascii="宋体" w:hAnsi="宋体"/>
          <w:color w:val="000000" w:themeColor="text1"/>
          <w:szCs w:val="21"/>
          <w:highlight w:val="none"/>
          <w:lang w:val="en-US" w:eastAsia="zh-CN"/>
          <w14:textFill>
            <w14:solidFill>
              <w14:schemeClr w14:val="tx1"/>
            </w14:solidFill>
          </w14:textFill>
        </w:rPr>
        <w:t>否</w:t>
      </w:r>
      <w:r>
        <w:rPr>
          <w:rFonts w:hint="eastAsia" w:ascii="宋体" w:hAnsi="宋体"/>
          <w:color w:val="000000" w:themeColor="text1"/>
          <w:szCs w:val="21"/>
          <w:highlight w:val="none"/>
          <w14:textFill>
            <w14:solidFill>
              <w14:schemeClr w14:val="tx1"/>
            </w14:solidFill>
          </w14:textFill>
        </w:rPr>
        <w:t>）接受联合体投标</w:t>
      </w:r>
    </w:p>
    <w:p w14:paraId="5E728077">
      <w:pPr>
        <w:spacing w:line="360" w:lineRule="auto"/>
        <w:ind w:firstLine="420"/>
        <w:rPr>
          <w:rFonts w:hint="eastAsia" w:ascii="宋体" w:hAnsi="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备注：</w:t>
      </w:r>
      <w:r>
        <w:rPr>
          <w:rFonts w:hint="eastAsia" w:ascii="宋体" w:hAnsi="宋体"/>
          <w:color w:val="000000" w:themeColor="text1"/>
          <w:szCs w:val="21"/>
          <w:highlight w:val="none"/>
          <w:lang w:val="en-US" w:eastAsia="zh-CN"/>
          <w14:textFill>
            <w14:solidFill>
              <w14:schemeClr w14:val="tx1"/>
            </w14:solidFill>
          </w14:textFill>
        </w:rPr>
        <w:t>/</w:t>
      </w:r>
    </w:p>
    <w:p w14:paraId="1F9778C5">
      <w:pPr>
        <w:spacing w:line="480" w:lineRule="exact"/>
        <w:rPr>
          <w:rFonts w:ascii="黑体" w:hAnsi="黑体" w:eastAsia="黑体"/>
          <w:b/>
          <w:bCs/>
          <w:color w:val="000000" w:themeColor="text1"/>
          <w:sz w:val="24"/>
          <w:highlight w:val="none"/>
          <w14:textFill>
            <w14:solidFill>
              <w14:schemeClr w14:val="tx1"/>
            </w14:solidFill>
          </w14:textFill>
        </w:rPr>
      </w:pPr>
      <w:r>
        <w:rPr>
          <w:rFonts w:hint="eastAsia" w:ascii="黑体" w:hAnsi="黑体" w:eastAsia="黑体"/>
          <w:b/>
          <w:bCs/>
          <w:color w:val="000000" w:themeColor="text1"/>
          <w:sz w:val="24"/>
          <w:highlight w:val="none"/>
          <w14:textFill>
            <w14:solidFill>
              <w14:schemeClr w14:val="tx1"/>
            </w14:solidFill>
          </w14:textFill>
        </w:rPr>
        <w:t>二、申请人的资格要求：</w:t>
      </w:r>
    </w:p>
    <w:p w14:paraId="408F340A">
      <w:pPr>
        <w:spacing w:line="480" w:lineRule="exact"/>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1.满足《中华人民共和国政府采购法》第二十二条规定；</w:t>
      </w:r>
    </w:p>
    <w:p w14:paraId="31438621">
      <w:pPr>
        <w:spacing w:line="480" w:lineRule="exact"/>
        <w:ind w:firstLine="420"/>
        <w:rPr>
          <w:rFonts w:hint="eastAsia" w:ascii="宋体" w:hAnsi="宋体" w:eastAsia="宋体"/>
          <w:color w:val="000000" w:themeColor="text1"/>
          <w:szCs w:val="21"/>
          <w:highlight w:val="none"/>
          <w:lang w:val="en-US" w:eastAsia="zh-CN"/>
          <w14:textFill>
            <w14:solidFill>
              <w14:schemeClr w14:val="tx1"/>
            </w14:solidFill>
          </w14:textFill>
        </w:rPr>
      </w:pPr>
      <w:r>
        <w:rPr>
          <w:rFonts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.落实政府采购政策需满足的资格要求：</w:t>
      </w:r>
      <w:r>
        <w:rPr>
          <w:rFonts w:hint="eastAsia" w:ascii="宋体" w:hAnsi="宋体"/>
          <w:color w:val="000000" w:themeColor="text1"/>
          <w:szCs w:val="21"/>
          <w:highlight w:val="none"/>
          <w:lang w:val="en-US" w:eastAsia="zh-CN"/>
          <w14:textFill>
            <w14:solidFill>
              <w14:schemeClr w14:val="tx1"/>
            </w14:solidFill>
          </w14:textFill>
        </w:rPr>
        <w:t>无</w:t>
      </w:r>
    </w:p>
    <w:p w14:paraId="4D7582D1">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本项目的特定资格要求：投标人按《医疗器械监督管理条例》（国务院令第739号）医疗器械分类管理要求具备有效的医疗器械经营备案凭证或者经营许可证，且经营范围必须包含采购标的[符合《医疗器械监督管理条例》第四十一条第二款规定的除外]；或者投标人具有《医疗器械监督管理条例》第四十三条规定的注册人凭证。</w:t>
      </w:r>
    </w:p>
    <w:p w14:paraId="6A22F5C9">
      <w:pPr>
        <w:spacing w:line="480" w:lineRule="exact"/>
        <w:rPr>
          <w:rFonts w:ascii="黑体" w:hAnsi="黑体" w:eastAsia="黑体"/>
          <w:b/>
          <w:bCs/>
          <w:color w:val="000000" w:themeColor="text1"/>
          <w:sz w:val="24"/>
          <w:highlight w:val="none"/>
          <w14:textFill>
            <w14:solidFill>
              <w14:schemeClr w14:val="tx1"/>
            </w14:solidFill>
          </w14:textFill>
        </w:rPr>
      </w:pPr>
      <w:r>
        <w:rPr>
          <w:rFonts w:hint="eastAsia" w:ascii="黑体" w:hAnsi="黑体" w:eastAsia="黑体"/>
          <w:b/>
          <w:bCs/>
          <w:color w:val="000000" w:themeColor="text1"/>
          <w:sz w:val="24"/>
          <w:highlight w:val="none"/>
          <w14:textFill>
            <w14:solidFill>
              <w14:schemeClr w14:val="tx1"/>
            </w14:solidFill>
          </w14:textFill>
        </w:rPr>
        <w:t>三、获取招标文件</w:t>
      </w:r>
    </w:p>
    <w:p w14:paraId="10898F66">
      <w:pPr>
        <w:spacing w:line="480" w:lineRule="exact"/>
        <w:ind w:firstLine="540"/>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时间：</w:t>
      </w:r>
      <w:r>
        <w:rPr>
          <w:rFonts w:ascii="宋体" w:hAnsi="宋体" w:cs="宋体"/>
          <w:bCs/>
          <w:color w:val="000000" w:themeColor="text1"/>
          <w:szCs w:val="21"/>
          <w:highlight w:val="none"/>
          <w14:textFill>
            <w14:solidFill>
              <w14:schemeClr w14:val="tx1"/>
            </w14:solidFill>
          </w14:textFill>
        </w:rPr>
        <w:t xml:space="preserve"> </w:t>
      </w:r>
      <w:r>
        <w:rPr>
          <w:rFonts w:ascii="宋体" w:hAnsi="宋体" w:cs="宋体"/>
          <w:bCs/>
          <w:color w:val="000000" w:themeColor="text1"/>
          <w:szCs w:val="21"/>
          <w:highlight w:val="none"/>
          <w:u w:val="single"/>
          <w14:textFill>
            <w14:solidFill>
              <w14:schemeClr w14:val="tx1"/>
            </w14:solidFill>
          </w14:textFill>
        </w:rPr>
        <w:t xml:space="preserve"> </w:t>
      </w:r>
      <w:r>
        <w:rPr>
          <w:rFonts w:hint="eastAsia" w:ascii="宋体" w:hAnsi="宋体" w:cs="宋体"/>
          <w:bCs/>
          <w:color w:val="000000" w:themeColor="text1"/>
          <w:szCs w:val="21"/>
          <w:highlight w:val="none"/>
          <w:u w:val="single"/>
          <w14:textFill>
            <w14:solidFill>
              <w14:schemeClr w14:val="tx1"/>
            </w14:solidFill>
          </w14:textFill>
        </w:rPr>
        <w:t>2026年</w:t>
      </w:r>
      <w:r>
        <w:rPr>
          <w:rFonts w:hint="eastAsia" w:ascii="宋体" w:hAnsi="宋体" w:cs="宋体"/>
          <w:bCs/>
          <w:color w:val="000000" w:themeColor="text1"/>
          <w:szCs w:val="21"/>
          <w:highlight w:val="none"/>
          <w:u w:val="single"/>
          <w:lang w:val="en-US" w:eastAsia="zh-CN"/>
          <w14:textFill>
            <w14:solidFill>
              <w14:schemeClr w14:val="tx1"/>
            </w14:solidFill>
          </w14:textFill>
        </w:rPr>
        <w:t>9</w:t>
      </w:r>
      <w:r>
        <w:rPr>
          <w:rFonts w:hint="eastAsia" w:ascii="宋体" w:hAnsi="宋体" w:cs="宋体"/>
          <w:bCs/>
          <w:color w:val="000000" w:themeColor="text1"/>
          <w:szCs w:val="21"/>
          <w:highlight w:val="none"/>
          <w:u w:val="single"/>
          <w14:textFill>
            <w14:solidFill>
              <w14:schemeClr w14:val="tx1"/>
            </w14:solidFill>
          </w14:textFill>
        </w:rPr>
        <w:t>月</w:t>
      </w:r>
      <w:r>
        <w:rPr>
          <w:rFonts w:hint="eastAsia" w:ascii="宋体" w:hAnsi="宋体" w:cs="宋体"/>
          <w:bCs/>
          <w:color w:val="000000" w:themeColor="text1"/>
          <w:szCs w:val="21"/>
          <w:highlight w:val="none"/>
          <w:u w:val="single"/>
          <w:lang w:val="en-US" w:eastAsia="zh-CN"/>
          <w14:textFill>
            <w14:solidFill>
              <w14:schemeClr w14:val="tx1"/>
            </w14:solidFill>
          </w14:textFill>
        </w:rPr>
        <w:t>14</w:t>
      </w:r>
      <w:r>
        <w:rPr>
          <w:rFonts w:hint="eastAsia" w:ascii="宋体" w:hAnsi="宋体" w:cs="宋体"/>
          <w:bCs/>
          <w:color w:val="000000" w:themeColor="text1"/>
          <w:szCs w:val="21"/>
          <w:highlight w:val="none"/>
          <w:u w:val="single"/>
          <w14:textFill>
            <w14:solidFill>
              <w14:schemeClr w14:val="tx1"/>
            </w14:solidFill>
          </w14:textFill>
        </w:rPr>
        <w:t>日</w:t>
      </w:r>
      <w:r>
        <w:rPr>
          <w:rFonts w:hint="eastAsia" w:ascii="宋体" w:hAnsi="宋体" w:cs="宋体"/>
          <w:bCs/>
          <w:color w:val="000000" w:themeColor="text1"/>
          <w:szCs w:val="21"/>
          <w:highlight w:val="none"/>
          <w14:textFill>
            <w14:solidFill>
              <w14:schemeClr w14:val="tx1"/>
            </w14:solidFill>
          </w14:textFill>
        </w:rPr>
        <w:t>至</w:t>
      </w:r>
      <w:r>
        <w:rPr>
          <w:rFonts w:hint="eastAsia" w:ascii="宋体" w:hAnsi="宋体" w:cs="宋体"/>
          <w:bCs/>
          <w:color w:val="000000" w:themeColor="text1"/>
          <w:szCs w:val="21"/>
          <w:highlight w:val="none"/>
          <w:u w:val="single"/>
          <w14:textFill>
            <w14:solidFill>
              <w14:schemeClr w14:val="tx1"/>
            </w14:solidFill>
          </w14:textFill>
        </w:rPr>
        <w:t>2026年</w:t>
      </w:r>
      <w:r>
        <w:rPr>
          <w:rFonts w:hint="eastAsia" w:ascii="宋体" w:hAnsi="宋体" w:cs="宋体"/>
          <w:bCs/>
          <w:color w:val="000000" w:themeColor="text1"/>
          <w:szCs w:val="21"/>
          <w:highlight w:val="none"/>
          <w:u w:val="single"/>
          <w:lang w:val="en-US" w:eastAsia="zh-CN"/>
          <w14:textFill>
            <w14:solidFill>
              <w14:schemeClr w14:val="tx1"/>
            </w14:solidFill>
          </w14:textFill>
        </w:rPr>
        <w:t>9</w:t>
      </w:r>
      <w:r>
        <w:rPr>
          <w:rFonts w:hint="eastAsia" w:ascii="宋体" w:hAnsi="宋体" w:cs="宋体"/>
          <w:bCs/>
          <w:color w:val="000000" w:themeColor="text1"/>
          <w:szCs w:val="21"/>
          <w:highlight w:val="none"/>
          <w:u w:val="single"/>
          <w14:textFill>
            <w14:solidFill>
              <w14:schemeClr w14:val="tx1"/>
            </w14:solidFill>
          </w14:textFill>
        </w:rPr>
        <w:t>月</w:t>
      </w:r>
      <w:r>
        <w:rPr>
          <w:rFonts w:hint="eastAsia" w:ascii="宋体" w:hAnsi="宋体" w:cs="宋体"/>
          <w:bCs/>
          <w:color w:val="000000" w:themeColor="text1"/>
          <w:szCs w:val="21"/>
          <w:highlight w:val="none"/>
          <w:u w:val="single"/>
          <w:lang w:val="en-US" w:eastAsia="zh-CN"/>
          <w14:textFill>
            <w14:solidFill>
              <w14:schemeClr w14:val="tx1"/>
            </w14:solidFill>
          </w14:textFill>
        </w:rPr>
        <w:t>20</w:t>
      </w:r>
      <w:r>
        <w:rPr>
          <w:rFonts w:hint="eastAsia" w:ascii="宋体" w:hAnsi="宋体" w:cs="宋体"/>
          <w:bCs/>
          <w:color w:val="000000" w:themeColor="text1"/>
          <w:szCs w:val="21"/>
          <w:highlight w:val="none"/>
          <w:u w:val="single"/>
          <w14:textFill>
            <w14:solidFill>
              <w14:schemeClr w14:val="tx1"/>
            </w14:solidFill>
          </w14:textFill>
        </w:rPr>
        <w:t>日</w:t>
      </w:r>
      <w:r>
        <w:rPr>
          <w:rFonts w:hint="eastAsia" w:ascii="宋体" w:hAnsi="宋体" w:cs="宋体"/>
          <w:bCs/>
          <w:color w:val="000000" w:themeColor="text1"/>
          <w:szCs w:val="21"/>
          <w:highlight w:val="none"/>
          <w14:textFill>
            <w14:solidFill>
              <w14:schemeClr w14:val="tx1"/>
            </w14:solidFill>
          </w14:textFill>
        </w:rPr>
        <w:t>，每天上午</w:t>
      </w:r>
      <w:r>
        <w:rPr>
          <w:rFonts w:hint="eastAsia" w:ascii="宋体" w:hAnsi="宋体" w:cs="宋体"/>
          <w:bCs/>
          <w:color w:val="000000" w:themeColor="text1"/>
          <w:szCs w:val="21"/>
          <w:highlight w:val="none"/>
          <w:u w:val="single"/>
          <w14:textFill>
            <w14:solidFill>
              <w14:schemeClr w14:val="tx1"/>
            </w14:solidFill>
          </w14:textFill>
        </w:rPr>
        <w:t>8：00至12：00　</w:t>
      </w:r>
      <w:r>
        <w:rPr>
          <w:rFonts w:hint="eastAsia" w:ascii="宋体" w:hAnsi="宋体" w:cs="宋体"/>
          <w:bCs/>
          <w:color w:val="000000" w:themeColor="text1"/>
          <w:szCs w:val="21"/>
          <w:highlight w:val="none"/>
          <w14:textFill>
            <w14:solidFill>
              <w14:schemeClr w14:val="tx1"/>
            </w14:solidFill>
          </w14:textFill>
        </w:rPr>
        <w:t>，</w:t>
      </w:r>
      <w:r>
        <w:rPr>
          <w:rFonts w:hint="eastAsia" w:ascii="宋体" w:hAnsi="宋体" w:cs="宋体"/>
          <w:bCs/>
          <w:color w:val="000000" w:themeColor="text1"/>
          <w:szCs w:val="21"/>
          <w:highlight w:val="none"/>
          <w:u w:val="single"/>
          <w14:textFill>
            <w14:solidFill>
              <w14:schemeClr w14:val="tx1"/>
            </w14:solidFill>
          </w14:textFill>
        </w:rPr>
        <w:t>下午3：00至6：00</w:t>
      </w:r>
      <w:r>
        <w:rPr>
          <w:rFonts w:hint="eastAsia" w:ascii="宋体" w:hAnsi="宋体" w:cs="宋体"/>
          <w:bCs/>
          <w:color w:val="000000" w:themeColor="text1"/>
          <w:szCs w:val="21"/>
          <w:highlight w:val="none"/>
          <w14:textFill>
            <w14:solidFill>
              <w14:schemeClr w14:val="tx1"/>
            </w14:solidFill>
          </w14:textFill>
        </w:rPr>
        <w:t>（北京时间，</w:t>
      </w:r>
      <w:r>
        <w:rPr>
          <w:rFonts w:ascii="宋体" w:hAnsi="宋体" w:cs="宋体"/>
          <w:bCs/>
          <w:color w:val="000000" w:themeColor="text1"/>
          <w:szCs w:val="21"/>
          <w:highlight w:val="none"/>
          <w14:textFill>
            <w14:solidFill>
              <w14:schemeClr w14:val="tx1"/>
            </w14:solidFill>
          </w14:textFill>
        </w:rPr>
        <w:t>法定节假日</w:t>
      </w:r>
      <w:r>
        <w:rPr>
          <w:rFonts w:hint="eastAsia" w:ascii="宋体" w:hAnsi="宋体" w:cs="宋体"/>
          <w:bCs/>
          <w:color w:val="000000" w:themeColor="text1"/>
          <w:szCs w:val="21"/>
          <w:highlight w:val="none"/>
          <w14:textFill>
            <w14:solidFill>
              <w14:schemeClr w14:val="tx1"/>
            </w14:solidFill>
          </w14:textFill>
        </w:rPr>
        <w:t>除外）</w:t>
      </w:r>
    </w:p>
    <w:p w14:paraId="67DD7888">
      <w:pPr>
        <w:spacing w:line="480" w:lineRule="exact"/>
        <w:ind w:firstLine="540"/>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地点：</w:t>
      </w:r>
      <w:r>
        <w:rPr>
          <w:rFonts w:hint="eastAsia" w:ascii="宋体" w:hAnsi="宋体"/>
          <w:color w:val="000000" w:themeColor="text1"/>
          <w:szCs w:val="21"/>
          <w:highlight w:val="none"/>
          <w14:textFill>
            <w14:solidFill>
              <w14:schemeClr w14:val="tx1"/>
            </w14:solidFill>
          </w14:textFill>
        </w:rPr>
        <w:t>广西政府采购云平台（</w:t>
      </w:r>
      <w:r>
        <w:rPr>
          <w:rFonts w:hint="eastAsia" w:ascii="宋体" w:hAnsi="宋体"/>
          <w:bCs/>
          <w:color w:val="000000" w:themeColor="text1"/>
          <w:szCs w:val="21"/>
          <w:highlight w:val="none"/>
          <w14:textFill>
            <w14:solidFill>
              <w14:schemeClr w14:val="tx1"/>
            </w14:solidFill>
          </w14:textFill>
        </w:rPr>
        <w:t>https://www.gcy.zfcg.gxzf.gov.cn/</w:t>
      </w:r>
      <w:r>
        <w:rPr>
          <w:rFonts w:hint="eastAsia" w:ascii="宋体" w:hAnsi="宋体"/>
          <w:color w:val="000000" w:themeColor="text1"/>
          <w:szCs w:val="21"/>
          <w:highlight w:val="none"/>
          <w14:textFill>
            <w14:solidFill>
              <w14:schemeClr w14:val="tx1"/>
            </w14:solidFill>
          </w14:textFill>
        </w:rPr>
        <w:t>）</w:t>
      </w:r>
    </w:p>
    <w:p w14:paraId="4D92CAD3">
      <w:pPr>
        <w:spacing w:line="480" w:lineRule="exact"/>
        <w:ind w:firstLine="540"/>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方式：网上下载。本项目不提供纸质文件，潜在供应商需在</w:t>
      </w:r>
      <w:r>
        <w:rPr>
          <w:rFonts w:hint="eastAsia" w:ascii="宋体" w:hAnsi="宋体"/>
          <w:color w:val="000000" w:themeColor="text1"/>
          <w:szCs w:val="21"/>
          <w:highlight w:val="none"/>
          <w14:textFill>
            <w14:solidFill>
              <w14:schemeClr w14:val="tx1"/>
            </w14:solidFill>
          </w14:textFill>
        </w:rPr>
        <w:t>广西政府采购云平台（</w:t>
      </w:r>
      <w:r>
        <w:rPr>
          <w:rFonts w:hint="eastAsia" w:ascii="宋体" w:hAnsi="宋体"/>
          <w:bCs/>
          <w:color w:val="000000" w:themeColor="text1"/>
          <w:szCs w:val="21"/>
          <w:highlight w:val="none"/>
          <w14:textFill>
            <w14:solidFill>
              <w14:schemeClr w14:val="tx1"/>
            </w14:solidFill>
          </w14:textFill>
        </w:rPr>
        <w:t>https://www.gcy.zfcg.gxzf.gov.cn/</w:t>
      </w:r>
      <w:r>
        <w:rPr>
          <w:rFonts w:hint="eastAsia" w:ascii="宋体" w:hAnsi="宋体"/>
          <w:color w:val="000000" w:themeColor="text1"/>
          <w:szCs w:val="21"/>
          <w:highlight w:val="none"/>
          <w14:textFill>
            <w14:solidFill>
              <w14:schemeClr w14:val="tx1"/>
            </w14:solidFill>
          </w14:textFill>
        </w:rPr>
        <w:t>）</w:t>
      </w:r>
      <w:r>
        <w:rPr>
          <w:rFonts w:hint="eastAsia" w:ascii="宋体" w:hAnsi="宋体" w:cs="宋体"/>
          <w:bCs/>
          <w:color w:val="000000" w:themeColor="text1"/>
          <w:szCs w:val="21"/>
          <w:highlight w:val="none"/>
          <w14:textFill>
            <w14:solidFill>
              <w14:schemeClr w14:val="tx1"/>
            </w14:solidFill>
          </w14:textFill>
        </w:rPr>
        <w:t>-进入“项目采购”应用，在获取招标文件菜单中选择项目，获取招标文件。</w:t>
      </w:r>
      <w:r>
        <w:rPr>
          <w:rFonts w:hint="eastAsia" w:ascii="宋体" w:hAnsi="宋体"/>
          <w:color w:val="000000" w:themeColor="text1"/>
          <w:szCs w:val="21"/>
          <w:highlight w:val="none"/>
          <w14:textFill>
            <w14:solidFill>
              <w14:schemeClr w14:val="tx1"/>
            </w14:solidFill>
          </w14:textFill>
        </w:rPr>
        <w:t>电子投标文件制作需要基于广西政府采购云平台获取的招标文件编制，</w:t>
      </w:r>
      <w:r>
        <w:rPr>
          <w:rFonts w:hint="eastAsia" w:ascii="宋体" w:hAnsi="宋体" w:cs="宋体"/>
          <w:bCs/>
          <w:color w:val="000000" w:themeColor="text1"/>
          <w:szCs w:val="21"/>
          <w:highlight w:val="none"/>
          <w14:textFill>
            <w14:solidFill>
              <w14:schemeClr w14:val="tx1"/>
            </w14:solidFill>
          </w14:textFill>
        </w:rPr>
        <w:t>通过其他方式获取招标文件的，将有可能导致供应商无法在</w:t>
      </w:r>
      <w:r>
        <w:rPr>
          <w:rFonts w:hint="eastAsia" w:ascii="宋体" w:hAnsi="宋体"/>
          <w:color w:val="000000" w:themeColor="text1"/>
          <w:szCs w:val="21"/>
          <w:highlight w:val="none"/>
          <w14:textFill>
            <w14:solidFill>
              <w14:schemeClr w14:val="tx1"/>
            </w14:solidFill>
          </w14:textFill>
        </w:rPr>
        <w:t>广西政府采购云平台</w:t>
      </w:r>
      <w:r>
        <w:rPr>
          <w:rFonts w:hint="eastAsia" w:ascii="宋体" w:hAnsi="宋体" w:cs="宋体"/>
          <w:bCs/>
          <w:color w:val="000000" w:themeColor="text1"/>
          <w:szCs w:val="21"/>
          <w:highlight w:val="none"/>
          <w14:textFill>
            <w14:solidFill>
              <w14:schemeClr w14:val="tx1"/>
            </w14:solidFill>
          </w14:textFill>
        </w:rPr>
        <w:t>编制及上传投标文件。</w:t>
      </w:r>
    </w:p>
    <w:p w14:paraId="5A034212">
      <w:pPr>
        <w:spacing w:line="480" w:lineRule="exact"/>
        <w:ind w:firstLine="540"/>
        <w:rPr>
          <w:rFonts w:ascii="宋体" w:hAnsi="宋体" w:cs="宋体"/>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售价：</w:t>
      </w:r>
      <w:r>
        <w:rPr>
          <w:rFonts w:hint="eastAsia" w:ascii="宋体" w:hAnsi="宋体" w:cs="宋体"/>
          <w:i/>
          <w:color w:val="000000" w:themeColor="text1"/>
          <w:szCs w:val="21"/>
          <w:highlight w:val="none"/>
          <w:u w:val="single"/>
          <w14:textFill>
            <w14:solidFill>
              <w14:schemeClr w14:val="tx1"/>
            </w14:solidFill>
          </w14:textFill>
        </w:rPr>
        <w:t>0</w:t>
      </w:r>
      <w:r>
        <w:rPr>
          <w:rFonts w:hint="eastAsia" w:ascii="宋体" w:hAnsi="宋体" w:cs="宋体"/>
          <w:color w:val="000000" w:themeColor="text1"/>
          <w:szCs w:val="21"/>
          <w:highlight w:val="none"/>
          <w14:textFill>
            <w14:solidFill>
              <w14:schemeClr w14:val="tx1"/>
            </w14:solidFill>
          </w14:textFill>
        </w:rPr>
        <w:t>元</w:t>
      </w:r>
    </w:p>
    <w:p w14:paraId="276D58B2">
      <w:pPr>
        <w:spacing w:line="480" w:lineRule="exact"/>
        <w:rPr>
          <w:rFonts w:ascii="黑体" w:hAnsi="黑体" w:eastAsia="黑体"/>
          <w:b/>
          <w:bCs/>
          <w:color w:val="000000" w:themeColor="text1"/>
          <w:sz w:val="24"/>
          <w:highlight w:val="none"/>
          <w14:textFill>
            <w14:solidFill>
              <w14:schemeClr w14:val="tx1"/>
            </w14:solidFill>
          </w14:textFill>
        </w:rPr>
      </w:pPr>
      <w:r>
        <w:rPr>
          <w:rFonts w:hint="eastAsia" w:ascii="黑体" w:hAnsi="黑体" w:eastAsia="黑体"/>
          <w:b/>
          <w:bCs/>
          <w:color w:val="000000" w:themeColor="text1"/>
          <w:sz w:val="24"/>
          <w:highlight w:val="none"/>
          <w14:textFill>
            <w14:solidFill>
              <w14:schemeClr w14:val="tx1"/>
            </w14:solidFill>
          </w14:textFill>
        </w:rPr>
        <w:t>四、提交投标文件截止时间、开标时间和地点</w:t>
      </w:r>
    </w:p>
    <w:p w14:paraId="64A9ED1D">
      <w:pPr>
        <w:spacing w:line="480" w:lineRule="exact"/>
        <w:ind w:firstLine="420"/>
        <w:rPr>
          <w:rFonts w:ascii="宋体" w:hAnsi="宋体" w:cs="宋体"/>
          <w:i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u w:val="single"/>
          <w:lang w:eastAsia="zh-CN"/>
          <w14:textFill>
            <w14:solidFill>
              <w14:schemeClr w14:val="tx1"/>
            </w14:solidFill>
          </w14:textFill>
        </w:rPr>
        <w:t>2026年</w:t>
      </w:r>
      <w:r>
        <w:rPr>
          <w:rFonts w:hint="eastAsia" w:ascii="宋体" w:hAnsi="宋体"/>
          <w:color w:val="000000" w:themeColor="text1"/>
          <w:szCs w:val="21"/>
          <w:highlight w:val="none"/>
          <w:u w:val="single"/>
          <w:lang w:val="en-US" w:eastAsia="zh-CN"/>
          <w14:textFill>
            <w14:solidFill>
              <w14:schemeClr w14:val="tx1"/>
            </w14:solidFill>
          </w14:textFill>
        </w:rPr>
        <w:t>10</w:t>
      </w:r>
      <w:r>
        <w:rPr>
          <w:rFonts w:hint="eastAsia" w:ascii="宋体" w:hAnsi="宋体"/>
          <w:color w:val="000000" w:themeColor="text1"/>
          <w:szCs w:val="21"/>
          <w:highlight w:val="none"/>
          <w:u w:val="single"/>
          <w:lang w:eastAsia="zh-CN"/>
          <w14:textFill>
            <w14:solidFill>
              <w14:schemeClr w14:val="tx1"/>
            </w14:solidFill>
          </w14:textFill>
        </w:rPr>
        <w:t>月</w:t>
      </w:r>
      <w:r>
        <w:rPr>
          <w:rFonts w:hint="eastAsia" w:ascii="宋体" w:hAnsi="宋体"/>
          <w:color w:val="000000" w:themeColor="text1"/>
          <w:szCs w:val="21"/>
          <w:highlight w:val="none"/>
          <w:u w:val="single"/>
          <w:lang w:val="en-US" w:eastAsia="zh-CN"/>
          <w14:textFill>
            <w14:solidFill>
              <w14:schemeClr w14:val="tx1"/>
            </w14:solidFill>
          </w14:textFill>
        </w:rPr>
        <w:t>13</w:t>
      </w:r>
      <w:r>
        <w:rPr>
          <w:rFonts w:hint="eastAsia" w:ascii="宋体" w:hAnsi="宋体"/>
          <w:color w:val="000000" w:themeColor="text1"/>
          <w:szCs w:val="21"/>
          <w:highlight w:val="none"/>
          <w:u w:val="single"/>
          <w:lang w:eastAsia="zh-CN"/>
          <w14:textFill>
            <w14:solidFill>
              <w14:schemeClr w14:val="tx1"/>
            </w14:solidFill>
          </w14:textFill>
        </w:rPr>
        <w:t>日</w:t>
      </w:r>
      <w:r>
        <w:rPr>
          <w:rFonts w:hint="eastAsia" w:ascii="宋体" w:hAnsi="宋体"/>
          <w:bCs/>
          <w:color w:val="000000" w:themeColor="text1"/>
          <w:szCs w:val="21"/>
          <w:highlight w:val="none"/>
          <w:u w:val="single"/>
          <w14:textFill>
            <w14:solidFill>
              <w14:schemeClr w14:val="tx1"/>
            </w14:solidFill>
          </w14:textFill>
        </w:rPr>
        <w:t>9时30分</w:t>
      </w:r>
      <w:r>
        <w:rPr>
          <w:rFonts w:hint="eastAsia" w:ascii="宋体" w:hAnsi="宋体"/>
          <w:bCs/>
          <w:color w:val="000000" w:themeColor="text1"/>
          <w:szCs w:val="21"/>
          <w:highlight w:val="none"/>
          <w14:textFill>
            <w14:solidFill>
              <w14:schemeClr w14:val="tx1"/>
            </w14:solidFill>
          </w14:textFill>
        </w:rPr>
        <w:t>（北京时间）</w:t>
      </w:r>
    </w:p>
    <w:p w14:paraId="21BD53F3">
      <w:pPr>
        <w:spacing w:line="480" w:lineRule="exact"/>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地点：钦州市公共资源交易中心电子显示屏所安排的开标室（钦州市金海湾东大街8号，市政务服务中心三楼）</w:t>
      </w:r>
    </w:p>
    <w:p w14:paraId="2696FCC6">
      <w:pPr>
        <w:spacing w:line="480" w:lineRule="exact"/>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投标地点：广西政府采购云平台（</w:t>
      </w:r>
      <w:r>
        <w:rPr>
          <w:rFonts w:hint="eastAsia" w:ascii="宋体" w:hAnsi="宋体"/>
          <w:bCs/>
          <w:color w:val="000000" w:themeColor="text1"/>
          <w:szCs w:val="21"/>
          <w:highlight w:val="none"/>
          <w14:textFill>
            <w14:solidFill>
              <w14:schemeClr w14:val="tx1"/>
            </w14:solidFill>
          </w14:textFill>
        </w:rPr>
        <w:t>https://www.gcy.zfcg.gxzf.gov.cn/</w:t>
      </w:r>
      <w:r>
        <w:rPr>
          <w:rFonts w:hint="eastAsia" w:ascii="宋体" w:hAnsi="宋体"/>
          <w:color w:val="000000" w:themeColor="text1"/>
          <w:szCs w:val="21"/>
          <w:highlight w:val="none"/>
          <w14:textFill>
            <w14:solidFill>
              <w14:schemeClr w14:val="tx1"/>
            </w14:solidFill>
          </w14:textFill>
        </w:rPr>
        <w:t>）</w:t>
      </w:r>
    </w:p>
    <w:p w14:paraId="752A054F">
      <w:pPr>
        <w:spacing w:line="480" w:lineRule="exact"/>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开标地点：广西政府采购云平台（https://www.gcy.zfcg.gxzf.gov.cn/）电子开标大厅</w:t>
      </w:r>
    </w:p>
    <w:p w14:paraId="5CD32E94">
      <w:pPr>
        <w:spacing w:line="480" w:lineRule="exact"/>
        <w:rPr>
          <w:rFonts w:ascii="黑体" w:hAnsi="黑体" w:eastAsia="黑体"/>
          <w:b/>
          <w:bCs/>
          <w:color w:val="000000" w:themeColor="text1"/>
          <w:sz w:val="24"/>
          <w:highlight w:val="none"/>
          <w14:textFill>
            <w14:solidFill>
              <w14:schemeClr w14:val="tx1"/>
            </w14:solidFill>
          </w14:textFill>
        </w:rPr>
      </w:pPr>
      <w:r>
        <w:rPr>
          <w:rFonts w:hint="eastAsia" w:ascii="黑体" w:hAnsi="黑体" w:eastAsia="黑体"/>
          <w:b/>
          <w:bCs/>
          <w:color w:val="000000" w:themeColor="text1"/>
          <w:sz w:val="24"/>
          <w:highlight w:val="none"/>
          <w14:textFill>
            <w14:solidFill>
              <w14:schemeClr w14:val="tx1"/>
            </w14:solidFill>
          </w14:textFill>
        </w:rPr>
        <w:t>五、公告期限</w:t>
      </w:r>
    </w:p>
    <w:p w14:paraId="1A38F1F7">
      <w:pPr>
        <w:spacing w:line="480" w:lineRule="exact"/>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自本公告发布之日起5个工作日。</w:t>
      </w:r>
    </w:p>
    <w:p w14:paraId="529A7DD9">
      <w:pPr>
        <w:spacing w:line="480" w:lineRule="exact"/>
        <w:rPr>
          <w:rFonts w:ascii="黑体" w:hAnsi="黑体" w:eastAsia="黑体"/>
          <w:b/>
          <w:bCs/>
          <w:color w:val="000000" w:themeColor="text1"/>
          <w:sz w:val="24"/>
          <w:highlight w:val="none"/>
          <w14:textFill>
            <w14:solidFill>
              <w14:schemeClr w14:val="tx1"/>
            </w14:solidFill>
          </w14:textFill>
        </w:rPr>
      </w:pPr>
      <w:r>
        <w:rPr>
          <w:rFonts w:hint="eastAsia" w:ascii="黑体" w:hAnsi="黑体" w:eastAsia="黑体"/>
          <w:b/>
          <w:bCs/>
          <w:color w:val="000000" w:themeColor="text1"/>
          <w:sz w:val="24"/>
          <w:highlight w:val="none"/>
          <w14:textFill>
            <w14:solidFill>
              <w14:schemeClr w14:val="tx1"/>
            </w14:solidFill>
          </w14:textFill>
        </w:rPr>
        <w:t>六、其他补充事宜</w:t>
      </w:r>
    </w:p>
    <w:p w14:paraId="64ADB229">
      <w:pPr>
        <w:spacing w:line="480" w:lineRule="exact"/>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1.网上查询地址</w:t>
      </w:r>
    </w:p>
    <w:p w14:paraId="414A3FE4">
      <w:pPr>
        <w:spacing w:line="480" w:lineRule="exact"/>
        <w:ind w:firstLine="424"/>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http://www.ccgp.gov.cn（中国政府采购网）、http://zfcg.gxzf.gov.cn（广西壮族自治区政府采购网）、全国公共资源交易平台(广西.钦州)（http://ggzy.jgswj.gxzf.gov.cn/qzggzy/）</w:t>
      </w:r>
    </w:p>
    <w:p w14:paraId="27848426">
      <w:pPr>
        <w:spacing w:line="480" w:lineRule="exact"/>
        <w:ind w:firstLine="424"/>
        <w:rPr>
          <w:rFonts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w:t>
      </w:r>
      <w:r>
        <w:rPr>
          <w:rFonts w:ascii="宋体" w:hAnsi="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本项目需要落实的政府采购政策</w:t>
      </w:r>
    </w:p>
    <w:p w14:paraId="29841631">
      <w:pPr>
        <w:spacing w:line="480" w:lineRule="exact"/>
        <w:ind w:firstLine="420"/>
        <w:rPr>
          <w:rFonts w:ascii="宋体" w:hAnsi="宋体" w:cs="宋体"/>
          <w:iCs/>
          <w:color w:val="000000" w:themeColor="text1"/>
          <w:szCs w:val="21"/>
          <w:highlight w:val="none"/>
          <w14:textFill>
            <w14:solidFill>
              <w14:schemeClr w14:val="tx1"/>
            </w14:solidFill>
          </w14:textFill>
        </w:rPr>
      </w:pPr>
      <w:r>
        <w:rPr>
          <w:rFonts w:hint="eastAsia" w:ascii="宋体" w:hAnsi="宋体" w:cs="宋体"/>
          <w:iCs/>
          <w:color w:val="000000" w:themeColor="text1"/>
          <w:szCs w:val="21"/>
          <w:highlight w:val="none"/>
          <w14:textFill>
            <w14:solidFill>
              <w14:schemeClr w14:val="tx1"/>
            </w14:solidFill>
          </w14:textFill>
        </w:rPr>
        <w:t>（1）政府采购促进中小企业发展。</w:t>
      </w:r>
    </w:p>
    <w:p w14:paraId="682B1A5C">
      <w:pPr>
        <w:spacing w:line="480" w:lineRule="exact"/>
        <w:ind w:firstLine="420"/>
        <w:rPr>
          <w:rFonts w:ascii="宋体" w:hAnsi="宋体" w:cs="宋体"/>
          <w:iCs/>
          <w:color w:val="000000" w:themeColor="text1"/>
          <w:szCs w:val="21"/>
          <w:highlight w:val="none"/>
          <w14:textFill>
            <w14:solidFill>
              <w14:schemeClr w14:val="tx1"/>
            </w14:solidFill>
          </w14:textFill>
        </w:rPr>
      </w:pPr>
      <w:r>
        <w:rPr>
          <w:rFonts w:hint="eastAsia" w:ascii="宋体" w:hAnsi="宋体" w:cs="宋体"/>
          <w:iCs/>
          <w:color w:val="000000" w:themeColor="text1"/>
          <w:szCs w:val="21"/>
          <w:highlight w:val="none"/>
          <w14:textFill>
            <w14:solidFill>
              <w14:schemeClr w14:val="tx1"/>
            </w14:solidFill>
          </w14:textFill>
        </w:rPr>
        <w:t>（2）政府采购支持采用本国产品的政策。</w:t>
      </w:r>
    </w:p>
    <w:p w14:paraId="05593C84">
      <w:pPr>
        <w:spacing w:line="480" w:lineRule="exact"/>
        <w:ind w:firstLine="420"/>
        <w:rPr>
          <w:rFonts w:ascii="宋体" w:hAnsi="宋体" w:cs="宋体"/>
          <w:iCs/>
          <w:color w:val="000000" w:themeColor="text1"/>
          <w:szCs w:val="21"/>
          <w:highlight w:val="none"/>
          <w14:textFill>
            <w14:solidFill>
              <w14:schemeClr w14:val="tx1"/>
            </w14:solidFill>
          </w14:textFill>
        </w:rPr>
      </w:pPr>
      <w:r>
        <w:rPr>
          <w:rFonts w:hint="eastAsia" w:ascii="宋体" w:hAnsi="宋体" w:cs="宋体"/>
          <w:iCs/>
          <w:color w:val="000000" w:themeColor="text1"/>
          <w:szCs w:val="21"/>
          <w:highlight w:val="none"/>
          <w14:textFill>
            <w14:solidFill>
              <w14:schemeClr w14:val="tx1"/>
            </w14:solidFill>
          </w14:textFill>
        </w:rPr>
        <w:t>（3）强制采购节能产品；优先采购节能产品、环境标志产品。</w:t>
      </w:r>
    </w:p>
    <w:p w14:paraId="52FD3B86">
      <w:pPr>
        <w:spacing w:line="480" w:lineRule="exact"/>
        <w:ind w:firstLine="420"/>
        <w:rPr>
          <w:rFonts w:ascii="宋体" w:hAnsi="宋体" w:cs="宋体"/>
          <w:iCs/>
          <w:color w:val="000000" w:themeColor="text1"/>
          <w:szCs w:val="21"/>
          <w:highlight w:val="none"/>
          <w14:textFill>
            <w14:solidFill>
              <w14:schemeClr w14:val="tx1"/>
            </w14:solidFill>
          </w14:textFill>
        </w:rPr>
      </w:pPr>
      <w:r>
        <w:rPr>
          <w:rFonts w:hint="eastAsia" w:ascii="宋体" w:hAnsi="宋体" w:cs="宋体"/>
          <w:iCs/>
          <w:color w:val="000000" w:themeColor="text1"/>
          <w:szCs w:val="21"/>
          <w:highlight w:val="none"/>
          <w14:textFill>
            <w14:solidFill>
              <w14:schemeClr w14:val="tx1"/>
            </w14:solidFill>
          </w14:textFill>
        </w:rPr>
        <w:t>（4）政府采购促进残疾人就业政策。</w:t>
      </w:r>
    </w:p>
    <w:p w14:paraId="1329CAD7">
      <w:pPr>
        <w:spacing w:line="480" w:lineRule="exact"/>
        <w:ind w:firstLine="420"/>
        <w:rPr>
          <w:rFonts w:ascii="宋体" w:hAnsi="宋体" w:cs="宋体"/>
          <w:iCs/>
          <w:color w:val="000000" w:themeColor="text1"/>
          <w:szCs w:val="21"/>
          <w:highlight w:val="none"/>
          <w14:textFill>
            <w14:solidFill>
              <w14:schemeClr w14:val="tx1"/>
            </w14:solidFill>
          </w14:textFill>
        </w:rPr>
      </w:pPr>
      <w:r>
        <w:rPr>
          <w:rFonts w:hint="eastAsia" w:ascii="宋体" w:hAnsi="宋体" w:cs="宋体"/>
          <w:iCs/>
          <w:color w:val="000000" w:themeColor="text1"/>
          <w:szCs w:val="21"/>
          <w:highlight w:val="none"/>
          <w14:textFill>
            <w14:solidFill>
              <w14:schemeClr w14:val="tx1"/>
            </w14:solidFill>
          </w14:textFill>
        </w:rPr>
        <w:t>（5）政府采购支持监狱企业发展。</w:t>
      </w:r>
    </w:p>
    <w:p w14:paraId="7C1C1D1C">
      <w:pPr>
        <w:widowControl/>
        <w:spacing w:line="480" w:lineRule="exact"/>
        <w:ind w:firstLine="420"/>
        <w:jc w:val="left"/>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3.投标人</w:t>
      </w:r>
      <w:r>
        <w:rPr>
          <w:rFonts w:hint="eastAsia" w:ascii="宋体" w:hAnsi="宋体"/>
          <w:color w:val="000000" w:themeColor="text1"/>
          <w:szCs w:val="21"/>
          <w:highlight w:val="none"/>
          <w14:textFill>
            <w14:solidFill>
              <w14:schemeClr w14:val="tx1"/>
            </w14:solidFill>
          </w14:textFill>
        </w:rPr>
        <w:t>投标注意事项</w:t>
      </w:r>
    </w:p>
    <w:p w14:paraId="0AE58A89">
      <w:pPr>
        <w:widowControl/>
        <w:spacing w:line="480" w:lineRule="exact"/>
        <w:ind w:firstLine="42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（1）本项目为全流程电子化采购项目，通过广西政府采购云平台（</w:t>
      </w:r>
      <w:r>
        <w:rPr>
          <w:rFonts w:hint="eastAsia" w:ascii="宋体" w:hAnsi="宋体"/>
          <w:bCs/>
          <w:color w:val="000000" w:themeColor="text1"/>
          <w:szCs w:val="21"/>
          <w:highlight w:val="none"/>
          <w14:textFill>
            <w14:solidFill>
              <w14:schemeClr w14:val="tx1"/>
            </w14:solidFill>
          </w14:textFill>
        </w:rPr>
        <w:t>https://www.gcy.zfcg.gxzf.gov.cn/</w:t>
      </w:r>
      <w:r>
        <w:rPr>
          <w:rFonts w:hint="eastAsia" w:ascii="宋体" w:hAnsi="宋体"/>
          <w:color w:val="000000" w:themeColor="text1"/>
          <w:szCs w:val="21"/>
          <w:highlight w:val="none"/>
          <w14:textFill>
            <w14:solidFill>
              <w14:schemeClr w14:val="tx1"/>
            </w14:solidFill>
          </w14:textFill>
        </w:rPr>
        <w:t>）实行在线电子投标，投标人应按照本项目招标文件和广西政府采购云平台的要求编制、加密后在投标截止时间前通过网络上传至广西政府采购云平台（加密的电子投标文件是指</w:t>
      </w:r>
      <w:r>
        <w:rPr>
          <w:rFonts w:hint="eastAsia"/>
          <w:color w:val="000000" w:themeColor="text1"/>
          <w:highlight w:val="none"/>
          <w14:textFill>
            <w14:solidFill>
              <w14:schemeClr w14:val="tx1"/>
            </w14:solidFill>
          </w14:textFill>
        </w:rPr>
        <w:t>后缀名为“</w:t>
      </w:r>
      <w:r>
        <w:rPr>
          <w:color w:val="000000" w:themeColor="text1"/>
          <w:highlight w:val="none"/>
          <w14:textFill>
            <w14:solidFill>
              <w14:schemeClr w14:val="tx1"/>
            </w14:solidFill>
          </w14:textFill>
        </w:rPr>
        <w:t>jmbs</w:t>
      </w:r>
      <w:r>
        <w:rPr>
          <w:rFonts w:hint="eastAsia"/>
          <w:color w:val="000000" w:themeColor="text1"/>
          <w:highlight w:val="none"/>
          <w14:textFill>
            <w14:solidFill>
              <w14:schemeClr w14:val="tx1"/>
            </w14:solidFill>
          </w14:textFill>
        </w:rPr>
        <w:t>”的文件</w:t>
      </w:r>
      <w:r>
        <w:rPr>
          <w:rFonts w:hint="eastAsia" w:ascii="宋体" w:hAnsi="宋体"/>
          <w:color w:val="000000" w:themeColor="text1"/>
          <w:szCs w:val="21"/>
          <w:highlight w:val="none"/>
          <w14:textFill>
            <w14:solidFill>
              <w14:schemeClr w14:val="tx1"/>
            </w14:solidFill>
          </w14:textFill>
        </w:rPr>
        <w:t>），</w:t>
      </w:r>
      <w:r>
        <w:rPr>
          <w:rFonts w:hint="eastAsia" w:ascii="宋体" w:hAnsi="宋体"/>
          <w:b/>
          <w:color w:val="000000" w:themeColor="text1"/>
          <w:szCs w:val="21"/>
          <w:highlight w:val="none"/>
          <w14:textFill>
            <w14:solidFill>
              <w14:schemeClr w14:val="tx1"/>
            </w14:solidFill>
          </w14:textFill>
        </w:rPr>
        <w:t>投标人在广西政府采购云平台提交电子投标文件时，请填写参加远程开标活动经办人联系方式。</w:t>
      </w:r>
      <w:r>
        <w:rPr>
          <w:rFonts w:hint="eastAsia" w:ascii="宋体" w:hAnsi="宋体"/>
          <w:color w:val="000000" w:themeColor="text1"/>
          <w:szCs w:val="21"/>
          <w:highlight w:val="none"/>
          <w14:textFill>
            <w14:solidFill>
              <w14:schemeClr w14:val="tx1"/>
            </w14:solidFill>
          </w14:textFill>
        </w:rPr>
        <w:t>投标人登录广西政府采购云平台，依次进入“服务中心-项目采购-操作流程-电子招投标-</w:t>
      </w:r>
      <w:r>
        <w:rPr>
          <w:rFonts w:hint="eastAsia"/>
          <w:color w:val="000000" w:themeColor="text1"/>
          <w:highlight w:val="none"/>
          <w14:textFill>
            <w14:solidFill>
              <w14:schemeClr w14:val="tx1"/>
            </w14:solidFill>
          </w14:textFill>
        </w:rPr>
        <w:t>政府采购项目电子交易管理操作指南</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”查看电子投标具体操作流程。</w:t>
      </w:r>
    </w:p>
    <w:p w14:paraId="6CFCDC64">
      <w:pPr>
        <w:widowControl/>
        <w:spacing w:line="480" w:lineRule="exact"/>
        <w:ind w:firstLine="42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未进行网上注册并办理数字证书（CA认证）的投标人将无法参与本项目政府采购活动，投标人应当在投标截止时间前，完成电子交易平台上的CA数字证书办理及投标文件的提交（投标人可登录“广西政府采购网”，依次进入“办事服务-下载专区”或者登录广西政府采购云平台</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依次进入“服务中心-入驻与配置”中查看CA数字证书办理操作流程。</w:t>
      </w:r>
      <w:r>
        <w:rPr>
          <w:rFonts w:hint="eastAsia" w:ascii="宋体" w:hAnsi="宋体" w:cs="宋体"/>
          <w:bCs/>
          <w:color w:val="000000" w:themeColor="text1"/>
          <w:szCs w:val="21"/>
          <w:highlight w:val="none"/>
          <w14:textFill>
            <w14:solidFill>
              <w14:schemeClr w14:val="tx1"/>
            </w14:solidFill>
          </w14:textFill>
        </w:rPr>
        <w:t>如在操作过程中遇到问题或者需要技术支持，请致电客服热线：95763或者0771-3381253</w:t>
      </w:r>
      <w:r>
        <w:rPr>
          <w:rFonts w:hint="eastAsia" w:ascii="宋体" w:hAnsi="宋体"/>
          <w:color w:val="000000" w:themeColor="text1"/>
          <w:szCs w:val="21"/>
          <w:highlight w:val="none"/>
          <w14:textFill>
            <w14:solidFill>
              <w14:schemeClr w14:val="tx1"/>
            </w14:solidFill>
          </w14:textFill>
        </w:rPr>
        <w:t>）。</w:t>
      </w:r>
    </w:p>
    <w:p w14:paraId="20CA90FD">
      <w:pPr>
        <w:spacing w:line="480" w:lineRule="exact"/>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（3）CA证书在线解密：投标人投标时，需凭制作投标文件时用来加密的有效数字证书（CA认证）登录</w:t>
      </w:r>
      <w:r>
        <w:rPr>
          <w:rFonts w:hint="eastAsia" w:ascii="宋体" w:hAnsi="宋体"/>
          <w:color w:val="000000" w:themeColor="text1"/>
          <w:szCs w:val="21"/>
          <w:highlight w:val="none"/>
          <w14:textFill>
            <w14:solidFill>
              <w14:schemeClr w14:val="tx1"/>
            </w14:solidFill>
          </w14:textFill>
        </w:rPr>
        <w:t>广西政府采购云平台</w:t>
      </w:r>
      <w:r>
        <w:rPr>
          <w:rFonts w:hint="eastAsia" w:ascii="宋体" w:hAnsi="宋体" w:cs="宋体"/>
          <w:color w:val="000000" w:themeColor="text1"/>
          <w:szCs w:val="21"/>
          <w:highlight w:val="none"/>
          <w14:textFill>
            <w14:solidFill>
              <w14:schemeClr w14:val="tx1"/>
            </w14:solidFill>
          </w14:textFill>
        </w:rPr>
        <w:t>电子开标大厅现场按规定时间对加密的投标文件进行解密，否则后果自负。</w:t>
      </w:r>
    </w:p>
    <w:p w14:paraId="00502EBC">
      <w:pPr>
        <w:spacing w:line="480" w:lineRule="exact"/>
        <w:ind w:firstLine="424"/>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注：1）为确保网上操作合法、有效和安全，请投标人确保在电子投标过程中能够对相关数据电文进行加密和使用电子签章，妥善保管CA数字证书并使用有效的CA数字证书参与整个招标活动。2）</w:t>
      </w:r>
      <w:r>
        <w:rPr>
          <w:rFonts w:hint="eastAsia" w:ascii="宋体" w:hAnsi="宋体"/>
          <w:bCs/>
          <w:color w:val="000000" w:themeColor="text1"/>
          <w:szCs w:val="21"/>
          <w:highlight w:val="none"/>
          <w14:textFill>
            <w14:solidFill>
              <w14:schemeClr w14:val="tx1"/>
            </w14:solidFill>
          </w14:textFill>
        </w:rPr>
        <w:t>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w:t>
      </w:r>
      <w:r>
        <w:rPr>
          <w:rFonts w:hint="eastAsia" w:ascii="宋体" w:hAnsi="宋体"/>
          <w:color w:val="000000" w:themeColor="text1"/>
          <w:szCs w:val="21"/>
          <w:highlight w:val="none"/>
          <w14:textFill>
            <w14:solidFill>
              <w14:schemeClr w14:val="tx1"/>
            </w14:solidFill>
          </w14:textFill>
        </w:rPr>
        <w:t>广西政府采购云平台</w:t>
      </w:r>
      <w:r>
        <w:rPr>
          <w:rFonts w:hint="eastAsia" w:ascii="宋体" w:hAnsi="宋体"/>
          <w:bCs/>
          <w:color w:val="000000" w:themeColor="text1"/>
          <w:szCs w:val="21"/>
          <w:highlight w:val="none"/>
          <w14:textFill>
            <w14:solidFill>
              <w14:schemeClr w14:val="tx1"/>
            </w14:solidFill>
          </w14:textFill>
        </w:rPr>
        <w:t>将予以拒收。</w:t>
      </w:r>
    </w:p>
    <w:p w14:paraId="55B7CBAA">
      <w:pPr>
        <w:spacing w:line="480" w:lineRule="exact"/>
        <w:ind w:firstLine="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4.交易服务单位：钦州市公共资源交易中心；联系电话：0777-2558900。</w:t>
      </w:r>
    </w:p>
    <w:p w14:paraId="7C36344E">
      <w:pPr>
        <w:spacing w:line="480" w:lineRule="exact"/>
        <w:ind w:firstLine="420"/>
        <w:rPr>
          <w:rFonts w:hint="eastAsia"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5.监督部门：钦州市钦南区财政局政府采购监督管理办公室；联系电话：0777-2857303。</w:t>
      </w:r>
    </w:p>
    <w:p w14:paraId="1E4817A2">
      <w:pPr>
        <w:keepNext w:val="0"/>
        <w:keepLines w:val="0"/>
        <w:pageBreakBefore w:val="0"/>
        <w:bidi w:val="0"/>
        <w:spacing w:line="480" w:lineRule="exact"/>
        <w:ind w:firstLine="420"/>
        <w:rPr>
          <w:color w:val="000000" w:themeColor="text1"/>
          <w:highlight w:val="none"/>
          <w14:textFill>
            <w14:solidFill>
              <w14:schemeClr w14:val="tx1"/>
            </w14:solidFill>
          </w14:textFill>
        </w:rPr>
      </w:pPr>
      <w:r>
        <w:rPr>
          <w:rFonts w:hint="eastAsia" w:ascii="宋体" w:hAnsi="宋体"/>
          <w:bCs/>
          <w:color w:val="000000" w:themeColor="text1"/>
          <w:szCs w:val="21"/>
          <w:highlight w:val="none"/>
          <w:lang w:val="en-US" w:eastAsia="zh-CN"/>
          <w14:textFill>
            <w14:solidFill>
              <w14:schemeClr w14:val="tx1"/>
            </w14:solidFill>
          </w14:textFill>
        </w:rPr>
        <w:t>6.本项目采用远程异地评标，评审主会场地址：钦州市公共资源交易中心（钦州市钦南区金海湾东大街8号市政务服务中心三楼）；评审副会场地址：柳州市公共资源交易中心（柳州市龙湖路13号柳州市民服务中心北楼5楼）。</w:t>
      </w:r>
    </w:p>
    <w:p w14:paraId="7EA95ED2">
      <w:pPr>
        <w:spacing w:line="480" w:lineRule="exact"/>
        <w:ind w:firstLine="482"/>
        <w:rPr>
          <w:rFonts w:ascii="黑体" w:hAnsi="黑体" w:eastAsia="黑体"/>
          <w:b/>
          <w:bCs/>
          <w:color w:val="000000" w:themeColor="text1"/>
          <w:sz w:val="24"/>
          <w:highlight w:val="none"/>
          <w14:textFill>
            <w14:solidFill>
              <w14:schemeClr w14:val="tx1"/>
            </w14:solidFill>
          </w14:textFill>
        </w:rPr>
      </w:pPr>
      <w:r>
        <w:rPr>
          <w:rFonts w:hint="eastAsia" w:ascii="黑体" w:hAnsi="黑体" w:eastAsia="黑体"/>
          <w:b/>
          <w:bCs/>
          <w:color w:val="000000" w:themeColor="text1"/>
          <w:sz w:val="24"/>
          <w:highlight w:val="none"/>
          <w14:textFill>
            <w14:solidFill>
              <w14:schemeClr w14:val="tx1"/>
            </w14:solidFill>
          </w14:textFill>
        </w:rPr>
        <w:t>七、对本次招标提出询问，请按</w:t>
      </w:r>
      <w:r>
        <w:rPr>
          <w:rFonts w:ascii="黑体" w:hAnsi="黑体" w:eastAsia="黑体"/>
          <w:b/>
          <w:bCs/>
          <w:color w:val="000000" w:themeColor="text1"/>
          <w:sz w:val="24"/>
          <w:highlight w:val="none"/>
          <w14:textFill>
            <w14:solidFill>
              <w14:schemeClr w14:val="tx1"/>
            </w14:solidFill>
          </w14:textFill>
        </w:rPr>
        <w:t>以下方式</w:t>
      </w:r>
      <w:r>
        <w:rPr>
          <w:rFonts w:hint="eastAsia" w:ascii="黑体" w:hAnsi="黑体" w:eastAsia="黑体"/>
          <w:b/>
          <w:bCs/>
          <w:color w:val="000000" w:themeColor="text1"/>
          <w:sz w:val="24"/>
          <w:highlight w:val="none"/>
          <w14:textFill>
            <w14:solidFill>
              <w14:schemeClr w14:val="tx1"/>
            </w14:solidFill>
          </w14:textFill>
        </w:rPr>
        <w:t>联系。</w:t>
      </w:r>
    </w:p>
    <w:p w14:paraId="104DB3F2">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1.采购人信息</w:t>
      </w:r>
    </w:p>
    <w:p w14:paraId="2234CF4F">
      <w:pPr>
        <w:spacing w:line="480" w:lineRule="exact"/>
        <w:ind w:firstLine="42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名    称：</w:t>
      </w:r>
      <w:r>
        <w:rPr>
          <w:rFonts w:hint="eastAsia" w:ascii="宋体" w:hAnsi="宋体"/>
          <w:bCs/>
          <w:color w:val="000000" w:themeColor="text1"/>
          <w:szCs w:val="21"/>
          <w:highlight w:val="none"/>
          <w:u w:val="single"/>
          <w14:textFill>
            <w14:solidFill>
              <w14:schemeClr w14:val="tx1"/>
            </w14:solidFill>
          </w14:textFill>
        </w:rPr>
        <w:t xml:space="preserve">钦州市钦南区人民医院 </w:t>
      </w:r>
    </w:p>
    <w:p w14:paraId="52BD5A42">
      <w:pPr>
        <w:spacing w:line="480" w:lineRule="exact"/>
        <w:ind w:firstLine="420"/>
        <w:rPr>
          <w:rFonts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地  址：</w:t>
      </w:r>
      <w:r>
        <w:rPr>
          <w:rFonts w:hint="eastAsia" w:ascii="宋体" w:hAnsi="宋体" w:cs="宋体"/>
          <w:color w:val="000000" w:themeColor="text1"/>
          <w:szCs w:val="21"/>
          <w:highlight w:val="none"/>
          <w:u w:val="single"/>
          <w14:textFill>
            <w14:solidFill>
              <w14:schemeClr w14:val="tx1"/>
            </w14:solidFill>
          </w14:textFill>
        </w:rPr>
        <w:t xml:space="preserve">钦州市钦南区南珠东大街水东路4号  </w:t>
      </w:r>
    </w:p>
    <w:p w14:paraId="64E2D6C0">
      <w:pPr>
        <w:spacing w:line="480" w:lineRule="exact"/>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联系方式：</w:t>
      </w:r>
      <w:r>
        <w:rPr>
          <w:rFonts w:hint="eastAsia" w:ascii="宋体" w:hAnsi="宋体" w:cs="宋体"/>
          <w:color w:val="000000" w:themeColor="text1"/>
          <w:szCs w:val="21"/>
          <w:highlight w:val="none"/>
          <w:lang w:val="en-US" w:eastAsia="zh-CN"/>
          <w14:textFill>
            <w14:solidFill>
              <w14:schemeClr w14:val="tx1"/>
            </w14:solidFill>
          </w14:textFill>
        </w:rPr>
        <w:t xml:space="preserve"> </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u w:val="single"/>
          <w:lang w:val="en-US" w:eastAsia="zh-CN"/>
          <w14:textFill>
            <w14:solidFill>
              <w14:schemeClr w14:val="tx1"/>
            </w14:solidFill>
          </w14:textFill>
        </w:rPr>
        <w:t>宋春雁</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u w:val="single"/>
          <w:lang w:val="en-US" w:eastAsia="zh-CN"/>
          <w14:textFill>
            <w14:solidFill>
              <w14:schemeClr w14:val="tx1"/>
            </w14:solidFill>
          </w14:textFill>
        </w:rPr>
        <w:t xml:space="preserve">   </w:t>
      </w:r>
      <w:r>
        <w:rPr>
          <w:rFonts w:hint="eastAsia" w:ascii="宋体" w:hAnsi="宋体" w:cs="宋体"/>
          <w:color w:val="000000" w:themeColor="text1"/>
          <w:szCs w:val="21"/>
          <w:highlight w:val="none"/>
          <w:u w:val="single"/>
          <w14:textFill>
            <w14:solidFill>
              <w14:schemeClr w14:val="tx1"/>
            </w14:solidFill>
          </w14:textFill>
        </w:rPr>
        <w:t xml:space="preserve">0777-2390233          </w:t>
      </w:r>
    </w:p>
    <w:p w14:paraId="6CBA3FA8">
      <w:pPr>
        <w:spacing w:line="480" w:lineRule="exact"/>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2.采购代理机构信息</w:t>
      </w:r>
    </w:p>
    <w:p w14:paraId="349A2B7E">
      <w:pPr>
        <w:spacing w:line="480" w:lineRule="exact"/>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名 称：云之龙咨询集团有限公司　</w:t>
      </w:r>
    </w:p>
    <w:p w14:paraId="43E5A989">
      <w:pPr>
        <w:spacing w:line="480" w:lineRule="exact"/>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地址：广西钦州市子材东大街19号奥林名城8号楼8层</w:t>
      </w:r>
    </w:p>
    <w:p w14:paraId="474E7495">
      <w:pPr>
        <w:spacing w:line="480" w:lineRule="exact"/>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项目联系人姓名：秦绍袁、黄洁年</w:t>
      </w:r>
    </w:p>
    <w:p w14:paraId="41A73CE2">
      <w:pPr>
        <w:spacing w:line="480" w:lineRule="exact"/>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联系电话：0777-5619366</w:t>
      </w:r>
    </w:p>
    <w:p w14:paraId="6348F4BB">
      <w:pPr>
        <w:spacing w:line="480" w:lineRule="exact"/>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3.项目联系方式</w:t>
      </w:r>
    </w:p>
    <w:p w14:paraId="55BFBEE9">
      <w:pPr>
        <w:spacing w:line="480" w:lineRule="exact"/>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项目联系人：秦绍袁、黄洁年</w:t>
      </w:r>
    </w:p>
    <w:p w14:paraId="16A4D170">
      <w:pPr>
        <w:spacing w:line="480" w:lineRule="exact"/>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电　话：0777-5619366　　</w:t>
      </w:r>
    </w:p>
    <w:p w14:paraId="472E69E6">
      <w:pPr>
        <w:spacing w:line="480" w:lineRule="exact"/>
        <w:rPr>
          <w:rFonts w:ascii="仿宋_GB2312" w:hAnsi="宋体" w:eastAsia="仿宋_GB2312"/>
          <w:color w:val="000000" w:themeColor="text1"/>
          <w:sz w:val="24"/>
          <w:szCs w:val="20"/>
          <w:highlight w:val="none"/>
          <w14:textFill>
            <w14:solidFill>
              <w14:schemeClr w14:val="tx1"/>
            </w14:solidFill>
          </w14:textFill>
        </w:rPr>
      </w:pPr>
    </w:p>
    <w:p w14:paraId="62CC2533">
      <w:pPr>
        <w:spacing w:line="480" w:lineRule="exact"/>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附件：采购需求</w:t>
      </w:r>
    </w:p>
    <w:p w14:paraId="7E6E8F78">
      <w:pPr>
        <w:spacing w:line="480" w:lineRule="exact"/>
        <w:rPr>
          <w:rFonts w:ascii="仿宋_GB2312" w:hAnsi="宋体" w:eastAsia="仿宋_GB2312"/>
          <w:color w:val="000000" w:themeColor="text1"/>
          <w:sz w:val="24"/>
          <w:szCs w:val="20"/>
          <w:highlight w:val="none"/>
          <w14:textFill>
            <w14:solidFill>
              <w14:schemeClr w14:val="tx1"/>
            </w14:solidFill>
          </w14:textFill>
        </w:rPr>
      </w:pPr>
    </w:p>
    <w:p w14:paraId="5FF1C01D">
      <w:pPr>
        <w:pStyle w:val="2"/>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clear="all"/>
      </w:r>
      <w:bookmarkStart w:id="2" w:name="_Toc20586"/>
      <w:r>
        <w:rPr>
          <w:rFonts w:hint="eastAsia"/>
          <w:color w:val="000000" w:themeColor="text1"/>
          <w:highlight w:val="none"/>
          <w14:textFill>
            <w14:solidFill>
              <w14:schemeClr w14:val="tx1"/>
            </w14:solidFill>
          </w14:textFill>
        </w:rPr>
        <w:t>第二章  采购需求</w:t>
      </w:r>
      <w:bookmarkEnd w:id="2"/>
    </w:p>
    <w:p w14:paraId="0DB59C25">
      <w:pPr>
        <w:spacing w:line="360" w:lineRule="auto"/>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说明：</w:t>
      </w:r>
    </w:p>
    <w:p w14:paraId="32EE2844">
      <w:pPr>
        <w:spacing w:line="360" w:lineRule="auto"/>
        <w:ind w:firstLine="420"/>
        <w:jc w:val="left"/>
        <w:rPr>
          <w:rFonts w:ascii="宋体" w:hAnsi="宋体" w:cs="宋体"/>
          <w:color w:val="000000" w:themeColor="text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1. 为落实政府采购政策需满足的要求</w:t>
      </w:r>
    </w:p>
    <w:p w14:paraId="0BE31B0F">
      <w:pPr>
        <w:spacing w:line="360" w:lineRule="auto"/>
        <w:ind w:firstLine="42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（1）本招标文件所称中小企业必须符合《政府采购促进中小企业发展管理办法》（财库〔2020〕46号）的规定。</w:t>
      </w:r>
    </w:p>
    <w:p w14:paraId="543A38B6">
      <w:pPr>
        <w:spacing w:line="360" w:lineRule="auto"/>
        <w:ind w:firstLine="424"/>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详见本章后附的节能产品政府采购品目清单），投标人的投标货物必须使用政府强制采购的节能产品，投标人必须在投标文件（商务及技术文件）中提供所投标产品的节能产品认证证书复印件（加盖投标人电子签章），</w:t>
      </w:r>
      <w:r>
        <w:rPr>
          <w:rFonts w:hint="eastAsia" w:ascii="宋体" w:hAnsi="宋体" w:cs="宋体"/>
          <w:b/>
          <w:bCs/>
          <w:color w:val="000000" w:themeColor="text1"/>
          <w:szCs w:val="21"/>
          <w:highlight w:val="none"/>
          <w14:textFill>
            <w14:solidFill>
              <w14:schemeClr w14:val="tx1"/>
            </w14:solidFill>
          </w14:textFill>
        </w:rPr>
        <w:t>否则按无效投标处理</w:t>
      </w:r>
      <w:r>
        <w:rPr>
          <w:rFonts w:hint="eastAsia" w:ascii="宋体" w:hAnsi="宋体" w:cs="宋体"/>
          <w:color w:val="000000" w:themeColor="text1"/>
          <w:szCs w:val="21"/>
          <w:highlight w:val="none"/>
          <w14:textFill>
            <w14:solidFill>
              <w14:schemeClr w14:val="tx1"/>
            </w14:solidFill>
          </w14:textFill>
        </w:rPr>
        <w:t>。如本项目包含的货物属于品目清单内非标注“★”的产品时，应优先采购，具体详见“第四章 评标方法及评标标准”。</w:t>
      </w:r>
    </w:p>
    <w:p w14:paraId="363C0463">
      <w:pPr>
        <w:spacing w:line="360" w:lineRule="auto"/>
        <w:ind w:firstLine="424"/>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2BC34AF9">
      <w:pPr>
        <w:spacing w:line="360" w:lineRule="auto"/>
        <w:ind w:firstLine="424"/>
        <w:jc w:val="left"/>
        <w:rPr>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ascii="宋体" w:hAnsi="宋体" w:cs="宋体"/>
          <w:color w:val="000000" w:themeColor="text1"/>
          <w:szCs w:val="21"/>
          <w:highlight w:val="none"/>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w:t>
      </w:r>
      <w:r>
        <w:rPr>
          <w:color w:val="000000" w:themeColor="text1"/>
          <w:highlight w:val="none"/>
          <w14:textFill>
            <w14:solidFill>
              <w14:schemeClr w14:val="tx1"/>
            </w14:solidFill>
          </w14:textFill>
        </w:rPr>
        <w:t>根据《关于调整网络安全专用产品安全管理有关事项的公告》（2023年</w:t>
      </w:r>
      <w:r>
        <w:rPr>
          <w:rFonts w:hint="eastAsia"/>
          <w:color w:val="000000" w:themeColor="text1"/>
          <w:highlight w:val="none"/>
          <w14:textFill>
            <w14:solidFill>
              <w14:schemeClr w14:val="tx1"/>
            </w14:solidFill>
          </w14:textFill>
        </w:rPr>
        <w:t>第</w:t>
      </w:r>
      <w:r>
        <w:rPr>
          <w:color w:val="000000" w:themeColor="text1"/>
          <w:highlight w:val="none"/>
          <w14:textFill>
            <w14:solidFill>
              <w14:schemeClr w14:val="tx1"/>
            </w14:solidFill>
          </w14:textFill>
        </w:rPr>
        <w:t>1号）规定，本项目采购需求中的产品如果包括《网络关键设备和网络安全专用产品目录》</w:t>
      </w:r>
      <w:r>
        <w:rPr>
          <w:rFonts w:hint="eastAsia"/>
          <w:color w:val="000000" w:themeColor="text1"/>
          <w:highlight w:val="none"/>
          <w14:textFill>
            <w14:solidFill>
              <w14:schemeClr w14:val="tx1"/>
            </w14:solidFill>
          </w14:textFill>
        </w:rPr>
        <w:t>中</w:t>
      </w:r>
      <w:r>
        <w:rPr>
          <w:color w:val="000000" w:themeColor="text1"/>
          <w:highlight w:val="none"/>
          <w14:textFill>
            <w14:solidFill>
              <w14:schemeClr w14:val="tx1"/>
            </w14:solidFill>
          </w14:textFill>
        </w:rPr>
        <w:t>的网络安全专用产品，供应商在投标文件中应主动列明供货范围中属于网络安全专用产品的投标产品，并在投标文件（商务及技术文件）中提供由中国网信网（http：//www.cac.gov.cn/index.htm）最新发布的《网络关键设备和网络安全专用产品安全认证和安全检测结果》截图证明材料，</w:t>
      </w:r>
      <w:r>
        <w:rPr>
          <w:b/>
          <w:color w:val="000000" w:themeColor="text1"/>
          <w:highlight w:val="none"/>
          <w14:textFill>
            <w14:solidFill>
              <w14:schemeClr w14:val="tx1"/>
            </w14:solidFill>
          </w14:textFill>
        </w:rPr>
        <w:t>不在《网络关键设备和网络安全专用产品安全认证和安全检测结果》中的，</w:t>
      </w:r>
      <w:r>
        <w:rPr>
          <w:rFonts w:hint="eastAsia"/>
          <w:b/>
          <w:color w:val="000000" w:themeColor="text1"/>
          <w:highlight w:val="none"/>
          <w14:textFill>
            <w14:solidFill>
              <w14:schemeClr w14:val="tx1"/>
            </w14:solidFill>
          </w14:textFill>
        </w:rPr>
        <w:t>按无效投标处理</w:t>
      </w:r>
      <w:r>
        <w:rPr>
          <w:color w:val="000000" w:themeColor="text1"/>
          <w:highlight w:val="none"/>
          <w14:textFill>
            <w14:solidFill>
              <w14:schemeClr w14:val="tx1"/>
            </w14:solidFill>
          </w14:textFill>
        </w:rPr>
        <w:t>。如属于《网络关键设备和网络安全专用产品目录》中“二、网络安全专用产品”内“产品类别”中所描述的产品，但不属于所列“产品描述”情形的，应提供相应的说明及证明材料。</w:t>
      </w:r>
    </w:p>
    <w:p w14:paraId="5B53E0C4">
      <w:pPr>
        <w:spacing w:line="360" w:lineRule="auto"/>
        <w:ind w:firstLine="424"/>
        <w:jc w:val="left"/>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sz w:val="21"/>
          <w:szCs w:val="24"/>
          <w:highlight w:val="none"/>
          <w:lang w:val="en-US" w:eastAsia="zh-CN" w:bidi="ar-SA"/>
          <w14:textFill>
            <w14:solidFill>
              <w14:schemeClr w14:val="tx1"/>
            </w14:solidFill>
          </w14:textFill>
        </w:rPr>
        <w:t>▲</w:t>
      </w:r>
      <w:r>
        <w:rPr>
          <w:rFonts w:hint="eastAsia" w:ascii="Times New Roman" w:hAnsi="Times New Roman" w:cs="Times New Roman"/>
          <w:b/>
          <w:bCs/>
          <w:color w:val="000000" w:themeColor="text1"/>
          <w:sz w:val="21"/>
          <w:szCs w:val="24"/>
          <w:highlight w:val="none"/>
          <w:lang w:val="en-US" w:eastAsia="zh-CN" w:bidi="ar-SA"/>
          <w14:textFill>
            <w14:solidFill>
              <w14:schemeClr w14:val="tx1"/>
            </w14:solidFill>
          </w14:textFill>
        </w:rPr>
        <w:t>2.</w:t>
      </w:r>
      <w:r>
        <w:rPr>
          <w:rFonts w:hint="eastAsia" w:ascii="Times New Roman" w:hAnsi="Times New Roman" w:eastAsia="宋体" w:cs="Times New Roman"/>
          <w:b/>
          <w:bCs/>
          <w:color w:val="000000" w:themeColor="text1"/>
          <w:sz w:val="21"/>
          <w:szCs w:val="24"/>
          <w:highlight w:val="none"/>
          <w:lang w:val="en-US" w:eastAsia="zh-CN" w:bidi="ar-SA"/>
          <w14:textFill>
            <w14:solidFill>
              <w14:schemeClr w14:val="tx1"/>
            </w14:solidFill>
          </w14:textFill>
        </w:rPr>
        <w:t>根据《关于在政府采购活动中对有关美国企业采取相关措施的通知》（财库〔2026〕10号）的规定，供应商提供的产品不得为财库〔2026〕10号文件附件规定的46家美国企业（不包括在华美资企业）生产的产品。</w:t>
      </w:r>
    </w:p>
    <w:p w14:paraId="28408174">
      <w:pPr>
        <w:spacing w:line="360" w:lineRule="auto"/>
        <w:ind w:firstLine="424"/>
        <w:jc w:val="left"/>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lang w:val="en-US" w:eastAsia="zh-CN"/>
          <w14:textFill>
            <w14:solidFill>
              <w14:schemeClr w14:val="tx1"/>
            </w14:solidFill>
          </w14:textFill>
        </w:rPr>
        <w:t>3</w:t>
      </w:r>
      <w:r>
        <w:rPr>
          <w:rFonts w:hint="eastAsia" w:ascii="宋体" w:hAnsi="宋体" w:cs="宋体"/>
          <w:b/>
          <w:bCs/>
          <w:color w:val="000000" w:themeColor="text1"/>
          <w:szCs w:val="21"/>
          <w:highlight w:val="none"/>
          <w14:textFill>
            <w14:solidFill>
              <w14:schemeClr w14:val="tx1"/>
            </w14:solidFill>
          </w14:textFill>
        </w:rPr>
        <w:t>.“实质性要求”是指招标文件中已经指明不满足则投标无效的条款，或者不能负偏离的条款，或者采购需求中带“▲”的条款。</w:t>
      </w:r>
    </w:p>
    <w:p w14:paraId="4E40D996">
      <w:pPr>
        <w:spacing w:line="360" w:lineRule="auto"/>
        <w:ind w:firstLine="424"/>
        <w:jc w:val="left"/>
        <w:rPr>
          <w:color w:val="000000" w:themeColor="text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 投标人应根据自身实际情况如实响应招标文件</w:t>
      </w: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 w:val="22"/>
          <w:szCs w:val="22"/>
          <w:highlight w:val="none"/>
          <w14:textFill>
            <w14:solidFill>
              <w14:schemeClr w14:val="tx1"/>
            </w14:solidFill>
          </w14:textFill>
        </w:rPr>
        <w:t>对招标文件提出的要求和条件作出明确响应</w:t>
      </w:r>
      <w:r>
        <w:rPr>
          <w:rFonts w:hint="eastAsia" w:ascii="宋体" w:hAnsi="宋体"/>
          <w:color w:val="000000" w:themeColor="text1"/>
          <w:szCs w:val="21"/>
          <w:highlight w:val="none"/>
          <w14:textFill>
            <w14:solidFill>
              <w14:schemeClr w14:val="tx1"/>
            </w14:solidFill>
          </w14:textFill>
        </w:rPr>
        <w:t>，</w:t>
      </w:r>
      <w:r>
        <w:rPr>
          <w:rFonts w:hint="eastAsia" w:ascii="宋体" w:hAnsi="宋体"/>
          <w:b/>
          <w:bCs/>
          <w:color w:val="000000" w:themeColor="text1"/>
          <w:szCs w:val="21"/>
          <w:highlight w:val="none"/>
          <w14:textFill>
            <w14:solidFill>
              <w14:schemeClr w14:val="tx1"/>
            </w14:solidFill>
          </w14:textFill>
        </w:rPr>
        <w:t>否则将作无效响应处理</w:t>
      </w:r>
      <w:r>
        <w:rPr>
          <w:rFonts w:hint="eastAsia" w:ascii="宋体" w:hAnsi="宋体"/>
          <w:color w:val="000000" w:themeColor="text1"/>
          <w:szCs w:val="21"/>
          <w:highlight w:val="none"/>
          <w14:textFill>
            <w14:solidFill>
              <w14:schemeClr w14:val="tx1"/>
            </w14:solidFill>
          </w14:textFill>
        </w:rPr>
        <w:t>。</w:t>
      </w:r>
      <w:r>
        <w:rPr>
          <w:rFonts w:hint="eastAsia"/>
          <w:color w:val="000000" w:themeColor="text1"/>
          <w:highlight w:val="none"/>
          <w14:textFill>
            <w14:solidFill>
              <w14:schemeClr w14:val="tx1"/>
            </w14:solidFill>
          </w14:textFill>
        </w:rPr>
        <w:t>对于重要技术条款或技术参数应当在投标文件中提供技术支持资料，技术支持资料以招标文件中规定的形式为准，</w:t>
      </w:r>
      <w:r>
        <w:rPr>
          <w:rFonts w:hint="eastAsia"/>
          <w:b/>
          <w:bCs/>
          <w:color w:val="000000" w:themeColor="text1"/>
          <w:highlight w:val="none"/>
          <w14:textFill>
            <w14:solidFill>
              <w14:schemeClr w14:val="tx1"/>
            </w14:solidFill>
          </w14:textFill>
        </w:rPr>
        <w:t>否则将视为无效技术支持资料</w:t>
      </w:r>
      <w:r>
        <w:rPr>
          <w:rFonts w:hint="eastAsia"/>
          <w:color w:val="000000" w:themeColor="text1"/>
          <w:highlight w:val="none"/>
          <w14:textFill>
            <w14:solidFill>
              <w14:schemeClr w14:val="tx1"/>
            </w14:solidFill>
          </w14:textFill>
        </w:rPr>
        <w:t>。</w:t>
      </w:r>
    </w:p>
    <w:p w14:paraId="00D0130A">
      <w:pPr>
        <w:spacing w:line="360" w:lineRule="auto"/>
        <w:ind w:firstLine="424"/>
        <w:jc w:val="left"/>
        <w:rPr>
          <w:color w:val="000000" w:themeColor="text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w:t>
      </w:r>
      <w:r>
        <w:rPr>
          <w:rFonts w:hint="eastAsia"/>
          <w:color w:val="000000" w:themeColor="text1"/>
          <w:highlight w:val="none"/>
          <w14:textFill>
            <w14:solidFill>
              <w14:schemeClr w14:val="tx1"/>
            </w14:solidFill>
          </w14:textFill>
        </w:rPr>
        <w:t>投标人必须自行为其投标产品侵犯他人的知识产权或者专利成果的行为承担相应法律责任。</w:t>
      </w:r>
    </w:p>
    <w:p w14:paraId="72BA9C95">
      <w:pPr>
        <w:spacing w:line="360" w:lineRule="auto"/>
        <w:ind w:firstLine="426"/>
        <w:jc w:val="left"/>
        <w:rPr>
          <w:rFonts w:hint="eastAsia" w:ascii="宋体" w:hAnsi="宋体"/>
          <w:b/>
          <w:color w:val="000000" w:themeColor="text1"/>
          <w:szCs w:val="21"/>
          <w:highlight w:val="none"/>
          <w:u w:val="single"/>
          <w14:textFill>
            <w14:solidFill>
              <w14:schemeClr w14:val="tx1"/>
            </w14:solidFill>
          </w14:textFill>
        </w:rPr>
      </w:pPr>
      <w:r>
        <w:rPr>
          <w:rFonts w:hint="eastAsia" w:ascii="宋体" w:hAnsi="宋体" w:cs="宋体"/>
          <w:b/>
          <w:color w:val="000000" w:themeColor="text1"/>
          <w:szCs w:val="21"/>
          <w:highlight w:val="none"/>
          <w:lang w:val="en-US" w:eastAsia="zh-CN"/>
          <w14:textFill>
            <w14:solidFill>
              <w14:schemeClr w14:val="tx1"/>
            </w14:solidFill>
          </w14:textFill>
        </w:rPr>
        <w:t>6</w:t>
      </w:r>
      <w:r>
        <w:rPr>
          <w:rFonts w:hint="eastAsia" w:ascii="宋体" w:hAnsi="宋体" w:cs="宋体"/>
          <w:b/>
          <w:color w:val="000000" w:themeColor="text1"/>
          <w:szCs w:val="21"/>
          <w:highlight w:val="none"/>
          <w14:textFill>
            <w14:solidFill>
              <w14:schemeClr w14:val="tx1"/>
            </w14:solidFill>
          </w14:textFill>
        </w:rPr>
        <w:t>.</w:t>
      </w:r>
      <w:r>
        <w:rPr>
          <w:rFonts w:hint="eastAsia" w:ascii="宋体" w:hAnsi="宋体"/>
          <w:b/>
          <w:color w:val="000000" w:themeColor="text1"/>
          <w:szCs w:val="21"/>
          <w:highlight w:val="none"/>
          <w:u w:val="single"/>
          <w14:textFill>
            <w14:solidFill>
              <w14:schemeClr w14:val="tx1"/>
            </w14:solidFill>
          </w14:textFill>
        </w:rPr>
        <w:t>本项目各采购标的的所属行业：工业</w:t>
      </w:r>
    </w:p>
    <w:p w14:paraId="7FDFC81D">
      <w:pPr>
        <w:spacing w:line="360" w:lineRule="auto"/>
        <w:ind w:firstLine="426"/>
        <w:jc w:val="left"/>
        <w:rPr>
          <w:rFonts w:hint="eastAsia" w:ascii="宋体" w:hAnsi="宋体"/>
          <w:b/>
          <w:color w:val="000000" w:themeColor="text1"/>
          <w:szCs w:val="21"/>
          <w:highlight w:val="none"/>
          <w:u w:val="single"/>
          <w14:textFill>
            <w14:solidFill>
              <w14:schemeClr w14:val="tx1"/>
            </w14:solidFill>
          </w14:textFill>
        </w:rPr>
      </w:pPr>
    </w:p>
    <w:p w14:paraId="730354A4">
      <w:pPr>
        <w:spacing w:line="360" w:lineRule="auto"/>
        <w:ind w:firstLine="649"/>
        <w:jc w:val="left"/>
        <w:rPr>
          <w:rFonts w:hint="default" w:ascii="宋体" w:hAnsi="宋体" w:eastAsia="宋体"/>
          <w:b/>
          <w:color w:val="000000" w:themeColor="text1"/>
          <w:sz w:val="32"/>
          <w:szCs w:val="32"/>
          <w:highlight w:val="none"/>
          <w:u w:val="single"/>
          <w:lang w:val="en-US" w:eastAsia="zh-CN"/>
          <w14:textFill>
            <w14:solidFill>
              <w14:schemeClr w14:val="tx1"/>
            </w14:solidFill>
          </w14:textFill>
        </w:rPr>
      </w:pPr>
      <w:r>
        <w:rPr>
          <w:rFonts w:hint="eastAsia" w:ascii="宋体" w:hAnsi="宋体" w:eastAsia="宋体" w:cs="Times New Roman"/>
          <w:b/>
          <w:color w:val="000000" w:themeColor="text1"/>
          <w:sz w:val="32"/>
          <w:szCs w:val="32"/>
          <w:highlight w:val="none"/>
          <w:u w:val="single"/>
          <w:lang w:val="en-US" w:eastAsia="zh-CN"/>
          <w14:textFill>
            <w14:solidFill>
              <w14:schemeClr w14:val="tx1"/>
            </w14:solidFill>
          </w14:textFill>
        </w:rPr>
        <w:t>1分标：</w:t>
      </w:r>
    </w:p>
    <w:tbl>
      <w:tblPr>
        <w:tblStyle w:val="50"/>
        <w:tblpPr w:leftFromText="180" w:rightFromText="180" w:vertAnchor="text" w:horzAnchor="page" w:tblpX="1456" w:tblpY="714"/>
        <w:tblOverlap w:val="never"/>
        <w:tblW w:w="906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1"/>
        <w:gridCol w:w="753"/>
        <w:gridCol w:w="756"/>
        <w:gridCol w:w="936"/>
        <w:gridCol w:w="6091"/>
      </w:tblGrid>
      <w:tr w14:paraId="6ADD73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6" w:hRule="atLeast"/>
        </w:trPr>
        <w:tc>
          <w:tcPr>
            <w:tcW w:w="9067" w:type="dxa"/>
            <w:gridSpan w:val="5"/>
            <w:noWrap w:val="0"/>
            <w:vAlign w:val="center"/>
          </w:tcPr>
          <w:p w14:paraId="2A8A993F">
            <w:pPr>
              <w:tabs>
                <w:tab w:val="left" w:pos="180"/>
                <w:tab w:val="left" w:pos="1620"/>
              </w:tabs>
              <w:spacing w:line="360" w:lineRule="auto"/>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一、技术要求</w:t>
            </w:r>
          </w:p>
        </w:tc>
      </w:tr>
      <w:tr w14:paraId="6E14AF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4" w:hRule="atLeast"/>
        </w:trPr>
        <w:tc>
          <w:tcPr>
            <w:tcW w:w="531" w:type="dxa"/>
            <w:noWrap w:val="0"/>
            <w:vAlign w:val="center"/>
          </w:tcPr>
          <w:p w14:paraId="5D7F72FF">
            <w:pPr>
              <w:tabs>
                <w:tab w:val="left" w:pos="180"/>
                <w:tab w:val="left" w:pos="1620"/>
              </w:tabs>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753" w:type="dxa"/>
            <w:noWrap w:val="0"/>
            <w:vAlign w:val="center"/>
          </w:tcPr>
          <w:p w14:paraId="6870C31F">
            <w:pPr>
              <w:tabs>
                <w:tab w:val="left" w:pos="180"/>
                <w:tab w:val="left" w:pos="1620"/>
              </w:tabs>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标的的名称</w:t>
            </w:r>
          </w:p>
        </w:tc>
        <w:tc>
          <w:tcPr>
            <w:tcW w:w="756" w:type="dxa"/>
            <w:noWrap w:val="0"/>
          </w:tcPr>
          <w:p w14:paraId="1468623F">
            <w:pPr>
              <w:tabs>
                <w:tab w:val="left" w:pos="180"/>
                <w:tab w:val="left" w:pos="1620"/>
              </w:tabs>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数量及</w:t>
            </w:r>
          </w:p>
          <w:p w14:paraId="54A78537">
            <w:pPr>
              <w:tabs>
                <w:tab w:val="left" w:pos="180"/>
                <w:tab w:val="left" w:pos="1620"/>
              </w:tabs>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单位</w:t>
            </w:r>
          </w:p>
        </w:tc>
        <w:tc>
          <w:tcPr>
            <w:tcW w:w="936" w:type="dxa"/>
            <w:noWrap w:val="0"/>
            <w:vAlign w:val="center"/>
          </w:tcPr>
          <w:p w14:paraId="18AE6273">
            <w:pPr>
              <w:tabs>
                <w:tab w:val="left" w:pos="180"/>
                <w:tab w:val="left" w:pos="1620"/>
              </w:tabs>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总价</w:t>
            </w:r>
            <w:r>
              <w:rPr>
                <w:rFonts w:hint="eastAsia" w:ascii="宋体" w:hAnsi="宋体" w:eastAsia="宋体" w:cs="宋体"/>
                <w:color w:val="000000" w:themeColor="text1"/>
                <w:sz w:val="21"/>
                <w:szCs w:val="21"/>
                <w:highlight w:val="none"/>
                <w14:textFill>
                  <w14:solidFill>
                    <w14:schemeClr w14:val="tx1"/>
                  </w14:solidFill>
                </w14:textFill>
              </w:rPr>
              <w:t>最高限价（</w:t>
            </w:r>
            <w:r>
              <w:rPr>
                <w:rFonts w:hint="eastAsia" w:ascii="宋体" w:hAnsi="宋体" w:cs="宋体"/>
                <w:color w:val="000000" w:themeColor="text1"/>
                <w:sz w:val="21"/>
                <w:szCs w:val="21"/>
                <w:highlight w:val="none"/>
                <w:lang w:val="en-US" w:eastAsia="zh-CN"/>
                <w14:textFill>
                  <w14:solidFill>
                    <w14:schemeClr w14:val="tx1"/>
                  </w14:solidFill>
                </w14:textFill>
              </w:rPr>
              <w:t>万</w:t>
            </w:r>
            <w:r>
              <w:rPr>
                <w:rFonts w:hint="eastAsia" w:ascii="宋体" w:hAnsi="宋体" w:eastAsia="宋体" w:cs="宋体"/>
                <w:color w:val="000000" w:themeColor="text1"/>
                <w:sz w:val="21"/>
                <w:szCs w:val="21"/>
                <w:highlight w:val="none"/>
                <w14:textFill>
                  <w14:solidFill>
                    <w14:schemeClr w14:val="tx1"/>
                  </w14:solidFill>
                </w14:textFill>
              </w:rPr>
              <w:t>元）</w:t>
            </w:r>
          </w:p>
        </w:tc>
        <w:tc>
          <w:tcPr>
            <w:tcW w:w="6091" w:type="dxa"/>
            <w:noWrap w:val="0"/>
            <w:vAlign w:val="center"/>
          </w:tcPr>
          <w:p w14:paraId="772E6A00">
            <w:pPr>
              <w:tabs>
                <w:tab w:val="left" w:pos="180"/>
                <w:tab w:val="left" w:pos="1620"/>
              </w:tabs>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技术要求</w:t>
            </w:r>
          </w:p>
        </w:tc>
      </w:tr>
      <w:tr w14:paraId="364CE8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5" w:hRule="atLeast"/>
        </w:trPr>
        <w:tc>
          <w:tcPr>
            <w:tcW w:w="531" w:type="dxa"/>
            <w:noWrap w:val="0"/>
            <w:vAlign w:val="center"/>
          </w:tcPr>
          <w:p w14:paraId="492C769A">
            <w:pPr>
              <w:tabs>
                <w:tab w:val="left" w:pos="180"/>
                <w:tab w:val="left" w:pos="1620"/>
              </w:tabs>
              <w:spacing w:line="360" w:lineRule="auto"/>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w:t>
            </w:r>
          </w:p>
        </w:tc>
        <w:tc>
          <w:tcPr>
            <w:tcW w:w="753" w:type="dxa"/>
            <w:noWrap w:val="0"/>
            <w:vAlign w:val="center"/>
          </w:tcPr>
          <w:p w14:paraId="4654A152">
            <w:pPr>
              <w:tabs>
                <w:tab w:val="left" w:pos="180"/>
                <w:tab w:val="left" w:pos="1620"/>
              </w:tabs>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眼科手术显微镜</w:t>
            </w:r>
          </w:p>
        </w:tc>
        <w:tc>
          <w:tcPr>
            <w:tcW w:w="756" w:type="dxa"/>
            <w:noWrap w:val="0"/>
            <w:vAlign w:val="center"/>
          </w:tcPr>
          <w:p w14:paraId="5559F108">
            <w:pPr>
              <w:spacing w:line="360" w:lineRule="auto"/>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1台</w:t>
            </w:r>
          </w:p>
        </w:tc>
        <w:tc>
          <w:tcPr>
            <w:tcW w:w="936" w:type="dxa"/>
            <w:noWrap w:val="0"/>
            <w:vAlign w:val="center"/>
          </w:tcPr>
          <w:p w14:paraId="7F88851A">
            <w:pPr>
              <w:widowControl/>
              <w:numPr>
                <w:ilvl w:val="0"/>
                <w:numId w:val="0"/>
              </w:numPr>
              <w:spacing w:line="480" w:lineRule="exact"/>
              <w:ind w:left="0" w:firstLine="210"/>
              <w:jc w:val="both"/>
              <w:rPr>
                <w:rFonts w:hint="default" w:ascii="宋体" w:hAnsi="宋体" w:eastAsia="宋体" w:cs="宋体"/>
                <w:color w:val="000000" w:themeColor="text1"/>
                <w:sz w:val="21"/>
                <w:szCs w:val="21"/>
                <w:highlight w:val="none"/>
                <w:lang w:val="en-US" w:eastAsia="zh-CN"/>
                <w14:textFill>
                  <w14:solidFill>
                    <w14:schemeClr w14:val="tx1"/>
                  </w14:solidFill>
                </w14:textFill>
              </w:rPr>
            </w:pPr>
            <w:bookmarkStart w:id="3" w:name="_Hlk181728612"/>
            <w:r>
              <w:rPr>
                <w:rFonts w:hint="eastAsia" w:ascii="宋体" w:hAnsi="宋体" w:cs="宋体"/>
                <w:color w:val="000000" w:themeColor="text1"/>
                <w:sz w:val="21"/>
                <w:szCs w:val="21"/>
                <w:highlight w:val="none"/>
                <w:lang w:val="en-US" w:eastAsia="zh-CN"/>
                <w14:textFill>
                  <w14:solidFill>
                    <w14:schemeClr w14:val="tx1"/>
                  </w14:solidFill>
                </w14:textFill>
              </w:rPr>
              <w:t>40</w:t>
            </w:r>
            <w:bookmarkEnd w:id="3"/>
          </w:p>
        </w:tc>
        <w:tc>
          <w:tcPr>
            <w:tcW w:w="6091" w:type="dxa"/>
            <w:noWrap w:val="0"/>
          </w:tcPr>
          <w:p w14:paraId="554E2354">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 xml:space="preserve">1.显微镜主要光学参数 </w:t>
            </w:r>
          </w:p>
          <w:p w14:paraId="68E5E2C7">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1.1光学系统：全部复消色差光学系统</w:t>
            </w:r>
            <w:r>
              <w:rPr>
                <w:rFonts w:hint="eastAsia" w:ascii="宋体" w:hAnsi="宋体" w:cs="宋体"/>
                <w:color w:val="000000" w:themeColor="text1"/>
                <w:sz w:val="21"/>
                <w:szCs w:val="21"/>
                <w:highlight w:val="none"/>
                <w:lang w:eastAsia="zh-CN"/>
                <w14:textFill>
                  <w14:solidFill>
                    <w14:schemeClr w14:val="tx1"/>
                  </w14:solidFill>
                </w14:textFill>
              </w:rPr>
              <w:t>；</w:t>
            </w:r>
          </w:p>
          <w:p w14:paraId="782C1C5F">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1.2主镜、助手镜双目镜筒0-180°倾角可调</w:t>
            </w:r>
            <w:r>
              <w:rPr>
                <w:rFonts w:hint="eastAsia" w:ascii="宋体" w:hAnsi="宋体" w:cs="宋体"/>
                <w:color w:val="000000" w:themeColor="text1"/>
                <w:sz w:val="21"/>
                <w:szCs w:val="21"/>
                <w:highlight w:val="none"/>
                <w:lang w:eastAsia="zh-CN"/>
                <w14:textFill>
                  <w14:solidFill>
                    <w14:schemeClr w14:val="tx1"/>
                  </w14:solidFill>
                </w14:textFill>
              </w:rPr>
              <w:t>；</w:t>
            </w:r>
          </w:p>
          <w:p w14:paraId="3B6AAE8D">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1.3助手镜不需拆卸，可围绕主镜左右180°旋转,方便助手在不同的手术位置操作，独立五级变倍，独立调焦，助手可独立设定手术视野及焦平面</w:t>
            </w:r>
            <w:r>
              <w:rPr>
                <w:rFonts w:hint="eastAsia" w:ascii="宋体" w:hAnsi="宋体" w:cs="宋体"/>
                <w:color w:val="000000" w:themeColor="text1"/>
                <w:sz w:val="21"/>
                <w:szCs w:val="21"/>
                <w:highlight w:val="none"/>
                <w:lang w:eastAsia="zh-CN"/>
                <w14:textFill>
                  <w14:solidFill>
                    <w14:schemeClr w14:val="tx1"/>
                  </w14:solidFill>
                </w14:textFill>
              </w:rPr>
              <w:t>；</w:t>
            </w:r>
          </w:p>
          <w:p w14:paraId="54EBDBCE">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1.4调焦：电动调焦,范围</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50mm</w:t>
            </w:r>
            <w:r>
              <w:rPr>
                <w:rFonts w:hint="eastAsia" w:ascii="宋体" w:hAnsi="宋体" w:cs="宋体"/>
                <w:color w:val="000000" w:themeColor="text1"/>
                <w:sz w:val="21"/>
                <w:szCs w:val="21"/>
                <w:highlight w:val="none"/>
                <w:lang w:eastAsia="zh-CN"/>
                <w14:textFill>
                  <w14:solidFill>
                    <w14:schemeClr w14:val="tx1"/>
                  </w14:solidFill>
                </w14:textFill>
              </w:rPr>
              <w:t>；</w:t>
            </w:r>
          </w:p>
          <w:p w14:paraId="201DD9A2">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 实际工作距离</w:t>
            </w:r>
          </w:p>
          <w:p w14:paraId="555237D7">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2.1大物镜焦距离：F</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200mm</w:t>
            </w:r>
            <w:r>
              <w:rPr>
                <w:rFonts w:hint="eastAsia" w:ascii="宋体" w:hAnsi="宋体" w:cs="宋体"/>
                <w:color w:val="000000" w:themeColor="text1"/>
                <w:sz w:val="21"/>
                <w:szCs w:val="21"/>
                <w:highlight w:val="none"/>
                <w:lang w:eastAsia="zh-CN"/>
                <w14:textFill>
                  <w14:solidFill>
                    <w14:schemeClr w14:val="tx1"/>
                  </w14:solidFill>
                </w14:textFill>
              </w:rPr>
              <w:t>；</w:t>
            </w:r>
          </w:p>
          <w:p w14:paraId="0D7529A0">
            <w:pPr>
              <w:keepNext w:val="0"/>
              <w:keepLines w:val="0"/>
              <w:pageBreakBefore w:val="0"/>
              <w:widowControl/>
              <w:numPr>
                <w:ilvl w:val="0"/>
                <w:numId w:val="0"/>
              </w:numPr>
              <w:bidi w:val="0"/>
              <w:spacing w:line="480" w:lineRule="exact"/>
              <w:ind w:left="0" w:firstLine="0"/>
              <w:jc w:val="left"/>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lang w:eastAsia="zh-CN"/>
                <w14:textFill>
                  <w14:solidFill>
                    <w14:schemeClr w14:val="tx1"/>
                  </w14:solidFill>
                </w14:textFill>
              </w:rPr>
              <w:t>2.2平移范围：</w:t>
            </w:r>
            <w:r>
              <w:rPr>
                <w:rFonts w:hint="eastAsia" w:ascii="宋体" w:hAnsi="宋体" w:cs="宋体"/>
                <w:b/>
                <w:bCs/>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lang w:eastAsia="zh-CN"/>
                <w14:textFill>
                  <w14:solidFill>
                    <w14:schemeClr w14:val="tx1"/>
                  </w14:solidFill>
                </w14:textFill>
              </w:rPr>
              <w:t>50mm×50mm，具有X-Y自动复位功能按钮</w:t>
            </w:r>
            <w:r>
              <w:rPr>
                <w:rFonts w:hint="eastAsia" w:ascii="宋体" w:hAnsi="宋体" w:cs="宋体"/>
                <w:b/>
                <w:bCs/>
                <w:color w:val="000000" w:themeColor="text1"/>
                <w:sz w:val="21"/>
                <w:szCs w:val="21"/>
                <w:highlight w:val="none"/>
                <w:lang w:eastAsia="zh-CN"/>
                <w14:textFill>
                  <w14:solidFill>
                    <w14:schemeClr w14:val="tx1"/>
                  </w14:solidFill>
                </w14:textFill>
              </w:rPr>
              <w:t>；</w:t>
            </w:r>
          </w:p>
          <w:p w14:paraId="32406090">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3.目镜参数</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目镜倍率：12.5×</w:t>
            </w:r>
            <w:r>
              <w:rPr>
                <w:rFonts w:hint="eastAsia" w:ascii="宋体" w:hAnsi="宋体" w:cs="宋体"/>
                <w:color w:val="000000" w:themeColor="text1"/>
                <w:sz w:val="21"/>
                <w:szCs w:val="21"/>
                <w:highlight w:val="none"/>
                <w:lang w:eastAsia="zh-CN"/>
                <w14:textFill>
                  <w14:solidFill>
                    <w14:schemeClr w14:val="tx1"/>
                  </w14:solidFill>
                </w14:textFill>
              </w:rPr>
              <w:t>；</w:t>
            </w:r>
          </w:p>
          <w:p w14:paraId="79120153">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4.目镜筒参数</w:t>
            </w:r>
          </w:p>
          <w:p w14:paraId="114E1FB3">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4.1主镜目镜筒视角能达到：0°～180°</w:t>
            </w:r>
            <w:r>
              <w:rPr>
                <w:rFonts w:hint="eastAsia" w:ascii="宋体" w:hAnsi="宋体" w:cs="宋体"/>
                <w:color w:val="000000" w:themeColor="text1"/>
                <w:sz w:val="21"/>
                <w:szCs w:val="21"/>
                <w:highlight w:val="none"/>
                <w:lang w:eastAsia="zh-CN"/>
                <w14:textFill>
                  <w14:solidFill>
                    <w14:schemeClr w14:val="tx1"/>
                  </w14:solidFill>
                </w14:textFill>
              </w:rPr>
              <w:t>；</w:t>
            </w:r>
          </w:p>
          <w:p w14:paraId="60CF9483">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4.2瞳距调节范围能达到：50~75mm</w:t>
            </w:r>
            <w:r>
              <w:rPr>
                <w:rFonts w:hint="eastAsia" w:ascii="宋体" w:hAnsi="宋体" w:cs="宋体"/>
                <w:color w:val="000000" w:themeColor="text1"/>
                <w:sz w:val="21"/>
                <w:szCs w:val="21"/>
                <w:highlight w:val="none"/>
                <w:lang w:eastAsia="zh-CN"/>
                <w14:textFill>
                  <w14:solidFill>
                    <w14:schemeClr w14:val="tx1"/>
                  </w14:solidFill>
                </w14:textFill>
              </w:rPr>
              <w:t>；</w:t>
            </w:r>
          </w:p>
          <w:p w14:paraId="39EB758D">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 照明参数</w:t>
            </w:r>
          </w:p>
          <w:p w14:paraId="73A03C2E">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5.1视场照明方式：同轴立体照明系统</w:t>
            </w:r>
            <w:r>
              <w:rPr>
                <w:rFonts w:hint="eastAsia" w:ascii="宋体" w:hAnsi="宋体" w:cs="宋体"/>
                <w:color w:val="000000" w:themeColor="text1"/>
                <w:sz w:val="21"/>
                <w:szCs w:val="21"/>
                <w:highlight w:val="none"/>
                <w:lang w:eastAsia="zh-CN"/>
                <w14:textFill>
                  <w14:solidFill>
                    <w14:schemeClr w14:val="tx1"/>
                  </w14:solidFill>
                </w14:textFill>
              </w:rPr>
              <w:t>；</w:t>
            </w:r>
          </w:p>
          <w:p w14:paraId="180FAEFD">
            <w:pPr>
              <w:keepNext w:val="0"/>
              <w:keepLines w:val="0"/>
              <w:pageBreakBefore w:val="0"/>
              <w:widowControl/>
              <w:numPr>
                <w:ilvl w:val="0"/>
                <w:numId w:val="0"/>
              </w:numPr>
              <w:bidi w:val="0"/>
              <w:spacing w:line="480" w:lineRule="exact"/>
              <w:ind w:left="0" w:firstLine="0"/>
              <w:jc w:val="left"/>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 xml:space="preserve">▲5.2  </w:t>
            </w:r>
            <w:r>
              <w:rPr>
                <w:rFonts w:hint="eastAsia" w:ascii="宋体" w:hAnsi="宋体" w:cs="宋体"/>
                <w:b/>
                <w:bCs/>
                <w:color w:val="000000" w:themeColor="text1"/>
                <w:sz w:val="21"/>
                <w:szCs w:val="21"/>
                <w:highlight w:val="none"/>
                <w:lang w:val="en-US" w:eastAsia="zh-CN"/>
                <w14:textFill>
                  <w14:solidFill>
                    <w14:schemeClr w14:val="tx1"/>
                  </w14:solidFill>
                </w14:textFill>
              </w:rPr>
              <w:t>采用</w:t>
            </w:r>
            <w:r>
              <w:rPr>
                <w:rFonts w:hint="eastAsia" w:ascii="宋体" w:hAnsi="宋体" w:eastAsia="宋体" w:cs="宋体"/>
                <w:b/>
                <w:bCs/>
                <w:color w:val="000000" w:themeColor="text1"/>
                <w:sz w:val="21"/>
                <w:szCs w:val="21"/>
                <w:highlight w:val="none"/>
                <w:lang w:eastAsia="zh-CN"/>
                <w14:textFill>
                  <w14:solidFill>
                    <w14:schemeClr w14:val="tx1"/>
                  </w14:solidFill>
                </w14:textFill>
              </w:rPr>
              <w:t>LED照明光源，要求能真实还原色彩。寿命：</w:t>
            </w:r>
            <w:r>
              <w:rPr>
                <w:rFonts w:hint="eastAsia" w:ascii="宋体" w:hAnsi="宋体" w:cs="宋体"/>
                <w:b/>
                <w:bCs/>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lang w:eastAsia="zh-CN"/>
                <w14:textFill>
                  <w14:solidFill>
                    <w14:schemeClr w14:val="tx1"/>
                  </w14:solidFill>
                </w14:textFill>
              </w:rPr>
              <w:t>50000小时</w:t>
            </w:r>
            <w:r>
              <w:rPr>
                <w:rFonts w:hint="eastAsia" w:ascii="宋体" w:hAnsi="宋体" w:cs="宋体"/>
                <w:b/>
                <w:bCs/>
                <w:color w:val="000000" w:themeColor="text1"/>
                <w:sz w:val="21"/>
                <w:szCs w:val="21"/>
                <w:highlight w:val="none"/>
                <w:lang w:eastAsia="zh-CN"/>
                <w14:textFill>
                  <w14:solidFill>
                    <w14:schemeClr w14:val="tx1"/>
                  </w14:solidFill>
                </w14:textFill>
              </w:rPr>
              <w:t>；</w:t>
            </w:r>
          </w:p>
          <w:p w14:paraId="0AFE283D">
            <w:pPr>
              <w:keepNext w:val="0"/>
              <w:keepLines w:val="0"/>
              <w:pageBreakBefore w:val="0"/>
              <w:widowControl/>
              <w:numPr>
                <w:ilvl w:val="0"/>
                <w:numId w:val="0"/>
              </w:numPr>
              <w:bidi w:val="0"/>
              <w:spacing w:line="480" w:lineRule="exact"/>
              <w:ind w:left="0" w:firstLine="0"/>
              <w:jc w:val="left"/>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▲5.3智能断电：自动断电保护，延长设备使用寿命，重新进入工作位置即可自动启动照明系统</w:t>
            </w:r>
            <w:r>
              <w:rPr>
                <w:rFonts w:hint="eastAsia" w:ascii="宋体" w:hAnsi="宋体" w:cs="宋体"/>
                <w:b/>
                <w:bCs/>
                <w:color w:val="000000" w:themeColor="text1"/>
                <w:sz w:val="21"/>
                <w:szCs w:val="21"/>
                <w:highlight w:val="none"/>
                <w:lang w:eastAsia="zh-CN"/>
                <w14:textFill>
                  <w14:solidFill>
                    <w14:schemeClr w14:val="tx1"/>
                  </w14:solidFill>
                </w14:textFill>
              </w:rPr>
              <w:t>；</w:t>
            </w:r>
          </w:p>
          <w:p w14:paraId="4442152A">
            <w:pPr>
              <w:keepNext w:val="0"/>
              <w:keepLines w:val="0"/>
              <w:pageBreakBefore w:val="0"/>
              <w:widowControl/>
              <w:numPr>
                <w:ilvl w:val="0"/>
                <w:numId w:val="0"/>
              </w:numPr>
              <w:bidi w:val="0"/>
              <w:spacing w:line="480" w:lineRule="exact"/>
              <w:ind w:left="0" w:firstLine="0"/>
              <w:jc w:val="left"/>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▲5.4备份光源：内置双LED灯，可自动切换</w:t>
            </w:r>
            <w:r>
              <w:rPr>
                <w:rFonts w:hint="eastAsia" w:ascii="宋体" w:hAnsi="宋体" w:cs="宋体"/>
                <w:b/>
                <w:bCs/>
                <w:color w:val="000000" w:themeColor="text1"/>
                <w:sz w:val="21"/>
                <w:szCs w:val="21"/>
                <w:highlight w:val="none"/>
                <w:lang w:eastAsia="zh-CN"/>
                <w14:textFill>
                  <w14:solidFill>
                    <w14:schemeClr w14:val="tx1"/>
                  </w14:solidFill>
                </w14:textFill>
              </w:rPr>
              <w:t>；</w:t>
            </w:r>
          </w:p>
          <w:p w14:paraId="2B81CA71">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w:t>
            </w:r>
            <w:r>
              <w:rPr>
                <w:rFonts w:hint="eastAsia" w:ascii="宋体" w:hAnsi="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lang w:eastAsia="zh-CN"/>
                <w14:textFill>
                  <w14:solidFill>
                    <w14:schemeClr w14:val="tx1"/>
                  </w14:solidFill>
                </w14:textFill>
              </w:rPr>
              <w:t>具备电动连续变倍功能，带复消色差光学器件</w:t>
            </w:r>
            <w:r>
              <w:rPr>
                <w:rFonts w:hint="eastAsia" w:ascii="宋体" w:hAnsi="宋体" w:cs="宋体"/>
                <w:color w:val="000000" w:themeColor="text1"/>
                <w:sz w:val="21"/>
                <w:szCs w:val="21"/>
                <w:highlight w:val="none"/>
                <w:lang w:eastAsia="zh-CN"/>
                <w14:textFill>
                  <w14:solidFill>
                    <w14:schemeClr w14:val="tx1"/>
                  </w14:solidFill>
                </w14:textFill>
              </w:rPr>
              <w:t>；</w:t>
            </w:r>
          </w:p>
          <w:p w14:paraId="1EF3D9BA">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w:t>
            </w:r>
            <w:r>
              <w:rPr>
                <w:rFonts w:hint="eastAsia" w:ascii="宋体" w:hAnsi="宋体" w:cs="宋体"/>
                <w:color w:val="000000" w:themeColor="text1"/>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z w:val="21"/>
                <w:szCs w:val="21"/>
                <w:highlight w:val="none"/>
                <w:lang w:eastAsia="zh-CN"/>
                <w14:textFill>
                  <w14:solidFill>
                    <w14:schemeClr w14:val="tx1"/>
                  </w14:solidFill>
                </w14:textFill>
              </w:rPr>
              <w:t>变倍系数：γ = 0.4x - 2.4x</w:t>
            </w:r>
            <w:r>
              <w:rPr>
                <w:rFonts w:hint="eastAsia" w:ascii="宋体" w:hAnsi="宋体" w:cs="宋体"/>
                <w:color w:val="000000" w:themeColor="text1"/>
                <w:sz w:val="21"/>
                <w:szCs w:val="21"/>
                <w:highlight w:val="none"/>
                <w:lang w:eastAsia="zh-CN"/>
                <w14:textFill>
                  <w14:solidFill>
                    <w14:schemeClr w14:val="tx1"/>
                  </w14:solidFill>
                </w14:textFill>
              </w:rPr>
              <w:t>；</w:t>
            </w:r>
          </w:p>
          <w:p w14:paraId="21EE1ED7">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 滤光片</w:t>
            </w:r>
          </w:p>
          <w:p w14:paraId="045EE39C">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6.1内置滤光片：黑点片、25%灰色片、无赤片（增加色温滤光片）、蓝光阻断片（视网膜保护滤光片）</w:t>
            </w:r>
            <w:r>
              <w:rPr>
                <w:rFonts w:hint="eastAsia" w:ascii="宋体" w:hAnsi="宋体" w:cs="宋体"/>
                <w:color w:val="000000" w:themeColor="text1"/>
                <w:sz w:val="21"/>
                <w:szCs w:val="21"/>
                <w:highlight w:val="none"/>
                <w:lang w:eastAsia="zh-CN"/>
                <w14:textFill>
                  <w14:solidFill>
                    <w14:schemeClr w14:val="tx1"/>
                  </w14:solidFill>
                </w14:textFill>
              </w:rPr>
              <w:t>；</w:t>
            </w:r>
          </w:p>
          <w:p w14:paraId="6336180B">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7.红光反射：明亮稳定的红光反射</w:t>
            </w:r>
            <w:r>
              <w:rPr>
                <w:rFonts w:hint="eastAsia" w:ascii="宋体" w:hAnsi="宋体" w:cs="宋体"/>
                <w:color w:val="000000" w:themeColor="text1"/>
                <w:sz w:val="21"/>
                <w:szCs w:val="21"/>
                <w:highlight w:val="none"/>
                <w:lang w:eastAsia="zh-CN"/>
                <w14:textFill>
                  <w14:solidFill>
                    <w14:schemeClr w14:val="tx1"/>
                  </w14:solidFill>
                </w14:textFill>
              </w:rPr>
              <w:t>；</w:t>
            </w:r>
          </w:p>
          <w:p w14:paraId="5C9A6ED8">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8.位置调节参数</w:t>
            </w:r>
          </w:p>
          <w:p w14:paraId="46DAE984">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8.1最大伸展半径：</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1200mm</w:t>
            </w:r>
            <w:r>
              <w:rPr>
                <w:rFonts w:hint="eastAsia" w:ascii="宋体" w:hAnsi="宋体" w:cs="宋体"/>
                <w:color w:val="000000" w:themeColor="text1"/>
                <w:sz w:val="21"/>
                <w:szCs w:val="21"/>
                <w:highlight w:val="none"/>
                <w:lang w:eastAsia="zh-CN"/>
                <w14:textFill>
                  <w14:solidFill>
                    <w14:schemeClr w14:val="tx1"/>
                  </w14:solidFill>
                </w14:textFill>
              </w:rPr>
              <w:t>；</w:t>
            </w:r>
          </w:p>
          <w:p w14:paraId="37A62845">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8.2垂直调节范围(地面至大物镜)能达到：790mm~1310mm</w:t>
            </w:r>
            <w:r>
              <w:rPr>
                <w:rFonts w:hint="eastAsia" w:ascii="宋体" w:hAnsi="宋体" w:cs="宋体"/>
                <w:color w:val="000000" w:themeColor="text1"/>
                <w:sz w:val="21"/>
                <w:szCs w:val="21"/>
                <w:highlight w:val="none"/>
                <w:lang w:eastAsia="zh-CN"/>
                <w14:textFill>
                  <w14:solidFill>
                    <w14:schemeClr w14:val="tx1"/>
                  </w14:solidFill>
                </w14:textFill>
              </w:rPr>
              <w:t>；</w:t>
            </w:r>
          </w:p>
          <w:p w14:paraId="1EE3549A">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9.电气参数：输入电压 ～ 100V-240V/50-60Hz ，输入功率 ≥110VA</w:t>
            </w:r>
            <w:r>
              <w:rPr>
                <w:rFonts w:hint="eastAsia" w:ascii="宋体" w:hAnsi="宋体" w:cs="宋体"/>
                <w:color w:val="000000" w:themeColor="text1"/>
                <w:sz w:val="21"/>
                <w:szCs w:val="21"/>
                <w:highlight w:val="none"/>
                <w:lang w:eastAsia="zh-CN"/>
                <w14:textFill>
                  <w14:solidFill>
                    <w14:schemeClr w14:val="tx1"/>
                  </w14:solidFill>
                </w14:textFill>
              </w:rPr>
              <w:t>；</w:t>
            </w:r>
          </w:p>
          <w:p w14:paraId="7D056726">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10.智能待机位置设计：具备电磁锁功能，医生可以设定待机位置，术中手术显微镜移动到</w:t>
            </w:r>
            <w:r>
              <w:rPr>
                <w:rFonts w:hint="eastAsia" w:ascii="宋体" w:hAnsi="宋体" w:cs="宋体"/>
                <w:color w:val="000000" w:themeColor="text1"/>
                <w:sz w:val="21"/>
                <w:szCs w:val="21"/>
                <w:highlight w:val="none"/>
                <w:lang w:val="en-US" w:eastAsia="zh-CN"/>
                <w14:textFill>
                  <w14:solidFill>
                    <w14:schemeClr w14:val="tx1"/>
                  </w14:solidFill>
                </w14:textFill>
              </w:rPr>
              <w:t>设定的</w:t>
            </w:r>
            <w:r>
              <w:rPr>
                <w:rFonts w:hint="eastAsia" w:ascii="宋体" w:hAnsi="宋体" w:eastAsia="宋体" w:cs="宋体"/>
                <w:color w:val="000000" w:themeColor="text1"/>
                <w:sz w:val="21"/>
                <w:szCs w:val="21"/>
                <w:highlight w:val="none"/>
                <w:lang w:eastAsia="zh-CN"/>
                <w14:textFill>
                  <w14:solidFill>
                    <w14:schemeClr w14:val="tx1"/>
                  </w14:solidFill>
                </w14:textFill>
              </w:rPr>
              <w:t>位置</w:t>
            </w:r>
            <w:r>
              <w:rPr>
                <w:rFonts w:hint="eastAsia" w:ascii="宋体" w:hAnsi="宋体" w:cs="宋体"/>
                <w:color w:val="000000" w:themeColor="text1"/>
                <w:sz w:val="21"/>
                <w:szCs w:val="21"/>
                <w:highlight w:val="none"/>
                <w:lang w:val="en-US" w:eastAsia="zh-CN"/>
                <w14:textFill>
                  <w14:solidFill>
                    <w14:schemeClr w14:val="tx1"/>
                  </w14:solidFill>
                </w14:textFill>
              </w:rPr>
              <w:t>及</w:t>
            </w:r>
            <w:r>
              <w:rPr>
                <w:rFonts w:hint="eastAsia" w:ascii="宋体" w:hAnsi="宋体" w:eastAsia="宋体" w:cs="宋体"/>
                <w:color w:val="000000" w:themeColor="text1"/>
                <w:sz w:val="21"/>
                <w:szCs w:val="21"/>
                <w:highlight w:val="none"/>
                <w:lang w:eastAsia="zh-CN"/>
                <w14:textFill>
                  <w14:solidFill>
                    <w14:schemeClr w14:val="tx1"/>
                  </w14:solidFill>
                </w14:textFill>
              </w:rPr>
              <w:t>以上即可智能进入待机状态</w:t>
            </w:r>
            <w:r>
              <w:rPr>
                <w:rFonts w:hint="eastAsia" w:ascii="宋体" w:hAnsi="宋体" w:cs="宋体"/>
                <w:color w:val="000000" w:themeColor="text1"/>
                <w:sz w:val="21"/>
                <w:szCs w:val="21"/>
                <w:highlight w:val="none"/>
                <w:lang w:eastAsia="zh-CN"/>
                <w14:textFill>
                  <w14:solidFill>
                    <w14:schemeClr w14:val="tx1"/>
                  </w14:solidFill>
                </w14:textFill>
              </w:rPr>
              <w:t>；</w:t>
            </w:r>
          </w:p>
          <w:p w14:paraId="579FC70E">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11.具备景深调节旋钮，可以通过拨动旋钮选择想要的景深，看不同层次都能够自动适应</w:t>
            </w:r>
            <w:r>
              <w:rPr>
                <w:rFonts w:hint="eastAsia" w:ascii="宋体" w:hAnsi="宋体" w:cs="宋体"/>
                <w:color w:val="000000" w:themeColor="text1"/>
                <w:sz w:val="21"/>
                <w:szCs w:val="21"/>
                <w:highlight w:val="none"/>
                <w:lang w:eastAsia="zh-CN"/>
                <w14:textFill>
                  <w14:solidFill>
                    <w14:schemeClr w14:val="tx1"/>
                  </w14:solidFill>
                </w14:textFill>
              </w:rPr>
              <w:t>；</w:t>
            </w:r>
          </w:p>
          <w:p w14:paraId="219DF89C">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 xml:space="preserve">12. </w:t>
            </w:r>
            <w:r>
              <w:rPr>
                <w:rFonts w:hint="eastAsia" w:ascii="宋体" w:hAnsi="宋体" w:cs="宋体"/>
                <w:color w:val="000000" w:themeColor="text1"/>
                <w:sz w:val="21"/>
                <w:szCs w:val="21"/>
                <w:highlight w:val="none"/>
                <w:lang w:eastAsia="zh-CN"/>
                <w14:textFill>
                  <w14:solidFill>
                    <w14:schemeClr w14:val="tx1"/>
                  </w14:solidFill>
                </w14:textFill>
              </w:rPr>
              <w:t>多</w:t>
            </w:r>
            <w:r>
              <w:rPr>
                <w:rFonts w:hint="eastAsia" w:ascii="宋体" w:hAnsi="宋体" w:eastAsia="宋体" w:cs="宋体"/>
                <w:color w:val="000000" w:themeColor="text1"/>
                <w:sz w:val="21"/>
                <w:szCs w:val="21"/>
                <w:highlight w:val="none"/>
                <w:lang w:eastAsia="zh-CN"/>
                <w14:textFill>
                  <w14:solidFill>
                    <w14:schemeClr w14:val="tx1"/>
                  </w14:solidFill>
                </w14:textFill>
              </w:rPr>
              <w:t>功能全封闭防水脚踏</w:t>
            </w:r>
            <w:r>
              <w:rPr>
                <w:rFonts w:hint="eastAsia" w:ascii="宋体" w:hAnsi="宋体" w:cs="宋体"/>
                <w:color w:val="000000" w:themeColor="text1"/>
                <w:sz w:val="21"/>
                <w:szCs w:val="21"/>
                <w:highlight w:val="none"/>
                <w:lang w:eastAsia="zh-CN"/>
                <w14:textFill>
                  <w14:solidFill>
                    <w14:schemeClr w14:val="tx1"/>
                  </w14:solidFill>
                </w14:textFill>
              </w:rPr>
              <w:t>：</w:t>
            </w:r>
          </w:p>
          <w:p w14:paraId="57926BFD">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13. 要求能设置亮度、放大倍数、焦距调节、XY平移及自动复位、自动切换备用电源、故障提示等</w:t>
            </w:r>
            <w:r>
              <w:rPr>
                <w:rFonts w:hint="eastAsia" w:ascii="宋体" w:hAnsi="宋体" w:cs="宋体"/>
                <w:color w:val="000000" w:themeColor="text1"/>
                <w:sz w:val="21"/>
                <w:szCs w:val="21"/>
                <w:highlight w:val="none"/>
                <w:lang w:eastAsia="zh-CN"/>
                <w14:textFill>
                  <w14:solidFill>
                    <w14:schemeClr w14:val="tx1"/>
                  </w14:solidFill>
                </w14:textFill>
              </w:rPr>
              <w:t>。</w:t>
            </w:r>
          </w:p>
        </w:tc>
      </w:tr>
      <w:tr w14:paraId="227F97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1" w:type="dxa"/>
            <w:noWrap w:val="0"/>
            <w:vAlign w:val="center"/>
          </w:tcPr>
          <w:p w14:paraId="3A8E3204">
            <w:pPr>
              <w:tabs>
                <w:tab w:val="left" w:pos="180"/>
                <w:tab w:val="left" w:pos="1620"/>
              </w:tabs>
              <w:spacing w:line="360" w:lineRule="auto"/>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w:t>
            </w:r>
          </w:p>
        </w:tc>
        <w:tc>
          <w:tcPr>
            <w:tcW w:w="753" w:type="dxa"/>
            <w:noWrap w:val="0"/>
            <w:vAlign w:val="center"/>
          </w:tcPr>
          <w:p w14:paraId="1F655C9B">
            <w:pPr>
              <w:tabs>
                <w:tab w:val="left" w:pos="180"/>
                <w:tab w:val="left" w:pos="1620"/>
              </w:tabs>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焦度计</w:t>
            </w:r>
          </w:p>
        </w:tc>
        <w:tc>
          <w:tcPr>
            <w:tcW w:w="756" w:type="dxa"/>
            <w:noWrap w:val="0"/>
            <w:vAlign w:val="center"/>
          </w:tcPr>
          <w:p w14:paraId="2533F713">
            <w:pPr>
              <w:tabs>
                <w:tab w:val="left" w:pos="180"/>
                <w:tab w:val="left" w:pos="1620"/>
              </w:tabs>
              <w:spacing w:line="360" w:lineRule="auto"/>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1台</w:t>
            </w:r>
          </w:p>
        </w:tc>
        <w:tc>
          <w:tcPr>
            <w:tcW w:w="936" w:type="dxa"/>
            <w:noWrap w:val="0"/>
            <w:vAlign w:val="center"/>
          </w:tcPr>
          <w:p w14:paraId="061C5A04">
            <w:pPr>
              <w:spacing w:line="440" w:lineRule="exact"/>
              <w:ind w:firstLine="0"/>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2.5</w:t>
            </w:r>
          </w:p>
        </w:tc>
        <w:tc>
          <w:tcPr>
            <w:tcW w:w="6091" w:type="dxa"/>
            <w:noWrap w:val="0"/>
          </w:tcPr>
          <w:p w14:paraId="677CA4F6">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测量球镜范围能达到：0~±25.00D</w:t>
            </w:r>
            <w:r>
              <w:rPr>
                <w:rFonts w:hint="eastAsia" w:ascii="宋体" w:hAnsi="宋体" w:cs="宋体"/>
                <w:color w:val="000000" w:themeColor="text1"/>
                <w:sz w:val="21"/>
                <w:szCs w:val="21"/>
                <w:highlight w:val="none"/>
                <w:lang w:eastAsia="zh-CN"/>
                <w14:textFill>
                  <w14:solidFill>
                    <w14:schemeClr w14:val="tx1"/>
                  </w14:solidFill>
                </w14:textFill>
              </w:rPr>
              <w:t>；</w:t>
            </w:r>
          </w:p>
          <w:p w14:paraId="6A1AA20E">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测量柱镜范围能达到：0~±10.00D</w:t>
            </w:r>
            <w:r>
              <w:rPr>
                <w:rFonts w:hint="eastAsia" w:ascii="宋体" w:hAnsi="宋体" w:cs="宋体"/>
                <w:color w:val="000000" w:themeColor="text1"/>
                <w:sz w:val="21"/>
                <w:szCs w:val="21"/>
                <w:highlight w:val="none"/>
                <w:lang w:eastAsia="zh-CN"/>
                <w14:textFill>
                  <w14:solidFill>
                    <w14:schemeClr w14:val="tx1"/>
                  </w14:solidFill>
                </w14:textFill>
              </w:rPr>
              <w:t>；</w:t>
            </w:r>
          </w:p>
          <w:p w14:paraId="5DD7C426">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测量下加范围能达到：0~10.00D</w:t>
            </w:r>
            <w:r>
              <w:rPr>
                <w:rFonts w:hint="eastAsia" w:ascii="宋体" w:hAnsi="宋体" w:cs="宋体"/>
                <w:color w:val="000000" w:themeColor="text1"/>
                <w:sz w:val="21"/>
                <w:szCs w:val="21"/>
                <w:highlight w:val="none"/>
                <w:lang w:eastAsia="zh-CN"/>
                <w14:textFill>
                  <w14:solidFill>
                    <w14:schemeClr w14:val="tx1"/>
                  </w14:solidFill>
                </w14:textFill>
              </w:rPr>
              <w:t>；</w:t>
            </w:r>
          </w:p>
          <w:p w14:paraId="1FAF4E9A">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散光测量轴位能达到：0°~</w:t>
            </w:r>
            <w:r>
              <w:rPr>
                <w:color w:val="000000" w:themeColor="text1"/>
                <w:highlight w:val="none"/>
                <w14:textFill>
                  <w14:solidFill>
                    <w14:schemeClr w14:val="tx1"/>
                  </w14:solidFill>
                </w14:textFill>
              </w:rPr>
              <w:t>180°</w:t>
            </w:r>
            <w:r>
              <w:rPr>
                <w:rFonts w:hint="eastAsia" w:ascii="宋体" w:hAnsi="宋体" w:cs="宋体"/>
                <w:color w:val="000000" w:themeColor="text1"/>
                <w:sz w:val="21"/>
                <w:szCs w:val="21"/>
                <w:highlight w:val="none"/>
                <w:lang w:eastAsia="zh-CN"/>
                <w14:textFill>
                  <w14:solidFill>
                    <w14:schemeClr w14:val="tx1"/>
                  </w14:solidFill>
                </w14:textFill>
              </w:rPr>
              <w:t>；</w:t>
            </w:r>
          </w:p>
          <w:p w14:paraId="549B91C5">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棱镜基地测量范围能达到：0°~360°</w:t>
            </w:r>
            <w:r>
              <w:rPr>
                <w:rFonts w:hint="eastAsia" w:ascii="宋体" w:hAnsi="宋体" w:cs="宋体"/>
                <w:color w:val="000000" w:themeColor="text1"/>
                <w:sz w:val="21"/>
                <w:szCs w:val="21"/>
                <w:highlight w:val="none"/>
                <w:lang w:eastAsia="zh-CN"/>
                <w14:textFill>
                  <w14:solidFill>
                    <w14:schemeClr w14:val="tx1"/>
                  </w14:solidFill>
                </w14:textFill>
              </w:rPr>
              <w:t>；</w:t>
            </w:r>
          </w:p>
          <w:p w14:paraId="18E6516F">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棱镜度测量范围能达到：水平15△,垂直20△</w:t>
            </w:r>
            <w:r>
              <w:rPr>
                <w:rFonts w:hint="eastAsia" w:ascii="宋体" w:hAnsi="宋体" w:cs="宋体"/>
                <w:color w:val="000000" w:themeColor="text1"/>
                <w:sz w:val="21"/>
                <w:szCs w:val="21"/>
                <w:highlight w:val="none"/>
                <w:lang w:eastAsia="zh-CN"/>
                <w14:textFill>
                  <w14:solidFill>
                    <w14:schemeClr w14:val="tx1"/>
                  </w14:solidFill>
                </w14:textFill>
              </w:rPr>
              <w:t>；</w:t>
            </w:r>
          </w:p>
          <w:p w14:paraId="3A4D4C29">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7</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可测量镜片直径能达到：Ø7~110mm</w:t>
            </w:r>
            <w:r>
              <w:rPr>
                <w:rFonts w:hint="eastAsia" w:ascii="宋体" w:hAnsi="宋体" w:cs="宋体"/>
                <w:color w:val="000000" w:themeColor="text1"/>
                <w:sz w:val="21"/>
                <w:szCs w:val="21"/>
                <w:highlight w:val="none"/>
                <w:lang w:eastAsia="zh-CN"/>
                <w14:textFill>
                  <w14:solidFill>
                    <w14:schemeClr w14:val="tx1"/>
                  </w14:solidFill>
                </w14:textFill>
              </w:rPr>
              <w:t>；</w:t>
            </w:r>
          </w:p>
          <w:p w14:paraId="2922BE98">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8</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可测镜腿厚度能达到：0~158mm</w:t>
            </w:r>
            <w:r>
              <w:rPr>
                <w:rFonts w:hint="eastAsia" w:ascii="宋体" w:hAnsi="宋体" w:cs="宋体"/>
                <w:color w:val="000000" w:themeColor="text1"/>
                <w:sz w:val="21"/>
                <w:szCs w:val="21"/>
                <w:highlight w:val="none"/>
                <w:lang w:eastAsia="zh-CN"/>
                <w14:textFill>
                  <w14:solidFill>
                    <w14:schemeClr w14:val="tx1"/>
                  </w14:solidFill>
                </w14:textFill>
              </w:rPr>
              <w:t>；</w:t>
            </w:r>
          </w:p>
          <w:p w14:paraId="7BF27CD7">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9</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可测量镜片厚度：≤20mm</w:t>
            </w:r>
            <w:r>
              <w:rPr>
                <w:rFonts w:hint="eastAsia" w:ascii="宋体" w:hAnsi="宋体" w:cs="宋体"/>
                <w:color w:val="000000" w:themeColor="text1"/>
                <w:sz w:val="21"/>
                <w:szCs w:val="21"/>
                <w:highlight w:val="none"/>
                <w:lang w:eastAsia="zh-CN"/>
                <w14:textFill>
                  <w14:solidFill>
                    <w14:schemeClr w14:val="tx1"/>
                  </w14:solidFill>
                </w14:textFill>
              </w:rPr>
              <w:t>；</w:t>
            </w:r>
          </w:p>
          <w:p w14:paraId="6697D247">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10</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可测量蓝光透过率：是</w:t>
            </w:r>
            <w:r>
              <w:rPr>
                <w:rFonts w:hint="eastAsia" w:ascii="宋体" w:hAnsi="宋体" w:cs="宋体"/>
                <w:color w:val="000000" w:themeColor="text1"/>
                <w:sz w:val="21"/>
                <w:szCs w:val="21"/>
                <w:highlight w:val="none"/>
                <w:lang w:eastAsia="zh-CN"/>
                <w14:textFill>
                  <w14:solidFill>
                    <w14:schemeClr w14:val="tx1"/>
                  </w14:solidFill>
                </w14:textFill>
              </w:rPr>
              <w:t>；</w:t>
            </w:r>
          </w:p>
          <w:p w14:paraId="4B9186C9">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11</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可测量UV透过率：是</w:t>
            </w:r>
            <w:r>
              <w:rPr>
                <w:rFonts w:hint="eastAsia" w:ascii="宋体" w:hAnsi="宋体" w:cs="宋体"/>
                <w:color w:val="000000" w:themeColor="text1"/>
                <w:sz w:val="21"/>
                <w:szCs w:val="21"/>
                <w:highlight w:val="none"/>
                <w:lang w:eastAsia="zh-CN"/>
                <w14:textFill>
                  <w14:solidFill>
                    <w14:schemeClr w14:val="tx1"/>
                  </w14:solidFill>
                </w14:textFill>
              </w:rPr>
              <w:t>；</w:t>
            </w:r>
          </w:p>
          <w:p w14:paraId="12AC42A7">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12</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可测量PD值能达到：30~100mm</w:t>
            </w:r>
            <w:r>
              <w:rPr>
                <w:rFonts w:hint="eastAsia" w:ascii="宋体" w:hAnsi="宋体" w:cs="宋体"/>
                <w:color w:val="000000" w:themeColor="text1"/>
                <w:sz w:val="21"/>
                <w:szCs w:val="21"/>
                <w:highlight w:val="none"/>
                <w:lang w:eastAsia="zh-CN"/>
                <w14:textFill>
                  <w14:solidFill>
                    <w14:schemeClr w14:val="tx1"/>
                  </w14:solidFill>
                </w14:textFill>
              </w:rPr>
              <w:t>；</w:t>
            </w:r>
          </w:p>
          <w:p w14:paraId="59D0DFBF">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13</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可测量PH值能达到：4~55mm</w:t>
            </w:r>
            <w:r>
              <w:rPr>
                <w:rFonts w:hint="eastAsia" w:ascii="宋体" w:hAnsi="宋体" w:cs="宋体"/>
                <w:color w:val="000000" w:themeColor="text1"/>
                <w:sz w:val="21"/>
                <w:szCs w:val="21"/>
                <w:highlight w:val="none"/>
                <w:lang w:eastAsia="zh-CN"/>
                <w14:textFill>
                  <w14:solidFill>
                    <w14:schemeClr w14:val="tx1"/>
                  </w14:solidFill>
                </w14:textFill>
              </w:rPr>
              <w:t>；</w:t>
            </w:r>
          </w:p>
          <w:p w14:paraId="2A3BC3B6">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14</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电源：AC100~220V  25VA</w:t>
            </w:r>
            <w:r>
              <w:rPr>
                <w:rFonts w:hint="eastAsia" w:ascii="宋体" w:hAnsi="宋体" w:cs="宋体"/>
                <w:color w:val="000000" w:themeColor="text1"/>
                <w:sz w:val="21"/>
                <w:szCs w:val="21"/>
                <w:highlight w:val="none"/>
                <w:lang w:eastAsia="zh-CN"/>
                <w14:textFill>
                  <w14:solidFill>
                    <w14:schemeClr w14:val="tx1"/>
                  </w14:solidFill>
                </w14:textFill>
              </w:rPr>
              <w:t>；</w:t>
            </w:r>
          </w:p>
          <w:p w14:paraId="7434D975">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15</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电源适配器：AC110~220V</w:t>
            </w:r>
            <w:r>
              <w:rPr>
                <w:rFonts w:hint="eastAsia" w:ascii="宋体" w:hAnsi="宋体" w:cs="宋体"/>
                <w:color w:val="000000" w:themeColor="text1"/>
                <w:sz w:val="21"/>
                <w:szCs w:val="21"/>
                <w:highlight w:val="none"/>
                <w:lang w:eastAsia="zh-CN"/>
                <w14:textFill>
                  <w14:solidFill>
                    <w14:schemeClr w14:val="tx1"/>
                  </w14:solidFill>
                </w14:textFill>
              </w:rPr>
              <w:t>；</w:t>
            </w:r>
          </w:p>
          <w:p w14:paraId="718DCC8E">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16</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机器尺寸：≥255mmX212mmX473mm</w:t>
            </w:r>
            <w:r>
              <w:rPr>
                <w:rFonts w:hint="eastAsia" w:ascii="宋体" w:hAnsi="宋体" w:cs="宋体"/>
                <w:color w:val="000000" w:themeColor="text1"/>
                <w:sz w:val="21"/>
                <w:szCs w:val="21"/>
                <w:highlight w:val="none"/>
                <w:lang w:eastAsia="zh-CN"/>
                <w14:textFill>
                  <w14:solidFill>
                    <w14:schemeClr w14:val="tx1"/>
                  </w14:solidFill>
                </w14:textFill>
              </w:rPr>
              <w:t>。</w:t>
            </w:r>
          </w:p>
        </w:tc>
      </w:tr>
      <w:tr w14:paraId="3F34EE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1" w:type="dxa"/>
            <w:noWrap w:val="0"/>
            <w:vAlign w:val="center"/>
          </w:tcPr>
          <w:p w14:paraId="4F7068D6">
            <w:pPr>
              <w:tabs>
                <w:tab w:val="left" w:pos="180"/>
                <w:tab w:val="left" w:pos="1620"/>
              </w:tabs>
              <w:spacing w:line="360" w:lineRule="auto"/>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w:t>
            </w:r>
          </w:p>
        </w:tc>
        <w:tc>
          <w:tcPr>
            <w:tcW w:w="753" w:type="dxa"/>
            <w:noWrap w:val="0"/>
            <w:vAlign w:val="center"/>
          </w:tcPr>
          <w:p w14:paraId="5D72984D">
            <w:pPr>
              <w:tabs>
                <w:tab w:val="left" w:pos="180"/>
                <w:tab w:val="left" w:pos="1620"/>
              </w:tabs>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磨边机</w:t>
            </w:r>
          </w:p>
        </w:tc>
        <w:tc>
          <w:tcPr>
            <w:tcW w:w="756" w:type="dxa"/>
            <w:noWrap w:val="0"/>
            <w:vAlign w:val="center"/>
          </w:tcPr>
          <w:p w14:paraId="21D48F51">
            <w:pPr>
              <w:tabs>
                <w:tab w:val="left" w:pos="180"/>
                <w:tab w:val="left" w:pos="1620"/>
              </w:tabs>
              <w:spacing w:line="360" w:lineRule="auto"/>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1台</w:t>
            </w:r>
          </w:p>
        </w:tc>
        <w:tc>
          <w:tcPr>
            <w:tcW w:w="936" w:type="dxa"/>
            <w:noWrap w:val="0"/>
            <w:vAlign w:val="center"/>
          </w:tcPr>
          <w:p w14:paraId="67ABD8D2">
            <w:pPr>
              <w:widowControl w:val="0"/>
              <w:numPr>
                <w:ilvl w:val="0"/>
                <w:numId w:val="0"/>
              </w:numPr>
              <w:spacing w:after="0" w:line="360" w:lineRule="auto"/>
              <w:ind w:left="425" w:hanging="425"/>
              <w:jc w:val="center"/>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cs="宋体"/>
                <w:color w:val="000000" w:themeColor="text1"/>
                <w:sz w:val="21"/>
                <w:szCs w:val="21"/>
                <w:highlight w:val="none"/>
                <w:lang w:val="en-US" w:eastAsia="zh-CN" w:bidi="ar-SA"/>
                <w14:textFill>
                  <w14:solidFill>
                    <w14:schemeClr w14:val="tx1"/>
                  </w14:solidFill>
                </w14:textFill>
              </w:rPr>
              <w:t>12</w:t>
            </w:r>
          </w:p>
        </w:tc>
        <w:tc>
          <w:tcPr>
            <w:tcW w:w="6091" w:type="dxa"/>
            <w:noWrap w:val="0"/>
          </w:tcPr>
          <w:p w14:paraId="082AE37C">
            <w:pPr>
              <w:keepNext w:val="0"/>
              <w:keepLines w:val="0"/>
              <w:pageBreakBefore w:val="0"/>
              <w:widowControl w:val="0"/>
              <w:numPr>
                <w:ilvl w:val="0"/>
                <w:numId w:val="0"/>
              </w:numPr>
              <w:bidi w:val="0"/>
              <w:spacing w:after="0" w:line="360" w:lineRule="auto"/>
              <w:ind w:left="0" w:firstLine="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1.具备自动初始化</w:t>
            </w:r>
            <w:r>
              <w:rPr>
                <w:rFonts w:hint="eastAsia" w:ascii="宋体" w:hAnsi="宋体" w:cs="宋体"/>
                <w:color w:val="000000" w:themeColor="text1"/>
                <w:sz w:val="21"/>
                <w:szCs w:val="21"/>
                <w:highlight w:val="none"/>
                <w:lang w:eastAsia="zh-CN"/>
                <w14:textFill>
                  <w14:solidFill>
                    <w14:schemeClr w14:val="tx1"/>
                  </w14:solidFill>
                </w14:textFill>
              </w:rPr>
              <w:t>；</w:t>
            </w:r>
          </w:p>
          <w:p w14:paraId="45CB9468">
            <w:pPr>
              <w:keepNext w:val="0"/>
              <w:keepLines w:val="0"/>
              <w:pageBreakBefore w:val="0"/>
              <w:widowControl w:val="0"/>
              <w:numPr>
                <w:ilvl w:val="0"/>
                <w:numId w:val="0"/>
              </w:numPr>
              <w:bidi w:val="0"/>
              <w:spacing w:after="0" w:line="360" w:lineRule="auto"/>
              <w:ind w:left="0" w:firstLine="0"/>
              <w:jc w:val="both"/>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▲2.支持三维探测镜片前&amp;后表面弯度</w:t>
            </w:r>
            <w:r>
              <w:rPr>
                <w:rFonts w:hint="eastAsia" w:ascii="宋体" w:hAnsi="宋体" w:cs="宋体"/>
                <w:b/>
                <w:bCs/>
                <w:color w:val="000000" w:themeColor="text1"/>
                <w:sz w:val="21"/>
                <w:szCs w:val="21"/>
                <w:highlight w:val="none"/>
                <w:lang w:eastAsia="zh-CN"/>
                <w14:textFill>
                  <w14:solidFill>
                    <w14:schemeClr w14:val="tx1"/>
                  </w14:solidFill>
                </w14:textFill>
              </w:rPr>
              <w:t>；</w:t>
            </w:r>
          </w:p>
          <w:p w14:paraId="6C4E34B8">
            <w:pPr>
              <w:keepNext w:val="0"/>
              <w:keepLines w:val="0"/>
              <w:pageBreakBefore w:val="0"/>
              <w:widowControl w:val="0"/>
              <w:numPr>
                <w:ilvl w:val="0"/>
                <w:numId w:val="0"/>
              </w:numPr>
              <w:bidi w:val="0"/>
              <w:spacing w:after="0" w:line="360" w:lineRule="auto"/>
              <w:ind w:left="0" w:firstLine="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 砂轮配置：玻璃粗磨轮、树脂粗磨轮、尖边/平边细磨轮、尖边/平边抛光轮</w:t>
            </w:r>
            <w:r>
              <w:rPr>
                <w:rFonts w:hint="eastAsia" w:ascii="宋体" w:hAnsi="宋体" w:cs="宋体"/>
                <w:color w:val="000000" w:themeColor="text1"/>
                <w:sz w:val="21"/>
                <w:szCs w:val="21"/>
                <w:highlight w:val="none"/>
                <w:lang w:eastAsia="zh-CN"/>
                <w14:textFill>
                  <w14:solidFill>
                    <w14:schemeClr w14:val="tx1"/>
                  </w14:solidFill>
                </w14:textFill>
              </w:rPr>
              <w:t>；</w:t>
            </w:r>
          </w:p>
          <w:p w14:paraId="57615C94">
            <w:pPr>
              <w:keepNext w:val="0"/>
              <w:keepLines w:val="0"/>
              <w:pageBreakBefore w:val="0"/>
              <w:widowControl w:val="0"/>
              <w:numPr>
                <w:ilvl w:val="0"/>
                <w:numId w:val="0"/>
              </w:numPr>
              <w:bidi w:val="0"/>
              <w:spacing w:after="0" w:line="360" w:lineRule="auto"/>
              <w:ind w:left="0" w:firstLine="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4.加工时自动夹片，三档夹片压力选择，适应不同材质镜片加工</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 xml:space="preserve"> </w:t>
            </w:r>
          </w:p>
          <w:p w14:paraId="742CA1F6">
            <w:pPr>
              <w:keepNext w:val="0"/>
              <w:keepLines w:val="0"/>
              <w:pageBreakBefore w:val="0"/>
              <w:widowControl w:val="0"/>
              <w:numPr>
                <w:ilvl w:val="0"/>
                <w:numId w:val="0"/>
              </w:numPr>
              <w:bidi w:val="0"/>
              <w:spacing w:after="0" w:line="360" w:lineRule="auto"/>
              <w:ind w:left="0" w:firstLine="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5.使用循环水时与水泵连接，使用自来水时与电磁阀连接</w:t>
            </w:r>
            <w:r>
              <w:rPr>
                <w:rFonts w:hint="eastAsia" w:ascii="宋体" w:hAnsi="宋体" w:cs="宋体"/>
                <w:color w:val="000000" w:themeColor="text1"/>
                <w:sz w:val="21"/>
                <w:szCs w:val="21"/>
                <w:highlight w:val="none"/>
                <w:lang w:eastAsia="zh-CN"/>
                <w14:textFill>
                  <w14:solidFill>
                    <w14:schemeClr w14:val="tx1"/>
                  </w14:solidFill>
                </w14:textFill>
              </w:rPr>
              <w:t>；</w:t>
            </w:r>
          </w:p>
          <w:p w14:paraId="2079698B">
            <w:pPr>
              <w:keepNext w:val="0"/>
              <w:keepLines w:val="0"/>
              <w:pageBreakBefore w:val="0"/>
              <w:widowControl w:val="0"/>
              <w:numPr>
                <w:ilvl w:val="0"/>
                <w:numId w:val="0"/>
              </w:numPr>
              <w:bidi w:val="0"/>
              <w:spacing w:after="0" w:line="360" w:lineRule="auto"/>
              <w:ind w:left="0" w:firstLine="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 xml:space="preserve">6.磨边直径≤80 mm </w:t>
            </w:r>
            <w:r>
              <w:rPr>
                <w:rFonts w:hint="eastAsia" w:ascii="宋体" w:hAnsi="宋体" w:cs="宋体"/>
                <w:color w:val="000000" w:themeColor="text1"/>
                <w:sz w:val="21"/>
                <w:szCs w:val="21"/>
                <w:highlight w:val="none"/>
                <w:lang w:eastAsia="zh-CN"/>
                <w14:textFill>
                  <w14:solidFill>
                    <w14:schemeClr w14:val="tx1"/>
                  </w14:solidFill>
                </w14:textFill>
              </w:rPr>
              <w:t>；</w:t>
            </w:r>
          </w:p>
          <w:p w14:paraId="14B4FBCC">
            <w:pPr>
              <w:keepNext w:val="0"/>
              <w:keepLines w:val="0"/>
              <w:pageBreakBefore w:val="0"/>
              <w:widowControl w:val="0"/>
              <w:numPr>
                <w:ilvl w:val="0"/>
                <w:numId w:val="0"/>
              </w:numPr>
              <w:bidi w:val="0"/>
              <w:spacing w:after="0" w:line="360" w:lineRule="auto"/>
              <w:ind w:left="0" w:firstLine="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 xml:space="preserve"> 平边（无安全尖边）≥19.00mm</w:t>
            </w:r>
            <w:r>
              <w:rPr>
                <w:rFonts w:hint="eastAsia" w:ascii="宋体" w:hAnsi="宋体" w:cs="宋体"/>
                <w:color w:val="000000" w:themeColor="text1"/>
                <w:sz w:val="21"/>
                <w:szCs w:val="21"/>
                <w:highlight w:val="none"/>
                <w:lang w:eastAsia="zh-CN"/>
                <w14:textFill>
                  <w14:solidFill>
                    <w14:schemeClr w14:val="tx1"/>
                  </w14:solidFill>
                </w14:textFill>
              </w:rPr>
              <w:t>；</w:t>
            </w:r>
          </w:p>
          <w:p w14:paraId="6BEFD020">
            <w:pPr>
              <w:keepNext w:val="0"/>
              <w:keepLines w:val="0"/>
              <w:pageBreakBefore w:val="0"/>
              <w:widowControl w:val="0"/>
              <w:numPr>
                <w:ilvl w:val="0"/>
                <w:numId w:val="0"/>
              </w:numPr>
              <w:bidi w:val="0"/>
              <w:spacing w:after="0" w:line="360" w:lineRule="auto"/>
              <w:ind w:left="0" w:firstLine="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 xml:space="preserve"> 尖边（无安全尖边） ≥19.00mm</w:t>
            </w:r>
            <w:r>
              <w:rPr>
                <w:rFonts w:hint="eastAsia" w:ascii="宋体" w:hAnsi="宋体" w:cs="宋体"/>
                <w:color w:val="000000" w:themeColor="text1"/>
                <w:sz w:val="21"/>
                <w:szCs w:val="21"/>
                <w:highlight w:val="none"/>
                <w:lang w:eastAsia="zh-CN"/>
                <w14:textFill>
                  <w14:solidFill>
                    <w14:schemeClr w14:val="tx1"/>
                  </w14:solidFill>
                </w14:textFill>
              </w:rPr>
              <w:t>；</w:t>
            </w:r>
          </w:p>
          <w:p w14:paraId="1752AF92">
            <w:pPr>
              <w:keepNext w:val="0"/>
              <w:keepLines w:val="0"/>
              <w:pageBreakBefore w:val="0"/>
              <w:widowControl w:val="0"/>
              <w:numPr>
                <w:ilvl w:val="0"/>
                <w:numId w:val="0"/>
              </w:numPr>
              <w:bidi w:val="0"/>
              <w:spacing w:after="0" w:line="360" w:lineRule="auto"/>
              <w:ind w:left="0" w:firstLine="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7.</w:t>
            </w:r>
            <w:r>
              <w:rPr>
                <w:rFonts w:hint="eastAsia" w:ascii="宋体" w:hAnsi="宋体" w:cs="宋体"/>
                <w:color w:val="000000" w:themeColor="text1"/>
                <w:sz w:val="21"/>
                <w:szCs w:val="21"/>
                <w:highlight w:val="none"/>
                <w:lang w:val="en-US" w:eastAsia="zh-CN"/>
                <w14:textFill>
                  <w14:solidFill>
                    <w14:schemeClr w14:val="tx1"/>
                  </w14:solidFill>
                </w14:textFill>
              </w:rPr>
              <w:t>具有</w:t>
            </w:r>
            <w:r>
              <w:rPr>
                <w:rFonts w:hint="eastAsia" w:ascii="宋体" w:hAnsi="宋体" w:eastAsia="宋体" w:cs="宋体"/>
                <w:color w:val="000000" w:themeColor="text1"/>
                <w:sz w:val="21"/>
                <w:szCs w:val="21"/>
                <w:highlight w:val="none"/>
                <w:lang w:eastAsia="zh-CN"/>
                <w14:textFill>
                  <w14:solidFill>
                    <w14:schemeClr w14:val="tx1"/>
                  </w14:solidFill>
                </w14:textFill>
              </w:rPr>
              <w:t>镜片固定系统和磨削室的自动清洗</w:t>
            </w:r>
            <w:r>
              <w:rPr>
                <w:rFonts w:hint="eastAsia" w:ascii="宋体" w:hAnsi="宋体" w:cs="宋体"/>
                <w:color w:val="000000" w:themeColor="text1"/>
                <w:sz w:val="21"/>
                <w:szCs w:val="21"/>
                <w:highlight w:val="none"/>
                <w:lang w:val="en-US" w:eastAsia="zh-CN"/>
                <w14:textFill>
                  <w14:solidFill>
                    <w14:schemeClr w14:val="tx1"/>
                  </w14:solidFill>
                </w14:textFill>
              </w:rPr>
              <w:t>功能</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镜片加工统计功能</w:t>
            </w:r>
            <w:r>
              <w:rPr>
                <w:rFonts w:hint="eastAsia" w:ascii="宋体" w:hAnsi="宋体" w:cs="宋体"/>
                <w:color w:val="000000" w:themeColor="text1"/>
                <w:sz w:val="21"/>
                <w:szCs w:val="21"/>
                <w:highlight w:val="none"/>
                <w:lang w:eastAsia="zh-CN"/>
                <w14:textFill>
                  <w14:solidFill>
                    <w14:schemeClr w14:val="tx1"/>
                  </w14:solidFill>
                </w14:textFill>
              </w:rPr>
              <w:t>；</w:t>
            </w:r>
          </w:p>
          <w:p w14:paraId="17F8742E">
            <w:pPr>
              <w:keepNext w:val="0"/>
              <w:keepLines w:val="0"/>
              <w:pageBreakBefore w:val="0"/>
              <w:widowControl w:val="0"/>
              <w:numPr>
                <w:ilvl w:val="0"/>
                <w:numId w:val="0"/>
              </w:numPr>
              <w:bidi w:val="0"/>
              <w:spacing w:after="0" w:line="360" w:lineRule="auto"/>
              <w:ind w:left="0" w:firstLine="0"/>
              <w:jc w:val="both"/>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▲8.内置三维扫描仪，可实现左右眼及</w:t>
            </w:r>
            <w:r>
              <w:rPr>
                <w:rFonts w:hint="eastAsia" w:ascii="宋体" w:hAnsi="宋体" w:cs="宋体"/>
                <w:b/>
                <w:bCs/>
                <w:color w:val="000000" w:themeColor="text1"/>
                <w:sz w:val="21"/>
                <w:szCs w:val="21"/>
                <w:highlight w:val="none"/>
                <w:lang w:eastAsia="zh-CN"/>
                <w14:textFill>
                  <w14:solidFill>
                    <w14:schemeClr w14:val="tx1"/>
                  </w14:solidFill>
                </w14:textFill>
              </w:rPr>
              <w:t>模板</w:t>
            </w:r>
            <w:r>
              <w:rPr>
                <w:rFonts w:hint="eastAsia" w:ascii="宋体" w:hAnsi="宋体" w:eastAsia="宋体" w:cs="宋体"/>
                <w:b/>
                <w:bCs/>
                <w:color w:val="000000" w:themeColor="text1"/>
                <w:sz w:val="21"/>
                <w:szCs w:val="21"/>
                <w:highlight w:val="none"/>
                <w:lang w:eastAsia="zh-CN"/>
                <w14:textFill>
                  <w14:solidFill>
                    <w14:schemeClr w14:val="tx1"/>
                  </w14:solidFill>
                </w14:textFill>
              </w:rPr>
              <w:t>扫描</w:t>
            </w:r>
            <w:r>
              <w:rPr>
                <w:rFonts w:hint="eastAsia" w:ascii="宋体" w:hAnsi="宋体" w:cs="宋体"/>
                <w:b/>
                <w:bCs/>
                <w:color w:val="000000" w:themeColor="text1"/>
                <w:sz w:val="21"/>
                <w:szCs w:val="21"/>
                <w:highlight w:val="none"/>
                <w:lang w:eastAsia="zh-CN"/>
                <w14:textFill>
                  <w14:solidFill>
                    <w14:schemeClr w14:val="tx1"/>
                  </w14:solidFill>
                </w14:textFill>
              </w:rPr>
              <w:t>；</w:t>
            </w:r>
          </w:p>
          <w:p w14:paraId="4B94D4EB">
            <w:pPr>
              <w:keepNext w:val="0"/>
              <w:keepLines w:val="0"/>
              <w:pageBreakBefore w:val="0"/>
              <w:widowControl w:val="0"/>
              <w:numPr>
                <w:ilvl w:val="0"/>
                <w:numId w:val="0"/>
              </w:numPr>
              <w:bidi w:val="0"/>
              <w:spacing w:after="0" w:line="360" w:lineRule="auto"/>
              <w:ind w:left="0" w:firstLine="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9.高清液晶触摸屏，分辨率≥1024*600，左右眼镜片图形1:1显示</w:t>
            </w:r>
            <w:r>
              <w:rPr>
                <w:rFonts w:hint="eastAsia" w:ascii="宋体" w:hAnsi="宋体" w:cs="宋体"/>
                <w:color w:val="000000" w:themeColor="text1"/>
                <w:sz w:val="21"/>
                <w:szCs w:val="21"/>
                <w:highlight w:val="none"/>
                <w:lang w:eastAsia="zh-CN"/>
                <w14:textFill>
                  <w14:solidFill>
                    <w14:schemeClr w14:val="tx1"/>
                  </w14:solidFill>
                </w14:textFill>
              </w:rPr>
              <w:t>；</w:t>
            </w:r>
          </w:p>
          <w:p w14:paraId="4CBDCBF6">
            <w:pPr>
              <w:keepNext w:val="0"/>
              <w:keepLines w:val="0"/>
              <w:pageBreakBefore w:val="0"/>
              <w:widowControl w:val="0"/>
              <w:numPr>
                <w:ilvl w:val="0"/>
                <w:numId w:val="0"/>
              </w:numPr>
              <w:bidi w:val="0"/>
              <w:spacing w:after="0" w:line="360" w:lineRule="auto"/>
              <w:ind w:left="0" w:firstLine="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10.数据保存：扫描数据可以掉电保存，可存储≥500个</w:t>
            </w:r>
            <w:r>
              <w:rPr>
                <w:rFonts w:hint="eastAsia" w:ascii="宋体" w:hAnsi="宋体" w:cs="宋体"/>
                <w:color w:val="000000" w:themeColor="text1"/>
                <w:sz w:val="21"/>
                <w:szCs w:val="21"/>
                <w:highlight w:val="none"/>
                <w:lang w:eastAsia="zh-CN"/>
                <w14:textFill>
                  <w14:solidFill>
                    <w14:schemeClr w14:val="tx1"/>
                  </w14:solidFill>
                </w14:textFill>
              </w:rPr>
              <w:t>模板</w:t>
            </w:r>
            <w:r>
              <w:rPr>
                <w:rFonts w:hint="eastAsia" w:ascii="宋体" w:hAnsi="宋体" w:eastAsia="宋体" w:cs="宋体"/>
                <w:color w:val="000000" w:themeColor="text1"/>
                <w:sz w:val="21"/>
                <w:szCs w:val="21"/>
                <w:highlight w:val="none"/>
                <w:lang w:eastAsia="zh-CN"/>
                <w14:textFill>
                  <w14:solidFill>
                    <w14:schemeClr w14:val="tx1"/>
                  </w14:solidFill>
                </w14:textFill>
              </w:rPr>
              <w:t>数据</w:t>
            </w:r>
            <w:r>
              <w:rPr>
                <w:rFonts w:hint="eastAsia" w:ascii="宋体" w:hAnsi="宋体" w:cs="宋体"/>
                <w:color w:val="000000" w:themeColor="text1"/>
                <w:sz w:val="21"/>
                <w:szCs w:val="21"/>
                <w:highlight w:val="none"/>
                <w:lang w:eastAsia="zh-CN"/>
                <w14:textFill>
                  <w14:solidFill>
                    <w14:schemeClr w14:val="tx1"/>
                  </w14:solidFill>
                </w14:textFill>
              </w:rPr>
              <w:t>；</w:t>
            </w:r>
          </w:p>
          <w:p w14:paraId="11C09FFA">
            <w:pPr>
              <w:keepNext w:val="0"/>
              <w:keepLines w:val="0"/>
              <w:pageBreakBefore w:val="0"/>
              <w:widowControl w:val="0"/>
              <w:numPr>
                <w:ilvl w:val="0"/>
                <w:numId w:val="0"/>
              </w:numPr>
              <w:bidi w:val="0"/>
              <w:spacing w:after="0" w:line="360" w:lineRule="auto"/>
              <w:ind w:left="0" w:firstLine="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11.噪声：</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73分贝</w:t>
            </w:r>
            <w:r>
              <w:rPr>
                <w:rFonts w:hint="eastAsia" w:ascii="宋体" w:hAnsi="宋体" w:cs="宋体"/>
                <w:color w:val="000000" w:themeColor="text1"/>
                <w:sz w:val="21"/>
                <w:szCs w:val="21"/>
                <w:highlight w:val="none"/>
                <w:lang w:eastAsia="zh-CN"/>
                <w14:textFill>
                  <w14:solidFill>
                    <w14:schemeClr w14:val="tx1"/>
                  </w14:solidFill>
                </w14:textFill>
              </w:rPr>
              <w:t>；</w:t>
            </w:r>
          </w:p>
          <w:p w14:paraId="7DE8D120">
            <w:pPr>
              <w:keepNext w:val="0"/>
              <w:keepLines w:val="0"/>
              <w:pageBreakBefore w:val="0"/>
              <w:widowControl w:val="0"/>
              <w:numPr>
                <w:ilvl w:val="0"/>
                <w:numId w:val="0"/>
              </w:numPr>
              <w:bidi w:val="0"/>
              <w:spacing w:after="0" w:line="360" w:lineRule="auto"/>
              <w:ind w:left="0" w:firstLine="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12.开槽镜片，开槽宽度能达到：0.6－1.2mm ，开槽深度能达到：0.0－0.8mm ，槽与前后边的最小距离能达到：0.2mm</w:t>
            </w:r>
            <w:r>
              <w:rPr>
                <w:rFonts w:hint="eastAsia" w:ascii="宋体" w:hAnsi="宋体" w:cs="宋体"/>
                <w:color w:val="000000" w:themeColor="text1"/>
                <w:sz w:val="21"/>
                <w:szCs w:val="21"/>
                <w:highlight w:val="none"/>
                <w:lang w:eastAsia="zh-CN"/>
                <w14:textFill>
                  <w14:solidFill>
                    <w14:schemeClr w14:val="tx1"/>
                  </w14:solidFill>
                </w14:textFill>
              </w:rPr>
              <w:t>；</w:t>
            </w:r>
          </w:p>
          <w:p w14:paraId="5152BFAB">
            <w:pPr>
              <w:keepNext w:val="0"/>
              <w:keepLines w:val="0"/>
              <w:pageBreakBefore w:val="0"/>
              <w:widowControl w:val="0"/>
              <w:numPr>
                <w:ilvl w:val="0"/>
                <w:numId w:val="0"/>
              </w:numPr>
              <w:bidi w:val="0"/>
              <w:spacing w:after="0" w:line="360" w:lineRule="auto"/>
              <w:ind w:left="0" w:firstLine="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13.</w:t>
            </w:r>
            <w:r>
              <w:rPr>
                <w:rFonts w:hint="eastAsia" w:ascii="宋体" w:hAnsi="宋体" w:eastAsia="宋体" w:cs="宋体"/>
                <w:color w:val="000000" w:themeColor="text1"/>
                <w:sz w:val="21"/>
                <w:szCs w:val="21"/>
                <w:highlight w:val="none"/>
                <w:lang w:eastAsia="zh-CN"/>
                <w14:textFill>
                  <w14:solidFill>
                    <w14:schemeClr w14:val="tx1"/>
                  </w14:solidFill>
                </w14:textFill>
              </w:rPr>
              <w:t>配置清单：主机、手磨机、镜架加热器、试戴架、镜片箱、蝴蝶镜、焦度计、瞳距仪、清洗机、抛光机、打孔机、整型工具套装各1件</w:t>
            </w:r>
            <w:r>
              <w:rPr>
                <w:rFonts w:hint="eastAsia" w:ascii="宋体" w:hAnsi="宋体" w:cs="宋体"/>
                <w:color w:val="000000" w:themeColor="text1"/>
                <w:sz w:val="21"/>
                <w:szCs w:val="21"/>
                <w:highlight w:val="none"/>
                <w:lang w:eastAsia="zh-CN"/>
                <w14:textFill>
                  <w14:solidFill>
                    <w14:schemeClr w14:val="tx1"/>
                  </w14:solidFill>
                </w14:textFill>
              </w:rPr>
              <w:t>。</w:t>
            </w:r>
          </w:p>
        </w:tc>
      </w:tr>
      <w:tr w14:paraId="169167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96" w:hRule="atLeast"/>
        </w:trPr>
        <w:tc>
          <w:tcPr>
            <w:tcW w:w="531" w:type="dxa"/>
            <w:noWrap w:val="0"/>
            <w:vAlign w:val="center"/>
          </w:tcPr>
          <w:p w14:paraId="72A9746A">
            <w:pPr>
              <w:tabs>
                <w:tab w:val="left" w:pos="180"/>
                <w:tab w:val="left" w:pos="1620"/>
              </w:tabs>
              <w:spacing w:line="360" w:lineRule="auto"/>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w:t>
            </w:r>
          </w:p>
        </w:tc>
        <w:tc>
          <w:tcPr>
            <w:tcW w:w="753" w:type="dxa"/>
            <w:noWrap w:val="0"/>
            <w:vAlign w:val="center"/>
          </w:tcPr>
          <w:p w14:paraId="5C29235B">
            <w:pPr>
              <w:tabs>
                <w:tab w:val="left" w:pos="180"/>
                <w:tab w:val="left" w:pos="1620"/>
              </w:tabs>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纯音听力计（含隔音室）</w:t>
            </w:r>
          </w:p>
        </w:tc>
        <w:tc>
          <w:tcPr>
            <w:tcW w:w="756" w:type="dxa"/>
            <w:noWrap w:val="0"/>
            <w:vAlign w:val="center"/>
          </w:tcPr>
          <w:p w14:paraId="5C403FB1">
            <w:pPr>
              <w:tabs>
                <w:tab w:val="left" w:pos="180"/>
                <w:tab w:val="left" w:pos="1620"/>
              </w:tabs>
              <w:spacing w:line="360" w:lineRule="auto"/>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1台</w:t>
            </w:r>
          </w:p>
        </w:tc>
        <w:tc>
          <w:tcPr>
            <w:tcW w:w="936" w:type="dxa"/>
            <w:noWrap w:val="0"/>
            <w:vAlign w:val="center"/>
          </w:tcPr>
          <w:p w14:paraId="6F62D6DF">
            <w:pPr>
              <w:pStyle w:val="295"/>
              <w:numPr>
                <w:ilvl w:val="0"/>
                <w:numId w:val="0"/>
              </w:numPr>
              <w:ind w:left="0" w:firstLine="0"/>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13.5</w:t>
            </w:r>
          </w:p>
        </w:tc>
        <w:tc>
          <w:tcPr>
            <w:tcW w:w="6091" w:type="dxa"/>
            <w:noWrap w:val="0"/>
          </w:tcPr>
          <w:p w14:paraId="59BCF7EE">
            <w:pPr>
              <w:pStyle w:val="295"/>
              <w:keepNext w:val="0"/>
              <w:keepLines w:val="0"/>
              <w:pageBreakBefore w:val="0"/>
              <w:widowControl w:val="0"/>
              <w:numPr>
                <w:ilvl w:val="0"/>
                <w:numId w:val="0"/>
              </w:numPr>
              <w:bidi w:val="0"/>
              <w:ind w:left="0" w:firstLine="0"/>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1. 测试类型：纯音测试；</w:t>
            </w:r>
          </w:p>
          <w:p w14:paraId="147EB0EA">
            <w:pPr>
              <w:pStyle w:val="295"/>
              <w:keepNext w:val="0"/>
              <w:keepLines w:val="0"/>
              <w:pageBreakBefore w:val="0"/>
              <w:widowControl w:val="0"/>
              <w:numPr>
                <w:ilvl w:val="0"/>
                <w:numId w:val="0"/>
              </w:numPr>
              <w:bidi w:val="0"/>
              <w:ind w:left="0" w:firstLine="0"/>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2. 输出类型：气导输出、骨导输出、声场输出；</w:t>
            </w:r>
          </w:p>
          <w:p w14:paraId="3311E951">
            <w:pPr>
              <w:pStyle w:val="295"/>
              <w:keepNext w:val="0"/>
              <w:keepLines w:val="0"/>
              <w:pageBreakBefore w:val="0"/>
              <w:widowControl w:val="0"/>
              <w:numPr>
                <w:ilvl w:val="0"/>
                <w:numId w:val="0"/>
              </w:numPr>
              <w:bidi w:val="0"/>
              <w:ind w:left="0" w:firstLine="0"/>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3. 刺激声类型：纯音、啭音、脉冲纯音；</w:t>
            </w:r>
          </w:p>
          <w:p w14:paraId="7CA5A300">
            <w:pPr>
              <w:pStyle w:val="295"/>
              <w:keepNext w:val="0"/>
              <w:keepLines w:val="0"/>
              <w:pageBreakBefore w:val="0"/>
              <w:widowControl w:val="0"/>
              <w:numPr>
                <w:ilvl w:val="0"/>
                <w:numId w:val="0"/>
              </w:numPr>
              <w:bidi w:val="0"/>
              <w:ind w:left="0" w:firstLine="0"/>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4. 给声方式：按键给声，触摸给声；</w:t>
            </w:r>
          </w:p>
          <w:p w14:paraId="3FC714D4">
            <w:pPr>
              <w:pStyle w:val="295"/>
              <w:keepNext w:val="0"/>
              <w:keepLines w:val="0"/>
              <w:pageBreakBefore w:val="0"/>
              <w:widowControl w:val="0"/>
              <w:numPr>
                <w:ilvl w:val="0"/>
                <w:numId w:val="0"/>
              </w:numPr>
              <w:bidi w:val="0"/>
              <w:ind w:left="0" w:firstLine="0"/>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5. 存储：主机自带存储功能，连接PC上位机存储；</w:t>
            </w:r>
          </w:p>
          <w:p w14:paraId="178A93EB">
            <w:pPr>
              <w:pStyle w:val="295"/>
              <w:keepNext w:val="0"/>
              <w:keepLines w:val="0"/>
              <w:pageBreakBefore w:val="0"/>
              <w:widowControl w:val="0"/>
              <w:numPr>
                <w:ilvl w:val="0"/>
                <w:numId w:val="0"/>
              </w:numPr>
              <w:bidi w:val="0"/>
              <w:ind w:left="0" w:firstLine="0"/>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6. 掩蔽：气导、骨导对侧掩蔽，自带掩蔽提示功能；</w:t>
            </w:r>
          </w:p>
          <w:p w14:paraId="0FD4F21F">
            <w:pPr>
              <w:pStyle w:val="295"/>
              <w:keepNext w:val="0"/>
              <w:keepLines w:val="0"/>
              <w:pageBreakBefore w:val="0"/>
              <w:widowControl w:val="0"/>
              <w:numPr>
                <w:ilvl w:val="0"/>
                <w:numId w:val="0"/>
              </w:numPr>
              <w:bidi w:val="0"/>
              <w:ind w:left="0" w:firstLine="0"/>
              <w:rPr>
                <w:rFonts w:hint="eastAsia" w:ascii="宋体" w:hAnsi="宋体" w:eastAsia="宋体" w:cs="宋体"/>
                <w:b/>
                <w:bCs/>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lang w:val="en-US" w:eastAsia="zh-CN" w:bidi="ar-SA"/>
                <w14:textFill>
                  <w14:solidFill>
                    <w14:schemeClr w14:val="tx1"/>
                  </w14:solidFill>
                </w14:textFill>
              </w:rPr>
              <w:t>7. 结果打印：主机内置热敏打印机；</w:t>
            </w:r>
          </w:p>
          <w:p w14:paraId="4E3F1614">
            <w:pPr>
              <w:pStyle w:val="295"/>
              <w:keepNext w:val="0"/>
              <w:keepLines w:val="0"/>
              <w:pageBreakBefore w:val="0"/>
              <w:widowControl w:val="0"/>
              <w:numPr>
                <w:ilvl w:val="0"/>
                <w:numId w:val="0"/>
              </w:numPr>
              <w:bidi w:val="0"/>
              <w:ind w:left="0" w:firstLine="0"/>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8. 操作控制：纯下位机操作，连接PC上位机操作可控制设备主机；</w:t>
            </w:r>
          </w:p>
          <w:p w14:paraId="2FDD92C7">
            <w:pPr>
              <w:pStyle w:val="295"/>
              <w:keepNext w:val="0"/>
              <w:keepLines w:val="0"/>
              <w:pageBreakBefore w:val="0"/>
              <w:widowControl w:val="0"/>
              <w:numPr>
                <w:ilvl w:val="0"/>
                <w:numId w:val="0"/>
              </w:numPr>
              <w:bidi w:val="0"/>
              <w:ind w:left="0" w:firstLine="0"/>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9.患者档案建立；手动录入患者信息，并且可拓展刷身份证和扫码枪扫描录入；</w:t>
            </w:r>
          </w:p>
          <w:p w14:paraId="04FF2275">
            <w:pPr>
              <w:pStyle w:val="295"/>
              <w:keepNext w:val="0"/>
              <w:keepLines w:val="0"/>
              <w:pageBreakBefore w:val="0"/>
              <w:widowControl w:val="0"/>
              <w:numPr>
                <w:ilvl w:val="0"/>
                <w:numId w:val="0"/>
              </w:numPr>
              <w:bidi w:val="0"/>
              <w:ind w:left="0" w:firstLine="0"/>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 xml:space="preserve">10.测试频率能达到：气导和声场：125 Hz～8 kHz（可升级125 Hz～125kHz）；骨导：250 Hz～8 kHz； </w:t>
            </w:r>
          </w:p>
          <w:p w14:paraId="50C69B01">
            <w:pPr>
              <w:pStyle w:val="295"/>
              <w:keepNext w:val="0"/>
              <w:keepLines w:val="0"/>
              <w:pageBreakBefore w:val="0"/>
              <w:widowControl w:val="0"/>
              <w:numPr>
                <w:ilvl w:val="0"/>
                <w:numId w:val="0"/>
              </w:numPr>
              <w:bidi w:val="0"/>
              <w:ind w:left="0" w:firstLine="0"/>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11. 听力级范围能达到：气导 -10～120 dB HL；骨导 -10～70dB HL；</w:t>
            </w:r>
          </w:p>
          <w:p w14:paraId="656F044A">
            <w:pPr>
              <w:pStyle w:val="295"/>
              <w:keepNext w:val="0"/>
              <w:keepLines w:val="0"/>
              <w:pageBreakBefore w:val="0"/>
              <w:widowControl w:val="0"/>
              <w:numPr>
                <w:ilvl w:val="0"/>
                <w:numId w:val="0"/>
              </w:numPr>
              <w:bidi w:val="0"/>
              <w:ind w:left="0" w:firstLine="0"/>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12. 掩蔽级范围能达到：-10～110dB HL；</w:t>
            </w:r>
          </w:p>
          <w:p w14:paraId="63E3FBEF">
            <w:pPr>
              <w:pStyle w:val="295"/>
              <w:keepNext w:val="0"/>
              <w:keepLines w:val="0"/>
              <w:pageBreakBefore w:val="0"/>
              <w:widowControl w:val="0"/>
              <w:numPr>
                <w:ilvl w:val="0"/>
                <w:numId w:val="0"/>
              </w:numPr>
              <w:bidi w:val="0"/>
              <w:ind w:left="0" w:firstLine="0"/>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13. 听力级准确度能达到：气导：125Hz～8kHz：＜±2dB；骨导：250Hz～8kHz：＜±4dB；</w:t>
            </w:r>
          </w:p>
          <w:p w14:paraId="34E8BEEC">
            <w:pPr>
              <w:pStyle w:val="295"/>
              <w:keepNext w:val="0"/>
              <w:keepLines w:val="0"/>
              <w:pageBreakBefore w:val="0"/>
              <w:widowControl w:val="0"/>
              <w:numPr>
                <w:ilvl w:val="0"/>
                <w:numId w:val="0"/>
              </w:numPr>
              <w:bidi w:val="0"/>
              <w:ind w:left="0" w:firstLine="0"/>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14. 掩蔽级准确度能达到：-3～5dB HL；</w:t>
            </w:r>
          </w:p>
          <w:p w14:paraId="0A1FF396">
            <w:pPr>
              <w:pStyle w:val="295"/>
              <w:keepNext w:val="0"/>
              <w:keepLines w:val="0"/>
              <w:pageBreakBefore w:val="0"/>
              <w:widowControl w:val="0"/>
              <w:numPr>
                <w:ilvl w:val="0"/>
                <w:numId w:val="0"/>
              </w:numPr>
              <w:bidi w:val="0"/>
              <w:ind w:left="0" w:firstLine="0"/>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15. 掩蔽类型：窄带噪声；</w:t>
            </w:r>
          </w:p>
          <w:p w14:paraId="286312EF">
            <w:pPr>
              <w:pStyle w:val="295"/>
              <w:keepNext w:val="0"/>
              <w:keepLines w:val="0"/>
              <w:pageBreakBefore w:val="0"/>
              <w:widowControl w:val="0"/>
              <w:numPr>
                <w:ilvl w:val="0"/>
                <w:numId w:val="0"/>
              </w:numPr>
              <w:bidi w:val="0"/>
              <w:ind w:left="0" w:firstLine="0"/>
              <w:rPr>
                <w:rFonts w:hint="eastAsia" w:ascii="宋体" w:hAnsi="宋体" w:eastAsia="宋体" w:cs="宋体"/>
                <w:b/>
                <w:bCs/>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lang w:val="en-US" w:eastAsia="zh-CN" w:bidi="ar-SA"/>
                <w14:textFill>
                  <w14:solidFill>
                    <w14:schemeClr w14:val="tx1"/>
                  </w14:solidFill>
                </w14:textFill>
              </w:rPr>
              <w:t>16. 衰减步长：1dB/2.5dB/5dB；</w:t>
            </w:r>
          </w:p>
          <w:p w14:paraId="01404D0B">
            <w:pPr>
              <w:pStyle w:val="295"/>
              <w:keepNext w:val="0"/>
              <w:keepLines w:val="0"/>
              <w:pageBreakBefore w:val="0"/>
              <w:widowControl w:val="0"/>
              <w:numPr>
                <w:ilvl w:val="0"/>
                <w:numId w:val="0"/>
              </w:numPr>
              <w:bidi w:val="0"/>
              <w:ind w:left="0" w:firstLine="0"/>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17. 步进准确度：优于±1dB或步进的30%，取较小值；</w:t>
            </w:r>
          </w:p>
          <w:p w14:paraId="4C299582">
            <w:pPr>
              <w:pStyle w:val="295"/>
              <w:keepNext w:val="0"/>
              <w:keepLines w:val="0"/>
              <w:pageBreakBefore w:val="0"/>
              <w:widowControl w:val="0"/>
              <w:numPr>
                <w:ilvl w:val="0"/>
                <w:numId w:val="0"/>
              </w:numPr>
              <w:bidi w:val="0"/>
              <w:ind w:left="0" w:firstLine="0"/>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18. 总谐波失真：气导：＜1%，骨导：＜2%；</w:t>
            </w:r>
          </w:p>
          <w:p w14:paraId="547B4F17">
            <w:pPr>
              <w:pStyle w:val="17"/>
              <w:rPr>
                <w:rFonts w:hint="eastAsia" w:ascii="宋体" w:hAnsi="宋体" w:eastAsia="宋体" w:cs="宋体"/>
                <w:b/>
                <w:bCs/>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lang w:val="en-US" w:eastAsia="zh-CN" w:bidi="ar-SA"/>
                <w14:textFill>
                  <w14:solidFill>
                    <w14:schemeClr w14:val="tx1"/>
                  </w14:solidFill>
                </w14:textFill>
              </w:rPr>
              <w:t>19. 设备显示屏：尺寸：≥10英寸，可完整显示双耳测试结果；</w:t>
            </w:r>
          </w:p>
          <w:p w14:paraId="40E0002B">
            <w:pPr>
              <w:pStyle w:val="295"/>
              <w:keepNext w:val="0"/>
              <w:keepLines w:val="0"/>
              <w:pageBreakBefore w:val="0"/>
              <w:widowControl w:val="0"/>
              <w:numPr>
                <w:ilvl w:val="0"/>
                <w:numId w:val="0"/>
              </w:numPr>
              <w:bidi w:val="0"/>
              <w:ind w:left="0" w:firstLine="0"/>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2</w:t>
            </w:r>
            <w:r>
              <w:rPr>
                <w:rFonts w:hint="eastAsia" w:ascii="宋体" w:hAnsi="宋体" w:cs="宋体"/>
                <w:color w:val="000000" w:themeColor="text1"/>
                <w:sz w:val="21"/>
                <w:szCs w:val="21"/>
                <w:highlight w:val="none"/>
                <w:lang w:val="en-US" w:eastAsia="zh-CN" w:bidi="ar-SA"/>
                <w14:textFill>
                  <w14:solidFill>
                    <w14:schemeClr w14:val="tx1"/>
                  </w14:solidFill>
                </w14:textFill>
              </w:rPr>
              <w:t>0</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 声场输出：双声道音频输出；</w:t>
            </w:r>
          </w:p>
          <w:p w14:paraId="2359A319">
            <w:pPr>
              <w:pStyle w:val="295"/>
              <w:keepNext w:val="0"/>
              <w:keepLines w:val="0"/>
              <w:pageBreakBefore w:val="0"/>
              <w:widowControl w:val="0"/>
              <w:numPr>
                <w:ilvl w:val="0"/>
                <w:numId w:val="0"/>
              </w:numPr>
              <w:bidi w:val="0"/>
              <w:ind w:left="0" w:firstLine="0"/>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2</w:t>
            </w:r>
            <w:r>
              <w:rPr>
                <w:rFonts w:hint="eastAsia" w:ascii="宋体" w:hAnsi="宋体" w:cs="宋体"/>
                <w:color w:val="000000" w:themeColor="text1"/>
                <w:sz w:val="21"/>
                <w:szCs w:val="21"/>
                <w:highlight w:val="none"/>
                <w:lang w:val="en-US" w:eastAsia="zh-CN" w:bidi="ar-SA"/>
                <w14:textFill>
                  <w14:solidFill>
                    <w14:schemeClr w14:val="tx1"/>
                  </w14:solidFill>
                </w14:textFill>
              </w:rPr>
              <w:t>1</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 符合标准：GB/T 7341.1-2010  2型；JJF 1592-2016  2型，诊断型听力计；</w:t>
            </w:r>
          </w:p>
          <w:p w14:paraId="19C0A678">
            <w:pPr>
              <w:pStyle w:val="295"/>
              <w:keepNext w:val="0"/>
              <w:keepLines w:val="0"/>
              <w:pageBreakBefore w:val="0"/>
              <w:widowControl w:val="0"/>
              <w:numPr>
                <w:ilvl w:val="0"/>
                <w:numId w:val="0"/>
              </w:numPr>
              <w:bidi w:val="0"/>
              <w:ind w:left="0" w:firstLine="0"/>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2</w:t>
            </w:r>
            <w:r>
              <w:rPr>
                <w:rFonts w:hint="eastAsia" w:ascii="宋体" w:hAnsi="宋体" w:cs="宋体"/>
                <w:color w:val="000000" w:themeColor="text1"/>
                <w:sz w:val="21"/>
                <w:szCs w:val="21"/>
                <w:highlight w:val="none"/>
                <w:lang w:val="en-US" w:eastAsia="zh-CN" w:bidi="ar-SA"/>
                <w14:textFill>
                  <w14:solidFill>
                    <w14:schemeClr w14:val="tx1"/>
                  </w14:solidFill>
                </w14:textFill>
              </w:rPr>
              <w:t>2</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 职业病诊断：根据</w:t>
            </w:r>
            <w:r>
              <w:rPr>
                <w:rFonts w:hint="eastAsia" w:ascii="宋体" w:hAnsi="宋体" w:eastAsia="宋体" w:cs="宋体"/>
                <w:b w:val="0"/>
                <w:bCs w:val="0"/>
                <w:i w:val="0"/>
                <w:iCs w:val="0"/>
                <w:caps w:val="0"/>
                <w:color w:val="000000" w:themeColor="text1"/>
                <w:spacing w:val="0"/>
                <w:sz w:val="21"/>
                <w:szCs w:val="21"/>
                <w:highlight w:val="none"/>
                <w:shd w:val="clear" w:fill="FFFFFF"/>
                <w14:textFill>
                  <w14:solidFill>
                    <w14:schemeClr w14:val="tx1"/>
                  </w14:solidFill>
                </w14:textFill>
              </w:rPr>
              <w:t>GB/T 7582-2025《声学听阈与年龄和性别关系的统计分布》</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 xml:space="preserve">和《职业病噪声聋诊断》可获取噪声聋诊断数值； </w:t>
            </w:r>
          </w:p>
          <w:p w14:paraId="768E4A7E">
            <w:pPr>
              <w:pStyle w:val="295"/>
              <w:keepNext w:val="0"/>
              <w:keepLines w:val="0"/>
              <w:pageBreakBefore w:val="0"/>
              <w:widowControl w:val="0"/>
              <w:numPr>
                <w:ilvl w:val="0"/>
                <w:numId w:val="0"/>
              </w:numPr>
              <w:bidi w:val="0"/>
              <w:ind w:left="0" w:firstLine="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2</w:t>
            </w:r>
            <w:r>
              <w:rPr>
                <w:rFonts w:hint="eastAsia" w:ascii="宋体" w:hAnsi="宋体" w:cs="宋体"/>
                <w:color w:val="000000" w:themeColor="text1"/>
                <w:sz w:val="21"/>
                <w:szCs w:val="21"/>
                <w:highlight w:val="none"/>
                <w:lang w:val="en-US" w:eastAsia="zh-CN" w:bidi="ar-SA"/>
                <w14:textFill>
                  <w14:solidFill>
                    <w14:schemeClr w14:val="tx1"/>
                  </w14:solidFill>
                </w14:textFill>
              </w:rPr>
              <w:t>3</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.含隔音室</w:t>
            </w:r>
            <w:r>
              <w:rPr>
                <w:rFonts w:hint="eastAsia" w:ascii="宋体" w:hAnsi="宋体" w:cs="宋体"/>
                <w:color w:val="000000" w:themeColor="text1"/>
                <w:sz w:val="21"/>
                <w:szCs w:val="21"/>
                <w:highlight w:val="none"/>
                <w:lang w:val="en-US" w:eastAsia="zh-CN" w:bidi="ar-SA"/>
                <w14:textFill>
                  <w14:solidFill>
                    <w14:schemeClr w14:val="tx1"/>
                  </w14:solidFill>
                </w14:textFill>
              </w:rPr>
              <w:t>。</w:t>
            </w:r>
          </w:p>
        </w:tc>
      </w:tr>
      <w:tr w14:paraId="07B626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96" w:hRule="atLeast"/>
        </w:trPr>
        <w:tc>
          <w:tcPr>
            <w:tcW w:w="531" w:type="dxa"/>
            <w:noWrap w:val="0"/>
            <w:vAlign w:val="center"/>
          </w:tcPr>
          <w:p w14:paraId="64E4EFCD">
            <w:pPr>
              <w:tabs>
                <w:tab w:val="left" w:pos="180"/>
                <w:tab w:val="left" w:pos="1620"/>
              </w:tabs>
              <w:spacing w:line="360" w:lineRule="auto"/>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5</w:t>
            </w:r>
          </w:p>
        </w:tc>
        <w:tc>
          <w:tcPr>
            <w:tcW w:w="753" w:type="dxa"/>
            <w:noWrap w:val="0"/>
            <w:vAlign w:val="center"/>
          </w:tcPr>
          <w:p w14:paraId="0CD52660">
            <w:pPr>
              <w:tabs>
                <w:tab w:val="left" w:pos="180"/>
                <w:tab w:val="left" w:pos="1620"/>
              </w:tabs>
              <w:spacing w:line="360" w:lineRule="auto"/>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中耳分析仪</w:t>
            </w:r>
          </w:p>
        </w:tc>
        <w:tc>
          <w:tcPr>
            <w:tcW w:w="756" w:type="dxa"/>
            <w:noWrap w:val="0"/>
            <w:vAlign w:val="center"/>
          </w:tcPr>
          <w:p w14:paraId="2D05A6D1">
            <w:pPr>
              <w:tabs>
                <w:tab w:val="left" w:pos="180"/>
                <w:tab w:val="left" w:pos="1620"/>
              </w:tabs>
              <w:spacing w:line="360" w:lineRule="auto"/>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1台</w:t>
            </w:r>
          </w:p>
        </w:tc>
        <w:tc>
          <w:tcPr>
            <w:tcW w:w="936" w:type="dxa"/>
            <w:noWrap w:val="0"/>
            <w:vAlign w:val="center"/>
          </w:tcPr>
          <w:p w14:paraId="5A21C7EB">
            <w:pPr>
              <w:pStyle w:val="295"/>
              <w:numPr>
                <w:ilvl w:val="0"/>
                <w:numId w:val="0"/>
              </w:numPr>
              <w:ind w:left="0" w:firstLine="0"/>
              <w:jc w:val="center"/>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15</w:t>
            </w:r>
          </w:p>
        </w:tc>
        <w:tc>
          <w:tcPr>
            <w:tcW w:w="6091" w:type="dxa"/>
            <w:noWrap w:val="0"/>
          </w:tcPr>
          <w:p w14:paraId="51EE8B43">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测试类型：鼓室图测试、同侧/对侧反射阈测试(可自动调节测试强度)、同侧/对侧反射衰减测试(可自动调节测试强度)、手动鼓室图测试、鼓膜无穿孔咽鼓管功能测试、鼓膜穿孔咽鼓管功能测试、咽鼓管扩展功能测试；</w:t>
            </w:r>
          </w:p>
          <w:p w14:paraId="57C6DC4F">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2.探头检查：自动进行导纳测试、气压测试、同侧传感器测试的检查；</w:t>
            </w:r>
          </w:p>
          <w:p w14:paraId="533808CA">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3.导纳校准：通过主机内置的腔体进行导纳校准；</w:t>
            </w:r>
          </w:p>
          <w:p w14:paraId="1A6B8A27">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4.规程设置：</w:t>
            </w:r>
            <w:r>
              <w:rPr>
                <w:rFonts w:hint="eastAsia" w:ascii="宋体" w:hAnsi="宋体" w:cs="宋体"/>
                <w:color w:val="000000" w:themeColor="text1"/>
                <w:sz w:val="21"/>
                <w:szCs w:val="21"/>
                <w:highlight w:val="none"/>
                <w:lang w:val="en-US" w:eastAsia="zh-CN" w:bidi="ar-SA"/>
                <w14:textFill>
                  <w14:solidFill>
                    <w14:schemeClr w14:val="tx1"/>
                  </w14:solidFill>
                </w14:textFill>
              </w:rPr>
              <w:t>要求能</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预设成人、儿童、婴儿三种规程，也可自定义其他规程；</w:t>
            </w:r>
          </w:p>
          <w:p w14:paraId="67A73ECB">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5.鼓室图：鼓室图表可根据测试结果自动缩放；</w:t>
            </w:r>
          </w:p>
          <w:p w14:paraId="7AA81B8D">
            <w:pPr>
              <w:pStyle w:val="295"/>
              <w:keepNext w:val="0"/>
              <w:keepLines w:val="0"/>
              <w:pageBreakBefore w:val="0"/>
              <w:widowControl w:val="0"/>
              <w:numPr>
                <w:ilvl w:val="0"/>
                <w:numId w:val="0"/>
              </w:numPr>
              <w:bidi w:val="0"/>
              <w:ind w:left="0" w:firstLine="0"/>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w:t>
            </w:r>
            <w:r>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t>6.一键测试：按下开始后按顺序自动完成所有测试（鼓室图+反射阈+反射衰减）；</w:t>
            </w:r>
          </w:p>
          <w:p w14:paraId="7859C0D6">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7.按键控制器：可通过肩带上的按键进行左右耳切换，以及开始/暂停测试；</w:t>
            </w:r>
          </w:p>
          <w:p w14:paraId="50B4B70F">
            <w:pPr>
              <w:pStyle w:val="295"/>
              <w:keepNext w:val="0"/>
              <w:keepLines w:val="0"/>
              <w:pageBreakBefore w:val="0"/>
              <w:widowControl w:val="0"/>
              <w:numPr>
                <w:ilvl w:val="0"/>
                <w:numId w:val="0"/>
              </w:numPr>
              <w:bidi w:val="0"/>
              <w:ind w:left="0" w:firstLine="0"/>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w:t>
            </w:r>
            <w:r>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t>8.结果打印：主机内置热敏打印机；</w:t>
            </w:r>
          </w:p>
          <w:p w14:paraId="370B95D2">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9.操作：纯下位机操作，连接PC上位机操作可控制设备主机；</w:t>
            </w:r>
          </w:p>
          <w:p w14:paraId="66AB685E">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10.患者档案建立；手动录入患者信息，并且可拓展刷身份证和扫码枪扫描录入；</w:t>
            </w:r>
          </w:p>
          <w:p w14:paraId="4A37D549">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11.符合标准：</w:t>
            </w:r>
          </w:p>
          <w:p w14:paraId="641687B5">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设备性能:需符合GB/T 7341.5-2018《电声学 测听设备 第5部分:耳声阻抗/导纳的</w:t>
            </w:r>
            <w:r>
              <w:rPr>
                <w:rFonts w:hint="eastAsia" w:ascii="宋体" w:hAnsi="宋体" w:cs="宋体"/>
                <w:color w:val="000000" w:themeColor="text1"/>
                <w:sz w:val="21"/>
                <w:szCs w:val="21"/>
                <w:highlight w:val="none"/>
                <w:lang w:val="en-US" w:eastAsia="zh-CN" w:bidi="ar-SA"/>
                <w14:textFill>
                  <w14:solidFill>
                    <w14:schemeClr w14:val="tx1"/>
                  </w14:solidFill>
                </w14:textFill>
              </w:rPr>
              <w:t>测量</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仪器》中1型《诊断/临床型)仪器全部性能要求。</w:t>
            </w:r>
          </w:p>
          <w:p w14:paraId="1C5F8470">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eastAsia" w:ascii="宋体" w:hAnsi="宋体" w:cs="宋体"/>
                <w:color w:val="000000" w:themeColor="text1"/>
                <w:sz w:val="21"/>
                <w:szCs w:val="21"/>
                <w:highlight w:val="none"/>
                <w:lang w:val="en-US" w:eastAsia="zh-CN" w:bidi="ar-SA"/>
                <w14:textFill>
                  <w14:solidFill>
                    <w14:schemeClr w14:val="tx1"/>
                  </w14:solidFill>
                </w14:textFill>
              </w:rPr>
              <w:t>计量</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法制要求:设备需通过国家计量行政部门依据JJF 1771-2019《阻抗听力计(耳声阻抗/导纳测量仪器)型式评价大纲》进行的型式评价，并</w:t>
            </w:r>
            <w:r>
              <w:rPr>
                <w:rFonts w:hint="eastAsia" w:ascii="宋体" w:hAnsi="宋体" w:cs="宋体"/>
                <w:color w:val="000000" w:themeColor="text1"/>
                <w:sz w:val="21"/>
                <w:szCs w:val="21"/>
                <w:highlight w:val="none"/>
                <w:lang w:val="en-US" w:eastAsia="zh-CN" w:bidi="ar-SA"/>
                <w14:textFill>
                  <w14:solidFill>
                    <w14:schemeClr w14:val="tx1"/>
                  </w14:solidFill>
                </w14:textFill>
              </w:rPr>
              <w:t>在供货时</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提供有效的型式批准证书。</w:t>
            </w:r>
          </w:p>
          <w:p w14:paraId="21DEF0C5">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12.探测音：</w:t>
            </w:r>
            <w:r>
              <w:rPr>
                <w:rFonts w:hint="eastAsia" w:ascii="宋体" w:hAnsi="宋体" w:cs="宋体"/>
                <w:color w:val="000000" w:themeColor="text1"/>
                <w:sz w:val="21"/>
                <w:szCs w:val="21"/>
                <w:highlight w:val="none"/>
                <w:lang w:val="en-US" w:eastAsia="zh-CN" w:bidi="ar-SA"/>
                <w14:textFill>
                  <w14:solidFill>
                    <w14:schemeClr w14:val="tx1"/>
                  </w14:solidFill>
                </w14:textFill>
              </w:rPr>
              <w:t>具备</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226Hz、678Hz、800Hz、1000Hz探测音；</w:t>
            </w:r>
          </w:p>
          <w:p w14:paraId="4218FBCB">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总谐波失真：＜1%；</w:t>
            </w:r>
          </w:p>
          <w:p w14:paraId="0421978D">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频率准确度：＜0.5%；</w:t>
            </w:r>
          </w:p>
          <w:p w14:paraId="0A72448D">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13. 测量范围</w:t>
            </w:r>
            <w:r>
              <w:rPr>
                <w:rFonts w:hint="eastAsia" w:ascii="宋体" w:hAnsi="宋体" w:cs="宋体"/>
                <w:color w:val="000000" w:themeColor="text1"/>
                <w:sz w:val="21"/>
                <w:szCs w:val="21"/>
                <w:highlight w:val="none"/>
                <w:lang w:val="en-US" w:eastAsia="zh-CN" w:bidi="ar-SA"/>
                <w14:textFill>
                  <w14:solidFill>
                    <w14:schemeClr w14:val="tx1"/>
                  </w14:solidFill>
                </w14:textFill>
              </w:rPr>
              <w:t>能达到</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：平面鼓室图：0.2mL～5mL±5%或0.1mL（取两者中的较大者）；外耳鼓室补偿图：0mL～2mL±5%或0.1mL（取两者中的较大者）；动态与静态操作方法之间的偏差小于 ±0.1ml；</w:t>
            </w:r>
          </w:p>
          <w:p w14:paraId="666C7E1E">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14.声反射频率：</w:t>
            </w:r>
            <w:r>
              <w:rPr>
                <w:rFonts w:hint="eastAsia" w:ascii="宋体" w:hAnsi="宋体" w:cs="宋体"/>
                <w:color w:val="000000" w:themeColor="text1"/>
                <w:sz w:val="21"/>
                <w:szCs w:val="21"/>
                <w:highlight w:val="none"/>
                <w:lang w:val="en-US" w:eastAsia="zh-CN" w:bidi="ar-SA"/>
                <w14:textFill>
                  <w14:solidFill>
                    <w14:schemeClr w14:val="tx1"/>
                  </w14:solidFill>
                </w14:textFill>
              </w:rPr>
              <w:t>具备</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500Hz、1000Hz、2000Hz、4000Hz；频率准确度：＜0.5%；总谐波失真：    </w:t>
            </w:r>
          </w:p>
          <w:p w14:paraId="66571444">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 插入式耳机：100dB HL以下：＜5%；</w:t>
            </w:r>
          </w:p>
          <w:p w14:paraId="02429E7D">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 压耳式耳机：110dB HL 以下：＜2.5%，110dB HL 以上：＜5%；</w:t>
            </w:r>
          </w:p>
          <w:p w14:paraId="2A50D749">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15.声反射灵敏度：可选择0.01mL、0.02mL、0.03mL、0.04mL或0.05mL；</w:t>
            </w:r>
          </w:p>
          <w:p w14:paraId="75B0AA2B">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反射筛查：0.02mL；</w:t>
            </w:r>
          </w:p>
          <w:p w14:paraId="785997E7">
            <w:pPr>
              <w:pStyle w:val="295"/>
              <w:keepNext w:val="0"/>
              <w:keepLines w:val="0"/>
              <w:pageBreakBefore w:val="0"/>
              <w:widowControl w:val="0"/>
              <w:numPr>
                <w:ilvl w:val="0"/>
                <w:numId w:val="0"/>
              </w:numPr>
              <w:bidi w:val="0"/>
              <w:ind w:left="0" w:firstLine="0"/>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w:t>
            </w:r>
            <w:r>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t>16.步进：可选择1dB、2dB或5dB；</w:t>
            </w:r>
          </w:p>
          <w:p w14:paraId="14DF32D3">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17.刺激声级：插入式耳机：50~100dB±5dB；压耳式耳机：50~120dB±3dB；</w:t>
            </w:r>
          </w:p>
          <w:p w14:paraId="0EFE78E3">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18.宽带噪声频谱：在500Hz～4000Hz频率范围内的频谱声压级相对于1000Hz的不均匀度，优于±5dB；</w:t>
            </w:r>
          </w:p>
          <w:p w14:paraId="37BAC87B">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19.通断比及信噪比：</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70dB SPL；</w:t>
            </w:r>
          </w:p>
          <w:p w14:paraId="5220880E">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20.压强准确度：±10daPa或±10%，以较大者为准；</w:t>
            </w:r>
          </w:p>
          <w:p w14:paraId="2DF91EFE">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21.压力变化速率：50、100、200、400或600 daPa/s ±20%；</w:t>
            </w:r>
          </w:p>
          <w:p w14:paraId="45F2A614">
            <w:pPr>
              <w:pStyle w:val="295"/>
              <w:keepNext w:val="0"/>
              <w:keepLines w:val="0"/>
              <w:pageBreakBefore w:val="0"/>
              <w:widowControl w:val="0"/>
              <w:numPr>
                <w:ilvl w:val="0"/>
                <w:numId w:val="0"/>
              </w:numPr>
              <w:bidi w:val="0"/>
              <w:ind w:left="0" w:firstLine="0"/>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22.压强安全限值：+600daPa和-800daPa</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tc>
      </w:tr>
      <w:tr w14:paraId="5DA29F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96" w:hRule="atLeast"/>
        </w:trPr>
        <w:tc>
          <w:tcPr>
            <w:tcW w:w="531" w:type="dxa"/>
            <w:noWrap w:val="0"/>
            <w:vAlign w:val="center"/>
          </w:tcPr>
          <w:p w14:paraId="515C410F">
            <w:pPr>
              <w:tabs>
                <w:tab w:val="left" w:pos="180"/>
                <w:tab w:val="left" w:pos="1620"/>
              </w:tabs>
              <w:spacing w:line="360" w:lineRule="auto"/>
              <w:jc w:val="center"/>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6</w:t>
            </w:r>
          </w:p>
        </w:tc>
        <w:tc>
          <w:tcPr>
            <w:tcW w:w="753" w:type="dxa"/>
            <w:noWrap w:val="0"/>
            <w:vAlign w:val="center"/>
          </w:tcPr>
          <w:p w14:paraId="6F189E73">
            <w:pPr>
              <w:tabs>
                <w:tab w:val="left" w:pos="180"/>
                <w:tab w:val="left" w:pos="1620"/>
              </w:tabs>
              <w:spacing w:line="360" w:lineRule="auto"/>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全自动综合验光仪</w:t>
            </w:r>
          </w:p>
        </w:tc>
        <w:tc>
          <w:tcPr>
            <w:tcW w:w="756" w:type="dxa"/>
            <w:noWrap w:val="0"/>
            <w:vAlign w:val="center"/>
          </w:tcPr>
          <w:p w14:paraId="4E490F8A">
            <w:pPr>
              <w:tabs>
                <w:tab w:val="left" w:pos="180"/>
                <w:tab w:val="left" w:pos="1620"/>
              </w:tabs>
              <w:spacing w:line="360" w:lineRule="auto"/>
              <w:jc w:val="center"/>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1台</w:t>
            </w:r>
          </w:p>
        </w:tc>
        <w:tc>
          <w:tcPr>
            <w:tcW w:w="936" w:type="dxa"/>
            <w:noWrap w:val="0"/>
            <w:vAlign w:val="center"/>
          </w:tcPr>
          <w:p w14:paraId="17739C17">
            <w:pPr>
              <w:pStyle w:val="295"/>
              <w:numPr>
                <w:ilvl w:val="0"/>
                <w:numId w:val="0"/>
              </w:numPr>
              <w:ind w:left="0" w:firstLine="0"/>
              <w:jc w:val="center"/>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18</w:t>
            </w:r>
          </w:p>
        </w:tc>
        <w:tc>
          <w:tcPr>
            <w:tcW w:w="6091" w:type="dxa"/>
            <w:noWrap w:val="0"/>
          </w:tcPr>
          <w:p w14:paraId="2AF0B021">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1.测量范围： </w:t>
            </w:r>
          </w:p>
          <w:p w14:paraId="098953FF">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球面透镜:+26.75~ -29.00</w:t>
            </w:r>
            <w:r>
              <w:rPr>
                <w:color w:val="000000" w:themeColor="text1"/>
                <w:highlight w:val="none"/>
                <w14:textFill>
                  <w14:solidFill>
                    <w14:schemeClr w14:val="tx1"/>
                  </w14:solidFill>
                </w14:textFill>
              </w:rPr>
              <w:t>D</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 </w:t>
            </w:r>
          </w:p>
          <w:p w14:paraId="34B567B2">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（步长:0.12D/0.25D/0.5D/1D/2D/3D)</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 </w:t>
            </w:r>
          </w:p>
          <w:p w14:paraId="320269BA">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2.图标:≥33 种</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 </w:t>
            </w:r>
          </w:p>
          <w:p w14:paraId="4BA1D32D">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3.图标选择速度:平均</w:t>
            </w:r>
            <w:r>
              <w:rPr>
                <w:rFonts w:hint="eastAsia" w:ascii="宋体" w:hAnsi="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 0.3 秒</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47A4D0F5">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4.显示:整幅视标显示/单行视标显示/单 </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列视标显示/单个视标显示</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 </w:t>
            </w:r>
          </w:p>
          <w:p w14:paraId="610844CE">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5.过滤色:红/绿 </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7A7776A2">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6.投影仪距离</w:t>
            </w:r>
            <w:r>
              <w:rPr>
                <w:rFonts w:hint="eastAsia" w:ascii="宋体" w:hAnsi="宋体" w:cs="宋体"/>
                <w:color w:val="000000" w:themeColor="text1"/>
                <w:sz w:val="21"/>
                <w:szCs w:val="21"/>
                <w:highlight w:val="none"/>
                <w:lang w:val="en-US" w:eastAsia="zh-CN" w:bidi="ar-SA"/>
                <w14:textFill>
                  <w14:solidFill>
                    <w14:schemeClr w14:val="tx1"/>
                  </w14:solidFill>
                </w14:textFill>
              </w:rPr>
              <w:t>能达到</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:2.0m-5.0m</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 </w:t>
            </w:r>
          </w:p>
          <w:p w14:paraId="531F065C">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7.投影扩大倍数:≥30x(5m)</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 </w:t>
            </w:r>
          </w:p>
          <w:p w14:paraId="49464E78">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8.投影 尺寸 :≥330 (w) X225 (H) mm (</w:t>
            </w:r>
            <w:r>
              <w:rPr>
                <w:rFonts w:hint="eastAsia" w:ascii="宋体" w:hAnsi="宋体" w:cs="宋体"/>
                <w:color w:val="000000" w:themeColor="text1"/>
                <w:sz w:val="21"/>
                <w:szCs w:val="21"/>
                <w:highlight w:val="none"/>
                <w:lang w:val="en-US" w:eastAsia="zh-CN" w:bidi="ar-SA"/>
                <w14:textFill>
                  <w14:solidFill>
                    <w14:schemeClr w14:val="tx1"/>
                  </w14:solidFill>
                </w14:textFill>
              </w:rPr>
              <w:t>等效</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5m) </w:t>
            </w:r>
          </w:p>
          <w:p w14:paraId="4505C870">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9.倾斜角度:球形接头</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 </w:t>
            </w:r>
          </w:p>
          <w:p w14:paraId="79865831">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10.灯:≥5V 5W(LED 灯)+ </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63EABDAF">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11.耗电:</w:t>
            </w:r>
            <w:r>
              <w:rPr>
                <w:rFonts w:hint="eastAsia" w:ascii="宋体" w:hAnsi="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50VA </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2168CE72">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12.自动待机功能:</w:t>
            </w:r>
            <w:r>
              <w:rPr>
                <w:rFonts w:hint="eastAsia" w:ascii="宋体" w:hAnsi="宋体" w:cs="宋体"/>
                <w:color w:val="000000" w:themeColor="text1"/>
                <w:sz w:val="21"/>
                <w:szCs w:val="21"/>
                <w:highlight w:val="none"/>
                <w:lang w:val="en-US" w:eastAsia="zh-CN" w:bidi="ar-SA"/>
                <w14:textFill>
                  <w14:solidFill>
                    <w14:schemeClr w14:val="tx1"/>
                  </w14:solidFill>
                </w14:textFill>
              </w:rPr>
              <w:t>具备</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3-10 分钟后自动待机</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0CA181CB">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13.遥控器:</w:t>
            </w:r>
            <w:r>
              <w:rPr>
                <w:rFonts w:hint="eastAsia" w:ascii="宋体" w:hAnsi="宋体" w:cs="宋体"/>
                <w:color w:val="000000" w:themeColor="text1"/>
                <w:sz w:val="21"/>
                <w:szCs w:val="21"/>
                <w:highlight w:val="none"/>
                <w:lang w:val="en-US" w:eastAsia="zh-CN" w:bidi="ar-SA"/>
                <w14:textFill>
                  <w14:solidFill>
                    <w14:schemeClr w14:val="tx1"/>
                  </w14:solidFill>
                </w14:textFill>
              </w:rPr>
              <w:t>约</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20(H)x61(W)x180(D) </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4DF98630">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14.柱面透镜:0.00~8.75D </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0998BC58">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(步长: +/0.5D/1D/2D/3D ) </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4C76BCC9">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15.柱镜轴位:0~180°</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 </w:t>
            </w:r>
          </w:p>
          <w:p w14:paraId="53F6325C">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(步长:1/5/15/30/45°)</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 </w:t>
            </w:r>
          </w:p>
          <w:p w14:paraId="63470157">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16.瞳距</w:t>
            </w:r>
            <w:r>
              <w:rPr>
                <w:rFonts w:hint="eastAsia" w:ascii="宋体" w:hAnsi="宋体" w:cs="宋体"/>
                <w:color w:val="000000" w:themeColor="text1"/>
                <w:sz w:val="21"/>
                <w:szCs w:val="21"/>
                <w:highlight w:val="none"/>
                <w:lang w:val="en-US" w:eastAsia="zh-CN" w:bidi="ar-SA"/>
                <w14:textFill>
                  <w14:solidFill>
                    <w14:schemeClr w14:val="tx1"/>
                  </w14:solidFill>
                </w14:textFill>
              </w:rPr>
              <w:t>达到</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:远:48~80mm 近</w:t>
            </w:r>
            <w:r>
              <w:rPr>
                <w:rFonts w:hint="eastAsia" w:ascii="宋体" w:hAnsi="宋体" w:cs="宋体"/>
                <w:color w:val="000000" w:themeColor="text1"/>
                <w:sz w:val="21"/>
                <w:szCs w:val="21"/>
                <w:highlight w:val="none"/>
                <w:lang w:val="en-US" w:eastAsia="zh-CN" w:bidi="ar-SA"/>
                <w14:textFill>
                  <w14:solidFill>
                    <w14:schemeClr w14:val="tx1"/>
                  </w14:solidFill>
                </w14:textFill>
              </w:rPr>
              <w:t>达到</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:45~75mm(步 长:0.5/1.0mm) </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611D27D5">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17.工作距离</w:t>
            </w:r>
            <w:r>
              <w:rPr>
                <w:rFonts w:hint="eastAsia" w:ascii="宋体" w:hAnsi="宋体" w:cs="宋体"/>
                <w:color w:val="000000" w:themeColor="text1"/>
                <w:sz w:val="21"/>
                <w:szCs w:val="21"/>
                <w:highlight w:val="none"/>
                <w:lang w:val="en-US" w:eastAsia="zh-CN" w:bidi="ar-SA"/>
                <w14:textFill>
                  <w14:solidFill>
                    <w14:schemeClr w14:val="tx1"/>
                  </w14:solidFill>
                </w14:textFill>
              </w:rPr>
              <w:t>达到</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:35~70cm 步长</w:t>
            </w:r>
            <w:r>
              <w:rPr>
                <w:rFonts w:hint="eastAsia" w:ascii="宋体" w:hAnsi="宋体" w:cs="宋体"/>
                <w:color w:val="000000" w:themeColor="text1"/>
                <w:sz w:val="21"/>
                <w:szCs w:val="21"/>
                <w:highlight w:val="none"/>
                <w:lang w:val="en-US" w:eastAsia="zh-CN" w:bidi="ar-SA"/>
                <w14:textFill>
                  <w14:solidFill>
                    <w14:schemeClr w14:val="tx1"/>
                  </w14:solidFill>
                </w14:textFill>
              </w:rPr>
              <w:t>达到</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:5cm </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23E271B3">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18.棱镜:0~20Δ(步长:0.1Δ/0.2Δ/0.5Δ /1Δ/2Δ)</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 </w:t>
            </w:r>
          </w:p>
          <w:p w14:paraId="4C5F0EBB">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19.交叉圆柱镜:交叉柱镜±0.25D 交叉柱镜 0.5D 双重交叉柱镜(分离棱14 镜)</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 </w:t>
            </w:r>
          </w:p>
          <w:p w14:paraId="66A6A56A">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20.检眼镜: +1.5D，+2.0D (测试距离 67cm，50cm)</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tc>
      </w:tr>
      <w:tr w14:paraId="644C87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96" w:hRule="atLeast"/>
        </w:trPr>
        <w:tc>
          <w:tcPr>
            <w:tcW w:w="531" w:type="dxa"/>
            <w:noWrap w:val="0"/>
            <w:vAlign w:val="center"/>
          </w:tcPr>
          <w:p w14:paraId="47ACBEF2">
            <w:pPr>
              <w:jc w:val="center"/>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t>7</w:t>
            </w:r>
          </w:p>
        </w:tc>
        <w:tc>
          <w:tcPr>
            <w:tcW w:w="753" w:type="dxa"/>
            <w:noWrap w:val="0"/>
            <w:vAlign w:val="center"/>
          </w:tcPr>
          <w:p w14:paraId="10DB984D">
            <w:pPr>
              <w:keepNext w:val="0"/>
              <w:keepLines w:val="0"/>
              <w:widowControl/>
              <w:suppressLineNumbers w:val="0"/>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i w:val="0"/>
                <w:iCs w:val="0"/>
                <w:color w:val="000000" w:themeColor="text1"/>
                <w:sz w:val="24"/>
                <w:szCs w:val="24"/>
                <w:highlight w:val="none"/>
                <w:u w:val="none"/>
                <w:lang w:val="en-US" w:eastAsia="zh-CN" w:bidi="ar"/>
                <w14:textFill>
                  <w14:solidFill>
                    <w14:schemeClr w14:val="tx1"/>
                  </w14:solidFill>
                </w14:textFill>
              </w:rPr>
              <w:t>牙科综合治疗仪(配内窥镜）</w:t>
            </w:r>
          </w:p>
        </w:tc>
        <w:tc>
          <w:tcPr>
            <w:tcW w:w="756" w:type="dxa"/>
            <w:noWrap w:val="0"/>
            <w:vAlign w:val="center"/>
          </w:tcPr>
          <w:p w14:paraId="5F4CB889">
            <w:pPr>
              <w:jc w:val="center"/>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t>1</w:t>
            </w:r>
            <w:r>
              <w:rPr>
                <w:rFonts w:hint="eastAsia" w:ascii="宋体" w:hAnsi="宋体" w:cs="宋体"/>
                <w:color w:val="000000" w:themeColor="text1"/>
                <w:sz w:val="24"/>
                <w:szCs w:val="24"/>
                <w:highlight w:val="none"/>
                <w:vertAlign w:val="baseline"/>
                <w:lang w:val="en-US" w:eastAsia="zh-CN"/>
                <w14:textFill>
                  <w14:solidFill>
                    <w14:schemeClr w14:val="tx1"/>
                  </w14:solidFill>
                </w14:textFill>
              </w:rPr>
              <w:t>台</w:t>
            </w:r>
          </w:p>
        </w:tc>
        <w:tc>
          <w:tcPr>
            <w:tcW w:w="936" w:type="dxa"/>
            <w:noWrap w:val="0"/>
            <w:vAlign w:val="center"/>
          </w:tcPr>
          <w:p w14:paraId="107A9A78">
            <w:pPr>
              <w:jc w:val="center"/>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2.6</w:t>
            </w:r>
          </w:p>
        </w:tc>
        <w:tc>
          <w:tcPr>
            <w:tcW w:w="6091" w:type="dxa"/>
            <w:noWrap w:val="0"/>
          </w:tcPr>
          <w:p w14:paraId="422B05BD">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1.工作条件：</w:t>
            </w:r>
          </w:p>
          <w:p w14:paraId="5D41260B">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供气压力范围</w:t>
            </w:r>
            <w:r>
              <w:rPr>
                <w:rFonts w:hint="eastAsia" w:ascii="宋体" w:hAnsi="宋体" w:cs="宋体"/>
                <w:color w:val="000000" w:themeColor="text1"/>
                <w:sz w:val="21"/>
                <w:szCs w:val="21"/>
                <w:highlight w:val="none"/>
                <w:lang w:val="en-US" w:eastAsia="zh-CN" w:bidi="ar-SA"/>
                <w14:textFill>
                  <w14:solidFill>
                    <w14:schemeClr w14:val="tx1"/>
                  </w14:solidFill>
                </w14:textFill>
              </w:rPr>
              <w:t>能达到</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 0.6—0.80MPa, 流量≥80Nl/min；水源水压范围</w:t>
            </w:r>
            <w:r>
              <w:rPr>
                <w:rFonts w:hint="eastAsia" w:ascii="宋体" w:hAnsi="宋体" w:cs="宋体"/>
                <w:color w:val="000000" w:themeColor="text1"/>
                <w:sz w:val="21"/>
                <w:szCs w:val="21"/>
                <w:highlight w:val="none"/>
                <w:lang w:val="en-US" w:eastAsia="zh-CN" w:bidi="ar-SA"/>
                <w14:textFill>
                  <w14:solidFill>
                    <w14:schemeClr w14:val="tx1"/>
                  </w14:solidFill>
                </w14:textFill>
              </w:rPr>
              <w:t>能达到</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 0.2—0.4MPa, 流量≥5L/min</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752E25AC">
            <w:pPr>
              <w:pStyle w:val="295"/>
              <w:keepNext w:val="0"/>
              <w:keepLines w:val="0"/>
              <w:pageBreakBefore w:val="0"/>
              <w:widowControl w:val="0"/>
              <w:numPr>
                <w:ilvl w:val="0"/>
                <w:numId w:val="0"/>
              </w:numPr>
              <w:bidi w:val="0"/>
              <w:ind w:left="0" w:firstLine="0"/>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t>▲2.使用期限≥16年</w:t>
            </w:r>
            <w:r>
              <w:rPr>
                <w:rFonts w:hint="eastAsia" w:ascii="宋体" w:hAnsi="宋体" w:eastAsia="宋体" w:cs="宋体"/>
                <w:b/>
                <w:bCs/>
                <w:color w:val="000000" w:themeColor="text1"/>
                <w:sz w:val="21"/>
                <w:szCs w:val="21"/>
                <w:highlight w:val="none"/>
                <w:lang w:val="en-US" w:eastAsia="zh-CN" w:bidi="ar-SA"/>
                <w14:textFill>
                  <w14:solidFill>
                    <w14:schemeClr w14:val="tx1"/>
                  </w14:solidFill>
                </w14:textFill>
              </w:rPr>
              <w:t>；</w:t>
            </w:r>
          </w:p>
          <w:p w14:paraId="1FE85AC8">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3.感应式LED多头口腔灯 </w:t>
            </w:r>
          </w:p>
          <w:p w14:paraId="6C80496B">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LED口腔灯可三轴旋转，灯珠数量≥6个。手动或自动感应控制开关，口腔灯照度可调，照度最小≤8000lx，最大≥20000lx，口腔灯色温 3500K-5500K可调，手柄可拆卸</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3A01B4B4">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4.牙科椅</w:t>
            </w:r>
          </w:p>
          <w:p w14:paraId="5A55FEBB">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4.1 牙科椅整体采用金属材质骨架和底座，座椅承重范围≥150kg；</w:t>
            </w:r>
          </w:p>
          <w:p w14:paraId="281C7DD3">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4.2 牙科椅具备直流∕变频系统，低压直流电机具有升降瞬间延时功能，</w:t>
            </w:r>
            <w:r>
              <w:rPr>
                <w:rFonts w:hint="eastAsia" w:ascii="宋体" w:hAnsi="宋体" w:cs="宋体"/>
                <w:color w:val="000000" w:themeColor="text1"/>
                <w:sz w:val="21"/>
                <w:szCs w:val="21"/>
                <w:highlight w:val="none"/>
                <w:lang w:val="en-US" w:eastAsia="zh-CN" w:bidi="ar-SA"/>
                <w14:textFill>
                  <w14:solidFill>
                    <w14:schemeClr w14:val="tx1"/>
                  </w14:solidFill>
                </w14:textFill>
              </w:rPr>
              <w:t>要求</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无顿挫感；</w:t>
            </w:r>
          </w:p>
          <w:p w14:paraId="2BE21AC4">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4.3牙椅皮垫采用优质皮革面料</w:t>
            </w:r>
            <w:r>
              <w:rPr>
                <w:rFonts w:hint="eastAsia" w:ascii="宋体" w:hAnsi="宋体" w:cs="宋体"/>
                <w:color w:val="000000" w:themeColor="text1"/>
                <w:sz w:val="21"/>
                <w:szCs w:val="21"/>
                <w:highlight w:val="none"/>
                <w:lang w:val="en-US" w:eastAsia="zh-CN" w:bidi="ar-SA"/>
                <w14:textFill>
                  <w14:solidFill>
                    <w14:schemeClr w14:val="tx1"/>
                  </w14:solidFill>
                </w14:textFill>
              </w:rPr>
              <w:t>，要求</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柔软舒适耐磨</w:t>
            </w:r>
            <w:r>
              <w:rPr>
                <w:rFonts w:hint="eastAsia" w:ascii="宋体" w:hAnsi="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方便擦洗消毒；</w:t>
            </w:r>
          </w:p>
          <w:p w14:paraId="3418B60D">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4.4座椅U型扶手为前翻式设计，扶手连接处位于椅身中部；</w:t>
            </w:r>
          </w:p>
          <w:p w14:paraId="21973019">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4.5多关节折叠式头枕，可多角度调整并固定头枕，且可拉伸和锁定，</w:t>
            </w:r>
            <w:r>
              <w:rPr>
                <w:rFonts w:hint="eastAsia" w:ascii="宋体" w:hAnsi="宋体" w:cs="宋体"/>
                <w:color w:val="000000" w:themeColor="text1"/>
                <w:sz w:val="21"/>
                <w:szCs w:val="21"/>
                <w:highlight w:val="none"/>
                <w:lang w:val="en-US" w:eastAsia="zh-CN" w:bidi="ar-SA"/>
                <w14:textFill>
                  <w14:solidFill>
                    <w14:schemeClr w14:val="tx1"/>
                  </w14:solidFill>
                </w14:textFill>
              </w:rPr>
              <w:t>要求能</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满足成人和老人、儿童、残障人士使用；</w:t>
            </w:r>
          </w:p>
          <w:p w14:paraId="7FCD2191">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4.6牙椅设置不少于</w:t>
            </w:r>
            <w:r>
              <w:rPr>
                <w:rFonts w:hint="eastAsia" w:ascii="宋体" w:hAnsi="宋体" w:cs="宋体"/>
                <w:color w:val="000000" w:themeColor="text1"/>
                <w:sz w:val="21"/>
                <w:szCs w:val="21"/>
                <w:highlight w:val="none"/>
                <w:lang w:val="en-US" w:eastAsia="zh-CN" w:bidi="ar-SA"/>
                <w14:textFill>
                  <w14:solidFill>
                    <w14:schemeClr w14:val="tx1"/>
                  </w14:solidFill>
                </w14:textFill>
              </w:rPr>
              <w:t>4</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组物理安全开关；</w:t>
            </w:r>
          </w:p>
          <w:p w14:paraId="4BCB1299">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①靠背俯仰安全开关；②牙椅升降安全开关；③机椅互锁安全开关；</w:t>
            </w:r>
          </w:p>
          <w:p w14:paraId="42AE548C">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④主动式急停开关（主动按下时锁止牙椅运动）；</w:t>
            </w:r>
          </w:p>
          <w:p w14:paraId="387493D8">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4.7联动功能：可设置口腔灯与牙科椅联动，痰位与漱口水冲盂联动，漱口水冲盂联动功能</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2D003500">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5.医师治疗台</w:t>
            </w:r>
          </w:p>
          <w:p w14:paraId="2F901397">
            <w:pPr>
              <w:pStyle w:val="295"/>
              <w:keepNext w:val="0"/>
              <w:keepLines w:val="0"/>
              <w:pageBreakBefore w:val="0"/>
              <w:widowControl w:val="0"/>
              <w:numPr>
                <w:ilvl w:val="0"/>
                <w:numId w:val="0"/>
              </w:numPr>
              <w:bidi w:val="0"/>
              <w:ind w:left="0" w:firstLine="0"/>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t>▲5.1医师治疗台采用下挂式器械盘；配置透明保护罩，可保护器械盘和器械按键面板；</w:t>
            </w:r>
          </w:p>
          <w:p w14:paraId="6AD4AB7B">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5.2 器械盘可水平大范围旋转≥160°，并在竖直方向升降移动≥400mm；</w:t>
            </w:r>
          </w:p>
          <w:p w14:paraId="7F5E3200">
            <w:pPr>
              <w:pStyle w:val="295"/>
              <w:keepNext w:val="0"/>
              <w:keepLines w:val="0"/>
              <w:pageBreakBefore w:val="0"/>
              <w:widowControl w:val="0"/>
              <w:numPr>
                <w:ilvl w:val="0"/>
                <w:numId w:val="0"/>
              </w:numPr>
              <w:bidi w:val="0"/>
              <w:ind w:left="0" w:firstLine="0"/>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t>▲5.3控制面板具有≥15个功能触控按键；</w:t>
            </w:r>
          </w:p>
          <w:p w14:paraId="1D898DBA">
            <w:pPr>
              <w:pStyle w:val="295"/>
              <w:keepNext w:val="0"/>
              <w:keepLines w:val="0"/>
              <w:pageBreakBefore w:val="0"/>
              <w:widowControl w:val="0"/>
              <w:numPr>
                <w:ilvl w:val="0"/>
                <w:numId w:val="0"/>
              </w:numPr>
              <w:bidi w:val="0"/>
              <w:ind w:left="0" w:firstLine="0"/>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t>▲5.4器械盘枪架盒可水平前后转动≥90°；</w:t>
            </w:r>
          </w:p>
          <w:p w14:paraId="37504E6C">
            <w:pPr>
              <w:pStyle w:val="295"/>
              <w:keepNext w:val="0"/>
              <w:keepLines w:val="0"/>
              <w:pageBreakBefore w:val="0"/>
              <w:widowControl w:val="0"/>
              <w:numPr>
                <w:ilvl w:val="0"/>
                <w:numId w:val="0"/>
              </w:numPr>
              <w:bidi w:val="0"/>
              <w:ind w:left="0" w:firstLine="0"/>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t>▲5.5械盘尺寸长度≥620mm，宽度≥410mm；</w:t>
            </w:r>
          </w:p>
          <w:p w14:paraId="01D7F3DF">
            <w:pPr>
              <w:pStyle w:val="295"/>
              <w:keepNext w:val="0"/>
              <w:keepLines w:val="0"/>
              <w:pageBreakBefore w:val="0"/>
              <w:widowControl w:val="0"/>
              <w:numPr>
                <w:ilvl w:val="0"/>
                <w:numId w:val="0"/>
              </w:numPr>
              <w:bidi w:val="0"/>
              <w:ind w:left="0" w:firstLine="0"/>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t>▲5.6牙椅原厂高速手机连通管≥2条；</w:t>
            </w:r>
          </w:p>
          <w:p w14:paraId="458C357B">
            <w:pPr>
              <w:pStyle w:val="295"/>
              <w:keepNext w:val="0"/>
              <w:keepLines w:val="0"/>
              <w:pageBreakBefore w:val="0"/>
              <w:widowControl w:val="0"/>
              <w:numPr>
                <w:ilvl w:val="0"/>
                <w:numId w:val="0"/>
              </w:numPr>
              <w:bidi w:val="0"/>
              <w:ind w:left="0" w:firstLine="0"/>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t>▲5.7牙椅原厂气动低速手机连通管≥ 1条。</w:t>
            </w:r>
          </w:p>
          <w:p w14:paraId="46206F3F">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6.主箱体单元</w:t>
            </w:r>
          </w:p>
          <w:p w14:paraId="1A93FCC9">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6.1主箱体可向外≥60°，内部为整体金属框架，</w:t>
            </w:r>
            <w:r>
              <w:rPr>
                <w:rFonts w:hint="eastAsia" w:ascii="宋体" w:hAnsi="宋体" w:cs="宋体"/>
                <w:color w:val="000000" w:themeColor="text1"/>
                <w:sz w:val="21"/>
                <w:szCs w:val="21"/>
                <w:highlight w:val="none"/>
                <w:lang w:val="en-US" w:eastAsia="zh-CN" w:bidi="ar-SA"/>
                <w14:textFill>
                  <w14:solidFill>
                    <w14:schemeClr w14:val="tx1"/>
                  </w14:solidFill>
                </w14:textFill>
              </w:rPr>
              <w:t>要求</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紧固耐用；</w:t>
            </w:r>
          </w:p>
          <w:p w14:paraId="3C5FAFDA">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6.2侧箱外壳材质耐酒精消毒，耐色变喷漆件；</w:t>
            </w:r>
          </w:p>
          <w:p w14:paraId="32D4ADA3">
            <w:pPr>
              <w:pStyle w:val="295"/>
              <w:keepNext w:val="0"/>
              <w:keepLines w:val="0"/>
              <w:pageBreakBefore w:val="0"/>
              <w:widowControl w:val="0"/>
              <w:numPr>
                <w:ilvl w:val="0"/>
                <w:numId w:val="0"/>
              </w:numPr>
              <w:bidi w:val="0"/>
              <w:ind w:left="0" w:firstLine="0"/>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t>▲6.3配置高温烧制抑菌整体式全陶瓷痰盂，外尺寸：长≥380mmX宽≥260mm，深≥70mm；</w:t>
            </w:r>
          </w:p>
          <w:p w14:paraId="4D4A6CD0">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6.4强弱吸过滤器为外置旋入式设计，其过滤精度≤1㎜²，有效过滤面积≥600㎜²，过滤体积≥20㎜³，强弱吸过滤器滤网采用高分子材料，</w:t>
            </w:r>
            <w:r>
              <w:rPr>
                <w:rFonts w:hint="eastAsia" w:ascii="宋体" w:hAnsi="宋体" w:cs="宋体"/>
                <w:color w:val="000000" w:themeColor="text1"/>
                <w:sz w:val="21"/>
                <w:szCs w:val="21"/>
                <w:highlight w:val="none"/>
                <w:lang w:val="en-US" w:eastAsia="zh-CN" w:bidi="ar-SA"/>
                <w14:textFill>
                  <w14:solidFill>
                    <w14:schemeClr w14:val="tx1"/>
                  </w14:solidFill>
                </w14:textFill>
              </w:rPr>
              <w:t>要求</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耐酸碱腐蚀；</w:t>
            </w:r>
          </w:p>
          <w:p w14:paraId="777010A9">
            <w:pPr>
              <w:pStyle w:val="295"/>
              <w:keepNext w:val="0"/>
              <w:keepLines w:val="0"/>
              <w:pageBreakBefore w:val="0"/>
              <w:widowControl w:val="0"/>
              <w:numPr>
                <w:ilvl w:val="0"/>
                <w:numId w:val="0"/>
              </w:numPr>
              <w:bidi w:val="0"/>
              <w:ind w:left="0" w:firstLine="0"/>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t>▲7.内置结构净水瓶，主箱体配有水瓶观察窗，无需打开主箱体即可拆卸；</w:t>
            </w:r>
          </w:p>
          <w:p w14:paraId="1493B879">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8.助手架单元：</w:t>
            </w:r>
          </w:p>
          <w:p w14:paraId="73BBAD1E">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8.1多关节的助手架方便使用；带≥9键位触控副控面板；</w:t>
            </w:r>
          </w:p>
          <w:p w14:paraId="3039BECE">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8.2配三用枪、强弱吸，预留光固化机位；</w:t>
            </w:r>
          </w:p>
          <w:p w14:paraId="3C4A2476">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9.多功能脚踏开关</w:t>
            </w:r>
          </w:p>
          <w:p w14:paraId="32425971">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可控制牙椅升、降、俯、仰；手机工作、有无水、吹屑气开关</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58F0C0D6">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10.配置医生椅</w:t>
            </w:r>
          </w:p>
          <w:p w14:paraId="6321090D">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座椅靠背的前后俯仰、座垫的升降，座垫水平方位360°旋转，金属铸造五爪底座，采用静音脚轮</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0CECE981">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三、配置清单</w:t>
            </w:r>
          </w:p>
          <w:p w14:paraId="509A006A">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1.治疗机             1套</w:t>
            </w:r>
          </w:p>
          <w:p w14:paraId="193EB2DF">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2.电动驱动牙科椅     1套</w:t>
            </w:r>
          </w:p>
          <w:p w14:paraId="6E44E3FE">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3.下挂式医生工作台   1套</w:t>
            </w:r>
          </w:p>
          <w:p w14:paraId="6D72846F">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4.双色感应LED冷光灯 1套</w:t>
            </w:r>
          </w:p>
          <w:p w14:paraId="513740B7">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5.口腔观察仪         1套</w:t>
            </w:r>
          </w:p>
          <w:p w14:paraId="77E7BD1A">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6.可旋转连体侧箱     1套</w:t>
            </w:r>
          </w:p>
          <w:p w14:paraId="612C41DA">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7.可拆卸式痰盂       1套</w:t>
            </w:r>
          </w:p>
          <w:p w14:paraId="6045EC48">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8.多功能复合脚踏开关 1套</w:t>
            </w:r>
          </w:p>
          <w:p w14:paraId="258D4221">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9.内置观片灯         1套</w:t>
            </w:r>
          </w:p>
          <w:p w14:paraId="54500942">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10.高速手机连通管     2条</w:t>
            </w:r>
          </w:p>
          <w:p w14:paraId="177174EE">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11.低速手机连通管     1条</w:t>
            </w:r>
          </w:p>
          <w:p w14:paraId="14EC0C27">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12.内置漱口热水系统   1套</w:t>
            </w:r>
          </w:p>
          <w:p w14:paraId="523AAA72">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13.三用枪             2套</w:t>
            </w:r>
          </w:p>
          <w:p w14:paraId="1950B675">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14.强、弱吸系统    各1 套</w:t>
            </w:r>
          </w:p>
          <w:p w14:paraId="10012E2B">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15.纯净水系统         1套</w:t>
            </w:r>
          </w:p>
          <w:p w14:paraId="1F23BD08">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16.</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牙科医师椅         1套</w:t>
            </w:r>
          </w:p>
        </w:tc>
      </w:tr>
      <w:tr w14:paraId="28F844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96" w:hRule="atLeast"/>
        </w:trPr>
        <w:tc>
          <w:tcPr>
            <w:tcW w:w="531" w:type="dxa"/>
            <w:noWrap w:val="0"/>
            <w:vAlign w:val="center"/>
          </w:tcPr>
          <w:p w14:paraId="5A2193F5">
            <w:pPr>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8</w:t>
            </w:r>
          </w:p>
        </w:tc>
        <w:tc>
          <w:tcPr>
            <w:tcW w:w="753" w:type="dxa"/>
            <w:noWrap w:val="0"/>
            <w:vAlign w:val="center"/>
          </w:tcPr>
          <w:p w14:paraId="3E6DA243">
            <w:pPr>
              <w:keepNext w:val="0"/>
              <w:keepLines w:val="0"/>
              <w:widowControl/>
              <w:suppressLineNumbers w:val="0"/>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i w:val="0"/>
                <w:iCs w:val="0"/>
                <w:color w:val="000000" w:themeColor="text1"/>
                <w:sz w:val="21"/>
                <w:szCs w:val="21"/>
                <w:highlight w:val="none"/>
                <w:u w:val="none"/>
                <w:lang w:val="en-US" w:eastAsia="zh-CN" w:bidi="ar"/>
                <w14:textFill>
                  <w14:solidFill>
                    <w14:schemeClr w14:val="tx1"/>
                  </w14:solidFill>
                </w14:textFill>
              </w:rPr>
              <w:t>高频手术电刀</w:t>
            </w:r>
          </w:p>
        </w:tc>
        <w:tc>
          <w:tcPr>
            <w:tcW w:w="756" w:type="dxa"/>
            <w:noWrap w:val="0"/>
            <w:vAlign w:val="center"/>
          </w:tcPr>
          <w:p w14:paraId="5B0E7294">
            <w:pPr>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1台</w:t>
            </w:r>
          </w:p>
        </w:tc>
        <w:tc>
          <w:tcPr>
            <w:tcW w:w="936" w:type="dxa"/>
            <w:noWrap w:val="0"/>
            <w:vAlign w:val="center"/>
          </w:tcPr>
          <w:p w14:paraId="7047C2F5">
            <w:pPr>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p>
        </w:tc>
        <w:tc>
          <w:tcPr>
            <w:tcW w:w="6091" w:type="dxa"/>
            <w:noWrap w:val="0"/>
          </w:tcPr>
          <w:p w14:paraId="4C5AABC5">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工作频率: 0.512MHz高频漏电流≤100mA</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69DFEE14">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输出功率</w:t>
            </w:r>
            <w:r>
              <w:rPr>
                <w:rFonts w:hint="eastAsia" w:ascii="宋体" w:hAnsi="宋体" w:cs="宋体"/>
                <w:color w:val="000000" w:themeColor="text1"/>
                <w:sz w:val="21"/>
                <w:szCs w:val="21"/>
                <w:highlight w:val="none"/>
                <w:lang w:val="en-US" w:eastAsia="zh-CN" w:bidi="ar-SA"/>
                <w14:textFill>
                  <w14:solidFill>
                    <w14:schemeClr w14:val="tx1"/>
                  </w14:solidFill>
                </w14:textFill>
              </w:rPr>
              <w:t>能达到</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 :</w:t>
            </w:r>
          </w:p>
          <w:p w14:paraId="5AF8F2BB">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单极纯切  0 ~ 300W ( 500</w:t>
            </w:r>
            <w:r>
              <w:rPr>
                <w:rFonts w:hint="eastAsia" w:ascii="宋体" w:hAnsi="宋体" w:cs="宋体"/>
                <w:color w:val="000000" w:themeColor="text1"/>
                <w:sz w:val="21"/>
                <w:szCs w:val="21"/>
                <w:highlight w:val="none"/>
                <w:lang w:val="en-US" w:eastAsia="zh-CN" w:bidi="ar-SA"/>
                <w14:textFill>
                  <w14:solidFill>
                    <w14:schemeClr w14:val="tx1"/>
                  </w14:solidFill>
                </w14:textFill>
              </w:rPr>
              <w:t>Ω</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非电抗性负载)</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67FE6031">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单极混切1  0~ 250W ( 500</w:t>
            </w:r>
            <w:r>
              <w:rPr>
                <w:rFonts w:hint="eastAsia" w:ascii="宋体" w:hAnsi="宋体" w:cs="宋体"/>
                <w:color w:val="000000" w:themeColor="text1"/>
                <w:sz w:val="21"/>
                <w:szCs w:val="21"/>
                <w:highlight w:val="none"/>
                <w:lang w:val="en-US" w:eastAsia="zh-CN" w:bidi="ar-SA"/>
                <w14:textFill>
                  <w14:solidFill>
                    <w14:schemeClr w14:val="tx1"/>
                  </w14:solidFill>
                </w14:textFill>
              </w:rPr>
              <w:t>Ω</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非电抗性负载)</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4F07D27B">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单极混切2  0 ~ 200W ( 500</w:t>
            </w:r>
            <w:r>
              <w:rPr>
                <w:rFonts w:hint="eastAsia" w:ascii="宋体" w:hAnsi="宋体" w:cs="宋体"/>
                <w:color w:val="000000" w:themeColor="text1"/>
                <w:sz w:val="21"/>
                <w:szCs w:val="21"/>
                <w:highlight w:val="none"/>
                <w:lang w:val="en-US" w:eastAsia="zh-CN" w:bidi="ar-SA"/>
                <w14:textFill>
                  <w14:solidFill>
                    <w14:schemeClr w14:val="tx1"/>
                  </w14:solidFill>
                </w14:textFill>
              </w:rPr>
              <w:t>Ω</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非电抗性负载)</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0D4CCE29">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单极混切3  0 ~ 120W ( 500</w:t>
            </w:r>
            <w:r>
              <w:rPr>
                <w:rFonts w:hint="eastAsia" w:ascii="宋体" w:hAnsi="宋体" w:cs="宋体"/>
                <w:color w:val="000000" w:themeColor="text1"/>
                <w:sz w:val="21"/>
                <w:szCs w:val="21"/>
                <w:highlight w:val="none"/>
                <w:lang w:val="en-US" w:eastAsia="zh-CN" w:bidi="ar-SA"/>
                <w14:textFill>
                  <w14:solidFill>
                    <w14:schemeClr w14:val="tx1"/>
                  </w14:solidFill>
                </w14:textFill>
              </w:rPr>
              <w:t>Ω</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非电抗性负载)</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17927FFC">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单极凝      0~ 120W ( 500</w:t>
            </w:r>
            <w:r>
              <w:rPr>
                <w:rFonts w:hint="eastAsia" w:ascii="宋体" w:hAnsi="宋体" w:cs="宋体"/>
                <w:color w:val="000000" w:themeColor="text1"/>
                <w:sz w:val="21"/>
                <w:szCs w:val="21"/>
                <w:highlight w:val="none"/>
                <w:lang w:val="en-US" w:eastAsia="zh-CN" w:bidi="ar-SA"/>
                <w14:textFill>
                  <w14:solidFill>
                    <w14:schemeClr w14:val="tx1"/>
                  </w14:solidFill>
                </w14:textFill>
              </w:rPr>
              <w:t>Ω</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非电抗性负载)</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776B562C">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双极凝    0~ 50W ( 100</w:t>
            </w:r>
            <w:r>
              <w:rPr>
                <w:rFonts w:hint="eastAsia" w:ascii="宋体" w:hAnsi="宋体" w:cs="宋体"/>
                <w:color w:val="000000" w:themeColor="text1"/>
                <w:sz w:val="21"/>
                <w:szCs w:val="21"/>
                <w:highlight w:val="none"/>
                <w:lang w:val="en-US" w:eastAsia="zh-CN" w:bidi="ar-SA"/>
                <w14:textFill>
                  <w14:solidFill>
                    <w14:schemeClr w14:val="tx1"/>
                  </w14:solidFill>
                </w14:textFill>
              </w:rPr>
              <w:t>Ω</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非电抗性负载)</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68E87B8B">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3</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运行方式:间隙加载连续运行10s/30s</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1687760B">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4</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电源: 220V+22V ; 50Hz+1Hz ;最大电流≤4A</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12545E93">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5</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全数字控制:功率输出为闲环调幅型电刀</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09A0A1BE">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6</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功能齐全:单、双极兼备,适用范围广,要求适用小儿手术、精细手术、大型手术,其输出特性能配合腹腔镜、宫腔镜、关节镜、电子胃镜等手术</w:t>
            </w:r>
          </w:p>
          <w:p w14:paraId="3DAD4B51">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7</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电磁兼容:符合相关标准</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44559EB6">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8</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电切:四种切割模式供选择,要求热损伤小、碳化少，能适用于整形美容科、耳鼻喉科以及烧伤切痂等手术</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7D9E709E">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cs="宋体"/>
                <w:color w:val="000000" w:themeColor="text1"/>
                <w:sz w:val="21"/>
                <w:szCs w:val="21"/>
                <w:highlight w:val="none"/>
                <w:lang w:val="en-US" w:eastAsia="zh-CN" w:bidi="ar-SA"/>
                <w14:textFill>
                  <w14:solidFill>
                    <w14:schemeClr w14:val="tx1"/>
                  </w14:solidFill>
                </w14:textFill>
              </w:rPr>
              <w:t>9</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控制方式 :单极由双脚踏防水开关控制输出，采用机械互锁方式，手控刀既可手控输出也可脚控输出，脚控刀由脚控输出,双极凝血由单脚踏防水开关控制输出</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7BFBB297">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w:t>
            </w:r>
            <w:r>
              <w:rPr>
                <w:rFonts w:hint="eastAsia" w:ascii="宋体" w:hAnsi="宋体" w:cs="宋体"/>
                <w:color w:val="000000" w:themeColor="text1"/>
                <w:sz w:val="21"/>
                <w:szCs w:val="21"/>
                <w:highlight w:val="none"/>
                <w:lang w:val="en-US" w:eastAsia="zh-CN" w:bidi="ar-SA"/>
                <w14:textFill>
                  <w14:solidFill>
                    <w14:schemeClr w14:val="tx1"/>
                  </w14:solidFill>
                </w14:textFill>
              </w:rPr>
              <w:t>0</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安全装置:装有中性极板监控系统</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072D8995">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w:t>
            </w:r>
            <w:r>
              <w:rPr>
                <w:rFonts w:hint="eastAsia" w:ascii="宋体" w:hAnsi="宋体" w:cs="宋体"/>
                <w:color w:val="000000" w:themeColor="text1"/>
                <w:sz w:val="21"/>
                <w:szCs w:val="21"/>
                <w:highlight w:val="none"/>
                <w:lang w:val="en-US" w:eastAsia="zh-CN" w:bidi="ar-SA"/>
                <w14:textFill>
                  <w14:solidFill>
                    <w14:schemeClr w14:val="tx1"/>
                  </w14:solidFill>
                </w14:textFill>
              </w:rPr>
              <w:t>1</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电源适应性</w:t>
            </w:r>
            <w:r>
              <w:rPr>
                <w:rFonts w:hint="eastAsia" w:ascii="宋体" w:hAnsi="宋体" w:cs="宋体"/>
                <w:color w:val="000000" w:themeColor="text1"/>
                <w:sz w:val="21"/>
                <w:szCs w:val="21"/>
                <w:highlight w:val="none"/>
                <w:lang w:val="en-US" w:eastAsia="zh-CN" w:bidi="ar-SA"/>
                <w14:textFill>
                  <w14:solidFill>
                    <w14:schemeClr w14:val="tx1"/>
                  </w14:solidFill>
                </w14:textFill>
              </w:rPr>
              <w:t>能达到</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:进线在交流220V+22V之间变化,功率设定变化率小于等于5%</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tc>
      </w:tr>
      <w:tr w14:paraId="4447BE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96" w:hRule="atLeast"/>
        </w:trPr>
        <w:tc>
          <w:tcPr>
            <w:tcW w:w="531" w:type="dxa"/>
            <w:noWrap w:val="0"/>
            <w:vAlign w:val="center"/>
          </w:tcPr>
          <w:p w14:paraId="0FB8C8D4">
            <w:pPr>
              <w:jc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t>9</w:t>
            </w:r>
          </w:p>
        </w:tc>
        <w:tc>
          <w:tcPr>
            <w:tcW w:w="753" w:type="dxa"/>
            <w:noWrap w:val="0"/>
            <w:vAlign w:val="center"/>
          </w:tcPr>
          <w:p w14:paraId="0B4545C1">
            <w:pPr>
              <w:keepNext w:val="0"/>
              <w:keepLines w:val="0"/>
              <w:widowControl/>
              <w:suppressLineNumbers w:val="0"/>
              <w:jc w:val="center"/>
              <w:rPr>
                <w:rFonts w:hint="eastAsia" w:ascii="宋体" w:hAnsi="宋体" w:eastAsia="宋体" w:cs="宋体"/>
                <w:b w:val="0"/>
                <w:bCs w:val="0"/>
                <w:i w:val="0"/>
                <w:iCs w:val="0"/>
                <w:color w:val="000000" w:themeColor="text1"/>
                <w:sz w:val="24"/>
                <w:szCs w:val="24"/>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sz w:val="24"/>
                <w:szCs w:val="24"/>
                <w:highlight w:val="none"/>
                <w:u w:val="none"/>
                <w:lang w:val="en-US" w:eastAsia="zh-CN" w:bidi="ar"/>
                <w14:textFill>
                  <w14:solidFill>
                    <w14:schemeClr w14:val="tx1"/>
                  </w14:solidFill>
                </w14:textFill>
              </w:rPr>
              <w:t>根管预备机</w:t>
            </w:r>
          </w:p>
        </w:tc>
        <w:tc>
          <w:tcPr>
            <w:tcW w:w="756" w:type="dxa"/>
            <w:noWrap w:val="0"/>
            <w:vAlign w:val="center"/>
          </w:tcPr>
          <w:p w14:paraId="1E7197C2">
            <w:pPr>
              <w:jc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t>1</w:t>
            </w:r>
            <w:r>
              <w:rPr>
                <w:rFonts w:hint="eastAsia" w:ascii="宋体" w:hAnsi="宋体" w:cs="宋体"/>
                <w:color w:val="000000" w:themeColor="text1"/>
                <w:sz w:val="24"/>
                <w:szCs w:val="24"/>
                <w:highlight w:val="none"/>
                <w:vertAlign w:val="baseline"/>
                <w:lang w:val="en-US" w:eastAsia="zh-CN"/>
                <w14:textFill>
                  <w14:solidFill>
                    <w14:schemeClr w14:val="tx1"/>
                  </w14:solidFill>
                </w14:textFill>
              </w:rPr>
              <w:t>台</w:t>
            </w:r>
          </w:p>
        </w:tc>
        <w:tc>
          <w:tcPr>
            <w:tcW w:w="936" w:type="dxa"/>
            <w:noWrap w:val="0"/>
            <w:vAlign w:val="center"/>
          </w:tcPr>
          <w:p w14:paraId="53DB6494">
            <w:pPr>
              <w:jc w:val="center"/>
              <w:rPr>
                <w:rFonts w:hint="eastAsia"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0.6</w:t>
            </w:r>
          </w:p>
        </w:tc>
        <w:tc>
          <w:tcPr>
            <w:tcW w:w="6091" w:type="dxa"/>
            <w:noWrap w:val="0"/>
          </w:tcPr>
          <w:p w14:paraId="3C04377F">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1.</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电源输入：AC100--240V,50/60Hz,800mA</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21BE0388">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2.</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电源输出：15.0V/1.6A</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5BE2CA6E">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3.</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手柄电池：3.7V/1200mAh 可充电锂电池</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747D1E7F">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4.</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底座电池：11.1V/2600mAh 可充电锂电池</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1EBE46CC">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5.</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速度</w:t>
            </w:r>
            <w:r>
              <w:rPr>
                <w:rFonts w:hint="eastAsia" w:ascii="宋体" w:hAnsi="宋体" w:cs="宋体"/>
                <w:color w:val="000000" w:themeColor="text1"/>
                <w:sz w:val="21"/>
                <w:szCs w:val="21"/>
                <w:highlight w:val="none"/>
                <w:lang w:val="en-US" w:eastAsia="zh-CN" w:bidi="ar-SA"/>
                <w14:textFill>
                  <w14:solidFill>
                    <w14:schemeClr w14:val="tx1"/>
                  </w14:solidFill>
                </w14:textFill>
              </w:rPr>
              <w:t>能达到</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：100--1200rpm</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78B76D5B">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6.</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扭矩</w:t>
            </w:r>
            <w:r>
              <w:rPr>
                <w:rFonts w:hint="eastAsia" w:ascii="宋体" w:hAnsi="宋体" w:cs="宋体"/>
                <w:color w:val="000000" w:themeColor="text1"/>
                <w:sz w:val="21"/>
                <w:szCs w:val="21"/>
                <w:highlight w:val="none"/>
                <w:lang w:val="en-US" w:eastAsia="zh-CN" w:bidi="ar-SA"/>
                <w14:textFill>
                  <w14:solidFill>
                    <w14:schemeClr w14:val="tx1"/>
                  </w14:solidFill>
                </w14:textFill>
              </w:rPr>
              <w:t>能达到</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：0.4-5.0 N.cm</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tc>
      </w:tr>
      <w:tr w14:paraId="64BED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59" w:hRule="atLeast"/>
        </w:trPr>
        <w:tc>
          <w:tcPr>
            <w:tcW w:w="531" w:type="dxa"/>
            <w:noWrap w:val="0"/>
            <w:vAlign w:val="center"/>
          </w:tcPr>
          <w:p w14:paraId="22CD4889">
            <w:pPr>
              <w:jc w:val="center"/>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t>10</w:t>
            </w:r>
          </w:p>
        </w:tc>
        <w:tc>
          <w:tcPr>
            <w:tcW w:w="753" w:type="dxa"/>
            <w:noWrap w:val="0"/>
            <w:vAlign w:val="center"/>
          </w:tcPr>
          <w:p w14:paraId="7362E228">
            <w:pPr>
              <w:keepNext w:val="0"/>
              <w:keepLines w:val="0"/>
              <w:widowControl/>
              <w:suppressLineNumbers w:val="0"/>
              <w:jc w:val="center"/>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i w:val="0"/>
                <w:iCs w:val="0"/>
                <w:color w:val="000000" w:themeColor="text1"/>
                <w:sz w:val="24"/>
                <w:szCs w:val="24"/>
                <w:highlight w:val="none"/>
                <w:u w:val="none"/>
                <w:lang w:val="en-US" w:eastAsia="zh-CN" w:bidi="ar"/>
                <w14:textFill>
                  <w14:solidFill>
                    <w14:schemeClr w14:val="tx1"/>
                  </w14:solidFill>
                </w14:textFill>
              </w:rPr>
              <w:t>空气压缩机</w:t>
            </w:r>
          </w:p>
        </w:tc>
        <w:tc>
          <w:tcPr>
            <w:tcW w:w="756" w:type="dxa"/>
            <w:noWrap w:val="0"/>
            <w:vAlign w:val="center"/>
          </w:tcPr>
          <w:p w14:paraId="63A82063">
            <w:pPr>
              <w:jc w:val="center"/>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t>1</w:t>
            </w:r>
            <w:r>
              <w:rPr>
                <w:rFonts w:hint="eastAsia" w:ascii="宋体" w:hAnsi="宋体" w:cs="宋体"/>
                <w:color w:val="000000" w:themeColor="text1"/>
                <w:sz w:val="24"/>
                <w:szCs w:val="24"/>
                <w:highlight w:val="none"/>
                <w:vertAlign w:val="baseline"/>
                <w:lang w:val="en-US" w:eastAsia="zh-CN"/>
                <w14:textFill>
                  <w14:solidFill>
                    <w14:schemeClr w14:val="tx1"/>
                  </w14:solidFill>
                </w14:textFill>
              </w:rPr>
              <w:t>台</w:t>
            </w:r>
          </w:p>
        </w:tc>
        <w:tc>
          <w:tcPr>
            <w:tcW w:w="936" w:type="dxa"/>
            <w:noWrap w:val="0"/>
            <w:vAlign w:val="center"/>
          </w:tcPr>
          <w:p w14:paraId="55A11112">
            <w:pPr>
              <w:jc w:val="center"/>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1.8</w:t>
            </w:r>
          </w:p>
        </w:tc>
        <w:tc>
          <w:tcPr>
            <w:tcW w:w="6091" w:type="dxa"/>
            <w:noWrap w:val="0"/>
            <w:vAlign w:val="top"/>
          </w:tcPr>
          <w:p w14:paraId="286BB5C3">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t>1</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.设备用途：</w:t>
            </w:r>
          </w:p>
          <w:p w14:paraId="1276D05F">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要求能用于≥5台牙椅的动力气源及医疗用压缩空气的生成设备装置，</w:t>
            </w:r>
            <w:r>
              <w:rPr>
                <w:rFonts w:hint="eastAsia" w:ascii="宋体" w:hAnsi="宋体" w:cs="宋体"/>
                <w:color w:val="000000" w:themeColor="text1"/>
                <w:sz w:val="21"/>
                <w:szCs w:val="21"/>
                <w:highlight w:val="none"/>
                <w:lang w:val="en-US" w:eastAsia="zh-CN" w:bidi="ar-SA"/>
                <w14:textFill>
                  <w14:solidFill>
                    <w14:schemeClr w14:val="tx1"/>
                  </w14:solidFill>
                </w14:textFill>
              </w:rPr>
              <w:t>符合</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医疗用压缩空气的标准要求。</w:t>
            </w:r>
          </w:p>
          <w:p w14:paraId="4648486E">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w:t>
            </w:r>
            <w:r>
              <w:rPr>
                <w:rFonts w:hint="eastAsia" w:ascii="宋体" w:hAnsi="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技术规格及要求</w:t>
            </w:r>
          </w:p>
          <w:p w14:paraId="4D6FD0CD">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2.1电源条件：</w:t>
            </w:r>
          </w:p>
          <w:p w14:paraId="29E8270F">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2.1.1额定电压：220V±10% </w:t>
            </w:r>
          </w:p>
          <w:p w14:paraId="6B78B48C">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2.1.2频率：≥50Hz</w:t>
            </w:r>
          </w:p>
          <w:p w14:paraId="5EB9DBEC">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2.1.3电源消耗：</w:t>
            </w:r>
            <w:r>
              <w:rPr>
                <w:rFonts w:hint="eastAsia" w:ascii="宋体" w:hAnsi="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2.2 kW</w:t>
            </w:r>
          </w:p>
          <w:p w14:paraId="2AC634C8">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2.2结构形式</w:t>
            </w:r>
          </w:p>
          <w:p w14:paraId="35DE76C6">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整台牙科电动无油空压机由压缩机机头、储气罐等组成，要求具备稳定、安全、节能、环保等特点。</w:t>
            </w:r>
          </w:p>
          <w:p w14:paraId="60176C05">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2.3技术指标及特点：</w:t>
            </w:r>
          </w:p>
          <w:p w14:paraId="3CA581E8">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2.3.1产气量最大每台≥400L/min，0.4bar下产气量≥280 L/min</w:t>
            </w:r>
          </w:p>
          <w:p w14:paraId="3DFD8DF8">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2.3.2每台空压机为≥2个无油纯铜机头组成</w:t>
            </w:r>
          </w:p>
          <w:p w14:paraId="74F4EA92">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2.3.3噪音:</w:t>
            </w:r>
            <w:r>
              <w:rPr>
                <w:rFonts w:hint="eastAsia" w:ascii="宋体" w:hAnsi="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72分贝</w:t>
            </w:r>
          </w:p>
          <w:p w14:paraId="1295FE91">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2.3.4启停压力能达到：0.55-0.75MPa</w:t>
            </w:r>
          </w:p>
          <w:p w14:paraId="3EA2409B">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2.3.5罐体进气全部采用铜或不锈钢管件，长时间使用不会产生各类杂质。</w:t>
            </w:r>
          </w:p>
          <w:p w14:paraId="0B5B245D">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t>2.3.6储气罐容积为≥90L，内外喷塑，保证气体的洁净；</w:t>
            </w:r>
            <w:r>
              <w:rPr>
                <w:rFonts w:hint="eastAsia" w:ascii="宋体" w:hAnsi="宋体" w:cs="宋体"/>
                <w:b/>
                <w:bCs/>
                <w:color w:val="000000" w:themeColor="text1"/>
                <w:sz w:val="21"/>
                <w:szCs w:val="21"/>
                <w:highlight w:val="none"/>
                <w:lang w:val="en-US" w:eastAsia="zh-CN" w:bidi="ar-SA"/>
                <w14:textFill>
                  <w14:solidFill>
                    <w14:schemeClr w14:val="tx1"/>
                  </w14:solidFill>
                </w14:textFill>
              </w:rPr>
              <w:t>供货时提供</w:t>
            </w:r>
            <w:r>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t>带有压力容器资质证书；罐体安装有安全阀、压力表、排水阀及单向阀。</w:t>
            </w:r>
          </w:p>
          <w:p w14:paraId="259C6C18">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2.3.7带有自动排水阀，节省人力维护时间</w:t>
            </w:r>
          </w:p>
          <w:p w14:paraId="13D28A3A">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cs="宋体"/>
                <w:color w:val="000000" w:themeColor="text1"/>
                <w:sz w:val="21"/>
                <w:szCs w:val="21"/>
                <w:highlight w:val="none"/>
                <w:lang w:val="en-US" w:eastAsia="zh-CN" w:bidi="ar-SA"/>
                <w14:textFill>
                  <w14:solidFill>
                    <w14:schemeClr w14:val="tx1"/>
                  </w14:solidFill>
                </w14:textFill>
              </w:rPr>
              <w:t>3</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售后服务</w:t>
            </w:r>
          </w:p>
          <w:p w14:paraId="0FAE2A7A">
            <w:pPr>
              <w:pStyle w:val="295"/>
              <w:keepNext w:val="0"/>
              <w:keepLines w:val="0"/>
              <w:pageBreakBefore w:val="0"/>
              <w:widowControl w:val="0"/>
              <w:numPr>
                <w:ilvl w:val="0"/>
                <w:numId w:val="0"/>
              </w:numPr>
              <w:bidi w:val="0"/>
              <w:ind w:left="0" w:firstLine="0"/>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在</w:t>
            </w:r>
            <w:r>
              <w:rPr>
                <w:rFonts w:hint="eastAsia" w:ascii="宋体" w:hAnsi="宋体" w:cs="宋体"/>
                <w:color w:val="000000" w:themeColor="text1"/>
                <w:sz w:val="21"/>
                <w:szCs w:val="21"/>
                <w:highlight w:val="none"/>
                <w:lang w:val="en-US" w:eastAsia="zh-CN" w:bidi="ar-SA"/>
                <w14:textFill>
                  <w14:solidFill>
                    <w14:schemeClr w14:val="tx1"/>
                  </w14:solidFill>
                </w14:textFill>
              </w:rPr>
              <w:t>质保期</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内提供所需</w:t>
            </w:r>
            <w:r>
              <w:rPr>
                <w:rFonts w:hint="eastAsia" w:ascii="宋体" w:hAnsi="宋体" w:cs="宋体"/>
                <w:color w:val="000000" w:themeColor="text1"/>
                <w:sz w:val="21"/>
                <w:szCs w:val="21"/>
                <w:highlight w:val="none"/>
                <w:lang w:val="en-US" w:eastAsia="zh-CN" w:bidi="ar-SA"/>
                <w14:textFill>
                  <w14:solidFill>
                    <w14:schemeClr w14:val="tx1"/>
                  </w14:solidFill>
                </w14:textFill>
              </w:rPr>
              <w:t>配</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件及维修服务（耗材及人为损坏除外）。</w:t>
            </w:r>
          </w:p>
        </w:tc>
      </w:tr>
    </w:tbl>
    <w:p w14:paraId="50146589">
      <w:pPr>
        <w:pageBreakBefore w:val="0"/>
        <w:bidi w:val="0"/>
        <w:spacing w:line="440" w:lineRule="exac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bl>
      <w:tblPr>
        <w:tblStyle w:val="50"/>
        <w:tblW w:w="9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4"/>
        <w:gridCol w:w="7655"/>
      </w:tblGrid>
      <w:tr w14:paraId="4810A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9019" w:type="dxa"/>
            <w:gridSpan w:val="2"/>
            <w:tcBorders>
              <w:top w:val="single" w:color="auto" w:sz="4" w:space="0"/>
              <w:left w:val="single" w:color="auto" w:sz="4" w:space="0"/>
              <w:bottom w:val="single" w:color="auto" w:sz="4" w:space="0"/>
              <w:right w:val="single" w:color="auto" w:sz="4" w:space="0"/>
            </w:tcBorders>
            <w:noWrap/>
          </w:tcPr>
          <w:p w14:paraId="759D6EB3">
            <w:pPr>
              <w:pageBreakBefore w:val="0"/>
              <w:widowControl/>
              <w:bidi w:val="0"/>
              <w:spacing w:after="120" w:line="440" w:lineRule="exact"/>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二、</w:t>
            </w: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商务条款要求</w:t>
            </w:r>
          </w:p>
        </w:tc>
      </w:tr>
      <w:tr w14:paraId="13926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tcBorders>
              <w:top w:val="single" w:color="auto" w:sz="4" w:space="0"/>
              <w:left w:val="single" w:color="auto" w:sz="4" w:space="0"/>
              <w:bottom w:val="single" w:color="auto" w:sz="4" w:space="0"/>
              <w:right w:val="single" w:color="auto" w:sz="4" w:space="0"/>
            </w:tcBorders>
            <w:noWrap/>
            <w:vAlign w:val="center"/>
          </w:tcPr>
          <w:p w14:paraId="1E0FB8B4">
            <w:pPr>
              <w:pageBreakBefore w:val="0"/>
              <w:bidi w:val="0"/>
              <w:spacing w:line="440" w:lineRule="exact"/>
              <w:ind w:firstLine="198"/>
              <w:jc w:val="cente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质保期</w:t>
            </w:r>
          </w:p>
        </w:tc>
        <w:tc>
          <w:tcPr>
            <w:tcW w:w="7655" w:type="dxa"/>
            <w:tcBorders>
              <w:top w:val="single" w:color="auto" w:sz="4" w:space="0"/>
              <w:left w:val="single" w:color="auto" w:sz="4" w:space="0"/>
              <w:bottom w:val="single" w:color="auto" w:sz="4" w:space="0"/>
              <w:right w:val="single" w:color="auto" w:sz="4" w:space="0"/>
            </w:tcBorders>
            <w:noWrap/>
            <w:vAlign w:val="center"/>
          </w:tcPr>
          <w:p w14:paraId="2CE739F4">
            <w:pPr>
              <w:pageBreakBefore w:val="0"/>
              <w:bidi w:val="0"/>
              <w:spacing w:line="440" w:lineRule="exact"/>
              <w:ind w:firstLine="42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按国家有关的产品“三包”规定实行“三包”，所有产品为全新产品，符合国家相关标准；所有设备安装调试并经用户验收合格之日起质保期不少于</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年（若国家或生产厂家对本项目所涉及货物的质量保证期的规定高于本项目要求的，应按国家或生产厂家的规定执行，若投标人在投标文件中承诺高于该期限，按照投标人承诺），质保期内维修、更换配件，提供设备维修及正常维护保养所需的零部件，质保期外提供终身维修服务。需求表中特别注明的按需求表中的执行。</w:t>
            </w:r>
          </w:p>
        </w:tc>
      </w:tr>
      <w:tr w14:paraId="7581A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noWrap/>
            <w:vAlign w:val="center"/>
          </w:tcPr>
          <w:p w14:paraId="0A62094A">
            <w:pPr>
              <w:pageBreakBefore w:val="0"/>
              <w:bidi w:val="0"/>
              <w:spacing w:line="440" w:lineRule="exact"/>
              <w:ind w:firstLine="198"/>
              <w:jc w:val="cente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售后服务要求</w:t>
            </w:r>
          </w:p>
        </w:tc>
        <w:tc>
          <w:tcPr>
            <w:tcW w:w="7655" w:type="dxa"/>
            <w:noWrap/>
            <w:vAlign w:val="center"/>
          </w:tcPr>
          <w:p w14:paraId="66894B2D">
            <w:pPr>
              <w:pageBreakBefore w:val="0"/>
              <w:numPr>
                <w:ilvl w:val="0"/>
                <w:numId w:val="0"/>
              </w:numPr>
              <w:bidi w:val="0"/>
              <w:spacing w:line="440" w:lineRule="exact"/>
              <w:ind w:firstLine="198" w:firstLineChars="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bidi="ar-SA"/>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中标人负责送货至</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钦州市钦南区人民医院</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，负责安装调试，并对操作人员进行操作培训。</w:t>
            </w:r>
          </w:p>
          <w:p w14:paraId="69933A67">
            <w:pPr>
              <w:pageBreakBefore w:val="0"/>
              <w:numPr>
                <w:ilvl w:val="0"/>
                <w:numId w:val="0"/>
              </w:numPr>
              <w:bidi w:val="0"/>
              <w:spacing w:line="440" w:lineRule="exact"/>
              <w:ind w:firstLine="21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2.维护保养的安排：中标人一年至少两次派工程技术人员对设备进行维护保养。质保期内当设备有重大级别提升时，中标人应为设备进行软件升级。</w:t>
            </w:r>
          </w:p>
          <w:p w14:paraId="509C8C6F">
            <w:pPr>
              <w:pageBreakBefore w:val="0"/>
              <w:bidi w:val="0"/>
              <w:spacing w:line="440" w:lineRule="exact"/>
              <w:ind w:firstLine="198"/>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3.维修时间安排应急维修时间安排：至少提供5×8小时远程桌面</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及</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7×24小时电话技术支持，</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使用中出现故障接到通知后应立即响应</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，对重大问题提供现场技术支持，24小时内派工程技术人员到达现场维修。如果需要更换配件的，更换的配件应跟被更换的品牌、类型相一致或者是同类同档次的替代品，后者需征得采购人管理人员同意。</w:t>
            </w:r>
          </w:p>
          <w:p w14:paraId="50EECB45">
            <w:pPr>
              <w:pageBreakBefore w:val="0"/>
              <w:bidi w:val="0"/>
              <w:spacing w:line="440" w:lineRule="exact"/>
              <w:ind w:firstLine="198"/>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4.主要零配件价格；为采购人提供优惠的零配件及易耗品。</w:t>
            </w:r>
          </w:p>
          <w:p w14:paraId="1E47A3CB">
            <w:pPr>
              <w:pageBreakBefore w:val="0"/>
              <w:bidi w:val="0"/>
              <w:spacing w:line="440" w:lineRule="exact"/>
              <w:ind w:firstLine="198"/>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5.设备质保期内一周如出现3次</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及</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以上停机或设备故障的，采购人有权要求中标人退货或更换新机器，所产生费用由中标人承担。</w:t>
            </w:r>
          </w:p>
          <w:p w14:paraId="4AB9F796">
            <w:pPr>
              <w:pageBreakBefore w:val="0"/>
              <w:bidi w:val="0"/>
              <w:spacing w:line="440" w:lineRule="exact"/>
              <w:ind w:firstLine="198"/>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6.培训对象：包括使用科室的设备使用人员及维修人员，</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为采购人提供使用技术培训</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，使用培训为验收要件之一，没有经过培训，视为没能完成验收。</w:t>
            </w:r>
          </w:p>
        </w:tc>
      </w:tr>
      <w:tr w14:paraId="6AAA7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noWrap/>
            <w:vAlign w:val="center"/>
          </w:tcPr>
          <w:p w14:paraId="5A48A34C">
            <w:pPr>
              <w:pageBreakBefore w:val="0"/>
              <w:bidi w:val="0"/>
              <w:spacing w:line="440" w:lineRule="exact"/>
              <w:ind w:firstLine="198"/>
              <w:jc w:val="cente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培训计划</w:t>
            </w:r>
          </w:p>
        </w:tc>
        <w:tc>
          <w:tcPr>
            <w:tcW w:w="7655" w:type="dxa"/>
            <w:noWrap/>
            <w:vAlign w:val="center"/>
          </w:tcPr>
          <w:p w14:paraId="71D338D2">
            <w:pPr>
              <w:pageBreakBefore w:val="0"/>
              <w:bidi w:val="0"/>
              <w:spacing w:line="440" w:lineRule="exact"/>
              <w:ind w:firstLine="198"/>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为采购人提供使用技术培训</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，使用培训为验收要件之一，没有经过培训，视为没能完成验收。</w:t>
            </w:r>
          </w:p>
          <w:p w14:paraId="133A2258">
            <w:pPr>
              <w:pageBreakBefore w:val="0"/>
              <w:bidi w:val="0"/>
              <w:spacing w:line="440" w:lineRule="exact"/>
              <w:ind w:firstLine="198"/>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1.培训对象：使用科室的设备使用人员及维修人员。</w:t>
            </w:r>
          </w:p>
          <w:p w14:paraId="08F58D39">
            <w:pPr>
              <w:pageBreakBefore w:val="0"/>
              <w:bidi w:val="0"/>
              <w:spacing w:line="440" w:lineRule="exact"/>
              <w:ind w:firstLine="198"/>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2.培训形式：</w:t>
            </w:r>
          </w:p>
          <w:p w14:paraId="13BC4027">
            <w:pPr>
              <w:pageBreakBefore w:val="0"/>
              <w:bidi w:val="0"/>
              <w:spacing w:line="440" w:lineRule="exact"/>
              <w:ind w:firstLine="198"/>
              <w:jc w:val="left"/>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① 现场使用培训：安装调试结束后，中标人组织培训工程师对机器正确使用方法进行示范操作，保证教会使用人员能正确使用设备</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p>
          <w:p w14:paraId="655B8789">
            <w:pPr>
              <w:pageBreakBefore w:val="0"/>
              <w:bidi w:val="0"/>
              <w:spacing w:line="440" w:lineRule="exact"/>
              <w:ind w:firstLine="198"/>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② 集中授课：</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使用专门讲义进行授课</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，并进行考核考试。</w:t>
            </w:r>
          </w:p>
        </w:tc>
      </w:tr>
      <w:tr w14:paraId="58193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noWrap/>
            <w:vAlign w:val="center"/>
          </w:tcPr>
          <w:p w14:paraId="02C62146">
            <w:pPr>
              <w:pageBreakBefore w:val="0"/>
              <w:bidi w:val="0"/>
              <w:spacing w:line="440" w:lineRule="exact"/>
              <w:ind w:firstLine="198"/>
              <w:jc w:val="cente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交货期</w:t>
            </w:r>
          </w:p>
        </w:tc>
        <w:tc>
          <w:tcPr>
            <w:tcW w:w="7655" w:type="dxa"/>
            <w:noWrap/>
            <w:vAlign w:val="center"/>
          </w:tcPr>
          <w:p w14:paraId="638A9222">
            <w:pPr>
              <w:pageBreakBefore w:val="0"/>
              <w:bidi w:val="0"/>
              <w:spacing w:line="440" w:lineRule="exact"/>
              <w:jc w:val="left"/>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签订合同之日起</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60</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天内调试完毕验收合格并交付使用。</w:t>
            </w:r>
          </w:p>
        </w:tc>
      </w:tr>
      <w:tr w14:paraId="1A244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noWrap/>
            <w:vAlign w:val="center"/>
          </w:tcPr>
          <w:p w14:paraId="08643BDD">
            <w:pPr>
              <w:pageBreakBefore w:val="0"/>
              <w:bidi w:val="0"/>
              <w:spacing w:line="440" w:lineRule="exact"/>
              <w:ind w:firstLine="198"/>
              <w:jc w:val="cente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交货地点</w:t>
            </w:r>
          </w:p>
        </w:tc>
        <w:tc>
          <w:tcPr>
            <w:tcW w:w="7655" w:type="dxa"/>
            <w:noWrap/>
            <w:vAlign w:val="center"/>
          </w:tcPr>
          <w:p w14:paraId="0F1B60B4">
            <w:pPr>
              <w:pageBreakBefore w:val="0"/>
              <w:bidi w:val="0"/>
              <w:spacing w:line="440" w:lineRule="exact"/>
              <w:ind w:firstLine="198"/>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钦州市钦南区人民医院内采购人指定地点</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c>
      </w:tr>
      <w:tr w14:paraId="7BA6E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noWrap/>
            <w:vAlign w:val="center"/>
          </w:tcPr>
          <w:p w14:paraId="51129B41">
            <w:pPr>
              <w:pageBreakBefore w:val="0"/>
              <w:bidi w:val="0"/>
              <w:spacing w:line="440" w:lineRule="exact"/>
              <w:ind w:firstLine="198"/>
              <w:jc w:val="cente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签订合同日期</w:t>
            </w:r>
          </w:p>
        </w:tc>
        <w:tc>
          <w:tcPr>
            <w:tcW w:w="7655" w:type="dxa"/>
            <w:noWrap/>
            <w:vAlign w:val="center"/>
          </w:tcPr>
          <w:p w14:paraId="46DB4A15">
            <w:pPr>
              <w:pageBreakBefore w:val="0"/>
              <w:bidi w:val="0"/>
              <w:spacing w:line="440" w:lineRule="exact"/>
              <w:ind w:firstLine="198"/>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自中标通知书发出之日起25天内。</w:t>
            </w:r>
          </w:p>
        </w:tc>
      </w:tr>
      <w:tr w14:paraId="07ABB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noWrap/>
            <w:vAlign w:val="center"/>
          </w:tcPr>
          <w:p w14:paraId="63458D41">
            <w:pPr>
              <w:pageBreakBefore w:val="0"/>
              <w:bidi w:val="0"/>
              <w:spacing w:line="440" w:lineRule="exact"/>
              <w:ind w:firstLine="198"/>
              <w:jc w:val="cente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付款条件</w:t>
            </w:r>
          </w:p>
        </w:tc>
        <w:tc>
          <w:tcPr>
            <w:tcW w:w="7655" w:type="dxa"/>
            <w:noWrap/>
            <w:vAlign w:val="center"/>
          </w:tcPr>
          <w:p w14:paraId="3F2292CB">
            <w:pPr>
              <w:pageBreakBefore w:val="0"/>
              <w:bidi w:val="0"/>
              <w:spacing w:before="240" w:after="60" w:line="440" w:lineRule="exact"/>
              <w:ind w:firstLine="210"/>
              <w:outlineLvl w:val="0"/>
              <w:rPr>
                <w:rFonts w:hint="eastAsia" w:asciiTheme="minorEastAsia" w:hAnsiTheme="minorEastAsia" w:eastAsiaTheme="minorEastAsia" w:cstheme="minorEastAsia"/>
                <w:bCs/>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合同签订后，无预付款。货物安装交付验收合格后两年内支付</w:t>
            </w:r>
            <w:r>
              <w:rPr>
                <w:rFonts w:hint="eastAsia" w:asciiTheme="minorEastAsia" w:hAnsiTheme="minorEastAsia" w:eastAsiaTheme="minorEastAsia" w:cstheme="minorEastAsia"/>
                <w:bCs/>
                <w:color w:val="000000" w:themeColor="text1"/>
                <w:sz w:val="21"/>
                <w:szCs w:val="21"/>
                <w:highlight w:val="none"/>
                <w:lang w:val="en-US" w:eastAsia="zh-CN"/>
                <w14:textFill>
                  <w14:solidFill>
                    <w14:schemeClr w14:val="tx1"/>
                  </w14:solidFill>
                </w14:textFill>
              </w:rPr>
              <w:t>完</w:t>
            </w: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设备款</w:t>
            </w:r>
            <w:r>
              <w:rPr>
                <w:rFonts w:hint="eastAsia" w:asciiTheme="minorEastAsia" w:hAnsiTheme="minorEastAsia" w:eastAsiaTheme="minorEastAsia" w:cstheme="minorEastAsia"/>
                <w:bCs/>
                <w:color w:val="000000" w:themeColor="text1"/>
                <w:sz w:val="21"/>
                <w:szCs w:val="21"/>
                <w:highlight w:val="none"/>
                <w:lang w:eastAsia="zh-CN"/>
                <w14:textFill>
                  <w14:solidFill>
                    <w14:schemeClr w14:val="tx1"/>
                  </w14:solidFill>
                </w14:textFill>
              </w:rPr>
              <w:t>。</w:t>
            </w:r>
          </w:p>
        </w:tc>
      </w:tr>
      <w:tr w14:paraId="6CA1E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noWrap/>
            <w:vAlign w:val="center"/>
          </w:tcPr>
          <w:p w14:paraId="2B0A996C">
            <w:pPr>
              <w:pageBreakBefore w:val="0"/>
              <w:bidi w:val="0"/>
              <w:spacing w:line="440" w:lineRule="exact"/>
              <w:ind w:firstLine="198"/>
              <w:jc w:val="cente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备品备件或耗材等要求</w:t>
            </w:r>
          </w:p>
        </w:tc>
        <w:tc>
          <w:tcPr>
            <w:tcW w:w="7655" w:type="dxa"/>
            <w:noWrap/>
            <w:vAlign w:val="center"/>
          </w:tcPr>
          <w:p w14:paraId="75CEB013">
            <w:pPr>
              <w:pageBreakBefore w:val="0"/>
              <w:bidi w:val="0"/>
              <w:spacing w:line="440" w:lineRule="exact"/>
              <w:ind w:firstLine="21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1.投标人必须有完善的备品备件库体系，质保期内能提供相应的措施和备件，保证过质保期后五年内有足够的备品备件，</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为本项目技术支持</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、服务需求提供可靠保证。</w:t>
            </w:r>
          </w:p>
          <w:p w14:paraId="2E78F00F">
            <w:pPr>
              <w:pageBreakBefore w:val="0"/>
              <w:bidi w:val="0"/>
              <w:spacing w:line="440" w:lineRule="exact"/>
              <w:ind w:firstLine="21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2.所有零部件、配件必须是全新未使用过的并符合国家有关质量安全标准的产品。</w:t>
            </w:r>
          </w:p>
        </w:tc>
      </w:tr>
      <w:tr w14:paraId="13101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noWrap/>
            <w:vAlign w:val="center"/>
          </w:tcPr>
          <w:p w14:paraId="7C30629A">
            <w:pPr>
              <w:pageBreakBefore w:val="0"/>
              <w:bidi w:val="0"/>
              <w:spacing w:line="440" w:lineRule="exact"/>
              <w:ind w:firstLine="198"/>
              <w:jc w:val="cente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验收标准</w:t>
            </w:r>
          </w:p>
        </w:tc>
        <w:tc>
          <w:tcPr>
            <w:tcW w:w="7655" w:type="dxa"/>
            <w:noWrap/>
            <w:vAlign w:val="center"/>
          </w:tcPr>
          <w:p w14:paraId="3B0E94EE">
            <w:pPr>
              <w:widowControl/>
              <w:spacing w:line="360" w:lineRule="exact"/>
              <w:ind w:firstLine="21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1.验收过程中所产生的一切费用均由中标人承担。报价时应考虑相关费用。</w:t>
            </w:r>
          </w:p>
          <w:p w14:paraId="73DD053C">
            <w:pPr>
              <w:widowControl/>
              <w:spacing w:line="360" w:lineRule="exact"/>
              <w:ind w:firstLine="21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中标人在货物验收时由采购人对照采购文件的功能目标及技术指标全面核对检验，对所有要求出具的证明文件的原件进行核查，如不符合采购文件的技术需求及要求以及提供虚假承诺的，按相关规定作退货处理及违约处理，中标人承担所有责任和费用，采购人保留进一步追究责任的权利。安装标准：符合国际、国家及行业有关技术规范和技术标准。采购项目有其他要求的按其要求。</w:t>
            </w:r>
          </w:p>
          <w:p w14:paraId="492AE92B">
            <w:pPr>
              <w:pageBreakBefore w:val="0"/>
              <w:widowControl/>
              <w:bidi w:val="0"/>
              <w:spacing w:line="440" w:lineRule="exact"/>
              <w:ind w:firstLine="21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中标人负责安装的技术人员按照验收流程要求提供合格证标明的内容及技术参数表逐条进行验收。验收应符合国家相关法规及合同的技术要求，同时也应符合厂家提供的技术资料中各项技术指标和参数要求，参数要求必须符合采购参数规定，不能以“标准配置”、“选购配置”为由与采购参数不符。</w:t>
            </w:r>
          </w:p>
          <w:p w14:paraId="1B32E06C">
            <w:pPr>
              <w:pageBreakBefore w:val="0"/>
              <w:widowControl/>
              <w:bidi w:val="0"/>
              <w:spacing w:line="440" w:lineRule="exact"/>
              <w:ind w:firstLine="21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3.验收时</w:t>
            </w:r>
            <w:r>
              <w:rPr>
                <w:rFonts w:hint="eastAsia" w:ascii="宋体" w:hAnsi="宋体" w:cs="宋体"/>
                <w:color w:val="000000" w:themeColor="text1"/>
                <w:szCs w:val="21"/>
                <w:highlight w:val="none"/>
                <w14:textFill>
                  <w14:solidFill>
                    <w14:schemeClr w14:val="tx1"/>
                  </w14:solidFill>
                </w14:textFill>
              </w:rPr>
              <w:t>属于医疗设备的提供注册证或备案证等材料。</w:t>
            </w:r>
          </w:p>
        </w:tc>
      </w:tr>
      <w:tr w14:paraId="42324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noWrap/>
            <w:vAlign w:val="center"/>
          </w:tcPr>
          <w:p w14:paraId="257AB938">
            <w:pPr>
              <w:pageBreakBefore w:val="0"/>
              <w:bidi w:val="0"/>
              <w:spacing w:line="440" w:lineRule="exact"/>
              <w:ind w:firstLine="198"/>
              <w:jc w:val="cente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报价要求</w:t>
            </w:r>
          </w:p>
        </w:tc>
        <w:tc>
          <w:tcPr>
            <w:tcW w:w="7655" w:type="dxa"/>
            <w:noWrap/>
            <w:vAlign w:val="center"/>
          </w:tcPr>
          <w:p w14:paraId="208058B9">
            <w:pPr>
              <w:pageBreakBefore w:val="0"/>
              <w:bidi w:val="0"/>
              <w:spacing w:line="440" w:lineRule="exact"/>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投标报价包括但不限于货款、标准附件、备品备件、专用工具、包装、运输、装卸、保险、税金、货到就位以及安装、调试、培训、保修、验收等一切税金和费用。投标人在固定总价中必须考虑各种风险费用。在合同履行过程中，采购人不予支付合同以外的其他费用。投标人负责工人人身、设备安全责任，验收前，设备丢失自行负责。</w:t>
            </w:r>
          </w:p>
          <w:p w14:paraId="0969BDC0">
            <w:pPr>
              <w:pageBreakBefore w:val="0"/>
              <w:bidi w:val="0"/>
              <w:spacing w:line="440" w:lineRule="exact"/>
              <w:jc w:val="left"/>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2.要求投标货物是全新的、未经改装的、合格的、满足本项目技术需求及要求的货物，提供的货物及制作安装采用的各种配件、材料均必须满足国家和行业规范标准。</w:t>
            </w:r>
          </w:p>
        </w:tc>
      </w:tr>
      <w:tr w14:paraId="6A934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noWrap/>
            <w:vAlign w:val="center"/>
          </w:tcPr>
          <w:p w14:paraId="6806A9BF">
            <w:pPr>
              <w:pageBreakBefore w:val="0"/>
              <w:bidi w:val="0"/>
              <w:spacing w:line="440" w:lineRule="exact"/>
              <w:ind w:firstLine="198"/>
              <w:jc w:val="center"/>
              <w:rPr>
                <w:rFonts w:hint="default" w:asciiTheme="minorEastAsia" w:hAnsiTheme="minorEastAsia" w:eastAsiaTheme="minorEastAsia" w:cstheme="minorEastAsia"/>
                <w:b/>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lang w:val="en-US" w:eastAsia="zh-CN"/>
                <w14:textFill>
                  <w14:solidFill>
                    <w14:schemeClr w14:val="tx1"/>
                  </w14:solidFill>
                </w14:textFill>
              </w:rPr>
              <w:t>文件其他要求</w:t>
            </w:r>
          </w:p>
        </w:tc>
        <w:tc>
          <w:tcPr>
            <w:tcW w:w="7655" w:type="dxa"/>
            <w:noWrap/>
            <w:vAlign w:val="center"/>
          </w:tcPr>
          <w:p w14:paraId="5633351E">
            <w:pPr>
              <w:pageBreakBefore w:val="0"/>
              <w:bidi w:val="0"/>
              <w:spacing w:line="440" w:lineRule="exact"/>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投标人在投标文件中针对本项目提供切实可行的项目实施方案（格式自拟）【包含但不限于项目实施方案、质量保证措施等】及售后服务承诺方案（格式自拟）。</w:t>
            </w:r>
          </w:p>
        </w:tc>
      </w:tr>
      <w:tr w14:paraId="256EB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9" w:type="dxa"/>
            <w:gridSpan w:val="2"/>
            <w:noWrap/>
            <w:vAlign w:val="center"/>
          </w:tcPr>
          <w:p w14:paraId="6AD429A9">
            <w:pPr>
              <w:pageBreakBefore w:val="0"/>
              <w:bidi w:val="0"/>
              <w:spacing w:line="440" w:lineRule="exact"/>
              <w:jc w:val="left"/>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lang w:val="en-US" w:eastAsia="zh-CN"/>
                <w14:textFill>
                  <w14:solidFill>
                    <w14:schemeClr w14:val="tx1"/>
                  </w14:solidFill>
                </w14:textFill>
              </w:rPr>
              <w:t>三、</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其他</w:t>
            </w:r>
            <w:r>
              <w:rPr>
                <w:rFonts w:hint="eastAsia" w:asciiTheme="minorEastAsia" w:hAnsiTheme="minorEastAsia" w:eastAsiaTheme="minorEastAsia" w:cstheme="minorEastAsia"/>
                <w:b/>
                <w:color w:val="000000" w:themeColor="text1"/>
                <w:sz w:val="21"/>
                <w:szCs w:val="21"/>
                <w:highlight w:val="none"/>
                <w:lang w:val="en-US" w:eastAsia="zh-CN"/>
                <w14:textFill>
                  <w14:solidFill>
                    <w14:schemeClr w14:val="tx1"/>
                  </w14:solidFill>
                </w14:textFill>
              </w:rPr>
              <w:t>要求</w:t>
            </w:r>
          </w:p>
        </w:tc>
      </w:tr>
      <w:tr w14:paraId="748CE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9" w:type="dxa"/>
            <w:gridSpan w:val="2"/>
            <w:noWrap/>
            <w:vAlign w:val="center"/>
          </w:tcPr>
          <w:p w14:paraId="75649CE9">
            <w:pPr>
              <w:pageBreakBefore w:val="0"/>
              <w:bidi w:val="0"/>
              <w:spacing w:line="440" w:lineRule="exac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1.投标人在投标活动中如提供任何虚假材料，以及投标产品的技术参数不如实说明，</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其投标无效</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，并报监管部门查处。</w:t>
            </w:r>
          </w:p>
          <w:p w14:paraId="2F56415E">
            <w:pPr>
              <w:pageBreakBefore w:val="0"/>
              <w:bidi w:val="0"/>
              <w:spacing w:line="440" w:lineRule="exac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2.若中标人所供产品及售后服务不按招标文件要求履约的，将按照相关有关规定严肃处理。</w:t>
            </w:r>
          </w:p>
          <w:p w14:paraId="7679EF09">
            <w:pPr>
              <w:pageBreakBefore w:val="0"/>
              <w:bidi w:val="0"/>
              <w:spacing w:before="25" w:after="25" w:line="440" w:lineRule="exact"/>
              <w:jc w:val="left"/>
              <w:rPr>
                <w:rFonts w:hint="eastAsia" w:ascii="宋体" w:hAnsi="宋体" w:cs="宋体"/>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宋体" w:hAnsi="宋体" w:cs="宋体"/>
                <w:color w:val="000000" w:themeColor="text1"/>
                <w:sz w:val="21"/>
                <w:szCs w:val="21"/>
                <w:highlight w:val="none"/>
                <w14:textFill>
                  <w14:solidFill>
                    <w14:schemeClr w14:val="tx1"/>
                  </w14:solidFill>
                </w14:textFill>
              </w:rPr>
              <w:t>进口产品说明：本</w:t>
            </w:r>
            <w:r>
              <w:rPr>
                <w:rFonts w:hint="eastAsia" w:ascii="宋体" w:hAnsi="宋体" w:cs="宋体"/>
                <w:color w:val="000000" w:themeColor="text1"/>
                <w:sz w:val="21"/>
                <w:szCs w:val="21"/>
                <w:highlight w:val="none"/>
                <w:lang w:val="en-US" w:eastAsia="zh-CN"/>
                <w14:textFill>
                  <w14:solidFill>
                    <w14:schemeClr w14:val="tx1"/>
                  </w14:solidFill>
                </w14:textFill>
              </w:rPr>
              <w:t>分标</w:t>
            </w:r>
            <w:r>
              <w:rPr>
                <w:rFonts w:hint="eastAsia" w:ascii="宋体" w:hAnsi="宋体" w:cs="宋体"/>
                <w:color w:val="000000" w:themeColor="text1"/>
                <w:sz w:val="21"/>
                <w:szCs w:val="21"/>
                <w:highlight w:val="none"/>
                <w14:textFill>
                  <w14:solidFill>
                    <w14:schemeClr w14:val="tx1"/>
                  </w14:solidFill>
                </w14:textFill>
              </w:rPr>
              <w:t>项目货物不接受进口产品（即通过中国海关报关验放进入中国境内且产自关境外的产品）参与投标，</w:t>
            </w:r>
            <w:r>
              <w:rPr>
                <w:rFonts w:hint="eastAsia" w:ascii="宋体" w:hAnsi="宋体" w:cs="宋体"/>
                <w:b/>
                <w:bCs/>
                <w:color w:val="000000" w:themeColor="text1"/>
                <w:sz w:val="21"/>
                <w:szCs w:val="21"/>
                <w:highlight w:val="none"/>
                <w14:textFill>
                  <w14:solidFill>
                    <w14:schemeClr w14:val="tx1"/>
                  </w14:solidFill>
                </w14:textFill>
              </w:rPr>
              <w:t>如有进口产品参与投标的作无效投标处理。</w:t>
            </w:r>
          </w:p>
          <w:p w14:paraId="36A9B4AE">
            <w:pPr>
              <w:pageBreakBefore w:val="0"/>
              <w:bidi w:val="0"/>
              <w:spacing w:before="25" w:after="25" w:line="440" w:lineRule="exact"/>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.货物一览表中，标注“▲”项的内容为实质性响应条款，必须满足或优于，</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否则投标无效</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；不带“▲”的参数发生负偏离达4项（含）以上的，视为不实质性响应采购文件要求，</w:t>
            </w:r>
            <w:r>
              <w:rPr>
                <w:rFonts w:hint="eastAsia" w:asciiTheme="minorEastAsia" w:hAnsiTheme="minorEastAsia" w:eastAsiaTheme="minorEastAsia" w:cstheme="minorEastAsia"/>
                <w:b/>
                <w:color w:val="000000" w:themeColor="text1"/>
                <w:sz w:val="21"/>
                <w:szCs w:val="21"/>
                <w:highlight w:val="none"/>
                <w:lang w:eastAsia="zh-CN"/>
                <w14:textFill>
                  <w14:solidFill>
                    <w14:schemeClr w14:val="tx1"/>
                  </w14:solidFill>
                </w14:textFill>
              </w:rPr>
              <w:t>评审时投标文件将被作为无效处理</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3364E79D">
            <w:pPr>
              <w:pStyle w:val="248"/>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5.本项目核心产品为第1项货物“眼科手术显微镜”。</w:t>
            </w:r>
          </w:p>
          <w:p w14:paraId="178B3B73">
            <w:pPr>
              <w:pStyle w:val="19"/>
              <w:rPr>
                <w:rFonts w:hint="default"/>
                <w:color w:val="000000" w:themeColor="text1"/>
                <w:highlight w:val="none"/>
                <w:lang w:val="en-US" w:eastAsia="zh-CN"/>
                <w14:textFill>
                  <w14:solidFill>
                    <w14:schemeClr w14:val="tx1"/>
                  </w14:solidFill>
                </w14:textFill>
              </w:rPr>
            </w:pPr>
            <w:r>
              <w:rPr>
                <w:rFonts w:hint="eastAsia" w:ascii="宋体" w:hAnsi="宋体" w:cs="宋体"/>
                <w:bCs w:val="0"/>
                <w:color w:val="000000" w:themeColor="text1"/>
                <w:spacing w:val="0"/>
                <w:sz w:val="21"/>
                <w:szCs w:val="21"/>
                <w:highlight w:val="none"/>
                <w:lang w:val="en-US" w:eastAsia="zh-CN"/>
                <w14:textFill>
                  <w14:solidFill>
                    <w14:schemeClr w14:val="tx1"/>
                  </w14:solidFill>
                </w14:textFill>
              </w:rPr>
              <w:t>6.投标人业绩及综合实力：具体详见评标方法及评标标准</w:t>
            </w:r>
          </w:p>
        </w:tc>
      </w:tr>
    </w:tbl>
    <w:p w14:paraId="7C40E647">
      <w:pPr>
        <w:spacing w:line="360" w:lineRule="auto"/>
        <w:ind w:firstLine="424"/>
        <w:jc w:val="left"/>
        <w:rPr>
          <w:rFonts w:hint="default" w:ascii="宋体" w:hAnsi="宋体" w:eastAsia="宋体" w:cs="Times New Roman"/>
          <w:b/>
          <w:color w:val="000000" w:themeColor="text1"/>
          <w:sz w:val="32"/>
          <w:szCs w:val="32"/>
          <w:highlight w:val="none"/>
          <w:u w:val="single"/>
          <w:lang w:val="en-US" w:eastAsia="zh-CN"/>
          <w14:textFill>
            <w14:solidFill>
              <w14:schemeClr w14:val="tx1"/>
            </w14:solidFill>
          </w14:textFill>
        </w:rPr>
      </w:pPr>
      <w:r>
        <w:rPr>
          <w:color w:val="000000" w:themeColor="text1"/>
          <w:sz w:val="21"/>
          <w:szCs w:val="21"/>
          <w:highlight w:val="none"/>
          <w14:textFill>
            <w14:solidFill>
              <w14:schemeClr w14:val="tx1"/>
            </w14:solidFill>
          </w14:textFill>
        </w:rPr>
        <w:br w:type="page" w:clear="all"/>
      </w:r>
    </w:p>
    <w:p w14:paraId="3886C96C">
      <w:pPr>
        <w:spacing w:line="360" w:lineRule="auto"/>
        <w:ind w:firstLine="649"/>
        <w:jc w:val="left"/>
        <w:rPr>
          <w:rFonts w:hint="default" w:ascii="宋体" w:hAnsi="宋体" w:eastAsia="宋体"/>
          <w:b/>
          <w:color w:val="000000" w:themeColor="text1"/>
          <w:sz w:val="32"/>
          <w:szCs w:val="32"/>
          <w:highlight w:val="none"/>
          <w:u w:val="single"/>
          <w:lang w:val="en-US" w:eastAsia="zh-CN"/>
          <w14:textFill>
            <w14:solidFill>
              <w14:schemeClr w14:val="tx1"/>
            </w14:solidFill>
          </w14:textFill>
        </w:rPr>
      </w:pPr>
      <w:r>
        <w:rPr>
          <w:rFonts w:hint="eastAsia" w:ascii="宋体" w:hAnsi="宋体" w:eastAsia="宋体" w:cs="Times New Roman"/>
          <w:b/>
          <w:color w:val="000000" w:themeColor="text1"/>
          <w:sz w:val="32"/>
          <w:szCs w:val="32"/>
          <w:highlight w:val="none"/>
          <w:u w:val="single"/>
          <w:lang w:val="en-US" w:eastAsia="zh-CN"/>
          <w14:textFill>
            <w14:solidFill>
              <w14:schemeClr w14:val="tx1"/>
            </w14:solidFill>
          </w14:textFill>
        </w:rPr>
        <w:t>2分标：</w:t>
      </w:r>
    </w:p>
    <w:tbl>
      <w:tblPr>
        <w:tblStyle w:val="50"/>
        <w:tblpPr w:leftFromText="180" w:rightFromText="180" w:vertAnchor="text" w:horzAnchor="page" w:tblpX="1456" w:tblpY="714"/>
        <w:tblOverlap w:val="never"/>
        <w:tblW w:w="906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1"/>
        <w:gridCol w:w="753"/>
        <w:gridCol w:w="756"/>
        <w:gridCol w:w="1056"/>
        <w:gridCol w:w="5971"/>
      </w:tblGrid>
      <w:tr w14:paraId="01739E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6" w:hRule="atLeast"/>
        </w:trPr>
        <w:tc>
          <w:tcPr>
            <w:tcW w:w="9067" w:type="dxa"/>
            <w:gridSpan w:val="5"/>
            <w:noWrap w:val="0"/>
            <w:vAlign w:val="center"/>
          </w:tcPr>
          <w:p w14:paraId="3771D6CF">
            <w:pPr>
              <w:tabs>
                <w:tab w:val="left" w:pos="180"/>
                <w:tab w:val="left" w:pos="1620"/>
              </w:tabs>
              <w:spacing w:line="360" w:lineRule="auto"/>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一、技术要求</w:t>
            </w:r>
          </w:p>
        </w:tc>
      </w:tr>
      <w:tr w14:paraId="4CF8EA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4" w:hRule="atLeast"/>
        </w:trPr>
        <w:tc>
          <w:tcPr>
            <w:tcW w:w="531" w:type="dxa"/>
            <w:noWrap w:val="0"/>
            <w:vAlign w:val="center"/>
          </w:tcPr>
          <w:p w14:paraId="7F8DA81E">
            <w:pPr>
              <w:tabs>
                <w:tab w:val="left" w:pos="180"/>
                <w:tab w:val="left" w:pos="1620"/>
              </w:tabs>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753" w:type="dxa"/>
            <w:noWrap w:val="0"/>
            <w:vAlign w:val="center"/>
          </w:tcPr>
          <w:p w14:paraId="1B7D671E">
            <w:pPr>
              <w:tabs>
                <w:tab w:val="left" w:pos="180"/>
                <w:tab w:val="left" w:pos="1620"/>
              </w:tabs>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标的的名称</w:t>
            </w:r>
          </w:p>
        </w:tc>
        <w:tc>
          <w:tcPr>
            <w:tcW w:w="756" w:type="dxa"/>
            <w:noWrap w:val="0"/>
          </w:tcPr>
          <w:p w14:paraId="5F650827">
            <w:pPr>
              <w:tabs>
                <w:tab w:val="left" w:pos="180"/>
                <w:tab w:val="left" w:pos="1620"/>
              </w:tabs>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数量及</w:t>
            </w:r>
          </w:p>
          <w:p w14:paraId="3D2D841F">
            <w:pPr>
              <w:tabs>
                <w:tab w:val="left" w:pos="180"/>
                <w:tab w:val="left" w:pos="1620"/>
              </w:tabs>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单位</w:t>
            </w:r>
          </w:p>
        </w:tc>
        <w:tc>
          <w:tcPr>
            <w:tcW w:w="1056" w:type="dxa"/>
            <w:noWrap w:val="0"/>
            <w:vAlign w:val="center"/>
          </w:tcPr>
          <w:p w14:paraId="5862F96B">
            <w:pPr>
              <w:tabs>
                <w:tab w:val="left" w:pos="180"/>
                <w:tab w:val="left" w:pos="1620"/>
              </w:tabs>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总价</w:t>
            </w:r>
            <w:r>
              <w:rPr>
                <w:rFonts w:hint="eastAsia" w:ascii="宋体" w:hAnsi="宋体" w:eastAsia="宋体" w:cs="宋体"/>
                <w:color w:val="000000" w:themeColor="text1"/>
                <w:sz w:val="21"/>
                <w:szCs w:val="21"/>
                <w:highlight w:val="none"/>
                <w14:textFill>
                  <w14:solidFill>
                    <w14:schemeClr w14:val="tx1"/>
                  </w14:solidFill>
                </w14:textFill>
              </w:rPr>
              <w:t>最高限价（</w:t>
            </w:r>
            <w:r>
              <w:rPr>
                <w:rFonts w:hint="eastAsia" w:ascii="宋体" w:hAnsi="宋体" w:cs="宋体"/>
                <w:color w:val="000000" w:themeColor="text1"/>
                <w:sz w:val="21"/>
                <w:szCs w:val="21"/>
                <w:highlight w:val="none"/>
                <w:lang w:val="en-US" w:eastAsia="zh-CN"/>
                <w14:textFill>
                  <w14:solidFill>
                    <w14:schemeClr w14:val="tx1"/>
                  </w14:solidFill>
                </w14:textFill>
              </w:rPr>
              <w:t>万</w:t>
            </w:r>
            <w:r>
              <w:rPr>
                <w:rFonts w:hint="eastAsia" w:ascii="宋体" w:hAnsi="宋体" w:eastAsia="宋体" w:cs="宋体"/>
                <w:color w:val="000000" w:themeColor="text1"/>
                <w:sz w:val="21"/>
                <w:szCs w:val="21"/>
                <w:highlight w:val="none"/>
                <w14:textFill>
                  <w14:solidFill>
                    <w14:schemeClr w14:val="tx1"/>
                  </w14:solidFill>
                </w14:textFill>
              </w:rPr>
              <w:t>元）</w:t>
            </w:r>
          </w:p>
        </w:tc>
        <w:tc>
          <w:tcPr>
            <w:tcW w:w="5971" w:type="dxa"/>
            <w:noWrap w:val="0"/>
            <w:vAlign w:val="center"/>
          </w:tcPr>
          <w:p w14:paraId="14973DF4">
            <w:pPr>
              <w:tabs>
                <w:tab w:val="left" w:pos="180"/>
                <w:tab w:val="left" w:pos="1620"/>
              </w:tabs>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技术要求</w:t>
            </w:r>
          </w:p>
        </w:tc>
      </w:tr>
      <w:tr w14:paraId="51E923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5" w:hRule="atLeast"/>
        </w:trPr>
        <w:tc>
          <w:tcPr>
            <w:tcW w:w="531" w:type="dxa"/>
            <w:noWrap w:val="0"/>
            <w:vAlign w:val="center"/>
          </w:tcPr>
          <w:p w14:paraId="06807220">
            <w:pPr>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w:t>
            </w:r>
          </w:p>
        </w:tc>
        <w:tc>
          <w:tcPr>
            <w:tcW w:w="753" w:type="dxa"/>
            <w:noWrap w:val="0"/>
            <w:vAlign w:val="center"/>
          </w:tcPr>
          <w:p w14:paraId="41384684">
            <w:pPr>
              <w:keepNext w:val="0"/>
              <w:keepLines w:val="0"/>
              <w:widowControl/>
              <w:suppressLineNumbers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olor w:val="000000" w:themeColor="text1"/>
                <w:sz w:val="21"/>
                <w:szCs w:val="21"/>
                <w:highlight w:val="none"/>
                <w:u w:val="none"/>
                <w:lang w:val="en-US" w:eastAsia="zh-CN" w:bidi="ar"/>
                <w14:textFill>
                  <w14:solidFill>
                    <w14:schemeClr w14:val="tx1"/>
                  </w14:solidFill>
                </w14:textFill>
              </w:rPr>
              <w:t>处方调配膏药机</w:t>
            </w:r>
          </w:p>
        </w:tc>
        <w:tc>
          <w:tcPr>
            <w:tcW w:w="756" w:type="dxa"/>
            <w:noWrap w:val="0"/>
            <w:vAlign w:val="center"/>
          </w:tcPr>
          <w:p w14:paraId="1165525B">
            <w:pPr>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w:t>
            </w:r>
            <w:r>
              <w:rPr>
                <w:rFonts w:hint="eastAsia" w:ascii="宋体" w:hAnsi="宋体" w:cs="宋体"/>
                <w:color w:val="000000" w:themeColor="text1"/>
                <w:sz w:val="21"/>
                <w:szCs w:val="21"/>
                <w:highlight w:val="none"/>
                <w:vertAlign w:val="baseline"/>
                <w:lang w:val="en-US" w:eastAsia="zh-CN"/>
                <w14:textFill>
                  <w14:solidFill>
                    <w14:schemeClr w14:val="tx1"/>
                  </w14:solidFill>
                </w14:textFill>
              </w:rPr>
              <w:t>台</w:t>
            </w:r>
          </w:p>
        </w:tc>
        <w:tc>
          <w:tcPr>
            <w:tcW w:w="1056" w:type="dxa"/>
            <w:noWrap w:val="0"/>
            <w:vAlign w:val="center"/>
          </w:tcPr>
          <w:p w14:paraId="0E404E9C">
            <w:pPr>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5</w:t>
            </w:r>
          </w:p>
        </w:tc>
        <w:tc>
          <w:tcPr>
            <w:tcW w:w="5971" w:type="dxa"/>
            <w:noWrap w:val="0"/>
          </w:tcPr>
          <w:p w14:paraId="667F1F39">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1.可完成圆形、正方形的膏药贴制作，其他特殊形状支持定制模型；</w:t>
            </w:r>
          </w:p>
          <w:p w14:paraId="49BFE71D">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2.温度调整范围：≤200℃，可恒温控制，底部搅拌，密封压力滴注；</w:t>
            </w:r>
          </w:p>
          <w:p w14:paraId="7D162751">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3.膏药重量控制范围</w:t>
            </w:r>
            <w:r>
              <w:rPr>
                <w:rFonts w:hint="eastAsia" w:ascii="宋体" w:hAnsi="宋体" w:cs="宋体"/>
                <w:color w:val="000000" w:themeColor="text1"/>
                <w:sz w:val="21"/>
                <w:szCs w:val="21"/>
                <w:highlight w:val="none"/>
                <w:lang w:val="en-US" w:eastAsia="zh-CN"/>
                <w14:textFill>
                  <w14:solidFill>
                    <w14:schemeClr w14:val="tx1"/>
                  </w14:solidFill>
                </w14:textFill>
              </w:rPr>
              <w:t>能达到</w:t>
            </w:r>
            <w:r>
              <w:rPr>
                <w:rFonts w:hint="eastAsia" w:ascii="宋体" w:hAnsi="宋体" w:eastAsia="宋体" w:cs="宋体"/>
                <w:color w:val="000000" w:themeColor="text1"/>
                <w:sz w:val="21"/>
                <w:szCs w:val="21"/>
                <w:highlight w:val="none"/>
                <w:lang w:eastAsia="zh-CN"/>
                <w14:textFill>
                  <w14:solidFill>
                    <w14:schemeClr w14:val="tx1"/>
                  </w14:solidFill>
                </w14:textFill>
              </w:rPr>
              <w:t>：1克-20克，设定参数后，控制按钮单次重复定量滴注相应重量膏药；</w:t>
            </w:r>
          </w:p>
          <w:p w14:paraId="18B8D6E9">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4.可切换手动和自动膏药制作功能，自动制作具备自动推拉压膜成型功能；</w:t>
            </w:r>
          </w:p>
          <w:p w14:paraId="1B16B8A7">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5.膏药尺寸制作范围</w:t>
            </w:r>
            <w:r>
              <w:rPr>
                <w:rFonts w:hint="eastAsia" w:ascii="宋体" w:hAnsi="宋体" w:cs="宋体"/>
                <w:color w:val="000000" w:themeColor="text1"/>
                <w:sz w:val="21"/>
                <w:szCs w:val="21"/>
                <w:highlight w:val="none"/>
                <w:lang w:val="en-US" w:eastAsia="zh-CN"/>
                <w14:textFill>
                  <w14:solidFill>
                    <w14:schemeClr w14:val="tx1"/>
                  </w14:solidFill>
                </w14:textFill>
              </w:rPr>
              <w:t>能达到</w:t>
            </w:r>
            <w:r>
              <w:rPr>
                <w:rFonts w:hint="eastAsia" w:ascii="宋体" w:hAnsi="宋体" w:eastAsia="宋体" w:cs="宋体"/>
                <w:color w:val="000000" w:themeColor="text1"/>
                <w:sz w:val="21"/>
                <w:szCs w:val="21"/>
                <w:highlight w:val="none"/>
                <w:lang w:eastAsia="zh-CN"/>
                <w14:textFill>
                  <w14:solidFill>
                    <w14:schemeClr w14:val="tx1"/>
                  </w14:solidFill>
                </w14:textFill>
              </w:rPr>
              <w:t>：按膏芯尺寸，圆形膏芯直径5厘米-18厘米，正方形膏芯边长5厘米×5厘米-12厘米×12厘米；</w:t>
            </w:r>
          </w:p>
          <w:p w14:paraId="5A52CDD9">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6.处方调配膏药种类：黄丹基质膏药、松香膏药、热熔胶膏药；</w:t>
            </w:r>
          </w:p>
          <w:p w14:paraId="0BFB250C">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7.膏药厚薄调制范围</w:t>
            </w:r>
            <w:r>
              <w:rPr>
                <w:rFonts w:hint="eastAsia" w:ascii="宋体" w:hAnsi="宋体" w:cs="宋体"/>
                <w:color w:val="000000" w:themeColor="text1"/>
                <w:sz w:val="21"/>
                <w:szCs w:val="21"/>
                <w:highlight w:val="none"/>
                <w:lang w:val="en-US" w:eastAsia="zh-CN"/>
                <w14:textFill>
                  <w14:solidFill>
                    <w14:schemeClr w14:val="tx1"/>
                  </w14:solidFill>
                </w14:textFill>
              </w:rPr>
              <w:t>能达到</w:t>
            </w:r>
            <w:r>
              <w:rPr>
                <w:rFonts w:hint="eastAsia" w:ascii="宋体" w:hAnsi="宋体" w:eastAsia="宋体" w:cs="宋体"/>
                <w:color w:val="000000" w:themeColor="text1"/>
                <w:sz w:val="21"/>
                <w:szCs w:val="21"/>
                <w:highlight w:val="none"/>
                <w:lang w:eastAsia="zh-CN"/>
                <w14:textFill>
                  <w14:solidFill>
                    <w14:schemeClr w14:val="tx1"/>
                  </w14:solidFill>
                </w14:textFill>
              </w:rPr>
              <w:t>：0.8毫米-3毫米；</w:t>
            </w:r>
          </w:p>
          <w:p w14:paraId="10083F43">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8.单次膏药调配重量可少至200克；</w:t>
            </w:r>
          </w:p>
          <w:p w14:paraId="4AC06392">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9.可用于小批量成型多种膏药，成型速度可达至少能达到200帖每小时；</w:t>
            </w:r>
          </w:p>
          <w:p w14:paraId="20973AD1">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10.转速</w:t>
            </w:r>
            <w:r>
              <w:rPr>
                <w:rFonts w:hint="eastAsia" w:ascii="宋体" w:hAnsi="宋体" w:cs="宋体"/>
                <w:color w:val="000000" w:themeColor="text1"/>
                <w:sz w:val="21"/>
                <w:szCs w:val="21"/>
                <w:highlight w:val="none"/>
                <w:lang w:val="en-US" w:eastAsia="zh-CN"/>
                <w14:textFill>
                  <w14:solidFill>
                    <w14:schemeClr w14:val="tx1"/>
                  </w14:solidFill>
                </w14:textFill>
              </w:rPr>
              <w:t>能达到</w:t>
            </w:r>
            <w:r>
              <w:rPr>
                <w:rFonts w:hint="eastAsia" w:ascii="宋体" w:hAnsi="宋体" w:eastAsia="宋体" w:cs="宋体"/>
                <w:color w:val="000000" w:themeColor="text1"/>
                <w:sz w:val="21"/>
                <w:szCs w:val="21"/>
                <w:highlight w:val="none"/>
                <w:lang w:eastAsia="zh-CN"/>
                <w14:textFill>
                  <w14:solidFill>
                    <w14:schemeClr w14:val="tx1"/>
                  </w14:solidFill>
                </w14:textFill>
              </w:rPr>
              <w:t>：0-60转/分。</w:t>
            </w:r>
          </w:p>
        </w:tc>
      </w:tr>
      <w:tr w14:paraId="030C69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1" w:type="dxa"/>
            <w:noWrap w:val="0"/>
            <w:vAlign w:val="center"/>
          </w:tcPr>
          <w:p w14:paraId="23AF57CC">
            <w:pPr>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2</w:t>
            </w:r>
          </w:p>
        </w:tc>
        <w:tc>
          <w:tcPr>
            <w:tcW w:w="753" w:type="dxa"/>
            <w:noWrap w:val="0"/>
            <w:vAlign w:val="center"/>
          </w:tcPr>
          <w:p w14:paraId="49E04B29">
            <w:pPr>
              <w:keepNext w:val="0"/>
              <w:keepLines w:val="0"/>
              <w:widowControl/>
              <w:suppressLineNumbers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olor w:val="000000" w:themeColor="text1"/>
                <w:sz w:val="21"/>
                <w:szCs w:val="21"/>
                <w:highlight w:val="none"/>
                <w:u w:val="none"/>
                <w:lang w:val="en-US" w:eastAsia="zh-CN" w:bidi="ar"/>
                <w14:textFill>
                  <w14:solidFill>
                    <w14:schemeClr w14:val="tx1"/>
                  </w14:solidFill>
                </w14:textFill>
              </w:rPr>
              <w:t>关节镜</w:t>
            </w:r>
            <w:r>
              <w:rPr>
                <w:rFonts w:hint="eastAsia" w:ascii="宋体" w:hAnsi="宋体" w:cs="宋体"/>
                <w:b w:val="0"/>
                <w:bCs w:val="0"/>
                <w:i w:val="0"/>
                <w:iCs w:val="0"/>
                <w:color w:val="000000" w:themeColor="text1"/>
                <w:sz w:val="21"/>
                <w:szCs w:val="21"/>
                <w:highlight w:val="none"/>
                <w:u w:val="none"/>
                <w:lang w:val="en-US" w:eastAsia="zh-CN" w:bidi="ar"/>
                <w14:textFill>
                  <w14:solidFill>
                    <w14:schemeClr w14:val="tx1"/>
                  </w14:solidFill>
                </w14:textFill>
              </w:rPr>
              <w:t>系统</w:t>
            </w:r>
          </w:p>
        </w:tc>
        <w:tc>
          <w:tcPr>
            <w:tcW w:w="756" w:type="dxa"/>
            <w:noWrap w:val="0"/>
            <w:vAlign w:val="center"/>
          </w:tcPr>
          <w:p w14:paraId="293FE993">
            <w:pPr>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w:t>
            </w:r>
            <w:r>
              <w:rPr>
                <w:rFonts w:hint="eastAsia" w:ascii="宋体" w:hAnsi="宋体" w:cs="宋体"/>
                <w:color w:val="000000" w:themeColor="text1"/>
                <w:sz w:val="21"/>
                <w:szCs w:val="21"/>
                <w:highlight w:val="none"/>
                <w:vertAlign w:val="baseline"/>
                <w:lang w:val="en-US" w:eastAsia="zh-CN"/>
                <w14:textFill>
                  <w14:solidFill>
                    <w14:schemeClr w14:val="tx1"/>
                  </w14:solidFill>
                </w14:textFill>
              </w:rPr>
              <w:t>套</w:t>
            </w:r>
          </w:p>
        </w:tc>
        <w:tc>
          <w:tcPr>
            <w:tcW w:w="1056" w:type="dxa"/>
            <w:noWrap w:val="0"/>
            <w:vAlign w:val="center"/>
          </w:tcPr>
          <w:p w14:paraId="6492C703">
            <w:pPr>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91.5</w:t>
            </w:r>
          </w:p>
        </w:tc>
        <w:tc>
          <w:tcPr>
            <w:tcW w:w="5971" w:type="dxa"/>
            <w:noWrap w:val="0"/>
          </w:tcPr>
          <w:p w14:paraId="2840E8A1">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1.摄像主机1套</w:t>
            </w:r>
          </w:p>
          <w:p w14:paraId="7907FDAB">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1.1 集摄像系统、LED光源系统、图像录制存储系统三位一体；</w:t>
            </w:r>
          </w:p>
          <w:p w14:paraId="29302F29">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1.2图像输出分辨率≥3840x2160，逐行扫描；</w:t>
            </w:r>
          </w:p>
          <w:p w14:paraId="674C504A">
            <w:pPr>
              <w:keepNext w:val="0"/>
              <w:keepLines w:val="0"/>
              <w:pageBreakBefore w:val="0"/>
              <w:widowControl w:val="0"/>
              <w:bidi w:val="0"/>
              <w:spacing w:line="440" w:lineRule="exact"/>
              <w:jc w:val="left"/>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w:t>
            </w:r>
            <w:r>
              <w:rPr>
                <w:rFonts w:hint="eastAsia" w:ascii="宋体" w:hAnsi="宋体" w:eastAsia="宋体" w:cs="宋体"/>
                <w:b/>
                <w:bCs/>
                <w:color w:val="000000" w:themeColor="text1"/>
                <w:sz w:val="21"/>
                <w:szCs w:val="21"/>
                <w:highlight w:val="none"/>
                <w:lang w:eastAsia="zh-CN"/>
                <w14:textFill>
                  <w14:solidFill>
                    <w14:schemeClr w14:val="tx1"/>
                  </w14:solidFill>
                </w14:textFill>
              </w:rPr>
              <w:t>1.3 ≥3个HDMI输出接口，用于扩展监视器的连接，要求能实现4K影像的二次输出 ；</w:t>
            </w:r>
          </w:p>
          <w:p w14:paraId="63F11ACC">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1.4 具有≥1个HDMI、≥1个DVI输出接口，可扩展至任意主流输出模式实现影像二次传输；</w:t>
            </w:r>
          </w:p>
          <w:p w14:paraId="7C35237F">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1.5 ≥5种专业手术场景，</w:t>
            </w:r>
            <w:r>
              <w:rPr>
                <w:rFonts w:hint="eastAsia" w:ascii="宋体" w:hAnsi="宋体" w:cs="宋体"/>
                <w:color w:val="000000" w:themeColor="text1"/>
                <w:sz w:val="21"/>
                <w:szCs w:val="21"/>
                <w:highlight w:val="none"/>
                <w:lang w:val="en-US" w:eastAsia="zh-CN"/>
                <w14:textFill>
                  <w14:solidFill>
                    <w14:schemeClr w14:val="tx1"/>
                  </w14:solidFill>
                </w14:textFill>
              </w:rPr>
              <w:t>要求能</w:t>
            </w:r>
            <w:r>
              <w:rPr>
                <w:rFonts w:hint="eastAsia" w:ascii="宋体" w:hAnsi="宋体" w:eastAsia="宋体" w:cs="宋体"/>
                <w:color w:val="000000" w:themeColor="text1"/>
                <w:sz w:val="21"/>
                <w:szCs w:val="21"/>
                <w:highlight w:val="none"/>
                <w:lang w:eastAsia="zh-CN"/>
                <w14:textFill>
                  <w14:solidFill>
                    <w14:schemeClr w14:val="tx1"/>
                  </w14:solidFill>
                </w14:textFill>
              </w:rPr>
              <w:t>根据不同手术及镜头预设，保证视频还原；</w:t>
            </w:r>
          </w:p>
          <w:p w14:paraId="47361D0D">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1.6 多种操控模式：主机按键、摄像头手柄按键、红外遥控器；</w:t>
            </w:r>
          </w:p>
          <w:p w14:paraId="16AB5057">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1.7 一键自动白平衡，自动背光补偿功能；</w:t>
            </w:r>
          </w:p>
          <w:p w14:paraId="23280E4C">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1.8 主机≥1个USB 2.0 接口，支持图像和视频自动USB存储；</w:t>
            </w:r>
          </w:p>
          <w:p w14:paraId="356B6731">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1.9 电子放大要求能</w:t>
            </w:r>
            <w:r>
              <w:rPr>
                <w:rFonts w:hint="eastAsia" w:ascii="宋体" w:hAnsi="宋体" w:cs="宋体"/>
                <w:color w:val="000000" w:themeColor="text1"/>
                <w:sz w:val="21"/>
                <w:szCs w:val="21"/>
                <w:highlight w:val="none"/>
                <w:lang w:val="en-US" w:eastAsia="zh-CN"/>
                <w14:textFill>
                  <w14:solidFill>
                    <w14:schemeClr w14:val="tx1"/>
                  </w14:solidFill>
                </w14:textFill>
              </w:rPr>
              <w:t>达到</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3倍；</w:t>
            </w:r>
          </w:p>
          <w:p w14:paraId="25CD42BF">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▲1.10内窥镜摄像系统和内窥镜刨削系统和等离子手术设备要求为同一品牌，统一售后服务标准；</w:t>
            </w:r>
          </w:p>
          <w:p w14:paraId="0D5706B2">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1.11内窥镜摄像系统使用年限≥10年；</w:t>
            </w:r>
          </w:p>
          <w:p w14:paraId="490E5FEB">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2.摄像头1个</w:t>
            </w:r>
          </w:p>
          <w:p w14:paraId="32A255AB">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2.1  逐行扫描8M PIX CMOS传感器；</w:t>
            </w:r>
          </w:p>
          <w:p w14:paraId="768910C9">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2.2 传感器总像素≥3840(H)x2160(V)；</w:t>
            </w:r>
          </w:p>
          <w:p w14:paraId="22CF73E3">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2.3 自动电子快门；</w:t>
            </w:r>
          </w:p>
          <w:p w14:paraId="5B4A645D">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2.4 摄像头≥4个遥控按键可实现包括白平衡、放大/缩小、冻结功能按键 ；</w:t>
            </w:r>
          </w:p>
          <w:p w14:paraId="386BC87F">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2.5 防水等级IPX≥7；</w:t>
            </w:r>
          </w:p>
          <w:p w14:paraId="57FC2CD0">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2.6 支持低温等离子消毒、环氧乙烷消毒；</w:t>
            </w:r>
          </w:p>
          <w:p w14:paraId="46A204F5">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3.LED冷光源</w:t>
            </w:r>
          </w:p>
          <w:p w14:paraId="413121BD">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3.1 LED冷光源，功率≥30W；</w:t>
            </w:r>
          </w:p>
          <w:p w14:paraId="113A03E2">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3.2 光源显色指数≥90；</w:t>
            </w:r>
          </w:p>
          <w:p w14:paraId="6F843A14">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3.3 色温介于5000-7000K</w:t>
            </w:r>
            <w:r>
              <w:rPr>
                <w:rFonts w:hint="eastAsia" w:ascii="宋体" w:hAnsi="宋体" w:cs="宋体"/>
                <w:color w:val="000000" w:themeColor="text1"/>
                <w:sz w:val="21"/>
                <w:szCs w:val="21"/>
                <w:highlight w:val="none"/>
                <w:lang w:eastAsia="zh-CN"/>
                <w14:textFill>
                  <w14:solidFill>
                    <w14:schemeClr w14:val="tx1"/>
                  </w14:solidFill>
                </w14:textFill>
              </w:rPr>
              <w:t>；</w:t>
            </w:r>
          </w:p>
          <w:p w14:paraId="0B374ACA">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3.4 光源照度≥750000 lx；</w:t>
            </w:r>
          </w:p>
          <w:p w14:paraId="336C72AA">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3.5 连续无级可调光源亮度，0%-100%旋转按钮调节；</w:t>
            </w:r>
          </w:p>
          <w:p w14:paraId="247F2B20">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3.6 导光束支持高温高压消毒、环氧乙烷消毒、低温等离子消毒；</w:t>
            </w:r>
          </w:p>
          <w:p w14:paraId="0F9D66A2">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4.关节内窥镜1套</w:t>
            </w:r>
          </w:p>
          <w:p w14:paraId="41602E50">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4.1 高清关节镜，支持高温高压灭菌；</w:t>
            </w:r>
          </w:p>
          <w:p w14:paraId="13B79DBD">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4.2 工作直径</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4.0mm工作长度</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175mm，视向角</w:t>
            </w:r>
            <w:r>
              <w:rPr>
                <w:rFonts w:hint="eastAsia" w:ascii="宋体" w:hAnsi="宋体" w:cs="宋体"/>
                <w:color w:val="000000" w:themeColor="text1"/>
                <w:sz w:val="21"/>
                <w:szCs w:val="21"/>
                <w:highlight w:val="none"/>
                <w:lang w:val="en-US" w:eastAsia="zh-CN"/>
                <w14:textFill>
                  <w14:solidFill>
                    <w14:schemeClr w14:val="tx1"/>
                  </w14:solidFill>
                </w14:textFill>
              </w:rPr>
              <w:t>能达到</w:t>
            </w:r>
            <w:r>
              <w:rPr>
                <w:rFonts w:hint="eastAsia" w:ascii="宋体" w:hAnsi="宋体" w:eastAsia="宋体" w:cs="宋体"/>
                <w:color w:val="000000" w:themeColor="text1"/>
                <w:sz w:val="21"/>
                <w:szCs w:val="21"/>
                <w:highlight w:val="none"/>
                <w:lang w:eastAsia="zh-CN"/>
                <w14:textFill>
                  <w14:solidFill>
                    <w14:schemeClr w14:val="tx1"/>
                  </w14:solidFill>
                </w14:textFill>
              </w:rPr>
              <w:t>30°；</w:t>
            </w:r>
          </w:p>
          <w:p w14:paraId="6CC5553B">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4.3</w:t>
            </w:r>
            <w:r>
              <w:rPr>
                <w:rFonts w:hint="eastAsia" w:ascii="宋体" w:hAnsi="宋体" w:cs="宋体"/>
                <w:color w:val="000000" w:themeColor="text1"/>
                <w:sz w:val="21"/>
                <w:szCs w:val="21"/>
                <w:highlight w:val="none"/>
                <w:lang w:val="en-US" w:eastAsia="zh-CN"/>
                <w14:textFill>
                  <w14:solidFill>
                    <w14:schemeClr w14:val="tx1"/>
                  </w14:solidFill>
                </w14:textFill>
              </w:rPr>
              <w:t>要求</w:t>
            </w:r>
            <w:r>
              <w:rPr>
                <w:rFonts w:hint="eastAsia" w:ascii="宋体" w:hAnsi="宋体" w:eastAsia="宋体" w:cs="宋体"/>
                <w:color w:val="000000" w:themeColor="text1"/>
                <w:sz w:val="21"/>
                <w:szCs w:val="21"/>
                <w:highlight w:val="none"/>
                <w:lang w:eastAsia="zh-CN"/>
                <w14:textFill>
                  <w14:solidFill>
                    <w14:schemeClr w14:val="tx1"/>
                  </w14:solidFill>
                </w14:textFill>
              </w:rPr>
              <w:t>蓝宝石玻璃镜面，抗划痕、耐磨损；</w:t>
            </w:r>
          </w:p>
          <w:p w14:paraId="78EDBC7C">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4.4 配套快接双阀镜鞘一个，配套穿刺锥一个；</w:t>
            </w:r>
          </w:p>
          <w:p w14:paraId="77CD4EE5">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5.医用显示器1台</w:t>
            </w:r>
          </w:p>
          <w:p w14:paraId="3D96EBF0">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5.1物理分辨率≥3840x2160；</w:t>
            </w:r>
          </w:p>
          <w:p w14:paraId="3256EF14">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5.3 最高亮度≥700cd/㎡</w:t>
            </w:r>
          </w:p>
          <w:p w14:paraId="1B59E1FD">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 xml:space="preserve">5.4 输入接口：2*HDMI2.0 / DVI-D / DP / VGA / SDI； </w:t>
            </w:r>
          </w:p>
          <w:p w14:paraId="500F65A0">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5.5 输出接口：DVI-D / SDI；</w:t>
            </w:r>
          </w:p>
          <w:p w14:paraId="5825697D">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6.内窥镜刨削系统1套</w:t>
            </w:r>
          </w:p>
          <w:p w14:paraId="5A221138">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6.1系统架构内部采用模块化设计；</w:t>
            </w:r>
          </w:p>
          <w:p w14:paraId="40B3C2FF">
            <w:pPr>
              <w:keepNext w:val="0"/>
              <w:keepLines w:val="0"/>
              <w:pageBreakBefore w:val="0"/>
              <w:widowControl w:val="0"/>
              <w:bidi w:val="0"/>
              <w:spacing w:line="440" w:lineRule="exact"/>
              <w:jc w:val="left"/>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宋体" w:hAnsi="宋体" w:eastAsia="宋体" w:cs="宋体"/>
                <w:b/>
                <w:bCs/>
                <w:color w:val="000000" w:themeColor="text1"/>
                <w:sz w:val="21"/>
                <w:szCs w:val="21"/>
                <w:highlight w:val="none"/>
                <w:lang w:eastAsia="zh-CN"/>
                <w14:textFill>
                  <w14:solidFill>
                    <w14:schemeClr w14:val="tx1"/>
                  </w14:solidFill>
                </w14:textFill>
              </w:rPr>
              <w:t>6.2工作模式间歇加载，转速</w:t>
            </w:r>
            <w:r>
              <w:rPr>
                <w:rFonts w:hint="eastAsia" w:ascii="宋体" w:hAnsi="宋体" w:cs="宋体"/>
                <w:b/>
                <w:bCs/>
                <w:color w:val="000000" w:themeColor="text1"/>
                <w:sz w:val="21"/>
                <w:szCs w:val="21"/>
                <w:highlight w:val="none"/>
                <w:lang w:val="en-US" w:eastAsia="zh-CN"/>
                <w14:textFill>
                  <w14:solidFill>
                    <w14:schemeClr w14:val="tx1"/>
                  </w14:solidFill>
                </w14:textFill>
              </w:rPr>
              <w:t>能达到</w:t>
            </w:r>
            <w:r>
              <w:rPr>
                <w:rFonts w:hint="eastAsia" w:ascii="宋体" w:hAnsi="宋体" w:eastAsia="宋体" w:cs="宋体"/>
                <w:b/>
                <w:bCs/>
                <w:color w:val="000000" w:themeColor="text1"/>
                <w:sz w:val="21"/>
                <w:szCs w:val="21"/>
                <w:highlight w:val="none"/>
                <w:lang w:eastAsia="zh-CN"/>
                <w14:textFill>
                  <w14:solidFill>
                    <w14:schemeClr w14:val="tx1"/>
                  </w14:solidFill>
                </w14:textFill>
              </w:rPr>
              <w:t>500/800/1000/1200/1500/2000/2500/3000/4000/5000/6000/</w:t>
            </w:r>
          </w:p>
          <w:p w14:paraId="74D8DB14">
            <w:pPr>
              <w:keepNext w:val="0"/>
              <w:keepLines w:val="0"/>
              <w:pageBreakBefore w:val="0"/>
              <w:widowControl w:val="0"/>
              <w:bidi w:val="0"/>
              <w:spacing w:line="440" w:lineRule="exact"/>
              <w:jc w:val="left"/>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7000/8000/9000；</w:t>
            </w:r>
          </w:p>
          <w:p w14:paraId="0F15D10A">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6.3预置空载往复频率</w:t>
            </w:r>
            <w:r>
              <w:rPr>
                <w:rFonts w:hint="eastAsia" w:ascii="宋体" w:hAnsi="宋体" w:cs="宋体"/>
                <w:color w:val="000000" w:themeColor="text1"/>
                <w:sz w:val="21"/>
                <w:szCs w:val="21"/>
                <w:highlight w:val="none"/>
                <w:lang w:val="en-US" w:eastAsia="zh-CN"/>
                <w14:textFill>
                  <w14:solidFill>
                    <w14:schemeClr w14:val="tx1"/>
                  </w14:solidFill>
                </w14:textFill>
              </w:rPr>
              <w:t>能达到</w:t>
            </w:r>
            <w:r>
              <w:rPr>
                <w:rFonts w:hint="eastAsia" w:ascii="宋体" w:hAnsi="宋体" w:eastAsia="宋体" w:cs="宋体"/>
                <w:color w:val="000000" w:themeColor="text1"/>
                <w:sz w:val="21"/>
                <w:szCs w:val="21"/>
                <w:highlight w:val="none"/>
                <w:lang w:eastAsia="zh-CN"/>
                <w14:textFill>
                  <w14:solidFill>
                    <w14:schemeClr w14:val="tx1"/>
                  </w14:solidFill>
                </w14:textFill>
              </w:rPr>
              <w:t>500/800/1000/1200/1500/1800/2000/2500/3000rpm；</w:t>
            </w:r>
          </w:p>
          <w:p w14:paraId="34B192B7">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6.4输入信号调节LCD提示，触屏、按键、脚踏、手柄按键；</w:t>
            </w:r>
          </w:p>
          <w:p w14:paraId="031ABC7E">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6.5过载保护，在堵转或者超出额定扭矩的情况下停止输出，保护病人和主机；</w:t>
            </w:r>
          </w:p>
          <w:p w14:paraId="499597DD">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6.6进液的防护程度：内窥镜刨削主机≥IPX0、刨削手柄≥IPX7、脚踏开关≥IPX8；</w:t>
            </w:r>
          </w:p>
          <w:p w14:paraId="0096CEAC">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6.7运行模式分类：非连续性运行；</w:t>
            </w:r>
          </w:p>
          <w:p w14:paraId="41EA0741">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7.等离子手术主机1套</w:t>
            </w:r>
          </w:p>
          <w:p w14:paraId="783E88CF">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7.1等离子手术系统工作频率为100kHz±10%；</w:t>
            </w:r>
          </w:p>
          <w:p w14:paraId="181D7EA9">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7.2主机双极设计，</w:t>
            </w:r>
            <w:r>
              <w:rPr>
                <w:rFonts w:hint="eastAsia" w:ascii="宋体" w:hAnsi="宋体" w:cs="宋体"/>
                <w:color w:val="000000" w:themeColor="text1"/>
                <w:sz w:val="21"/>
                <w:szCs w:val="21"/>
                <w:highlight w:val="none"/>
                <w:lang w:val="en-US" w:eastAsia="zh-CN"/>
                <w14:textFill>
                  <w14:solidFill>
                    <w14:schemeClr w14:val="tx1"/>
                  </w14:solidFill>
                </w14:textFill>
              </w:rPr>
              <w:t>具备</w:t>
            </w:r>
            <w:r>
              <w:rPr>
                <w:rFonts w:hint="eastAsia" w:ascii="宋体" w:hAnsi="宋体" w:eastAsia="宋体" w:cs="宋体"/>
                <w:color w:val="000000" w:themeColor="text1"/>
                <w:sz w:val="21"/>
                <w:szCs w:val="21"/>
                <w:highlight w:val="none"/>
                <w:lang w:eastAsia="zh-CN"/>
                <w14:textFill>
                  <w14:solidFill>
                    <w14:schemeClr w14:val="tx1"/>
                  </w14:solidFill>
                </w14:textFill>
              </w:rPr>
              <w:t>实时切割、消融、凝血和热皱缩成形功能；</w:t>
            </w:r>
          </w:p>
          <w:p w14:paraId="7271DAD7">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7.3一机多用，配合不同耗材可以同时满足膝关节、肩关节、髋关节、小关节、关节软骨、 腱性疾病的手术需要；</w:t>
            </w:r>
          </w:p>
          <w:p w14:paraId="1EBFA2B3">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7.4主机具有关节镜保护功能，当等离子刀头接触金属时可自动暂停能量输出，具有保护主机和器械的功能；</w:t>
            </w:r>
          </w:p>
          <w:p w14:paraId="10EBBDF9">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7.5低温等离子消融，手术温度控制在40度～70度之间，</w:t>
            </w:r>
            <w:r>
              <w:rPr>
                <w:rFonts w:hint="eastAsia" w:ascii="宋体" w:hAnsi="宋体" w:cs="宋体"/>
                <w:color w:val="000000" w:themeColor="text1"/>
                <w:sz w:val="21"/>
                <w:szCs w:val="21"/>
                <w:highlight w:val="none"/>
                <w:lang w:val="en-US" w:eastAsia="zh-CN"/>
                <w14:textFill>
                  <w14:solidFill>
                    <w14:schemeClr w14:val="tx1"/>
                  </w14:solidFill>
                </w14:textFill>
              </w:rPr>
              <w:t>要求能</w:t>
            </w:r>
            <w:r>
              <w:rPr>
                <w:rFonts w:hint="eastAsia" w:ascii="宋体" w:hAnsi="宋体" w:eastAsia="宋体" w:cs="宋体"/>
                <w:color w:val="000000" w:themeColor="text1"/>
                <w:sz w:val="21"/>
                <w:szCs w:val="21"/>
                <w:highlight w:val="none"/>
                <w:lang w:eastAsia="zh-CN"/>
                <w14:textFill>
                  <w14:solidFill>
                    <w14:schemeClr w14:val="tx1"/>
                  </w14:solidFill>
                </w14:textFill>
              </w:rPr>
              <w:t>减少对周围和深层组织损伤；</w:t>
            </w:r>
          </w:p>
          <w:p w14:paraId="4A6DC67D">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7.6主机COAG（凝血）档位：0-2；主机ABLATE（消融）档位：0-9；</w:t>
            </w:r>
          </w:p>
          <w:p w14:paraId="09EEC3DA">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7.7主机输出功率-ABLATE：≤360W（负载225Ω）；COAG：≤42W（负载200Ω）；</w:t>
            </w:r>
          </w:p>
          <w:p w14:paraId="20A476F4">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7.8运行模式：非连续运行</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最长激励(开)时间：≤10s、最短非激励(关)时间：≤30s</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4E554142">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8复合超声关节炎治疗仪1台</w:t>
            </w:r>
          </w:p>
          <w:p w14:paraId="124E4BCA">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8.1</w:t>
            </w:r>
            <w:r>
              <w:rPr>
                <w:rFonts w:hint="eastAsia" w:ascii="宋体" w:hAnsi="宋体" w:cs="宋体"/>
                <w:color w:val="000000" w:themeColor="text1"/>
                <w:sz w:val="21"/>
                <w:szCs w:val="21"/>
                <w:highlight w:val="none"/>
                <w:lang w:val="en-US" w:eastAsia="zh-CN"/>
                <w14:textFill>
                  <w14:solidFill>
                    <w14:schemeClr w14:val="tx1"/>
                  </w14:solidFill>
                </w14:textFill>
              </w:rPr>
              <w:t>要求设备</w:t>
            </w:r>
            <w:r>
              <w:rPr>
                <w:rFonts w:hint="eastAsia" w:ascii="宋体" w:hAnsi="宋体" w:eastAsia="宋体" w:cs="宋体"/>
                <w:color w:val="000000" w:themeColor="text1"/>
                <w:sz w:val="21"/>
                <w:szCs w:val="21"/>
                <w:highlight w:val="none"/>
                <w:lang w:eastAsia="zh-CN"/>
                <w14:textFill>
                  <w14:solidFill>
                    <w14:schemeClr w14:val="tx1"/>
                  </w14:solidFill>
                </w14:textFill>
              </w:rPr>
              <w:t>采用聚焦超声和经皮神经电刺激技术用于骨性关节炎的辅助治疗；</w:t>
            </w:r>
          </w:p>
          <w:p w14:paraId="47E0B32D">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8.2</w:t>
            </w:r>
            <w:r>
              <w:rPr>
                <w:rFonts w:hint="eastAsia" w:ascii="宋体" w:hAnsi="宋体" w:eastAsia="宋体" w:cs="宋体"/>
                <w:b/>
                <w:bCs/>
                <w:color w:val="000000" w:themeColor="text1"/>
                <w:sz w:val="21"/>
                <w:szCs w:val="21"/>
                <w:highlight w:val="none"/>
                <w:lang w:eastAsia="zh-CN"/>
                <w14:textFill>
                  <w14:solidFill>
                    <w14:schemeClr w14:val="tx1"/>
                  </w14:solidFill>
                </w14:textFill>
              </w:rPr>
              <w:t>声电一体治疗头；</w:t>
            </w:r>
          </w:p>
          <w:p w14:paraId="45FD58DD">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8.3</w:t>
            </w:r>
            <w:r>
              <w:rPr>
                <w:rFonts w:hint="eastAsia" w:ascii="宋体" w:hAnsi="宋体" w:eastAsia="宋体" w:cs="宋体"/>
                <w:color w:val="000000" w:themeColor="text1"/>
                <w:sz w:val="21"/>
                <w:szCs w:val="21"/>
                <w:highlight w:val="none"/>
                <w:lang w:eastAsia="zh-CN"/>
                <w14:textFill>
                  <w14:solidFill>
                    <w14:schemeClr w14:val="tx1"/>
                  </w14:solidFill>
                </w14:textFill>
              </w:rPr>
              <w:t>超声换能器匹配层采用复合材料配方及工艺；</w:t>
            </w:r>
          </w:p>
          <w:p w14:paraId="700F9F72">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8.4</w:t>
            </w:r>
            <w:r>
              <w:rPr>
                <w:rFonts w:hint="eastAsia" w:ascii="宋体" w:hAnsi="宋体" w:eastAsia="宋体" w:cs="宋体"/>
                <w:color w:val="000000" w:themeColor="text1"/>
                <w:sz w:val="21"/>
                <w:szCs w:val="21"/>
                <w:highlight w:val="none"/>
                <w:lang w:eastAsia="zh-CN"/>
                <w14:textFill>
                  <w14:solidFill>
                    <w14:schemeClr w14:val="tx1"/>
                  </w14:solidFill>
                </w14:textFill>
              </w:rPr>
              <w:t>控制电路设计采用全周反馈压控技术，动态控制电路电压，实时跟踪反馈，聚焦超声核心参数ISATA输出偏差小于±5%；</w:t>
            </w:r>
          </w:p>
          <w:p w14:paraId="15D39E3E">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8.5</w:t>
            </w:r>
            <w:r>
              <w:rPr>
                <w:rFonts w:hint="eastAsia" w:ascii="宋体" w:hAnsi="宋体" w:cs="宋体"/>
                <w:color w:val="000000" w:themeColor="text1"/>
                <w:sz w:val="21"/>
                <w:szCs w:val="21"/>
                <w:highlight w:val="none"/>
                <w:lang w:val="en-US" w:eastAsia="zh-CN"/>
                <w14:textFill>
                  <w14:solidFill>
                    <w14:schemeClr w14:val="tx1"/>
                  </w14:solidFill>
                </w14:textFill>
              </w:rPr>
              <w:t>要求具备</w:t>
            </w:r>
            <w:r>
              <w:rPr>
                <w:rFonts w:hint="eastAsia" w:ascii="宋体" w:hAnsi="宋体" w:eastAsia="宋体" w:cs="宋体"/>
                <w:color w:val="000000" w:themeColor="text1"/>
                <w:sz w:val="21"/>
                <w:szCs w:val="21"/>
                <w:highlight w:val="none"/>
                <w:lang w:eastAsia="zh-CN"/>
                <w14:textFill>
                  <w14:solidFill>
                    <w14:schemeClr w14:val="tx1"/>
                  </w14:solidFill>
                </w14:textFill>
              </w:rPr>
              <w:t>低强度聚焦超声，</w:t>
            </w:r>
            <w:r>
              <w:rPr>
                <w:rFonts w:hint="eastAsia" w:ascii="宋体" w:hAnsi="宋体" w:cs="宋体"/>
                <w:color w:val="000000" w:themeColor="text1"/>
                <w:sz w:val="21"/>
                <w:szCs w:val="21"/>
                <w:highlight w:val="none"/>
                <w:lang w:val="en-US" w:eastAsia="zh-CN"/>
                <w14:textFill>
                  <w14:solidFill>
                    <w14:schemeClr w14:val="tx1"/>
                  </w14:solidFill>
                </w14:textFill>
              </w:rPr>
              <w:t>能</w:t>
            </w:r>
            <w:r>
              <w:rPr>
                <w:rFonts w:hint="eastAsia" w:ascii="宋体" w:hAnsi="宋体" w:eastAsia="宋体" w:cs="宋体"/>
                <w:color w:val="000000" w:themeColor="text1"/>
                <w:sz w:val="21"/>
                <w:szCs w:val="21"/>
                <w:highlight w:val="none"/>
                <w:lang w:eastAsia="zh-CN"/>
                <w14:textFill>
                  <w14:solidFill>
                    <w14:schemeClr w14:val="tx1"/>
                  </w14:solidFill>
                </w14:textFill>
              </w:rPr>
              <w:t>形成低强度聚焦超声波束；</w:t>
            </w:r>
          </w:p>
          <w:p w14:paraId="6A7BC8A1">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8.6</w:t>
            </w:r>
            <w:r>
              <w:rPr>
                <w:rFonts w:hint="eastAsia" w:ascii="宋体" w:hAnsi="宋体" w:eastAsia="宋体" w:cs="宋体"/>
                <w:color w:val="000000" w:themeColor="text1"/>
                <w:sz w:val="21"/>
                <w:szCs w:val="21"/>
                <w:highlight w:val="none"/>
                <w:lang w:eastAsia="zh-CN"/>
                <w14:textFill>
                  <w14:solidFill>
                    <w14:schemeClr w14:val="tx1"/>
                  </w14:solidFill>
                </w14:textFill>
              </w:rPr>
              <w:t>治疗头焦平面距离：≥20mm；</w:t>
            </w:r>
          </w:p>
          <w:p w14:paraId="65498954">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8.7</w:t>
            </w:r>
            <w:r>
              <w:rPr>
                <w:rFonts w:hint="eastAsia" w:ascii="宋体" w:hAnsi="宋体" w:eastAsia="宋体" w:cs="宋体"/>
                <w:color w:val="000000" w:themeColor="text1"/>
                <w:sz w:val="21"/>
                <w:szCs w:val="21"/>
                <w:highlight w:val="none"/>
                <w:lang w:eastAsia="zh-CN"/>
                <w14:textFill>
                  <w14:solidFill>
                    <w14:schemeClr w14:val="tx1"/>
                  </w14:solidFill>
                </w14:textFill>
              </w:rPr>
              <w:t>治疗头波束类型：会聚型；</w:t>
            </w:r>
          </w:p>
          <w:p w14:paraId="7399572E">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8.8</w:t>
            </w:r>
            <w:r>
              <w:rPr>
                <w:rFonts w:hint="eastAsia" w:ascii="宋体" w:hAnsi="宋体" w:eastAsia="宋体" w:cs="宋体"/>
                <w:color w:val="000000" w:themeColor="text1"/>
                <w:sz w:val="21"/>
                <w:szCs w:val="21"/>
                <w:highlight w:val="none"/>
                <w:lang w:eastAsia="zh-CN"/>
                <w14:textFill>
                  <w14:solidFill>
                    <w14:schemeClr w14:val="tx1"/>
                  </w14:solidFill>
                </w14:textFill>
              </w:rPr>
              <w:t>治疗头超温：≤40℃；</w:t>
            </w:r>
          </w:p>
          <w:p w14:paraId="21EFEC4C">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8.9</w:t>
            </w:r>
            <w:r>
              <w:rPr>
                <w:rFonts w:hint="eastAsia" w:ascii="宋体" w:hAnsi="宋体" w:eastAsia="宋体" w:cs="宋体"/>
                <w:color w:val="000000" w:themeColor="text1"/>
                <w:sz w:val="21"/>
                <w:szCs w:val="21"/>
                <w:highlight w:val="none"/>
                <w:lang w:eastAsia="zh-CN"/>
                <w14:textFill>
                  <w14:solidFill>
                    <w14:schemeClr w14:val="tx1"/>
                  </w14:solidFill>
                </w14:textFill>
              </w:rPr>
              <w:t>TENS：无极性双向不对称方形脉冲，变压器耦合技术输出；</w:t>
            </w:r>
          </w:p>
          <w:p w14:paraId="55173078">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8.10</w:t>
            </w:r>
            <w:r>
              <w:rPr>
                <w:rFonts w:hint="eastAsia" w:ascii="宋体" w:hAnsi="宋体" w:eastAsia="宋体" w:cs="宋体"/>
                <w:color w:val="000000" w:themeColor="text1"/>
                <w:sz w:val="21"/>
                <w:szCs w:val="21"/>
                <w:highlight w:val="none"/>
                <w:lang w:eastAsia="zh-CN"/>
                <w14:textFill>
                  <w14:solidFill>
                    <w14:schemeClr w14:val="tx1"/>
                  </w14:solidFill>
                </w14:textFill>
              </w:rPr>
              <w:t>脉冲宽度：200μs和300μs双脉宽，并可以切换；</w:t>
            </w:r>
          </w:p>
          <w:p w14:paraId="52FE442F">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8.11</w:t>
            </w:r>
            <w:r>
              <w:rPr>
                <w:rFonts w:hint="eastAsia" w:ascii="宋体" w:hAnsi="宋体" w:eastAsia="宋体" w:cs="宋体"/>
                <w:color w:val="000000" w:themeColor="text1"/>
                <w:sz w:val="21"/>
                <w:szCs w:val="21"/>
                <w:highlight w:val="none"/>
                <w:lang w:eastAsia="zh-CN"/>
                <w14:textFill>
                  <w14:solidFill>
                    <w14:schemeClr w14:val="tx1"/>
                  </w14:solidFill>
                </w14:textFill>
              </w:rPr>
              <w:t>脉冲频率：默认50Hz/100Hz交替疏密波，可设置为120Hz的连续波及150Hz的断续波，偏差值：±10%；输出电流：多档位调节；</w:t>
            </w:r>
          </w:p>
          <w:p w14:paraId="468652C5">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8.12</w:t>
            </w:r>
            <w:r>
              <w:rPr>
                <w:rFonts w:hint="eastAsia" w:ascii="宋体" w:hAnsi="宋体" w:eastAsia="宋体" w:cs="宋体"/>
                <w:color w:val="000000" w:themeColor="text1"/>
                <w:sz w:val="21"/>
                <w:szCs w:val="21"/>
                <w:highlight w:val="none"/>
                <w:lang w:eastAsia="zh-CN"/>
                <w14:textFill>
                  <w14:solidFill>
                    <w14:schemeClr w14:val="tx1"/>
                  </w14:solidFill>
                </w14:textFill>
              </w:rPr>
              <w:t>脉冲限流系统，最大输出电流不超过45mA；</w:t>
            </w:r>
          </w:p>
          <w:p w14:paraId="4E49F0E8">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8.13</w:t>
            </w:r>
            <w:r>
              <w:rPr>
                <w:rFonts w:hint="eastAsia" w:ascii="宋体" w:hAnsi="宋体" w:eastAsia="宋体" w:cs="宋体"/>
                <w:color w:val="000000" w:themeColor="text1"/>
                <w:sz w:val="21"/>
                <w:szCs w:val="21"/>
                <w:highlight w:val="none"/>
                <w:lang w:eastAsia="zh-CN"/>
                <w14:textFill>
                  <w14:solidFill>
                    <w14:schemeClr w14:val="tx1"/>
                  </w14:solidFill>
                </w14:textFill>
              </w:rPr>
              <w:t>彩色液晶显示屏，显示人机交互界面及设备运行参数；</w:t>
            </w:r>
          </w:p>
          <w:p w14:paraId="5A5943FA">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8.14</w:t>
            </w:r>
            <w:r>
              <w:rPr>
                <w:rFonts w:hint="eastAsia" w:ascii="宋体" w:hAnsi="宋体" w:eastAsia="宋体" w:cs="宋体"/>
                <w:color w:val="000000" w:themeColor="text1"/>
                <w:sz w:val="21"/>
                <w:szCs w:val="21"/>
                <w:highlight w:val="none"/>
                <w:lang w:eastAsia="zh-CN"/>
                <w14:textFill>
                  <w14:solidFill>
                    <w14:schemeClr w14:val="tx1"/>
                  </w14:solidFill>
                </w14:textFill>
              </w:rPr>
              <w:t>治疗时间：可调节；</w:t>
            </w:r>
          </w:p>
          <w:p w14:paraId="093E8332">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8.15</w:t>
            </w:r>
            <w:r>
              <w:rPr>
                <w:rFonts w:hint="eastAsia" w:ascii="宋体" w:hAnsi="宋体" w:eastAsia="宋体" w:cs="宋体"/>
                <w:color w:val="000000" w:themeColor="text1"/>
                <w:sz w:val="21"/>
                <w:szCs w:val="21"/>
                <w:highlight w:val="none"/>
                <w:lang w:eastAsia="zh-CN"/>
                <w14:textFill>
                  <w14:solidFill>
                    <w14:schemeClr w14:val="tx1"/>
                  </w14:solidFill>
                </w14:textFill>
              </w:rPr>
              <w:t>治疗部位可调，适用于骨性关节炎的辅助治疗；</w:t>
            </w:r>
          </w:p>
          <w:p w14:paraId="23D0B33A">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9图文工作站1台</w:t>
            </w:r>
          </w:p>
          <w:p w14:paraId="71B8A704">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9.1</w:t>
            </w:r>
            <w:r>
              <w:rPr>
                <w:rFonts w:hint="eastAsia" w:ascii="宋体" w:hAnsi="宋体" w:eastAsia="宋体" w:cs="宋体"/>
                <w:color w:val="000000" w:themeColor="text1"/>
                <w:sz w:val="21"/>
                <w:szCs w:val="21"/>
                <w:highlight w:val="none"/>
                <w:lang w:eastAsia="zh-CN"/>
                <w14:textFill>
                  <w14:solidFill>
                    <w14:schemeClr w14:val="tx1"/>
                  </w14:solidFill>
                </w14:textFill>
              </w:rPr>
              <w:t>主频:≥3.5Hz；</w:t>
            </w:r>
          </w:p>
          <w:p w14:paraId="56B68208">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9.2</w:t>
            </w:r>
            <w:r>
              <w:rPr>
                <w:rFonts w:hint="eastAsia" w:ascii="宋体" w:hAnsi="宋体" w:eastAsia="宋体" w:cs="宋体"/>
                <w:color w:val="000000" w:themeColor="text1"/>
                <w:sz w:val="21"/>
                <w:szCs w:val="21"/>
                <w:highlight w:val="none"/>
                <w:lang w:eastAsia="zh-CN"/>
                <w14:textFill>
                  <w14:solidFill>
                    <w14:schemeClr w14:val="tx1"/>
                  </w14:solidFill>
                </w14:textFill>
              </w:rPr>
              <w:t>硬盘容量：≥内置 1T 高速固态硬盘；</w:t>
            </w:r>
          </w:p>
          <w:p w14:paraId="656B972C">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9.3</w:t>
            </w:r>
            <w:r>
              <w:rPr>
                <w:rFonts w:hint="eastAsia" w:ascii="宋体" w:hAnsi="宋体" w:eastAsia="宋体" w:cs="宋体"/>
                <w:color w:val="000000" w:themeColor="text1"/>
                <w:sz w:val="21"/>
                <w:szCs w:val="21"/>
                <w:highlight w:val="none"/>
                <w:lang w:eastAsia="zh-CN"/>
                <w14:textFill>
                  <w14:solidFill>
                    <w14:schemeClr w14:val="tx1"/>
                  </w14:solidFill>
                </w14:textFill>
              </w:rPr>
              <w:t>U 盘容量:外接固态高速 U 盘≥128G；</w:t>
            </w:r>
          </w:p>
          <w:p w14:paraId="0FCFBBBE">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9.4</w:t>
            </w:r>
            <w:r>
              <w:rPr>
                <w:rFonts w:hint="eastAsia" w:ascii="宋体" w:hAnsi="宋体" w:eastAsia="宋体" w:cs="宋体"/>
                <w:color w:val="000000" w:themeColor="text1"/>
                <w:sz w:val="21"/>
                <w:szCs w:val="21"/>
                <w:highlight w:val="none"/>
                <w:lang w:eastAsia="zh-CN"/>
                <w14:textFill>
                  <w14:solidFill>
                    <w14:schemeClr w14:val="tx1"/>
                  </w14:solidFill>
                </w14:textFill>
              </w:rPr>
              <w:t>脚踏采图:可通过脚踏开关控制本刻录机录像和拍照；</w:t>
            </w:r>
          </w:p>
          <w:p w14:paraId="07D97565">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9.5</w:t>
            </w:r>
            <w:r>
              <w:rPr>
                <w:rFonts w:hint="eastAsia" w:ascii="宋体" w:hAnsi="宋体" w:eastAsia="宋体" w:cs="宋体"/>
                <w:color w:val="000000" w:themeColor="text1"/>
                <w:sz w:val="21"/>
                <w:szCs w:val="21"/>
                <w:highlight w:val="none"/>
                <w:lang w:eastAsia="zh-CN"/>
                <w14:textFill>
                  <w14:solidFill>
                    <w14:schemeClr w14:val="tx1"/>
                  </w14:solidFill>
                </w14:textFill>
              </w:rPr>
              <w:t>手术视频防丢失:</w:t>
            </w:r>
            <w:r>
              <w:rPr>
                <w:rFonts w:hint="eastAsia" w:ascii="宋体" w:hAnsi="宋体" w:eastAsia="宋体" w:cs="宋体"/>
                <w:color w:val="000000" w:themeColor="text1"/>
                <w:sz w:val="21"/>
                <w:szCs w:val="21"/>
                <w:highlight w:val="none"/>
                <w:lang w:eastAsia="zh-CN"/>
                <w14:textFill>
                  <w14:solidFill>
                    <w14:schemeClr w14:val="tx1"/>
                  </w14:solidFill>
                </w14:textFill>
              </w:rPr>
              <w:tab/>
            </w:r>
            <w:r>
              <w:rPr>
                <w:rFonts w:hint="eastAsia" w:ascii="宋体" w:hAnsi="宋体" w:eastAsia="宋体" w:cs="宋体"/>
                <w:color w:val="000000" w:themeColor="text1"/>
                <w:sz w:val="21"/>
                <w:szCs w:val="21"/>
                <w:highlight w:val="none"/>
                <w:lang w:eastAsia="zh-CN"/>
                <w14:textFill>
                  <w14:solidFill>
                    <w14:schemeClr w14:val="tx1"/>
                  </w14:solidFill>
                </w14:textFill>
              </w:rPr>
              <w:t>双路视频同时录制，一路录制到 U 盘，一路录制到内置硬盘；</w:t>
            </w:r>
          </w:p>
          <w:p w14:paraId="2AA2B944">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9.6</w:t>
            </w:r>
            <w:r>
              <w:rPr>
                <w:rFonts w:hint="eastAsia" w:ascii="宋体" w:hAnsi="宋体" w:eastAsia="宋体" w:cs="宋体"/>
                <w:color w:val="000000" w:themeColor="text1"/>
                <w:sz w:val="21"/>
                <w:szCs w:val="21"/>
                <w:highlight w:val="none"/>
                <w:lang w:eastAsia="zh-CN"/>
                <w14:textFill>
                  <w14:solidFill>
                    <w14:schemeClr w14:val="tx1"/>
                  </w14:solidFill>
                </w14:textFill>
              </w:rPr>
              <w:t>动态录制:采用多路异步线程实时技术，</w:t>
            </w:r>
            <w:r>
              <w:rPr>
                <w:rFonts w:hint="eastAsia" w:ascii="宋体" w:hAnsi="宋体" w:cs="宋体"/>
                <w:color w:val="000000" w:themeColor="text1"/>
                <w:sz w:val="21"/>
                <w:szCs w:val="21"/>
                <w:highlight w:val="none"/>
                <w:lang w:val="en-US" w:eastAsia="zh-CN"/>
                <w14:textFill>
                  <w14:solidFill>
                    <w14:schemeClr w14:val="tx1"/>
                  </w14:solidFill>
                </w14:textFill>
              </w:rPr>
              <w:t>要求</w:t>
            </w:r>
            <w:r>
              <w:rPr>
                <w:rFonts w:hint="eastAsia" w:ascii="宋体" w:hAnsi="宋体" w:eastAsia="宋体" w:cs="宋体"/>
                <w:color w:val="000000" w:themeColor="text1"/>
                <w:sz w:val="21"/>
                <w:szCs w:val="21"/>
                <w:highlight w:val="none"/>
                <w:lang w:eastAsia="zh-CN"/>
                <w14:textFill>
                  <w14:solidFill>
                    <w14:schemeClr w14:val="tx1"/>
                  </w14:solidFill>
                </w14:textFill>
              </w:rPr>
              <w:t>录像效果清晰细腻、</w:t>
            </w:r>
            <w:r>
              <w:rPr>
                <w:rFonts w:hint="eastAsia" w:ascii="宋体" w:hAnsi="宋体" w:cs="宋体"/>
                <w:color w:val="000000" w:themeColor="text1"/>
                <w:sz w:val="21"/>
                <w:szCs w:val="21"/>
                <w:highlight w:val="none"/>
                <w:lang w:val="en-US" w:eastAsia="zh-CN"/>
                <w14:textFill>
                  <w14:solidFill>
                    <w14:schemeClr w14:val="tx1"/>
                  </w14:solidFill>
                </w14:textFill>
              </w:rPr>
              <w:t>能与</w:t>
            </w:r>
            <w:r>
              <w:rPr>
                <w:rFonts w:hint="eastAsia" w:ascii="宋体" w:hAnsi="宋体" w:eastAsia="宋体" w:cs="宋体"/>
                <w:color w:val="000000" w:themeColor="text1"/>
                <w:sz w:val="21"/>
                <w:szCs w:val="21"/>
                <w:highlight w:val="none"/>
                <w:lang w:eastAsia="zh-CN"/>
                <w14:textFill>
                  <w14:solidFill>
                    <w14:schemeClr w14:val="tx1"/>
                  </w14:solidFill>
                </w14:textFill>
              </w:rPr>
              <w:t>原始画面接近，医生通过回看录像，</w:t>
            </w:r>
            <w:r>
              <w:rPr>
                <w:rFonts w:hint="eastAsia" w:ascii="宋体" w:hAnsi="宋体" w:cs="宋体"/>
                <w:color w:val="000000" w:themeColor="text1"/>
                <w:sz w:val="21"/>
                <w:szCs w:val="21"/>
                <w:highlight w:val="none"/>
                <w:lang w:eastAsia="zh-CN"/>
                <w14:textFill>
                  <w14:solidFill>
                    <w14:schemeClr w14:val="tx1"/>
                  </w14:solidFill>
                </w14:textFill>
              </w:rPr>
              <w:t>观看</w:t>
            </w:r>
            <w:r>
              <w:rPr>
                <w:rFonts w:hint="eastAsia" w:ascii="宋体" w:hAnsi="宋体" w:eastAsia="宋体" w:cs="宋体"/>
                <w:color w:val="000000" w:themeColor="text1"/>
                <w:sz w:val="21"/>
                <w:szCs w:val="21"/>
                <w:highlight w:val="none"/>
                <w:lang w:eastAsia="zh-CN"/>
                <w14:textFill>
                  <w14:solidFill>
                    <w14:schemeClr w14:val="tx1"/>
                  </w14:solidFill>
                </w14:textFill>
              </w:rPr>
              <w:t>当时手术过程；</w:t>
            </w:r>
          </w:p>
          <w:p w14:paraId="4CBC5E4A">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9.7</w:t>
            </w:r>
            <w:r>
              <w:rPr>
                <w:rFonts w:hint="eastAsia" w:ascii="宋体" w:hAnsi="宋体" w:eastAsia="宋体" w:cs="宋体"/>
                <w:color w:val="000000" w:themeColor="text1"/>
                <w:sz w:val="21"/>
                <w:szCs w:val="21"/>
                <w:highlight w:val="none"/>
                <w:lang w:eastAsia="zh-CN"/>
                <w14:textFill>
                  <w14:solidFill>
                    <w14:schemeClr w14:val="tx1"/>
                  </w14:solidFill>
                </w14:textFill>
              </w:rPr>
              <w:t>录像时间:录像时间无限制，录制手术视频不分段，支持一键拷贝导出；</w:t>
            </w:r>
          </w:p>
          <w:p w14:paraId="284A1DD1">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9.8</w:t>
            </w:r>
            <w:r>
              <w:rPr>
                <w:rFonts w:hint="eastAsia" w:ascii="宋体" w:hAnsi="宋体" w:eastAsia="宋体" w:cs="宋体"/>
                <w:color w:val="000000" w:themeColor="text1"/>
                <w:sz w:val="21"/>
                <w:szCs w:val="21"/>
                <w:highlight w:val="none"/>
                <w:lang w:eastAsia="zh-CN"/>
                <w14:textFill>
                  <w14:solidFill>
                    <w14:schemeClr w14:val="tx1"/>
                  </w14:solidFill>
                </w14:textFill>
              </w:rPr>
              <w:t>录像实时回放:支持录像回放观看；</w:t>
            </w:r>
          </w:p>
          <w:p w14:paraId="4FABDECA">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9.</w:t>
            </w:r>
            <w:r>
              <w:rPr>
                <w:rFonts w:hint="eastAsia" w:ascii="宋体" w:hAnsi="宋体" w:eastAsia="宋体" w:cs="宋体"/>
                <w:color w:val="000000" w:themeColor="text1"/>
                <w:sz w:val="21"/>
                <w:szCs w:val="21"/>
                <w:highlight w:val="none"/>
                <w:lang w:val="en-US" w:eastAsia="zh-CN"/>
                <w14:textFill>
                  <w14:solidFill>
                    <w14:schemeClr w14:val="tx1"/>
                  </w14:solidFill>
                </w14:textFill>
              </w:rPr>
              <w:t>9</w:t>
            </w:r>
            <w:r>
              <w:rPr>
                <w:rFonts w:hint="eastAsia" w:ascii="宋体" w:hAnsi="宋体" w:eastAsia="宋体" w:cs="宋体"/>
                <w:color w:val="000000" w:themeColor="text1"/>
                <w:sz w:val="21"/>
                <w:szCs w:val="21"/>
                <w:highlight w:val="none"/>
                <w:lang w:eastAsia="zh-CN"/>
                <w14:textFill>
                  <w14:solidFill>
                    <w14:schemeClr w14:val="tx1"/>
                  </w14:solidFill>
                </w14:textFill>
              </w:rPr>
              <w:t>视频色彩:由于用户对色彩习惯不同，本机可调节视频色彩进行刻录；</w:t>
            </w:r>
          </w:p>
          <w:p w14:paraId="0A0B8BBE">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9.</w:t>
            </w:r>
            <w:r>
              <w:rPr>
                <w:rFonts w:hint="eastAsia" w:ascii="宋体" w:hAnsi="宋体" w:eastAsia="宋体" w:cs="宋体"/>
                <w:color w:val="000000" w:themeColor="text1"/>
                <w:sz w:val="21"/>
                <w:szCs w:val="21"/>
                <w:highlight w:val="none"/>
                <w:lang w:eastAsia="zh-CN"/>
                <w14:textFill>
                  <w14:solidFill>
                    <w14:schemeClr w14:val="tx1"/>
                  </w14:solidFill>
                </w14:textFill>
              </w:rPr>
              <w:t>10拍照:可无限制为当前病患手术部位拍照保存，支持照片实时察看，支持一键拷贝导出；</w:t>
            </w:r>
          </w:p>
          <w:p w14:paraId="554599EF">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9.</w:t>
            </w:r>
            <w:r>
              <w:rPr>
                <w:rFonts w:hint="eastAsia" w:ascii="宋体" w:hAnsi="宋体" w:eastAsia="宋体" w:cs="宋体"/>
                <w:color w:val="000000" w:themeColor="text1"/>
                <w:sz w:val="21"/>
                <w:szCs w:val="21"/>
                <w:highlight w:val="none"/>
                <w:lang w:eastAsia="zh-CN"/>
                <w14:textFill>
                  <w14:solidFill>
                    <w14:schemeClr w14:val="tx1"/>
                  </w14:solidFill>
                </w14:textFill>
              </w:rPr>
              <w:t>11视频输入接口:</w:t>
            </w:r>
            <w:r>
              <w:rPr>
                <w:rFonts w:hint="eastAsia" w:ascii="宋体" w:hAnsi="宋体" w:eastAsia="宋体" w:cs="宋体"/>
                <w:color w:val="000000" w:themeColor="text1"/>
                <w:sz w:val="21"/>
                <w:szCs w:val="21"/>
                <w:highlight w:val="none"/>
                <w:lang w:eastAsia="zh-CN"/>
                <w14:textFill>
                  <w14:solidFill>
                    <w14:schemeClr w14:val="tx1"/>
                  </w14:solidFill>
                </w14:textFill>
              </w:rPr>
              <w:tab/>
            </w:r>
            <w:r>
              <w:rPr>
                <w:rFonts w:hint="eastAsia" w:ascii="宋体" w:hAnsi="宋体" w:eastAsia="宋体" w:cs="宋体"/>
                <w:color w:val="000000" w:themeColor="text1"/>
                <w:sz w:val="21"/>
                <w:szCs w:val="21"/>
                <w:highlight w:val="none"/>
                <w:lang w:eastAsia="zh-CN"/>
                <w14:textFill>
                  <w14:solidFill>
                    <w14:schemeClr w14:val="tx1"/>
                  </w14:solidFill>
                </w14:textFill>
              </w:rPr>
              <w:t>DVI 、SDI；</w:t>
            </w:r>
          </w:p>
          <w:p w14:paraId="278824BE">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9.12</w:t>
            </w:r>
            <w:r>
              <w:rPr>
                <w:rFonts w:hint="eastAsia" w:ascii="宋体" w:hAnsi="宋体" w:eastAsia="宋体" w:cs="宋体"/>
                <w:color w:val="000000" w:themeColor="text1"/>
                <w:sz w:val="21"/>
                <w:szCs w:val="21"/>
                <w:highlight w:val="none"/>
                <w:lang w:eastAsia="zh-CN"/>
                <w14:textFill>
                  <w14:solidFill>
                    <w14:schemeClr w14:val="tx1"/>
                  </w14:solidFill>
                </w14:textFill>
              </w:rPr>
              <w:t>显示屏: 触摸显示屏，可接键盘鼠标进行操控；</w:t>
            </w:r>
          </w:p>
          <w:p w14:paraId="3B47B4FF">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9.</w:t>
            </w:r>
            <w:r>
              <w:rPr>
                <w:rFonts w:hint="eastAsia" w:ascii="宋体" w:hAnsi="宋体" w:eastAsia="宋体" w:cs="宋体"/>
                <w:color w:val="000000" w:themeColor="text1"/>
                <w:sz w:val="21"/>
                <w:szCs w:val="21"/>
                <w:highlight w:val="none"/>
                <w:lang w:eastAsia="zh-CN"/>
                <w14:textFill>
                  <w14:solidFill>
                    <w14:schemeClr w14:val="tx1"/>
                  </w14:solidFill>
                </w14:textFill>
              </w:rPr>
              <w:t>13全屏:手术画面全屏显示；</w:t>
            </w:r>
          </w:p>
          <w:p w14:paraId="37F1E9E3">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9.</w:t>
            </w:r>
            <w:r>
              <w:rPr>
                <w:rFonts w:hint="eastAsia" w:ascii="宋体" w:hAnsi="宋体" w:eastAsia="宋体" w:cs="宋体"/>
                <w:color w:val="000000" w:themeColor="text1"/>
                <w:sz w:val="21"/>
                <w:szCs w:val="21"/>
                <w:highlight w:val="none"/>
                <w:lang w:eastAsia="zh-CN"/>
                <w14:textFill>
                  <w14:solidFill>
                    <w14:schemeClr w14:val="tx1"/>
                  </w14:solidFill>
                </w14:textFill>
              </w:rPr>
              <w:t>14视频录制格式:AVI/MP4 格式；</w:t>
            </w:r>
          </w:p>
          <w:p w14:paraId="5FB1145B">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9.</w:t>
            </w:r>
            <w:r>
              <w:rPr>
                <w:rFonts w:hint="eastAsia" w:ascii="宋体" w:hAnsi="宋体" w:eastAsia="宋体" w:cs="宋体"/>
                <w:color w:val="000000" w:themeColor="text1"/>
                <w:sz w:val="21"/>
                <w:szCs w:val="21"/>
                <w:highlight w:val="none"/>
                <w:lang w:eastAsia="zh-CN"/>
                <w14:textFill>
                  <w14:solidFill>
                    <w14:schemeClr w14:val="tx1"/>
                  </w14:solidFill>
                </w14:textFill>
              </w:rPr>
              <w:t>15照片格式:JPG 、BMP；</w:t>
            </w:r>
          </w:p>
          <w:p w14:paraId="26646D75">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9.</w:t>
            </w:r>
            <w:r>
              <w:rPr>
                <w:rFonts w:hint="eastAsia" w:ascii="宋体" w:hAnsi="宋体" w:eastAsia="宋体" w:cs="宋体"/>
                <w:color w:val="000000" w:themeColor="text1"/>
                <w:sz w:val="21"/>
                <w:szCs w:val="21"/>
                <w:highlight w:val="none"/>
                <w:lang w:eastAsia="zh-CN"/>
                <w14:textFill>
                  <w14:solidFill>
                    <w14:schemeClr w14:val="tx1"/>
                  </w14:solidFill>
                </w14:textFill>
              </w:rPr>
              <w:t>16USB 接口:≥2 路 USB2.0+≥4 路 USB3.0；</w:t>
            </w:r>
          </w:p>
          <w:p w14:paraId="3C692084">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9.17</w:t>
            </w:r>
            <w:r>
              <w:rPr>
                <w:rFonts w:hint="eastAsia" w:ascii="宋体" w:hAnsi="宋体" w:eastAsia="宋体" w:cs="宋体"/>
                <w:color w:val="000000" w:themeColor="text1"/>
                <w:sz w:val="21"/>
                <w:szCs w:val="21"/>
                <w:highlight w:val="none"/>
                <w:lang w:eastAsia="zh-CN"/>
                <w14:textFill>
                  <w14:solidFill>
                    <w14:schemeClr w14:val="tx1"/>
                  </w14:solidFill>
                </w14:textFill>
              </w:rPr>
              <w:t>电源:医疗级电源、电磁兼容抗干扰；</w:t>
            </w:r>
          </w:p>
          <w:p w14:paraId="4B574DF6">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9.</w:t>
            </w:r>
            <w:r>
              <w:rPr>
                <w:rFonts w:hint="eastAsia" w:ascii="宋体" w:hAnsi="宋体" w:eastAsia="宋体" w:cs="宋体"/>
                <w:color w:val="000000" w:themeColor="text1"/>
                <w:sz w:val="21"/>
                <w:szCs w:val="21"/>
                <w:highlight w:val="none"/>
                <w:lang w:eastAsia="zh-CN"/>
                <w14:textFill>
                  <w14:solidFill>
                    <w14:schemeClr w14:val="tx1"/>
                  </w14:solidFill>
                </w14:textFill>
              </w:rPr>
              <w:t>18登记信息:病人基本资料登记存储；</w:t>
            </w:r>
          </w:p>
          <w:p w14:paraId="4F680429">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9.</w:t>
            </w:r>
            <w:r>
              <w:rPr>
                <w:rFonts w:hint="eastAsia" w:ascii="宋体" w:hAnsi="宋体" w:eastAsia="宋体" w:cs="宋体"/>
                <w:color w:val="000000" w:themeColor="text1"/>
                <w:sz w:val="21"/>
                <w:szCs w:val="21"/>
                <w:highlight w:val="none"/>
                <w:lang w:eastAsia="zh-CN"/>
                <w14:textFill>
                  <w14:solidFill>
                    <w14:schemeClr w14:val="tx1"/>
                  </w14:solidFill>
                </w14:textFill>
              </w:rPr>
              <w:t>19.历史病例:可实时查看最近≥ 20 台手术病例资料；</w:t>
            </w:r>
          </w:p>
          <w:p w14:paraId="5016D8CB">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9.</w:t>
            </w:r>
            <w:r>
              <w:rPr>
                <w:rFonts w:hint="eastAsia" w:ascii="宋体" w:hAnsi="宋体" w:eastAsia="宋体" w:cs="宋体"/>
                <w:color w:val="000000" w:themeColor="text1"/>
                <w:sz w:val="21"/>
                <w:szCs w:val="21"/>
                <w:highlight w:val="none"/>
                <w:lang w:eastAsia="zh-CN"/>
                <w14:textFill>
                  <w14:solidFill>
                    <w14:schemeClr w14:val="tx1"/>
                  </w14:solidFill>
                </w14:textFill>
              </w:rPr>
              <w:t>20语音提示:智能语音交互，在录像时、录像停止时、拔出 U 盘时有智能语音提示；</w:t>
            </w:r>
          </w:p>
          <w:p w14:paraId="48A69E54">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9.</w:t>
            </w:r>
            <w:r>
              <w:rPr>
                <w:rFonts w:hint="eastAsia" w:ascii="宋体" w:hAnsi="宋体" w:eastAsia="宋体" w:cs="宋体"/>
                <w:color w:val="000000" w:themeColor="text1"/>
                <w:sz w:val="21"/>
                <w:szCs w:val="21"/>
                <w:highlight w:val="none"/>
                <w:lang w:eastAsia="zh-CN"/>
                <w14:textFill>
                  <w14:solidFill>
                    <w14:schemeClr w14:val="tx1"/>
                  </w14:solidFill>
                </w14:textFill>
              </w:rPr>
              <w:t>2</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lang w:eastAsia="zh-CN"/>
                <w14:textFill>
                  <w14:solidFill>
                    <w14:schemeClr w14:val="tx1"/>
                  </w14:solidFill>
                </w14:textFill>
              </w:rPr>
              <w:t>磁盘管理;磁盘管理智能预警机制，实时查看硬盘和 U 盘实时容量；</w:t>
            </w:r>
          </w:p>
          <w:p w14:paraId="6BAA7730">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9.</w:t>
            </w:r>
            <w:r>
              <w:rPr>
                <w:rFonts w:hint="eastAsia" w:ascii="宋体" w:hAnsi="宋体" w:eastAsia="宋体" w:cs="宋体"/>
                <w:color w:val="000000" w:themeColor="text1"/>
                <w:sz w:val="21"/>
                <w:szCs w:val="21"/>
                <w:highlight w:val="none"/>
                <w:lang w:eastAsia="zh-CN"/>
                <w14:textFill>
                  <w14:solidFill>
                    <w14:schemeClr w14:val="tx1"/>
                  </w14:solidFill>
                </w14:textFill>
              </w:rPr>
              <w:t>22稳定性:</w:t>
            </w:r>
            <w:r>
              <w:rPr>
                <w:rFonts w:hint="eastAsia" w:ascii="宋体" w:hAnsi="宋体" w:eastAsia="宋体" w:cs="宋体"/>
                <w:color w:val="000000" w:themeColor="text1"/>
                <w:sz w:val="21"/>
                <w:szCs w:val="21"/>
                <w:highlight w:val="none"/>
                <w:lang w:eastAsia="zh-CN"/>
                <w14:textFill>
                  <w14:solidFill>
                    <w14:schemeClr w14:val="tx1"/>
                  </w14:solidFill>
                </w14:textFill>
              </w:rPr>
              <w:tab/>
            </w:r>
            <w:r>
              <w:rPr>
                <w:rFonts w:hint="eastAsia" w:ascii="宋体" w:hAnsi="宋体" w:cs="宋体"/>
                <w:color w:val="000000" w:themeColor="text1"/>
                <w:sz w:val="21"/>
                <w:szCs w:val="21"/>
                <w:highlight w:val="none"/>
                <w:lang w:val="en-US" w:eastAsia="zh-CN"/>
                <w14:textFill>
                  <w14:solidFill>
                    <w14:schemeClr w14:val="tx1"/>
                  </w14:solidFill>
                </w14:textFill>
              </w:rPr>
              <w:t>具备</w:t>
            </w:r>
            <w:r>
              <w:rPr>
                <w:rFonts w:hint="eastAsia" w:ascii="宋体" w:hAnsi="宋体" w:eastAsia="宋体" w:cs="宋体"/>
                <w:color w:val="000000" w:themeColor="text1"/>
                <w:sz w:val="21"/>
                <w:szCs w:val="21"/>
                <w:highlight w:val="none"/>
                <w:lang w:eastAsia="zh-CN"/>
                <w14:textFill>
                  <w14:solidFill>
                    <w14:schemeClr w14:val="tx1"/>
                  </w14:solidFill>
                </w14:textFill>
              </w:rPr>
              <w:t>同步调度、防死锁、临界区保护等多种技术；</w:t>
            </w:r>
          </w:p>
          <w:p w14:paraId="171510A6">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9.</w:t>
            </w:r>
            <w:r>
              <w:rPr>
                <w:rFonts w:hint="eastAsia" w:ascii="宋体" w:hAnsi="宋体" w:eastAsia="宋体" w:cs="宋体"/>
                <w:color w:val="000000" w:themeColor="text1"/>
                <w:sz w:val="21"/>
                <w:szCs w:val="21"/>
                <w:highlight w:val="none"/>
                <w:lang w:eastAsia="zh-CN"/>
                <w14:textFill>
                  <w14:solidFill>
                    <w14:schemeClr w14:val="tx1"/>
                  </w14:solidFill>
                </w14:textFill>
              </w:rPr>
              <w:t>23系统语言:中文语言；</w:t>
            </w:r>
          </w:p>
          <w:p w14:paraId="5F80E498">
            <w:pPr>
              <w:keepNext w:val="0"/>
              <w:keepLines w:val="0"/>
              <w:pageBreakBefore w:val="0"/>
              <w:widowControl w:val="0"/>
              <w:bidi w:val="0"/>
              <w:spacing w:line="44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9.</w:t>
            </w:r>
            <w:r>
              <w:rPr>
                <w:rFonts w:hint="eastAsia" w:ascii="宋体" w:hAnsi="宋体" w:eastAsia="宋体" w:cs="宋体"/>
                <w:color w:val="000000" w:themeColor="text1"/>
                <w:sz w:val="21"/>
                <w:szCs w:val="21"/>
                <w:highlight w:val="none"/>
                <w:lang w:eastAsia="zh-CN"/>
                <w14:textFill>
                  <w14:solidFill>
                    <w14:schemeClr w14:val="tx1"/>
                  </w14:solidFill>
                </w14:textFill>
              </w:rPr>
              <w:t>24支持设备:要求能适用各大品牌高清内窥镜设备。</w:t>
            </w:r>
          </w:p>
        </w:tc>
      </w:tr>
      <w:tr w14:paraId="1EFACF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1" w:type="dxa"/>
            <w:noWrap w:val="0"/>
            <w:vAlign w:val="center"/>
          </w:tcPr>
          <w:p w14:paraId="15A23354">
            <w:pPr>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3</w:t>
            </w:r>
          </w:p>
        </w:tc>
        <w:tc>
          <w:tcPr>
            <w:tcW w:w="753" w:type="dxa"/>
            <w:noWrap w:val="0"/>
            <w:vAlign w:val="center"/>
          </w:tcPr>
          <w:p w14:paraId="5B393FE9">
            <w:pPr>
              <w:keepNext w:val="0"/>
              <w:keepLines w:val="0"/>
              <w:widowControl/>
              <w:suppressLineNumbers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olor w:val="000000" w:themeColor="text1"/>
                <w:sz w:val="21"/>
                <w:szCs w:val="21"/>
                <w:highlight w:val="none"/>
                <w:u w:val="none"/>
                <w:lang w:val="en-US" w:eastAsia="zh-CN" w:bidi="ar"/>
                <w14:textFill>
                  <w14:solidFill>
                    <w14:schemeClr w14:val="tx1"/>
                  </w14:solidFill>
                </w14:textFill>
              </w:rPr>
              <w:t>微波多功能治疗仪</w:t>
            </w:r>
          </w:p>
        </w:tc>
        <w:tc>
          <w:tcPr>
            <w:tcW w:w="756" w:type="dxa"/>
            <w:noWrap w:val="0"/>
            <w:vAlign w:val="center"/>
          </w:tcPr>
          <w:p w14:paraId="05453776">
            <w:pPr>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w:t>
            </w:r>
            <w:r>
              <w:rPr>
                <w:rFonts w:hint="eastAsia" w:ascii="宋体" w:hAnsi="宋体" w:cs="宋体"/>
                <w:color w:val="000000" w:themeColor="text1"/>
                <w:sz w:val="21"/>
                <w:szCs w:val="21"/>
                <w:highlight w:val="none"/>
                <w:vertAlign w:val="baseline"/>
                <w:lang w:val="en-US" w:eastAsia="zh-CN"/>
                <w14:textFill>
                  <w14:solidFill>
                    <w14:schemeClr w14:val="tx1"/>
                  </w14:solidFill>
                </w14:textFill>
              </w:rPr>
              <w:t>台</w:t>
            </w:r>
          </w:p>
        </w:tc>
        <w:tc>
          <w:tcPr>
            <w:tcW w:w="1056" w:type="dxa"/>
            <w:noWrap w:val="0"/>
            <w:vAlign w:val="center"/>
          </w:tcPr>
          <w:p w14:paraId="1FC518B5">
            <w:pPr>
              <w:jc w:val="center"/>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w:t>
            </w:r>
          </w:p>
        </w:tc>
        <w:tc>
          <w:tcPr>
            <w:tcW w:w="5971" w:type="dxa"/>
            <w:noWrap w:val="0"/>
          </w:tcPr>
          <w:p w14:paraId="0DC11773">
            <w:pPr>
              <w:keepNext w:val="0"/>
              <w:keepLines w:val="0"/>
              <w:pageBreakBefore w:val="0"/>
              <w:widowControl w:val="0"/>
              <w:numPr>
                <w:ilvl w:val="0"/>
                <w:numId w:val="0"/>
              </w:numPr>
              <w:bidi w:val="0"/>
              <w:spacing w:after="0" w:line="360" w:lineRule="auto"/>
              <w:ind w:left="0" w:firstLine="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最大可输出功率值：≥60W；</w:t>
            </w:r>
          </w:p>
          <w:p w14:paraId="274D10D8">
            <w:pPr>
              <w:keepNext w:val="0"/>
              <w:keepLines w:val="0"/>
              <w:pageBreakBefore w:val="0"/>
              <w:widowControl w:val="0"/>
              <w:numPr>
                <w:ilvl w:val="0"/>
                <w:numId w:val="0"/>
              </w:numPr>
              <w:bidi w:val="0"/>
              <w:spacing w:after="0" w:line="360" w:lineRule="auto"/>
              <w:ind w:left="0" w:firstLine="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辐射器驻波比：≤3；</w:t>
            </w:r>
          </w:p>
          <w:p w14:paraId="69E7732C">
            <w:pPr>
              <w:keepNext w:val="0"/>
              <w:keepLines w:val="0"/>
              <w:pageBreakBefore w:val="0"/>
              <w:widowControl w:val="0"/>
              <w:numPr>
                <w:ilvl w:val="0"/>
                <w:numId w:val="0"/>
              </w:numPr>
              <w:bidi w:val="0"/>
              <w:spacing w:after="0" w:line="360" w:lineRule="auto"/>
              <w:ind w:left="0" w:firstLine="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输出线缆及转接器一起使用时驻波比：≤ 1.1；</w:t>
            </w:r>
          </w:p>
          <w:p w14:paraId="6B3ACCE6">
            <w:pPr>
              <w:keepNext w:val="0"/>
              <w:keepLines w:val="0"/>
              <w:pageBreakBefore w:val="0"/>
              <w:widowControl w:val="0"/>
              <w:numPr>
                <w:ilvl w:val="0"/>
                <w:numId w:val="0"/>
              </w:numPr>
              <w:bidi w:val="0"/>
              <w:spacing w:after="0" w:line="360" w:lineRule="auto"/>
              <w:ind w:left="0" w:firstLine="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微波辐射泄漏：＜10mW/</w:t>
            </w:r>
            <w:r>
              <w:rPr>
                <w:rFonts w:hint="eastAsia" w:ascii="宋体" w:hAnsi="宋体" w:cs="宋体"/>
                <w:color w:val="000000" w:themeColor="text1"/>
                <w:sz w:val="21"/>
                <w:szCs w:val="21"/>
                <w:highlight w:val="none"/>
                <w:lang w:val="en-US" w:eastAsia="zh-CN"/>
                <w14:textFill>
                  <w14:solidFill>
                    <w14:schemeClr w14:val="tx1"/>
                  </w14:solidFill>
                </w14:textFill>
              </w:rPr>
              <w:t>c</w:t>
            </w:r>
            <w:r>
              <w:rPr>
                <w:rFonts w:hint="eastAsia" w:ascii="宋体" w:hAnsi="宋体" w:eastAsia="宋体" w:cs="宋体"/>
                <w:color w:val="000000" w:themeColor="text1"/>
                <w:sz w:val="21"/>
                <w:szCs w:val="21"/>
                <w:highlight w:val="none"/>
                <w:lang w:eastAsia="zh-CN"/>
                <w14:textFill>
                  <w14:solidFill>
                    <w14:schemeClr w14:val="tx1"/>
                  </w14:solidFill>
                </w14:textFill>
              </w:rPr>
              <w:t>㎡ ；</w:t>
            </w:r>
          </w:p>
          <w:p w14:paraId="1138EA93">
            <w:pPr>
              <w:keepNext w:val="0"/>
              <w:keepLines w:val="0"/>
              <w:pageBreakBefore w:val="0"/>
              <w:widowControl w:val="0"/>
              <w:numPr>
                <w:ilvl w:val="0"/>
                <w:numId w:val="0"/>
              </w:numPr>
              <w:bidi w:val="0"/>
              <w:spacing w:after="0" w:line="360" w:lineRule="auto"/>
              <w:ind w:left="0" w:firstLine="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定时最大值：≥30min，定时连续可调；</w:t>
            </w:r>
          </w:p>
          <w:p w14:paraId="45627781">
            <w:pPr>
              <w:keepNext w:val="0"/>
              <w:keepLines w:val="0"/>
              <w:pageBreakBefore w:val="0"/>
              <w:widowControl w:val="0"/>
              <w:numPr>
                <w:ilvl w:val="0"/>
                <w:numId w:val="0"/>
              </w:numPr>
              <w:bidi w:val="0"/>
              <w:spacing w:after="0" w:line="360" w:lineRule="auto"/>
              <w:ind w:left="0" w:firstLine="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输入功率：≤400VA；</w:t>
            </w:r>
          </w:p>
          <w:p w14:paraId="24221ED2">
            <w:pPr>
              <w:keepNext w:val="0"/>
              <w:keepLines w:val="0"/>
              <w:pageBreakBefore w:val="0"/>
              <w:widowControl w:val="0"/>
              <w:numPr>
                <w:ilvl w:val="0"/>
                <w:numId w:val="0"/>
              </w:numPr>
              <w:bidi w:val="0"/>
              <w:spacing w:after="0" w:line="360" w:lineRule="auto"/>
              <w:ind w:left="0" w:firstLine="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7</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输出波形：≥2种，包含脉冲波、连续波；</w:t>
            </w:r>
          </w:p>
          <w:p w14:paraId="1E1351A6">
            <w:pPr>
              <w:keepNext w:val="0"/>
              <w:keepLines w:val="0"/>
              <w:pageBreakBefore w:val="0"/>
              <w:widowControl w:val="0"/>
              <w:numPr>
                <w:ilvl w:val="0"/>
                <w:numId w:val="0"/>
              </w:numPr>
              <w:bidi w:val="0"/>
              <w:spacing w:after="0" w:line="360" w:lineRule="auto"/>
              <w:ind w:left="0" w:firstLine="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8</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同时具备治疗和理疗功能；</w:t>
            </w:r>
          </w:p>
          <w:p w14:paraId="07D530C1">
            <w:pPr>
              <w:keepNext w:val="0"/>
              <w:keepLines w:val="0"/>
              <w:pageBreakBefore w:val="0"/>
              <w:widowControl w:val="0"/>
              <w:numPr>
                <w:ilvl w:val="0"/>
                <w:numId w:val="0"/>
              </w:numPr>
              <w:bidi w:val="0"/>
              <w:spacing w:after="0" w:line="360" w:lineRule="auto"/>
              <w:ind w:left="0" w:firstLine="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9</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辐射器≥3只；</w:t>
            </w:r>
          </w:p>
          <w:p w14:paraId="0A214F8B">
            <w:pPr>
              <w:keepNext w:val="0"/>
              <w:keepLines w:val="0"/>
              <w:pageBreakBefore w:val="0"/>
              <w:widowControl w:val="0"/>
              <w:numPr>
                <w:ilvl w:val="0"/>
                <w:numId w:val="0"/>
              </w:numPr>
              <w:bidi w:val="0"/>
              <w:spacing w:after="0" w:line="360" w:lineRule="auto"/>
              <w:ind w:left="0" w:firstLine="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10</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热凝器≥9只；</w:t>
            </w:r>
          </w:p>
          <w:p w14:paraId="18FE97AE">
            <w:pPr>
              <w:keepNext w:val="0"/>
              <w:keepLines w:val="0"/>
              <w:pageBreakBefore w:val="0"/>
              <w:widowControl w:val="0"/>
              <w:numPr>
                <w:ilvl w:val="0"/>
                <w:numId w:val="0"/>
              </w:numPr>
              <w:bidi w:val="0"/>
              <w:spacing w:after="0" w:line="360" w:lineRule="auto"/>
              <w:ind w:left="0" w:firstLine="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11</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微波设备附件符合YY 0899-2020的要求。</w:t>
            </w:r>
          </w:p>
          <w:p w14:paraId="2F768D07">
            <w:pPr>
              <w:keepNext w:val="0"/>
              <w:keepLines w:val="0"/>
              <w:pageBreakBefore w:val="0"/>
              <w:widowControl w:val="0"/>
              <w:numPr>
                <w:ilvl w:val="0"/>
                <w:numId w:val="0"/>
              </w:numPr>
              <w:bidi w:val="0"/>
              <w:spacing w:after="0" w:line="360" w:lineRule="auto"/>
              <w:ind w:left="0" w:firstLine="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12</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安全符合GB 9706.1-2020、GB 9706.206-2020的要求。</w:t>
            </w:r>
          </w:p>
          <w:p w14:paraId="4F8723F0">
            <w:pPr>
              <w:keepNext w:val="0"/>
              <w:keepLines w:val="0"/>
              <w:pageBreakBefore w:val="0"/>
              <w:widowControl w:val="0"/>
              <w:numPr>
                <w:ilvl w:val="0"/>
                <w:numId w:val="0"/>
              </w:numPr>
              <w:bidi w:val="0"/>
              <w:spacing w:after="0" w:line="360" w:lineRule="auto"/>
              <w:ind w:left="0" w:firstLine="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13</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电磁兼容符合YY 9706.102-2021及GB9706.206-2020中条款202的要求。</w:t>
            </w:r>
          </w:p>
        </w:tc>
      </w:tr>
      <w:tr w14:paraId="46AE88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96" w:hRule="atLeast"/>
        </w:trPr>
        <w:tc>
          <w:tcPr>
            <w:tcW w:w="531" w:type="dxa"/>
            <w:noWrap w:val="0"/>
            <w:vAlign w:val="center"/>
          </w:tcPr>
          <w:p w14:paraId="65CFB944">
            <w:pPr>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4</w:t>
            </w:r>
          </w:p>
        </w:tc>
        <w:tc>
          <w:tcPr>
            <w:tcW w:w="753" w:type="dxa"/>
            <w:noWrap w:val="0"/>
            <w:vAlign w:val="center"/>
          </w:tcPr>
          <w:p w14:paraId="3296C13B">
            <w:pPr>
              <w:keepNext w:val="0"/>
              <w:keepLines w:val="0"/>
              <w:widowControl/>
              <w:suppressLineNumbers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olor w:val="000000" w:themeColor="text1"/>
                <w:sz w:val="21"/>
                <w:szCs w:val="21"/>
                <w:highlight w:val="none"/>
                <w:u w:val="none"/>
                <w:lang w:val="en-US" w:eastAsia="zh-CN" w:bidi="ar"/>
                <w14:textFill>
                  <w14:solidFill>
                    <w14:schemeClr w14:val="tx1"/>
                  </w14:solidFill>
                </w14:textFill>
              </w:rPr>
              <w:t>全自动电子血压计</w:t>
            </w:r>
          </w:p>
        </w:tc>
        <w:tc>
          <w:tcPr>
            <w:tcW w:w="756" w:type="dxa"/>
            <w:noWrap w:val="0"/>
            <w:vAlign w:val="center"/>
          </w:tcPr>
          <w:p w14:paraId="12F5D962">
            <w:pPr>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w:t>
            </w:r>
            <w:r>
              <w:rPr>
                <w:rFonts w:hint="eastAsia" w:ascii="宋体" w:hAnsi="宋体" w:cs="宋体"/>
                <w:color w:val="000000" w:themeColor="text1"/>
                <w:sz w:val="21"/>
                <w:szCs w:val="21"/>
                <w:highlight w:val="none"/>
                <w:vertAlign w:val="baseline"/>
                <w:lang w:val="en-US" w:eastAsia="zh-CN"/>
                <w14:textFill>
                  <w14:solidFill>
                    <w14:schemeClr w14:val="tx1"/>
                  </w14:solidFill>
                </w14:textFill>
              </w:rPr>
              <w:t>台</w:t>
            </w:r>
          </w:p>
        </w:tc>
        <w:tc>
          <w:tcPr>
            <w:tcW w:w="1056" w:type="dxa"/>
            <w:noWrap w:val="0"/>
            <w:vAlign w:val="center"/>
          </w:tcPr>
          <w:p w14:paraId="3B4C0F7A">
            <w:pPr>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w:t>
            </w:r>
          </w:p>
        </w:tc>
        <w:tc>
          <w:tcPr>
            <w:tcW w:w="5971" w:type="dxa"/>
            <w:noWrap w:val="0"/>
          </w:tcPr>
          <w:p w14:paraId="02DC7EF2">
            <w:pPr>
              <w:pStyle w:val="295"/>
              <w:keepNext w:val="0"/>
              <w:keepLines w:val="0"/>
              <w:pageBreakBefore w:val="0"/>
              <w:widowControl w:val="0"/>
              <w:numPr>
                <w:ilvl w:val="0"/>
                <w:numId w:val="0"/>
              </w:numPr>
              <w:bidi w:val="0"/>
              <w:ind w:left="0" w:firstLine="0"/>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适用范围：测量成人血压、脉率和脉搏波波形；</w:t>
            </w:r>
          </w:p>
          <w:p w14:paraId="23CCF7DA">
            <w:pPr>
              <w:pStyle w:val="295"/>
              <w:keepNext w:val="0"/>
              <w:keepLines w:val="0"/>
              <w:pageBreakBefore w:val="0"/>
              <w:widowControl w:val="0"/>
              <w:numPr>
                <w:ilvl w:val="0"/>
                <w:numId w:val="0"/>
              </w:numPr>
              <w:bidi w:val="0"/>
              <w:ind w:left="0" w:firstLine="0"/>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2</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测量原理：示波法，降压过程测量血压；</w:t>
            </w:r>
          </w:p>
          <w:p w14:paraId="18AD364C">
            <w:pPr>
              <w:pStyle w:val="295"/>
              <w:keepNext w:val="0"/>
              <w:keepLines w:val="0"/>
              <w:pageBreakBefore w:val="0"/>
              <w:widowControl w:val="0"/>
              <w:numPr>
                <w:ilvl w:val="0"/>
                <w:numId w:val="0"/>
              </w:numPr>
              <w:bidi w:val="0"/>
              <w:ind w:left="0" w:firstLine="0"/>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3</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测量范围：</w:t>
            </w:r>
          </w:p>
          <w:p w14:paraId="2021BCFD">
            <w:pPr>
              <w:pStyle w:val="295"/>
              <w:keepNext w:val="0"/>
              <w:keepLines w:val="0"/>
              <w:pageBreakBefore w:val="0"/>
              <w:widowControl w:val="0"/>
              <w:numPr>
                <w:ilvl w:val="0"/>
                <w:numId w:val="0"/>
              </w:numPr>
              <w:bidi w:val="0"/>
              <w:ind w:left="0" w:firstLine="0"/>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3.1</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静态压力能达到：0mmHg～300mmHg；</w:t>
            </w:r>
          </w:p>
          <w:p w14:paraId="511846C0">
            <w:pPr>
              <w:pStyle w:val="295"/>
              <w:keepNext w:val="0"/>
              <w:keepLines w:val="0"/>
              <w:pageBreakBefore w:val="0"/>
              <w:widowControl w:val="0"/>
              <w:numPr>
                <w:ilvl w:val="0"/>
                <w:numId w:val="0"/>
              </w:numPr>
              <w:bidi w:val="0"/>
              <w:ind w:left="0" w:firstLine="0"/>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3.2</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动态血压能达到：收缩压≥（60～255）mmHg，舒张压≥（30～195）mmHg；</w:t>
            </w:r>
          </w:p>
          <w:p w14:paraId="7ACAAC78">
            <w:pPr>
              <w:pStyle w:val="295"/>
              <w:keepNext w:val="0"/>
              <w:keepLines w:val="0"/>
              <w:pageBreakBefore w:val="0"/>
              <w:widowControl w:val="0"/>
              <w:numPr>
                <w:ilvl w:val="0"/>
                <w:numId w:val="0"/>
              </w:numPr>
              <w:bidi w:val="0"/>
              <w:ind w:left="0" w:firstLine="0"/>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3.3</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脉率：35 bpm～185 bpm；</w:t>
            </w:r>
          </w:p>
          <w:p w14:paraId="3E78D5A0">
            <w:pPr>
              <w:pStyle w:val="295"/>
              <w:keepNext w:val="0"/>
              <w:keepLines w:val="0"/>
              <w:pageBreakBefore w:val="0"/>
              <w:widowControl w:val="0"/>
              <w:numPr>
                <w:ilvl w:val="0"/>
                <w:numId w:val="0"/>
              </w:numPr>
              <w:bidi w:val="0"/>
              <w:ind w:left="0" w:firstLine="0"/>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4</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测量精准度：</w:t>
            </w:r>
          </w:p>
          <w:p w14:paraId="48F3884D">
            <w:pPr>
              <w:pStyle w:val="295"/>
              <w:keepNext w:val="0"/>
              <w:keepLines w:val="0"/>
              <w:pageBreakBefore w:val="0"/>
              <w:widowControl w:val="0"/>
              <w:numPr>
                <w:ilvl w:val="0"/>
                <w:numId w:val="0"/>
              </w:numPr>
              <w:bidi w:val="0"/>
              <w:ind w:left="0" w:firstLine="0"/>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 xml:space="preserve">4.1血压：误差≤±3mmHg；   </w:t>
            </w:r>
          </w:p>
          <w:p w14:paraId="6C296D80">
            <w:pPr>
              <w:pStyle w:val="295"/>
              <w:keepNext w:val="0"/>
              <w:keepLines w:val="0"/>
              <w:pageBreakBefore w:val="0"/>
              <w:widowControl w:val="0"/>
              <w:numPr>
                <w:ilvl w:val="0"/>
                <w:numId w:val="0"/>
              </w:numPr>
              <w:bidi w:val="0"/>
              <w:ind w:left="0" w:firstLine="0"/>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4.2脉率能达到：35bpm～100bpm范围内，误差≤±2bpm；</w:t>
            </w:r>
          </w:p>
          <w:p w14:paraId="34A82724">
            <w:pPr>
              <w:pStyle w:val="295"/>
              <w:keepNext w:val="0"/>
              <w:keepLines w:val="0"/>
              <w:pageBreakBefore w:val="0"/>
              <w:widowControl w:val="0"/>
              <w:numPr>
                <w:ilvl w:val="0"/>
                <w:numId w:val="0"/>
              </w:numPr>
              <w:bidi w:val="0"/>
              <w:ind w:left="0" w:firstLine="0"/>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 xml:space="preserve">    100bpm～185bpm范围内，误差≤±3bpm；</w:t>
            </w:r>
          </w:p>
          <w:p w14:paraId="13D03D82">
            <w:pPr>
              <w:pStyle w:val="295"/>
              <w:keepNext w:val="0"/>
              <w:keepLines w:val="0"/>
              <w:pageBreakBefore w:val="0"/>
              <w:widowControl w:val="0"/>
              <w:numPr>
                <w:ilvl w:val="0"/>
                <w:numId w:val="0"/>
              </w:numPr>
              <w:bidi w:val="0"/>
              <w:ind w:left="0" w:firstLine="0"/>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5</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测量分辨率:</w:t>
            </w:r>
          </w:p>
          <w:p w14:paraId="19BFC400">
            <w:pPr>
              <w:pStyle w:val="295"/>
              <w:keepNext w:val="0"/>
              <w:keepLines w:val="0"/>
              <w:pageBreakBefore w:val="0"/>
              <w:widowControl w:val="0"/>
              <w:numPr>
                <w:ilvl w:val="0"/>
                <w:numId w:val="0"/>
              </w:numPr>
              <w:bidi w:val="0"/>
              <w:ind w:left="0" w:firstLine="0"/>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 xml:space="preserve">5.1显示分辨率能达到：1mmHg或0.1kPa； </w:t>
            </w:r>
          </w:p>
          <w:p w14:paraId="6F579D95">
            <w:pPr>
              <w:pStyle w:val="295"/>
              <w:keepNext w:val="0"/>
              <w:keepLines w:val="0"/>
              <w:pageBreakBefore w:val="0"/>
              <w:widowControl w:val="0"/>
              <w:numPr>
                <w:ilvl w:val="0"/>
                <w:numId w:val="0"/>
              </w:numPr>
              <w:bidi w:val="0"/>
              <w:ind w:left="0" w:firstLine="0"/>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5.2脉率能达到：1bpm；</w:t>
            </w:r>
          </w:p>
          <w:p w14:paraId="2C6F4B50">
            <w:pPr>
              <w:pStyle w:val="295"/>
              <w:keepNext w:val="0"/>
              <w:keepLines w:val="0"/>
              <w:pageBreakBefore w:val="0"/>
              <w:widowControl w:val="0"/>
              <w:numPr>
                <w:ilvl w:val="0"/>
                <w:numId w:val="0"/>
              </w:numPr>
              <w:bidi w:val="0"/>
              <w:ind w:left="0" w:firstLine="0"/>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6</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适用臂围：≥16cm～43cm；</w:t>
            </w:r>
          </w:p>
          <w:p w14:paraId="2D3FF185">
            <w:pPr>
              <w:pStyle w:val="295"/>
              <w:keepNext w:val="0"/>
              <w:keepLines w:val="0"/>
              <w:pageBreakBefore w:val="0"/>
              <w:widowControl w:val="0"/>
              <w:numPr>
                <w:ilvl w:val="0"/>
                <w:numId w:val="0"/>
              </w:numPr>
              <w:bidi w:val="0"/>
              <w:ind w:left="0" w:firstLine="0"/>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7</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单机存储容量：≥2000例；</w:t>
            </w:r>
          </w:p>
          <w:p w14:paraId="1ACA6D41">
            <w:pPr>
              <w:pStyle w:val="295"/>
              <w:keepNext w:val="0"/>
              <w:keepLines w:val="0"/>
              <w:pageBreakBefore w:val="0"/>
              <w:widowControl w:val="0"/>
              <w:numPr>
                <w:ilvl w:val="0"/>
                <w:numId w:val="0"/>
              </w:numPr>
              <w:bidi w:val="0"/>
              <w:ind w:left="0" w:firstLine="0"/>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8</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数字式LED屏显示：显示《中国高血压防治指南》定义的血压分级水平，并根据测量结果自动评估血压</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p>
          <w:p w14:paraId="29F0F4B3">
            <w:pPr>
              <w:pStyle w:val="295"/>
              <w:keepNext w:val="0"/>
              <w:keepLines w:val="0"/>
              <w:pageBreakBefore w:val="0"/>
              <w:widowControl w:val="0"/>
              <w:numPr>
                <w:ilvl w:val="0"/>
                <w:numId w:val="0"/>
              </w:numPr>
              <w:bidi w:val="0"/>
              <w:ind w:left="0" w:firstLine="0"/>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9</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测量可信度提醒：根据血压信号强度，能够显示测量结果的可信度等级</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p>
          <w:p w14:paraId="37B8FDC9">
            <w:pPr>
              <w:pStyle w:val="295"/>
              <w:keepNext w:val="0"/>
              <w:keepLines w:val="0"/>
              <w:pageBreakBefore w:val="0"/>
              <w:widowControl w:val="0"/>
              <w:numPr>
                <w:ilvl w:val="0"/>
                <w:numId w:val="0"/>
              </w:numPr>
              <w:bidi w:val="0"/>
              <w:ind w:left="0" w:firstLine="0"/>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10</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袖带裹紧方式：通过气囊充气膨胀裹紧袖带；</w:t>
            </w:r>
          </w:p>
          <w:p w14:paraId="295876C5">
            <w:pPr>
              <w:pStyle w:val="295"/>
              <w:keepNext w:val="0"/>
              <w:keepLines w:val="0"/>
              <w:pageBreakBefore w:val="0"/>
              <w:widowControl w:val="0"/>
              <w:numPr>
                <w:ilvl w:val="0"/>
                <w:numId w:val="0"/>
              </w:numPr>
              <w:bidi w:val="0"/>
              <w:ind w:left="0" w:firstLine="0"/>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11</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充放气方式：智能充气、线性放气；</w:t>
            </w:r>
          </w:p>
          <w:p w14:paraId="1FE3D2C7">
            <w:pPr>
              <w:pStyle w:val="295"/>
              <w:keepNext w:val="0"/>
              <w:keepLines w:val="0"/>
              <w:pageBreakBefore w:val="0"/>
              <w:widowControl w:val="0"/>
              <w:numPr>
                <w:ilvl w:val="0"/>
                <w:numId w:val="0"/>
              </w:numPr>
              <w:bidi w:val="0"/>
              <w:ind w:left="0" w:firstLine="0"/>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12</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臂姿确认功能：通过肘部开关结构确认手臂正确摆位；</w:t>
            </w:r>
          </w:p>
          <w:p w14:paraId="6C94F245">
            <w:pPr>
              <w:pStyle w:val="295"/>
              <w:keepNext w:val="0"/>
              <w:keepLines w:val="0"/>
              <w:pageBreakBefore w:val="0"/>
              <w:widowControl w:val="0"/>
              <w:numPr>
                <w:ilvl w:val="0"/>
                <w:numId w:val="0"/>
              </w:numPr>
              <w:bidi w:val="0"/>
              <w:ind w:left="0" w:firstLine="0"/>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13</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人体位置检测：</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要求能</w:t>
            </w:r>
            <w:r>
              <w:rPr>
                <w:rFonts w:hint="eastAsia" w:ascii="宋体" w:hAnsi="宋体" w:eastAsia="宋体" w:cs="宋体"/>
                <w:b w:val="0"/>
                <w:bCs w:val="0"/>
                <w:color w:val="000000" w:themeColor="text1"/>
                <w:sz w:val="21"/>
                <w:szCs w:val="21"/>
                <w:highlight w:val="none"/>
                <w14:textFill>
                  <w14:solidFill>
                    <w14:schemeClr w14:val="tx1"/>
                  </w14:solidFill>
                </w14:textFill>
              </w:rPr>
              <w:t>通过红外传感器检测人体距离血压计位置，判断坐姿是否正确并自动进行语音指导</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p>
          <w:p w14:paraId="2903AF14">
            <w:pPr>
              <w:pStyle w:val="295"/>
              <w:keepNext w:val="0"/>
              <w:keepLines w:val="0"/>
              <w:pageBreakBefore w:val="0"/>
              <w:widowControl w:val="0"/>
              <w:numPr>
                <w:ilvl w:val="0"/>
                <w:numId w:val="0"/>
              </w:numPr>
              <w:bidi w:val="0"/>
              <w:ind w:left="0" w:firstLine="0"/>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14</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多种控制方式：至少具有按键控制和产品软件控制2种控制方式</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p>
          <w:p w14:paraId="204373BB">
            <w:pPr>
              <w:pStyle w:val="295"/>
              <w:keepNext w:val="0"/>
              <w:keepLines w:val="0"/>
              <w:pageBreakBefore w:val="0"/>
              <w:widowControl w:val="0"/>
              <w:numPr>
                <w:ilvl w:val="0"/>
                <w:numId w:val="0"/>
              </w:numPr>
              <w:bidi w:val="0"/>
              <w:ind w:left="0" w:firstLine="0"/>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15</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自测自动模式：可自动进行多次测量并计算平均值，测量次数支持至少2次自定义</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p>
          <w:p w14:paraId="0091944B">
            <w:pPr>
              <w:pStyle w:val="295"/>
              <w:keepNext w:val="0"/>
              <w:keepLines w:val="0"/>
              <w:pageBreakBefore w:val="0"/>
              <w:widowControl w:val="0"/>
              <w:numPr>
                <w:ilvl w:val="0"/>
                <w:numId w:val="0"/>
              </w:numPr>
              <w:bidi w:val="0"/>
              <w:ind w:left="0" w:firstLine="0"/>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16</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联网功能：可通过USB接口、WIFI联网、RJ45联网等方式进行联网；</w:t>
            </w:r>
          </w:p>
          <w:p w14:paraId="0BA76201">
            <w:pPr>
              <w:pStyle w:val="295"/>
              <w:keepNext w:val="0"/>
              <w:keepLines w:val="0"/>
              <w:pageBreakBefore w:val="0"/>
              <w:widowControl w:val="0"/>
              <w:numPr>
                <w:ilvl w:val="0"/>
                <w:numId w:val="0"/>
              </w:numPr>
              <w:bidi w:val="0"/>
              <w:ind w:left="0" w:firstLine="0"/>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17</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语音提示功能：真人语音播报操作指导、注意事项、测量结果以及设备状态提醒；</w:t>
            </w:r>
          </w:p>
          <w:p w14:paraId="3FB47B50">
            <w:pPr>
              <w:pStyle w:val="295"/>
              <w:keepNext w:val="0"/>
              <w:keepLines w:val="0"/>
              <w:pageBreakBefore w:val="0"/>
              <w:widowControl w:val="0"/>
              <w:numPr>
                <w:ilvl w:val="0"/>
                <w:numId w:val="0"/>
              </w:numPr>
              <w:bidi w:val="0"/>
              <w:ind w:left="0" w:firstLine="0"/>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18</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卷筒角度可调：可适应不同高度的人群进行正确姿势测量；</w:t>
            </w:r>
          </w:p>
          <w:p w14:paraId="5547CCAA">
            <w:pPr>
              <w:pStyle w:val="295"/>
              <w:keepNext w:val="0"/>
              <w:keepLines w:val="0"/>
              <w:pageBreakBefore w:val="0"/>
              <w:widowControl w:val="0"/>
              <w:numPr>
                <w:ilvl w:val="0"/>
                <w:numId w:val="0"/>
              </w:numPr>
              <w:bidi w:val="0"/>
              <w:ind w:left="0" w:firstLine="0"/>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19</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多外置接口开放：不需要借助工作站，血压计自身可直接连接扫码枪、身份证读卡器，实现病人信息快速录入；</w:t>
            </w:r>
          </w:p>
          <w:p w14:paraId="7423AE9C">
            <w:pPr>
              <w:pStyle w:val="295"/>
              <w:keepNext w:val="0"/>
              <w:keepLines w:val="0"/>
              <w:pageBreakBefore w:val="0"/>
              <w:widowControl w:val="0"/>
              <w:numPr>
                <w:ilvl w:val="0"/>
                <w:numId w:val="0"/>
              </w:numPr>
              <w:bidi w:val="0"/>
              <w:ind w:left="0" w:firstLine="0"/>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20</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热敏打印机：热敏打印机打印测量结果，具有多种打印模式支持用户选择</w:t>
            </w:r>
            <w:r>
              <w:rPr>
                <w:rFonts w:hint="eastAsia" w:ascii="宋体" w:hAnsi="宋体" w:cs="宋体"/>
                <w:b w:val="0"/>
                <w:bCs w:val="0"/>
                <w:color w:val="000000" w:themeColor="text1"/>
                <w:sz w:val="21"/>
                <w:szCs w:val="21"/>
                <w:highlight w:val="none"/>
                <w:lang w:eastAsia="zh-CN"/>
                <w14:textFill>
                  <w14:solidFill>
                    <w14:schemeClr w14:val="tx1"/>
                  </w14:solidFill>
                </w14:textFill>
              </w:rPr>
              <w:t>。</w:t>
            </w:r>
          </w:p>
        </w:tc>
      </w:tr>
      <w:tr w14:paraId="74B657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96" w:hRule="atLeast"/>
        </w:trPr>
        <w:tc>
          <w:tcPr>
            <w:tcW w:w="531" w:type="dxa"/>
            <w:noWrap w:val="0"/>
            <w:vAlign w:val="center"/>
          </w:tcPr>
          <w:p w14:paraId="43BC0DE1">
            <w:pPr>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5</w:t>
            </w:r>
          </w:p>
        </w:tc>
        <w:tc>
          <w:tcPr>
            <w:tcW w:w="753" w:type="dxa"/>
            <w:noWrap w:val="0"/>
            <w:vAlign w:val="center"/>
          </w:tcPr>
          <w:p w14:paraId="3FAF0351">
            <w:pPr>
              <w:keepNext w:val="0"/>
              <w:keepLines w:val="0"/>
              <w:widowControl/>
              <w:suppressLineNumbers w:val="0"/>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i w:val="0"/>
                <w:iCs w:val="0"/>
                <w:color w:val="000000" w:themeColor="text1"/>
                <w:sz w:val="21"/>
                <w:szCs w:val="21"/>
                <w:highlight w:val="none"/>
                <w:u w:val="none"/>
                <w:lang w:val="en-US" w:eastAsia="zh-CN" w:bidi="ar"/>
                <w14:textFill>
                  <w14:solidFill>
                    <w14:schemeClr w14:val="tx1"/>
                  </w14:solidFill>
                </w14:textFill>
              </w:rPr>
              <w:t>超声波身高体重测量仪</w:t>
            </w:r>
          </w:p>
        </w:tc>
        <w:tc>
          <w:tcPr>
            <w:tcW w:w="756" w:type="dxa"/>
            <w:noWrap w:val="0"/>
            <w:vAlign w:val="center"/>
          </w:tcPr>
          <w:p w14:paraId="7A5D73DC">
            <w:pPr>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w:t>
            </w:r>
            <w:r>
              <w:rPr>
                <w:rFonts w:hint="eastAsia" w:ascii="宋体" w:hAnsi="宋体" w:cs="宋体"/>
                <w:color w:val="000000" w:themeColor="text1"/>
                <w:sz w:val="21"/>
                <w:szCs w:val="21"/>
                <w:highlight w:val="none"/>
                <w:vertAlign w:val="baseline"/>
                <w:lang w:val="en-US" w:eastAsia="zh-CN"/>
                <w14:textFill>
                  <w14:solidFill>
                    <w14:schemeClr w14:val="tx1"/>
                  </w14:solidFill>
                </w14:textFill>
              </w:rPr>
              <w:t>台</w:t>
            </w:r>
          </w:p>
        </w:tc>
        <w:tc>
          <w:tcPr>
            <w:tcW w:w="1056" w:type="dxa"/>
            <w:noWrap w:val="0"/>
            <w:vAlign w:val="center"/>
          </w:tcPr>
          <w:p w14:paraId="232C3677">
            <w:pPr>
              <w:jc w:val="center"/>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vertAlign w:val="baseline"/>
                <w:lang w:val="en-US" w:eastAsia="zh-CN"/>
                <w14:textFill>
                  <w14:solidFill>
                    <w14:schemeClr w14:val="tx1"/>
                  </w14:solidFill>
                </w14:textFill>
              </w:rPr>
              <w:t>1.5</w:t>
            </w:r>
          </w:p>
        </w:tc>
        <w:tc>
          <w:tcPr>
            <w:tcW w:w="5971" w:type="dxa"/>
            <w:noWrap w:val="0"/>
          </w:tcPr>
          <w:p w14:paraId="1B8A869E">
            <w:pPr>
              <w:pStyle w:val="295"/>
              <w:keepNext w:val="0"/>
              <w:keepLines w:val="0"/>
              <w:pageBreakBefore w:val="0"/>
              <w:widowControl w:val="0"/>
              <w:numPr>
                <w:ilvl w:val="0"/>
                <w:numId w:val="0"/>
              </w:numPr>
              <w:bidi w:val="0"/>
              <w:ind w:left="0" w:firstLine="0"/>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t>1.技术参数</w:t>
            </w:r>
          </w:p>
          <w:p w14:paraId="766BCB57">
            <w:pPr>
              <w:pStyle w:val="295"/>
              <w:keepNext w:val="0"/>
              <w:keepLines w:val="0"/>
              <w:pageBreakBefore w:val="0"/>
              <w:widowControl w:val="0"/>
              <w:numPr>
                <w:ilvl w:val="0"/>
                <w:numId w:val="0"/>
              </w:numPr>
              <w:bidi w:val="0"/>
              <w:ind w:left="0" w:firstLine="0"/>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t>1.1电源：电压AC220V，频率50Hz</w:t>
            </w:r>
            <w:r>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t>；</w:t>
            </w:r>
          </w:p>
          <w:p w14:paraId="0FD0637F">
            <w:pPr>
              <w:pStyle w:val="295"/>
              <w:keepNext w:val="0"/>
              <w:keepLines w:val="0"/>
              <w:pageBreakBefore w:val="0"/>
              <w:widowControl w:val="0"/>
              <w:numPr>
                <w:ilvl w:val="0"/>
                <w:numId w:val="0"/>
              </w:numPr>
              <w:bidi w:val="0"/>
              <w:ind w:left="0" w:firstLine="0"/>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t>1.2使用环境：温度范围：+10℃～+40℃； 湿度范围20%RH～85%RH（无冷凝）</w:t>
            </w:r>
            <w:r>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t>；</w:t>
            </w:r>
          </w:p>
          <w:p w14:paraId="1311180D">
            <w:pPr>
              <w:pStyle w:val="295"/>
              <w:keepNext w:val="0"/>
              <w:keepLines w:val="0"/>
              <w:pageBreakBefore w:val="0"/>
              <w:widowControl w:val="0"/>
              <w:numPr>
                <w:ilvl w:val="0"/>
                <w:numId w:val="0"/>
              </w:numPr>
              <w:bidi w:val="0"/>
              <w:ind w:left="0" w:firstLine="0"/>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t>1.3保存环境：通风良好</w:t>
            </w:r>
            <w:r>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t>；</w:t>
            </w:r>
          </w:p>
          <w:p w14:paraId="627493B0">
            <w:pPr>
              <w:pStyle w:val="295"/>
              <w:keepNext w:val="0"/>
              <w:keepLines w:val="0"/>
              <w:pageBreakBefore w:val="0"/>
              <w:widowControl w:val="0"/>
              <w:numPr>
                <w:ilvl w:val="0"/>
                <w:numId w:val="0"/>
              </w:numPr>
              <w:bidi w:val="0"/>
              <w:ind w:left="0" w:firstLine="0"/>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t>1.4身高测量范围</w:t>
            </w:r>
            <w:r>
              <w:rPr>
                <w:rFonts w:hint="eastAsia" w:ascii="宋体" w:hAnsi="宋体" w:cs="宋体"/>
                <w:b w:val="0"/>
                <w:bCs w:val="0"/>
                <w:color w:val="000000" w:themeColor="text1"/>
                <w:sz w:val="21"/>
                <w:szCs w:val="21"/>
                <w:highlight w:val="none"/>
                <w:lang w:val="en-US" w:eastAsia="zh-CN" w:bidi="ar-SA"/>
                <w14:textFill>
                  <w14:solidFill>
                    <w14:schemeClr w14:val="tx1"/>
                  </w14:solidFill>
                </w14:textFill>
              </w:rPr>
              <w:t>能达到</w:t>
            </w:r>
            <w:r>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t>： 70cm～200cm，分辨率</w:t>
            </w:r>
            <w:r>
              <w:rPr>
                <w:rFonts w:hint="eastAsia" w:ascii="宋体" w:hAnsi="宋体" w:cs="宋体"/>
                <w:b w:val="0"/>
                <w:bCs w:val="0"/>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t>0.1 cm，误差</w:t>
            </w:r>
            <w:r>
              <w:rPr>
                <w:rFonts w:hint="eastAsia" w:ascii="宋体" w:hAnsi="宋体" w:cs="宋体"/>
                <w:b w:val="0"/>
                <w:bCs w:val="0"/>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t>±0.5cm</w:t>
            </w:r>
            <w:r>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t>；</w:t>
            </w:r>
          </w:p>
          <w:p w14:paraId="55A10D68">
            <w:pPr>
              <w:pStyle w:val="295"/>
              <w:keepNext w:val="0"/>
              <w:keepLines w:val="0"/>
              <w:pageBreakBefore w:val="0"/>
              <w:widowControl w:val="0"/>
              <w:numPr>
                <w:ilvl w:val="0"/>
                <w:numId w:val="0"/>
              </w:numPr>
              <w:bidi w:val="0"/>
              <w:ind w:left="0" w:firstLine="0"/>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t>1.5体重测量范围</w:t>
            </w:r>
            <w:r>
              <w:rPr>
                <w:rFonts w:hint="eastAsia" w:ascii="宋体" w:hAnsi="宋体" w:cs="宋体"/>
                <w:b w:val="0"/>
                <w:bCs w:val="0"/>
                <w:color w:val="000000" w:themeColor="text1"/>
                <w:sz w:val="21"/>
                <w:szCs w:val="21"/>
                <w:highlight w:val="none"/>
                <w:lang w:val="en-US" w:eastAsia="zh-CN" w:bidi="ar-SA"/>
                <w14:textFill>
                  <w14:solidFill>
                    <w14:schemeClr w14:val="tx1"/>
                  </w14:solidFill>
                </w14:textFill>
              </w:rPr>
              <w:t>能达到</w:t>
            </w:r>
            <w:r>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t>： 2.5kg～200kg，误差</w:t>
            </w:r>
            <w:r>
              <w:rPr>
                <w:rFonts w:hint="eastAsia" w:ascii="宋体" w:hAnsi="宋体" w:cs="宋体"/>
                <w:b w:val="0"/>
                <w:bCs w:val="0"/>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t>±0.1kg</w:t>
            </w:r>
            <w:r>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t>；</w:t>
            </w:r>
          </w:p>
          <w:p w14:paraId="152A59C1">
            <w:pPr>
              <w:pStyle w:val="295"/>
              <w:keepNext w:val="0"/>
              <w:keepLines w:val="0"/>
              <w:pageBreakBefore w:val="0"/>
              <w:widowControl w:val="0"/>
              <w:numPr>
                <w:ilvl w:val="0"/>
                <w:numId w:val="0"/>
              </w:numPr>
              <w:bidi w:val="0"/>
              <w:ind w:left="0" w:firstLine="0"/>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t>2</w:t>
            </w:r>
            <w:r>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t>功能特性</w:t>
            </w:r>
          </w:p>
          <w:p w14:paraId="0CF32FE0">
            <w:pPr>
              <w:pStyle w:val="295"/>
              <w:keepNext w:val="0"/>
              <w:keepLines w:val="0"/>
              <w:pageBreakBefore w:val="0"/>
              <w:widowControl w:val="0"/>
              <w:numPr>
                <w:ilvl w:val="0"/>
                <w:numId w:val="0"/>
              </w:numPr>
              <w:bidi w:val="0"/>
              <w:ind w:left="0" w:firstLine="0"/>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t>2.1测量方式：手动﹑自动﹑遥控三种方式可随意选择</w:t>
            </w:r>
            <w:r>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t>；</w:t>
            </w:r>
          </w:p>
          <w:p w14:paraId="5A4FCA91">
            <w:pPr>
              <w:pStyle w:val="295"/>
              <w:keepNext w:val="0"/>
              <w:keepLines w:val="0"/>
              <w:pageBreakBefore w:val="0"/>
              <w:widowControl w:val="0"/>
              <w:numPr>
                <w:ilvl w:val="0"/>
                <w:numId w:val="0"/>
              </w:numPr>
              <w:bidi w:val="0"/>
              <w:ind w:left="0" w:firstLine="0"/>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t>2.2温度补偿功能：双温度传感器，具有温度补偿功能</w:t>
            </w:r>
            <w:r>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t>；</w:t>
            </w:r>
          </w:p>
          <w:p w14:paraId="21832D6C">
            <w:pPr>
              <w:pStyle w:val="295"/>
              <w:keepNext w:val="0"/>
              <w:keepLines w:val="0"/>
              <w:pageBreakBefore w:val="0"/>
              <w:widowControl w:val="0"/>
              <w:numPr>
                <w:ilvl w:val="0"/>
                <w:numId w:val="0"/>
              </w:numPr>
              <w:bidi w:val="0"/>
              <w:ind w:left="0" w:firstLine="0"/>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t>2.3称重传感器：采用高精度压力传感器，要求设备性能稳定、耐用，能提供精确的体重检测数据</w:t>
            </w:r>
            <w:r>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t>；</w:t>
            </w:r>
          </w:p>
          <w:p w14:paraId="11987C99">
            <w:pPr>
              <w:pStyle w:val="295"/>
              <w:keepNext w:val="0"/>
              <w:keepLines w:val="0"/>
              <w:pageBreakBefore w:val="0"/>
              <w:widowControl w:val="0"/>
              <w:numPr>
                <w:ilvl w:val="0"/>
                <w:numId w:val="0"/>
              </w:numPr>
              <w:bidi w:val="0"/>
              <w:ind w:left="0" w:firstLine="0"/>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t>2.4超声波探头:采用超声波传感器，</w:t>
            </w:r>
            <w:r>
              <w:rPr>
                <w:rFonts w:hint="eastAsia" w:ascii="宋体" w:hAnsi="宋体" w:cs="宋体"/>
                <w:b w:val="0"/>
                <w:bCs w:val="0"/>
                <w:color w:val="000000" w:themeColor="text1"/>
                <w:sz w:val="21"/>
                <w:szCs w:val="21"/>
                <w:highlight w:val="none"/>
                <w:lang w:val="en-US" w:eastAsia="zh-CN" w:bidi="ar-SA"/>
                <w14:textFill>
                  <w14:solidFill>
                    <w14:schemeClr w14:val="tx1"/>
                  </w14:solidFill>
                </w14:textFill>
              </w:rPr>
              <w:t>要求</w:t>
            </w:r>
            <w:r>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t>能提供精确的身高检测数据</w:t>
            </w:r>
            <w:r>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t>；</w:t>
            </w:r>
          </w:p>
          <w:p w14:paraId="29912E82">
            <w:pPr>
              <w:pStyle w:val="295"/>
              <w:keepNext w:val="0"/>
              <w:keepLines w:val="0"/>
              <w:pageBreakBefore w:val="0"/>
              <w:widowControl w:val="0"/>
              <w:numPr>
                <w:ilvl w:val="0"/>
                <w:numId w:val="0"/>
              </w:numPr>
              <w:bidi w:val="0"/>
              <w:ind w:left="0" w:firstLine="0"/>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t>2.5检测参数：可检测身高、体重，可计算BMI、体表面积、男性超重百分比、女性超重百分比</w:t>
            </w:r>
            <w:r>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t>；</w:t>
            </w:r>
          </w:p>
          <w:p w14:paraId="54EAA3A8">
            <w:pPr>
              <w:pStyle w:val="295"/>
              <w:keepNext w:val="0"/>
              <w:keepLines w:val="0"/>
              <w:pageBreakBefore w:val="0"/>
              <w:widowControl w:val="0"/>
              <w:numPr>
                <w:ilvl w:val="0"/>
                <w:numId w:val="0"/>
              </w:numPr>
              <w:bidi w:val="0"/>
              <w:ind w:left="0" w:firstLine="0"/>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t>2.6语音播报功能：可播报操作指导、注意事项、测量结果、异常提示，并可对播报内容进行选择设置</w:t>
            </w:r>
            <w:r>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t>；</w:t>
            </w:r>
          </w:p>
          <w:p w14:paraId="70F5DEE2">
            <w:pPr>
              <w:pStyle w:val="295"/>
              <w:keepNext w:val="0"/>
              <w:keepLines w:val="0"/>
              <w:pageBreakBefore w:val="0"/>
              <w:widowControl w:val="0"/>
              <w:numPr>
                <w:ilvl w:val="0"/>
                <w:numId w:val="0"/>
              </w:numPr>
              <w:bidi w:val="0"/>
              <w:ind w:left="0" w:firstLine="0"/>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t>2.7打印结果：可进行测量结果数值打印、条码打印、体重指数BMI参照表打印</w:t>
            </w:r>
            <w:r>
              <w:rPr>
                <w:rFonts w:hint="eastAsia" w:ascii="宋体" w:hAnsi="宋体" w:cs="宋体"/>
                <w:b w:val="0"/>
                <w:bCs w:val="0"/>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t>中国卫生行业标准（WS/T428-2013）参照表、WHO标准-2004参照表</w:t>
            </w:r>
            <w:r>
              <w:rPr>
                <w:rFonts w:hint="eastAsia" w:ascii="宋体" w:hAnsi="宋体" w:cs="宋体"/>
                <w:b w:val="0"/>
                <w:bCs w:val="0"/>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t>多种结果显示打印</w:t>
            </w:r>
            <w:r>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t>；</w:t>
            </w:r>
          </w:p>
          <w:p w14:paraId="589D66F3">
            <w:pPr>
              <w:pStyle w:val="295"/>
              <w:keepNext w:val="0"/>
              <w:keepLines w:val="0"/>
              <w:pageBreakBefore w:val="0"/>
              <w:widowControl w:val="0"/>
              <w:numPr>
                <w:ilvl w:val="0"/>
                <w:numId w:val="0"/>
              </w:numPr>
              <w:bidi w:val="0"/>
              <w:ind w:left="0" w:firstLine="0"/>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t>2.8离线保存测量结果：本机可保存</w:t>
            </w:r>
            <w:r>
              <w:rPr>
                <w:rFonts w:hint="eastAsia" w:ascii="宋体" w:hAnsi="宋体" w:cs="宋体"/>
                <w:b w:val="0"/>
                <w:bCs w:val="0"/>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t xml:space="preserve"> 2000例测量结果</w:t>
            </w:r>
            <w:r>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t>；</w:t>
            </w:r>
          </w:p>
          <w:p w14:paraId="0AA03CE0">
            <w:pPr>
              <w:pStyle w:val="295"/>
              <w:keepNext w:val="0"/>
              <w:keepLines w:val="0"/>
              <w:pageBreakBefore w:val="0"/>
              <w:widowControl w:val="0"/>
              <w:numPr>
                <w:ilvl w:val="0"/>
                <w:numId w:val="0"/>
              </w:numPr>
              <w:bidi w:val="0"/>
              <w:ind w:left="0" w:firstLine="0"/>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t>2.9网络直连功能：可通过网线、WI-FI等方式直接将设备的检测数据传输至医院各个网络系统，不</w:t>
            </w:r>
            <w:r>
              <w:rPr>
                <w:rFonts w:hint="eastAsia" w:ascii="宋体" w:hAnsi="宋体" w:cs="宋体"/>
                <w:b w:val="0"/>
                <w:bCs w:val="0"/>
                <w:color w:val="000000" w:themeColor="text1"/>
                <w:sz w:val="21"/>
                <w:szCs w:val="21"/>
                <w:highlight w:val="none"/>
                <w:lang w:val="en-US" w:eastAsia="zh-CN" w:bidi="ar-SA"/>
                <w14:textFill>
                  <w14:solidFill>
                    <w14:schemeClr w14:val="tx1"/>
                  </w14:solidFill>
                </w14:textFill>
              </w:rPr>
              <w:t>再</w:t>
            </w:r>
            <w:r>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t>需要单独传输至PC端，提升传输效率、节省医院成本</w:t>
            </w:r>
            <w:r>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t>；</w:t>
            </w:r>
          </w:p>
          <w:p w14:paraId="7E7A786E">
            <w:pPr>
              <w:pStyle w:val="295"/>
              <w:keepNext w:val="0"/>
              <w:keepLines w:val="0"/>
              <w:pageBreakBefore w:val="0"/>
              <w:widowControl w:val="0"/>
              <w:numPr>
                <w:ilvl w:val="0"/>
                <w:numId w:val="0"/>
              </w:numPr>
              <w:bidi w:val="0"/>
              <w:ind w:left="0" w:firstLine="0"/>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t>2.10多外置接口开放：可外接扫码枪、身份证读卡器，实现病人信息快速录入</w:t>
            </w:r>
            <w:r>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t>；</w:t>
            </w:r>
          </w:p>
          <w:p w14:paraId="113C23DF">
            <w:pPr>
              <w:pStyle w:val="295"/>
              <w:keepNext w:val="0"/>
              <w:keepLines w:val="0"/>
              <w:pageBreakBefore w:val="0"/>
              <w:widowControl w:val="0"/>
              <w:numPr>
                <w:ilvl w:val="0"/>
                <w:numId w:val="0"/>
              </w:numPr>
              <w:bidi w:val="0"/>
              <w:ind w:left="0" w:firstLine="0"/>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t>2.11可升降机身：通过上立柱伸缩轻松调节设备高度；</w:t>
            </w:r>
          </w:p>
          <w:p w14:paraId="11C29E55">
            <w:pPr>
              <w:pStyle w:val="295"/>
              <w:keepNext w:val="0"/>
              <w:keepLines w:val="0"/>
              <w:pageBreakBefore w:val="0"/>
              <w:widowControl w:val="0"/>
              <w:numPr>
                <w:ilvl w:val="0"/>
                <w:numId w:val="0"/>
              </w:numPr>
              <w:bidi w:val="0"/>
              <w:ind w:left="0" w:firstLine="0"/>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b w:val="0"/>
                <w:bCs w:val="0"/>
                <w:color w:val="000000" w:themeColor="text1"/>
                <w:sz w:val="21"/>
                <w:szCs w:val="21"/>
                <w:highlight w:val="none"/>
                <w:lang w:val="en-US" w:eastAsia="zh-CN" w:bidi="ar-SA"/>
                <w14:textFill>
                  <w14:solidFill>
                    <w14:schemeClr w14:val="tx1"/>
                  </w14:solidFill>
                </w14:textFill>
              </w:rPr>
              <w:t>2.12打印机功能：自动切纸的高速热敏蓝牙打印，打印功能开关可设置。</w:t>
            </w:r>
          </w:p>
        </w:tc>
      </w:tr>
      <w:tr w14:paraId="54AB53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96" w:hRule="atLeast"/>
        </w:trPr>
        <w:tc>
          <w:tcPr>
            <w:tcW w:w="531" w:type="dxa"/>
            <w:noWrap w:val="0"/>
            <w:vAlign w:val="center"/>
          </w:tcPr>
          <w:p w14:paraId="21C4B3C4">
            <w:pPr>
              <w:jc w:val="center"/>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6</w:t>
            </w:r>
          </w:p>
        </w:tc>
        <w:tc>
          <w:tcPr>
            <w:tcW w:w="753" w:type="dxa"/>
            <w:noWrap w:val="0"/>
            <w:vAlign w:val="center"/>
          </w:tcPr>
          <w:p w14:paraId="6B80673B">
            <w:pPr>
              <w:keepNext w:val="0"/>
              <w:keepLines w:val="0"/>
              <w:widowControl/>
              <w:suppressLineNumbers w:val="0"/>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i w:val="0"/>
                <w:iCs w:val="0"/>
                <w:color w:val="000000" w:themeColor="text1"/>
                <w:sz w:val="21"/>
                <w:szCs w:val="21"/>
                <w:highlight w:val="none"/>
                <w:u w:val="none"/>
                <w:lang w:val="en-US" w:eastAsia="zh-CN" w:bidi="ar"/>
                <w14:textFill>
                  <w14:solidFill>
                    <w14:schemeClr w14:val="tx1"/>
                  </w14:solidFill>
                </w14:textFill>
              </w:rPr>
              <w:t>动态心电图机</w:t>
            </w:r>
          </w:p>
        </w:tc>
        <w:tc>
          <w:tcPr>
            <w:tcW w:w="756" w:type="dxa"/>
            <w:noWrap w:val="0"/>
            <w:vAlign w:val="center"/>
          </w:tcPr>
          <w:p w14:paraId="2B2F2791">
            <w:pPr>
              <w:jc w:val="center"/>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vertAlign w:val="baseline"/>
                <w:lang w:val="en-US" w:eastAsia="zh-CN"/>
                <w14:textFill>
                  <w14:solidFill>
                    <w14:schemeClr w14:val="tx1"/>
                  </w14:solidFill>
                </w14:textFill>
              </w:rPr>
              <w:t>2台</w:t>
            </w:r>
          </w:p>
        </w:tc>
        <w:tc>
          <w:tcPr>
            <w:tcW w:w="1056" w:type="dxa"/>
            <w:noWrap w:val="0"/>
            <w:vAlign w:val="center"/>
          </w:tcPr>
          <w:p w14:paraId="3A0BC7D5">
            <w:pPr>
              <w:jc w:val="center"/>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7</w:t>
            </w:r>
          </w:p>
        </w:tc>
        <w:tc>
          <w:tcPr>
            <w:tcW w:w="5971" w:type="dxa"/>
            <w:noWrap w:val="0"/>
          </w:tcPr>
          <w:p w14:paraId="13447DE0">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12导数字式心电图机，支持12导心电图同步采集；</w:t>
            </w:r>
          </w:p>
          <w:p w14:paraId="1FBF53DD">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t>2</w:t>
            </w:r>
            <w:r>
              <w:rPr>
                <w:rFonts w:hint="eastAsia" w:ascii="宋体" w:hAnsi="宋体" w:eastAsia="宋体" w:cs="宋体"/>
                <w:b/>
                <w:bCs/>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t>交流滤波关闭情况下，共模抑制比：＞125dB</w:t>
            </w:r>
            <w:r>
              <w:rPr>
                <w:rFonts w:hint="eastAsia" w:ascii="宋体" w:hAnsi="宋体" w:eastAsia="宋体" w:cs="宋体"/>
                <w:b/>
                <w:bCs/>
                <w:color w:val="000000" w:themeColor="text1"/>
                <w:sz w:val="21"/>
                <w:szCs w:val="21"/>
                <w:highlight w:val="none"/>
                <w:lang w:val="en-US" w:eastAsia="zh-CN" w:bidi="ar-SA"/>
                <w14:textFill>
                  <w14:solidFill>
                    <w14:schemeClr w14:val="tx1"/>
                  </w14:solidFill>
                </w14:textFill>
              </w:rPr>
              <w:t>；</w:t>
            </w:r>
          </w:p>
          <w:p w14:paraId="6F52E262">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3</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定标电压：各档位灵敏度最大允许误差为±1%</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007D7458">
            <w:pPr>
              <w:pStyle w:val="295"/>
              <w:keepNext w:val="0"/>
              <w:keepLines w:val="0"/>
              <w:pageBreakBefore w:val="0"/>
              <w:widowControl w:val="0"/>
              <w:numPr>
                <w:ilvl w:val="0"/>
                <w:numId w:val="0"/>
              </w:numPr>
              <w:bidi w:val="0"/>
              <w:ind w:left="0" w:firstLine="0"/>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4</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噪声电平：≤10μVP-P</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01A16BCC">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5</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频响范围</w:t>
            </w:r>
            <w:r>
              <w:rPr>
                <w:rFonts w:hint="eastAsia" w:ascii="宋体" w:hAnsi="宋体" w:cs="宋体"/>
                <w:color w:val="000000" w:themeColor="text1"/>
                <w:sz w:val="21"/>
                <w:szCs w:val="21"/>
                <w:highlight w:val="none"/>
                <w:lang w:val="en-US" w:eastAsia="zh-CN" w:bidi="ar-SA"/>
                <w14:textFill>
                  <w14:solidFill>
                    <w14:schemeClr w14:val="tx1"/>
                  </w14:solidFill>
                </w14:textFill>
              </w:rPr>
              <w:t>能达到</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：0.01Hz~350Hz（-30%～+10%）</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61B449C2">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t>6</w:t>
            </w:r>
            <w:r>
              <w:rPr>
                <w:rFonts w:hint="eastAsia" w:ascii="宋体" w:hAnsi="宋体" w:eastAsia="宋体" w:cs="宋体"/>
                <w:b/>
                <w:bCs/>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t>时间常数：≥5s</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7A5BBA7E">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7</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心率测量范围</w:t>
            </w:r>
            <w:r>
              <w:rPr>
                <w:rFonts w:hint="eastAsia" w:ascii="宋体" w:hAnsi="宋体" w:cs="宋体"/>
                <w:color w:val="000000" w:themeColor="text1"/>
                <w:sz w:val="21"/>
                <w:szCs w:val="21"/>
                <w:highlight w:val="none"/>
                <w:lang w:val="en-US" w:eastAsia="zh-CN" w:bidi="ar-SA"/>
                <w14:textFill>
                  <w14:solidFill>
                    <w14:schemeClr w14:val="tx1"/>
                  </w14:solidFill>
                </w14:textFill>
              </w:rPr>
              <w:t>能达到</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：30bpm~300bpm</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73572C9B">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8</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增益要求：</w:t>
            </w:r>
            <w:r>
              <w:rPr>
                <w:rFonts w:hint="eastAsia" w:ascii="宋体" w:hAnsi="宋体" w:cs="宋体"/>
                <w:color w:val="000000" w:themeColor="text1"/>
                <w:sz w:val="21"/>
                <w:szCs w:val="21"/>
                <w:highlight w:val="none"/>
                <w:lang w:val="en-US" w:eastAsia="zh-CN" w:bidi="ar-SA"/>
                <w14:textFill>
                  <w14:solidFill>
                    <w14:schemeClr w14:val="tx1"/>
                  </w14:solidFill>
                </w14:textFill>
              </w:rPr>
              <w:t>包含</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2.5mm/mV、5mm/mV、10mm/mV、20mm/mV，增益准确度±1%</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5DDFA5FE">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9</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记录速度：支持50 mm/s、25mm/s和12.5mm/s三种记录速度，时间速度的精度应在土1%范围内</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50D4DDFC">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10</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具有在有起搏器脉冲的情况下显示心电图的能力，具备全导联起搏检测，准确识别起搏信号</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668EA432">
            <w:pPr>
              <w:pStyle w:val="295"/>
              <w:keepNext w:val="0"/>
              <w:keepLines w:val="0"/>
              <w:pageBreakBefore w:val="0"/>
              <w:widowControl w:val="0"/>
              <w:numPr>
                <w:ilvl w:val="0"/>
                <w:numId w:val="0"/>
              </w:numPr>
              <w:bidi w:val="0"/>
              <w:ind w:left="0" w:firstLine="0"/>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t>11</w:t>
            </w:r>
            <w:r>
              <w:rPr>
                <w:rFonts w:hint="eastAsia" w:ascii="宋体" w:hAnsi="宋体" w:eastAsia="宋体" w:cs="宋体"/>
                <w:b/>
                <w:bCs/>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t>心电图机支持批量下载预约记录功能，支持从心电网络系统获取预约的受检查者信息下发至心电图机并支持待检查列表显示，列表应包含检查姓名、性别、年龄等信息。【</w:t>
            </w:r>
            <w:r>
              <w:rPr>
                <w:rFonts w:hint="eastAsia" w:ascii="宋体" w:hAnsi="宋体" w:eastAsia="宋体" w:cs="宋体"/>
                <w:b/>
                <w:bCs/>
                <w:color w:val="000000" w:themeColor="text1"/>
                <w:sz w:val="21"/>
                <w:szCs w:val="21"/>
                <w:highlight w:val="none"/>
                <w:lang w:val="en-US" w:eastAsia="zh-CN" w:bidi="ar-SA"/>
                <w14:textFill>
                  <w14:solidFill>
                    <w14:schemeClr w14:val="tx1"/>
                  </w14:solidFill>
                </w14:textFill>
              </w:rPr>
              <w:t>投标文件中</w:t>
            </w:r>
            <w:r>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t>提供界面截图证明材料】</w:t>
            </w:r>
            <w:r>
              <w:rPr>
                <w:rFonts w:hint="eastAsia" w:ascii="宋体" w:hAnsi="宋体" w:eastAsia="宋体" w:cs="宋体"/>
                <w:b/>
                <w:bCs/>
                <w:color w:val="000000" w:themeColor="text1"/>
                <w:sz w:val="21"/>
                <w:szCs w:val="21"/>
                <w:highlight w:val="none"/>
                <w:lang w:val="en-US" w:eastAsia="zh-CN" w:bidi="ar-SA"/>
                <w14:textFill>
                  <w14:solidFill>
                    <w14:schemeClr w14:val="tx1"/>
                  </w14:solidFill>
                </w14:textFill>
              </w:rPr>
              <w:t>；</w:t>
            </w:r>
          </w:p>
          <w:p w14:paraId="4B7F6217">
            <w:pPr>
              <w:pStyle w:val="295"/>
              <w:keepNext w:val="0"/>
              <w:keepLines w:val="0"/>
              <w:pageBreakBefore w:val="0"/>
              <w:widowControl w:val="0"/>
              <w:numPr>
                <w:ilvl w:val="0"/>
                <w:numId w:val="0"/>
              </w:numPr>
              <w:bidi w:val="0"/>
              <w:ind w:left="0" w:firstLine="0"/>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t>▲12</w:t>
            </w:r>
            <w:r>
              <w:rPr>
                <w:rFonts w:hint="eastAsia" w:ascii="宋体" w:hAnsi="宋体" w:eastAsia="宋体" w:cs="宋体"/>
                <w:b/>
                <w:bCs/>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t>检查管理：具有加采新报告、上传数据、重新上传、加急、加采图谱、重采图谱、编辑删除查询、同步、批量上传心电图功能。【</w:t>
            </w:r>
            <w:r>
              <w:rPr>
                <w:rFonts w:hint="eastAsia" w:ascii="宋体" w:hAnsi="宋体" w:eastAsia="宋体" w:cs="宋体"/>
                <w:b/>
                <w:bCs/>
                <w:color w:val="000000" w:themeColor="text1"/>
                <w:sz w:val="21"/>
                <w:szCs w:val="21"/>
                <w:highlight w:val="none"/>
                <w:lang w:val="en-US" w:eastAsia="zh-CN" w:bidi="ar-SA"/>
                <w14:textFill>
                  <w14:solidFill>
                    <w14:schemeClr w14:val="tx1"/>
                  </w14:solidFill>
                </w14:textFill>
              </w:rPr>
              <w:t>投标文件中</w:t>
            </w:r>
            <w:r>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t>提供界面截图证明材料】</w:t>
            </w:r>
            <w:r>
              <w:rPr>
                <w:rFonts w:hint="eastAsia" w:ascii="宋体" w:hAnsi="宋体" w:eastAsia="宋体" w:cs="宋体"/>
                <w:b/>
                <w:bCs/>
                <w:color w:val="000000" w:themeColor="text1"/>
                <w:sz w:val="21"/>
                <w:szCs w:val="21"/>
                <w:highlight w:val="none"/>
                <w:lang w:val="en-US" w:eastAsia="zh-CN" w:bidi="ar-SA"/>
                <w14:textFill>
                  <w14:solidFill>
                    <w14:schemeClr w14:val="tx1"/>
                  </w14:solidFill>
                </w14:textFill>
              </w:rPr>
              <w:t>；</w:t>
            </w:r>
          </w:p>
          <w:p w14:paraId="368484B3">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13</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心电图机支持导联脱落、伪差、左右手接反、无法识别、心律失常波形的自动检测和提示功能</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214CA633">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14</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支持消息实时提醒功能，如危急报告提醒、诊断退回提醒、导联纠错提醒、诊断完成提醒</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6AF3A4CB">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15</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QTc参数测量：内置5种</w:t>
            </w:r>
            <w:r>
              <w:rPr>
                <w:rFonts w:hint="eastAsia" w:ascii="宋体" w:hAnsi="宋体" w:cs="宋体"/>
                <w:color w:val="000000" w:themeColor="text1"/>
                <w:sz w:val="21"/>
                <w:szCs w:val="21"/>
                <w:highlight w:val="none"/>
                <w:lang w:val="en-US" w:eastAsia="zh-CN" w:bidi="ar-SA"/>
                <w14:textFill>
                  <w14:solidFill>
                    <w14:schemeClr w14:val="tx1"/>
                  </w14:solidFill>
                </w14:textFill>
              </w:rPr>
              <w:t>及</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以上测量算法，QTc计算方法可通过系统设置调阅并设置</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75C78925">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16</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图谱采集具备自动记录功能，设置菜单中可设置图谱最小采集时长为10秒、20秒、30秒、1分钟、5分钟、10分钟、20分钟、30分钟或者10-1800秒中的任意时长</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7365F656">
            <w:pPr>
              <w:pStyle w:val="295"/>
              <w:keepNext w:val="0"/>
              <w:keepLines w:val="0"/>
              <w:pageBreakBefore w:val="0"/>
              <w:widowControl w:val="0"/>
              <w:numPr>
                <w:ilvl w:val="0"/>
                <w:numId w:val="0"/>
              </w:numPr>
              <w:bidi w:val="0"/>
              <w:ind w:left="0" w:firstLine="0"/>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t>▲17</w:t>
            </w:r>
            <w:r>
              <w:rPr>
                <w:rFonts w:hint="eastAsia" w:ascii="宋体" w:hAnsi="宋体" w:eastAsia="宋体" w:cs="宋体"/>
                <w:b/>
                <w:bCs/>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t>支持急性心肌梗塞等异常心电图的自动识别，并以弹窗或语音提醒方式提醒医患人员优先诊断</w:t>
            </w:r>
            <w:r>
              <w:rPr>
                <w:rFonts w:hint="eastAsia" w:ascii="宋体" w:hAnsi="宋体" w:eastAsia="宋体" w:cs="宋体"/>
                <w:b/>
                <w:bCs/>
                <w:color w:val="000000" w:themeColor="text1"/>
                <w:sz w:val="21"/>
                <w:szCs w:val="21"/>
                <w:highlight w:val="none"/>
                <w:lang w:val="en-US" w:eastAsia="zh-CN" w:bidi="ar-SA"/>
                <w14:textFill>
                  <w14:solidFill>
                    <w14:schemeClr w14:val="tx1"/>
                  </w14:solidFill>
                </w14:textFill>
              </w:rPr>
              <w:t>；</w:t>
            </w:r>
          </w:p>
          <w:p w14:paraId="6E2DF61B">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18</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记录测值包括：心率、电轴、P波时限、QRS时限、Q-T间期、P-R间期、QTc、T波、Rv5、Sv1等</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78F9B0EC">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t>19</w:t>
            </w:r>
            <w:r>
              <w:rPr>
                <w:rFonts w:hint="eastAsia" w:ascii="宋体" w:hAnsi="宋体" w:eastAsia="宋体" w:cs="宋体"/>
                <w:b/>
                <w:bCs/>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t>具备二维码导出图谱功能【投标文件中提供界面截图相关证明材料】</w:t>
            </w:r>
            <w:r>
              <w:rPr>
                <w:rFonts w:hint="eastAsia" w:ascii="宋体" w:hAnsi="宋体" w:eastAsia="宋体" w:cs="宋体"/>
                <w:b/>
                <w:bCs/>
                <w:color w:val="000000" w:themeColor="text1"/>
                <w:sz w:val="21"/>
                <w:szCs w:val="21"/>
                <w:highlight w:val="none"/>
                <w:lang w:val="en-US" w:eastAsia="zh-CN" w:bidi="ar-SA"/>
                <w14:textFill>
                  <w14:solidFill>
                    <w14:schemeClr w14:val="tx1"/>
                  </w14:solidFill>
                </w14:textFill>
              </w:rPr>
              <w:t>；</w:t>
            </w:r>
          </w:p>
          <w:p w14:paraId="09DC4E44">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20</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心电图机支持本地报告进行同屏对比</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3DF5B72C">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21</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心电图机具备报告分享功能</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66486B89">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22</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设备属于CF型防除颤类型，提供设备铭牌图片证明，具有CF型防除颤图标</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74ADD880">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t>23</w:t>
            </w:r>
            <w:r>
              <w:rPr>
                <w:rFonts w:hint="eastAsia" w:ascii="宋体" w:hAnsi="宋体" w:eastAsia="宋体" w:cs="宋体"/>
                <w:b/>
                <w:bCs/>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t>锂电池额定容量≥8000mAh，支持12小时</w:t>
            </w:r>
            <w:r>
              <w:rPr>
                <w:rFonts w:hint="eastAsia" w:ascii="宋体" w:hAnsi="宋体" w:cs="宋体"/>
                <w:b/>
                <w:bCs/>
                <w:color w:val="000000" w:themeColor="text1"/>
                <w:sz w:val="21"/>
                <w:szCs w:val="21"/>
                <w:highlight w:val="none"/>
                <w:lang w:val="en-US" w:eastAsia="zh-CN" w:bidi="ar-SA"/>
                <w14:textFill>
                  <w14:solidFill>
                    <w14:schemeClr w14:val="tx1"/>
                  </w14:solidFill>
                </w14:textFill>
              </w:rPr>
              <w:t>及</w:t>
            </w:r>
            <w:r>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t>以上连续工作【</w:t>
            </w:r>
            <w:r>
              <w:rPr>
                <w:rFonts w:hint="eastAsia" w:ascii="宋体" w:hAnsi="宋体" w:eastAsia="宋体" w:cs="宋体"/>
                <w:b/>
                <w:bCs/>
                <w:color w:val="000000" w:themeColor="text1"/>
                <w:sz w:val="21"/>
                <w:szCs w:val="21"/>
                <w:highlight w:val="none"/>
                <w:lang w:val="en-US" w:eastAsia="zh-CN" w:bidi="ar-SA"/>
                <w14:textFill>
                  <w14:solidFill>
                    <w14:schemeClr w14:val="tx1"/>
                  </w14:solidFill>
                </w14:textFill>
              </w:rPr>
              <w:t>投标文件中</w:t>
            </w:r>
            <w:r>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t>提供产品相关证明材料】</w:t>
            </w:r>
            <w:r>
              <w:rPr>
                <w:rFonts w:hint="eastAsia" w:ascii="宋体" w:hAnsi="宋体" w:eastAsia="宋体" w:cs="宋体"/>
                <w:b/>
                <w:bCs/>
                <w:color w:val="000000" w:themeColor="text1"/>
                <w:sz w:val="21"/>
                <w:szCs w:val="21"/>
                <w:highlight w:val="none"/>
                <w:lang w:val="en-US" w:eastAsia="zh-CN" w:bidi="ar-SA"/>
                <w14:textFill>
                  <w14:solidFill>
                    <w14:schemeClr w14:val="tx1"/>
                  </w14:solidFill>
                </w14:textFill>
              </w:rPr>
              <w:t>；</w:t>
            </w:r>
          </w:p>
          <w:p w14:paraId="30A50526">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24</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存储量：支持≥10000份心电数据存储</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7884A89E">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25</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支持外接激光打印机和身份证读卡器。</w:t>
            </w:r>
          </w:p>
          <w:p w14:paraId="1091301A">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cs="宋体"/>
                <w:color w:val="000000" w:themeColor="text1"/>
                <w:sz w:val="21"/>
                <w:szCs w:val="21"/>
                <w:highlight w:val="none"/>
                <w:lang w:val="en-US" w:eastAsia="zh-CN" w:bidi="ar-SA"/>
                <w14:textFill>
                  <w14:solidFill>
                    <w14:schemeClr w14:val="tx1"/>
                  </w14:solidFill>
                </w14:textFill>
              </w:rPr>
              <w:t>26.</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配置专用推车</w:t>
            </w:r>
            <w:r>
              <w:rPr>
                <w:rFonts w:hint="eastAsia" w:ascii="宋体" w:hAnsi="宋体" w:cs="宋体"/>
                <w:color w:val="000000" w:themeColor="text1"/>
                <w:sz w:val="21"/>
                <w:szCs w:val="21"/>
                <w:highlight w:val="none"/>
                <w:lang w:val="en-US" w:eastAsia="zh-CN" w:bidi="ar-SA"/>
                <w14:textFill>
                  <w14:solidFill>
                    <w14:schemeClr w14:val="tx1"/>
                  </w14:solidFill>
                </w14:textFill>
              </w:rPr>
              <w:t>。</w:t>
            </w:r>
          </w:p>
        </w:tc>
      </w:tr>
      <w:tr w14:paraId="6CDBFC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96" w:hRule="atLeast"/>
        </w:trPr>
        <w:tc>
          <w:tcPr>
            <w:tcW w:w="531" w:type="dxa"/>
            <w:noWrap w:val="0"/>
            <w:vAlign w:val="center"/>
          </w:tcPr>
          <w:p w14:paraId="202EE192">
            <w:pPr>
              <w:jc w:val="center"/>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7</w:t>
            </w:r>
          </w:p>
        </w:tc>
        <w:tc>
          <w:tcPr>
            <w:tcW w:w="753" w:type="dxa"/>
            <w:noWrap w:val="0"/>
            <w:vAlign w:val="center"/>
          </w:tcPr>
          <w:p w14:paraId="4410BDD2">
            <w:pPr>
              <w:keepNext w:val="0"/>
              <w:keepLines w:val="0"/>
              <w:widowControl/>
              <w:suppressLineNumbers w:val="0"/>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i w:val="0"/>
                <w:iCs w:val="0"/>
                <w:color w:val="000000" w:themeColor="text1"/>
                <w:sz w:val="21"/>
                <w:szCs w:val="21"/>
                <w:highlight w:val="none"/>
                <w:u w:val="none"/>
                <w:lang w:val="en-US" w:eastAsia="zh-CN" w:bidi="ar"/>
                <w14:textFill>
                  <w14:solidFill>
                    <w14:schemeClr w14:val="tx1"/>
                  </w14:solidFill>
                </w14:textFill>
              </w:rPr>
              <w:t>心电监护仪</w:t>
            </w:r>
          </w:p>
        </w:tc>
        <w:tc>
          <w:tcPr>
            <w:tcW w:w="756" w:type="dxa"/>
            <w:noWrap w:val="0"/>
            <w:vAlign w:val="center"/>
          </w:tcPr>
          <w:p w14:paraId="0F067093">
            <w:pPr>
              <w:jc w:val="center"/>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vertAlign w:val="baseline"/>
                <w:lang w:val="en-US" w:eastAsia="zh-CN"/>
                <w14:textFill>
                  <w14:solidFill>
                    <w14:schemeClr w14:val="tx1"/>
                  </w14:solidFill>
                </w14:textFill>
              </w:rPr>
              <w:t>5台</w:t>
            </w:r>
          </w:p>
        </w:tc>
        <w:tc>
          <w:tcPr>
            <w:tcW w:w="1056" w:type="dxa"/>
            <w:noWrap w:val="0"/>
            <w:vAlign w:val="center"/>
          </w:tcPr>
          <w:p w14:paraId="4A1C1160">
            <w:pPr>
              <w:jc w:val="center"/>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11.5</w:t>
            </w:r>
          </w:p>
        </w:tc>
        <w:tc>
          <w:tcPr>
            <w:tcW w:w="5971" w:type="dxa"/>
            <w:noWrap w:val="0"/>
          </w:tcPr>
          <w:p w14:paraId="7C3CEE1A">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w:t>
            </w:r>
            <w:r>
              <w:rPr>
                <w:rFonts w:hint="eastAsia" w:ascii="宋体" w:hAnsi="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整机要求：</w:t>
            </w:r>
          </w:p>
          <w:p w14:paraId="40088C75">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1.1一体化便携监护仪，整机无风扇设计</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6FE8DF88">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1.2配置提手</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 </w:t>
            </w:r>
          </w:p>
          <w:p w14:paraId="71E810B1">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1.3不小于12英寸彩色液晶触摸屏，分辨率</w:t>
            </w:r>
            <w:r>
              <w:rPr>
                <w:rFonts w:hint="eastAsia" w:ascii="宋体" w:hAnsi="宋体" w:cs="宋体"/>
                <w:color w:val="000000" w:themeColor="text1"/>
                <w:sz w:val="21"/>
                <w:szCs w:val="21"/>
                <w:highlight w:val="none"/>
                <w:lang w:val="en-US" w:eastAsia="zh-CN" w:bidi="ar-SA"/>
                <w14:textFill>
                  <w14:solidFill>
                    <w14:schemeClr w14:val="tx1"/>
                  </w14:solidFill>
                </w14:textFill>
              </w:rPr>
              <w:t>能达到</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1280*800像素或更高，≥8通道波形显示</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12DFC85B">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1.4屏幕采用最新电容屏非电阻屏</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75BD6058">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1.5显示屏可支持亮度自动调节功能</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565C08CB">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1.6屏幕倾斜10~15度设计</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37597ABF">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1.8内置锂电池，插槽式设计，无需螺丝刀工具支持快速拆卸和安装</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5D082332">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1.9安全规格：ECG, TEMP, IBP, SpO₂, NIBP监测参数抗电击程度为防除颤CF型</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5194037E">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1.10监护仪设计使用年限≥10年</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13054EC2">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1.11监护仪清洁维护支持的清洁剂≥40种</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6A7329F8">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1.15防水等级≥IPX2</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49CD5FCF">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1.16整机抗跌落设计通过0.75米6面跌落测试</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43155880">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w:t>
            </w:r>
            <w:r>
              <w:rPr>
                <w:rFonts w:hint="eastAsia" w:ascii="宋体" w:hAnsi="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监测参数：</w:t>
            </w:r>
          </w:p>
          <w:p w14:paraId="76EF408C">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2.1配置3/5导心电，呼吸，无创血压，血氧饱和度，脉搏和双通道体温参数监测</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742BFEB3">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2.2心电监护支持心率，ST段测量，心律失常分析，QT/QTc连续实时测量和对应报警功能</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1FF65B75">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2.3心电算法通过AHA/MIT-BIH数据库验证</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12412143">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2.4心电波形扫描速度支持6.25mm/s、12.5 mm/s、25 mm/s和50 mm/s</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3C808046">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2.5提供窗口支持心脏下壁，侧壁和前壁对应多个ST片段的同屏实时显示</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53FA0E3E">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2.6支持不少于20种心律失常分析,包括房颤分析</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0C6AC0BA">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2.7QT和QTc实时监测参数测量范围</w:t>
            </w:r>
            <w:r>
              <w:rPr>
                <w:rFonts w:hint="eastAsia" w:ascii="宋体" w:hAnsi="宋体" w:cs="宋体"/>
                <w:color w:val="000000" w:themeColor="text1"/>
                <w:sz w:val="21"/>
                <w:szCs w:val="21"/>
                <w:highlight w:val="none"/>
                <w:lang w:val="en-US" w:eastAsia="zh-CN" w:bidi="ar-SA"/>
                <w14:textFill>
                  <w14:solidFill>
                    <w14:schemeClr w14:val="tx1"/>
                  </w14:solidFill>
                </w14:textFill>
              </w:rPr>
              <w:t>能达到</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：200～800 ms</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06E8C5FE">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2.8支持升级提供过去24小时心电概览报告查看与打印，包括心率统计结果，心律失常统计结果，ST统计和QT/QTc统计结果</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6DD68C43">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2.9提供SpO₂,PR和PI参数的实时监测，</w:t>
            </w:r>
            <w:r>
              <w:rPr>
                <w:rFonts w:hint="eastAsia" w:ascii="宋体" w:hAnsi="宋体" w:cs="宋体"/>
                <w:color w:val="000000" w:themeColor="text1"/>
                <w:sz w:val="21"/>
                <w:szCs w:val="21"/>
                <w:highlight w:val="none"/>
                <w:lang w:val="en-US" w:eastAsia="zh-CN" w:bidi="ar-SA"/>
                <w14:textFill>
                  <w14:solidFill>
                    <w14:schemeClr w14:val="tx1"/>
                  </w14:solidFill>
                </w14:textFill>
              </w:rPr>
              <w:t>要求</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适用于成人，小儿和新生儿</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6368F1E4">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2.10支持指套式血氧探头，≥IPX7防水等级，支持液体浸泡消毒和清洁</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537515C2">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2.11配置无创血压测量，</w:t>
            </w:r>
            <w:r>
              <w:rPr>
                <w:rFonts w:hint="eastAsia" w:ascii="宋体" w:hAnsi="宋体" w:cs="宋体"/>
                <w:color w:val="000000" w:themeColor="text1"/>
                <w:sz w:val="21"/>
                <w:szCs w:val="21"/>
                <w:highlight w:val="none"/>
                <w:lang w:val="en-US" w:eastAsia="zh-CN" w:bidi="ar-SA"/>
                <w14:textFill>
                  <w14:solidFill>
                    <w14:schemeClr w14:val="tx1"/>
                  </w14:solidFill>
                </w14:textFill>
              </w:rPr>
              <w:t>要求</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适用于成人，小儿和新生儿</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2AE817E9">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2.12提供手动，自动，连续和序列4种测量模式，并提供24小时血压统计结果，</w:t>
            </w:r>
            <w:r>
              <w:rPr>
                <w:rFonts w:hint="eastAsia" w:ascii="宋体" w:hAnsi="宋体" w:cs="宋体"/>
                <w:color w:val="000000" w:themeColor="text1"/>
                <w:sz w:val="21"/>
                <w:szCs w:val="21"/>
                <w:highlight w:val="none"/>
                <w:lang w:val="en-US" w:eastAsia="zh-CN" w:bidi="ar-SA"/>
                <w14:textFill>
                  <w14:solidFill>
                    <w14:schemeClr w14:val="tx1"/>
                  </w14:solidFill>
                </w14:textFill>
              </w:rPr>
              <w:t>要求</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满足临床应用</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7FB75F0F">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2.13无创血压成人测量范围</w:t>
            </w:r>
            <w:r>
              <w:rPr>
                <w:rFonts w:hint="eastAsia" w:ascii="宋体" w:hAnsi="宋体" w:cs="宋体"/>
                <w:color w:val="000000" w:themeColor="text1"/>
                <w:sz w:val="21"/>
                <w:szCs w:val="21"/>
                <w:highlight w:val="none"/>
                <w:lang w:val="en-US" w:eastAsia="zh-CN" w:bidi="ar-SA"/>
                <w14:textFill>
                  <w14:solidFill>
                    <w14:schemeClr w14:val="tx1"/>
                  </w14:solidFill>
                </w14:textFill>
              </w:rPr>
              <w:t>能达到</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：收缩压25~290mmHg，舒张压10~250mmHg，平均压15~260mmHg</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5EE8BB82">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2.14提供辅助静脉穿刺功能。</w:t>
            </w:r>
          </w:p>
          <w:p w14:paraId="38A673D9">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3</w:t>
            </w:r>
            <w:r>
              <w:rPr>
                <w:rFonts w:hint="eastAsia" w:ascii="宋体" w:hAnsi="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系统功能：</w:t>
            </w:r>
          </w:p>
          <w:p w14:paraId="31707552">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3.1支持所有监测参数报警限一键自动设置功能，满足医护团队快速管理患者报警需求，产品用户手册提供报警限自动设置规则</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67BEA60F">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3.2支持肾功能计算功能</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135CDF1E">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3.3具有图形化技术报警指示功能</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423C7814">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3.4支持≥120小时趋势图和趋势表回顾，支持选择不同趋势组回顾</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73E30FC3">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3.5≥1000条事件回顾。每条报警事件至少能够存储32秒三道相关波形，以及报警触发时所有测量参数值</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39E49AC9">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3.6≥1000组NIBP测量结果</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28576503">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3.7≥120小时（分辨率1分钟）ST模板存储与回顾</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13AD03AA">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3.8支持24小时全息波形的存储与回顾功能</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01D9F979">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3.9支持监护仪历史病人数据的存储和回顾，并支持通过USB接口将历史病人数据导出到U盘</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624E518F">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3.10支持监护仪进入夜间模式，隐私模式，演示模式和待机模式</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40046173">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3.11提供心肌缺血评估工具，可以查看ST值的变化</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06827BE3">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3.12提供计时器功能，界面区提供设置≥4个计时器，每个计时器支持独立设置和计时功能，计时方向包括正计时和倒计时两种选择</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5CF6DA73">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3.13动态趋势界面可支持统计1-24小时心律失常报警、参数超限报警信息，并对超限报警区间的波形进行高亮显示</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03DDB974">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3.14</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投标文件中</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提供屏幕截图功能，将屏幕截图通过USB接口导出到U盘。</w:t>
            </w:r>
          </w:p>
        </w:tc>
      </w:tr>
      <w:tr w14:paraId="0493B1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96" w:hRule="atLeast"/>
        </w:trPr>
        <w:tc>
          <w:tcPr>
            <w:tcW w:w="531" w:type="dxa"/>
            <w:noWrap w:val="0"/>
            <w:vAlign w:val="center"/>
          </w:tcPr>
          <w:p w14:paraId="314DC32C">
            <w:pPr>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8</w:t>
            </w:r>
          </w:p>
        </w:tc>
        <w:tc>
          <w:tcPr>
            <w:tcW w:w="753" w:type="dxa"/>
            <w:noWrap w:val="0"/>
            <w:vAlign w:val="center"/>
          </w:tcPr>
          <w:p w14:paraId="295CAAFB">
            <w:pPr>
              <w:keepNext w:val="0"/>
              <w:keepLines w:val="0"/>
              <w:widowControl/>
              <w:suppressLineNumbers w:val="0"/>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i w:val="0"/>
                <w:iCs w:val="0"/>
                <w:color w:val="000000" w:themeColor="text1"/>
                <w:sz w:val="21"/>
                <w:szCs w:val="21"/>
                <w:highlight w:val="none"/>
                <w:u w:val="none"/>
                <w:lang w:val="en-US" w:eastAsia="zh-CN" w:bidi="ar"/>
                <w14:textFill>
                  <w14:solidFill>
                    <w14:schemeClr w14:val="tx1"/>
                  </w14:solidFill>
                </w14:textFill>
              </w:rPr>
              <w:t>高流量饱和吸氧器</w:t>
            </w:r>
          </w:p>
        </w:tc>
        <w:tc>
          <w:tcPr>
            <w:tcW w:w="756" w:type="dxa"/>
            <w:noWrap w:val="0"/>
            <w:vAlign w:val="center"/>
          </w:tcPr>
          <w:p w14:paraId="00082B31">
            <w:pPr>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vertAlign w:val="baseline"/>
                <w:lang w:val="en-US" w:eastAsia="zh-CN"/>
                <w14:textFill>
                  <w14:solidFill>
                    <w14:schemeClr w14:val="tx1"/>
                  </w14:solidFill>
                </w14:textFill>
              </w:rPr>
              <w:t>2台</w:t>
            </w:r>
          </w:p>
        </w:tc>
        <w:tc>
          <w:tcPr>
            <w:tcW w:w="1056" w:type="dxa"/>
            <w:noWrap w:val="0"/>
            <w:vAlign w:val="center"/>
          </w:tcPr>
          <w:p w14:paraId="637F105E">
            <w:pPr>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10</w:t>
            </w:r>
          </w:p>
        </w:tc>
        <w:tc>
          <w:tcPr>
            <w:tcW w:w="5971" w:type="dxa"/>
            <w:noWrap w:val="0"/>
          </w:tcPr>
          <w:p w14:paraId="5221A0DE">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具备鼻导管吸氧、面罩一级吸氧、雾化一级吸氧、高流量一级吸氧、高流量饱和吸氧、高流量饱和吸氧联合一级吸氧、高流量饱和吸氧联合雾化吸氧</w:t>
            </w:r>
            <w:r>
              <w:rPr>
                <w:rFonts w:hint="eastAsia" w:ascii="宋体" w:hAnsi="宋体" w:cs="宋体"/>
                <w:color w:val="000000" w:themeColor="text1"/>
                <w:sz w:val="21"/>
                <w:szCs w:val="21"/>
                <w:highlight w:val="none"/>
                <w:lang w:val="en-US" w:eastAsia="zh-CN" w:bidi="ar-SA"/>
                <w14:textFill>
                  <w14:solidFill>
                    <w14:schemeClr w14:val="tx1"/>
                  </w14:solidFill>
                </w14:textFill>
              </w:rPr>
              <w:t>等</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七种吸氧模式</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463C51A0">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氧气插头设备端为螺纹口</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28B67561">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3.氧源压力：工作压力</w:t>
            </w:r>
            <w:r>
              <w:rPr>
                <w:rFonts w:hint="eastAsia" w:ascii="宋体" w:hAnsi="宋体" w:cs="宋体"/>
                <w:color w:val="000000" w:themeColor="text1"/>
                <w:sz w:val="21"/>
                <w:szCs w:val="21"/>
                <w:highlight w:val="none"/>
                <w:lang w:val="en-US" w:eastAsia="zh-CN" w:bidi="ar-SA"/>
                <w14:textFill>
                  <w14:solidFill>
                    <w14:schemeClr w14:val="tx1"/>
                  </w14:solidFill>
                </w14:textFill>
              </w:rPr>
              <w:t>能达到</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0.1～0.5MPa。</w:t>
            </w:r>
          </w:p>
          <w:p w14:paraId="5EA7C971">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4.储氧缓冲罐：容量应≥600 ml，并配备压力安全阀，预防压力过高而导致氧气泄露</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0CB7866D">
            <w:pPr>
              <w:pStyle w:val="295"/>
              <w:keepNext w:val="0"/>
              <w:keepLines w:val="0"/>
              <w:pageBreakBefore w:val="0"/>
              <w:widowControl w:val="0"/>
              <w:numPr>
                <w:ilvl w:val="0"/>
                <w:numId w:val="0"/>
              </w:numPr>
              <w:bidi w:val="0"/>
              <w:ind w:left="0" w:firstLine="0"/>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5.呼吸调节器吸氧阻力：应≤300 Pa</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7B9B8817">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6. 提供一级吸氧、高流量饱和吸氧两种患者连接接口，可单独使用或者联合使用</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2B403BF0">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7.高流量饱和吸氧：确保只有吸气时才会有氧气流出（即按需供氧），呼气时氧气调节器自动关闭，不会造成氧气的浪费</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6A8545C2">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8.侧面湿化瓶连接口：可连接湿化瓶实现高流量湿化吸氧</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013E1D38">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9. 外观与结构：氧气吸入器</w:t>
            </w:r>
            <w:r>
              <w:rPr>
                <w:rFonts w:hint="eastAsia" w:ascii="宋体" w:hAnsi="宋体" w:cs="宋体"/>
                <w:color w:val="000000" w:themeColor="text1"/>
                <w:sz w:val="21"/>
                <w:szCs w:val="21"/>
                <w:highlight w:val="none"/>
                <w:lang w:val="en-US" w:eastAsia="zh-CN" w:bidi="ar-SA"/>
                <w14:textFill>
                  <w14:solidFill>
                    <w14:schemeClr w14:val="tx1"/>
                  </w14:solidFill>
                </w14:textFill>
              </w:rPr>
              <w:t>要求</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表面光洁、平整，色泽均匀。不得有开裂、划痕等缺陷</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5C33452A">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10. 吸氧插座：配备标准(国标)氧气接口，可连接中心供氧接口、氧气罐接口和制氧机接口</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 </w:t>
            </w:r>
          </w:p>
          <w:p w14:paraId="7A34532D">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11.一级吸氧及饱和吸氧流量计标配</w:t>
            </w:r>
            <w:r>
              <w:rPr>
                <w:rFonts w:hint="eastAsia" w:ascii="宋体" w:hAnsi="宋体" w:cs="宋体"/>
                <w:color w:val="000000" w:themeColor="text1"/>
                <w:sz w:val="21"/>
                <w:szCs w:val="21"/>
                <w:highlight w:val="none"/>
                <w:lang w:val="en-US" w:eastAsia="zh-CN" w:bidi="ar-SA"/>
                <w14:textFill>
                  <w14:solidFill>
                    <w14:schemeClr w14:val="tx1"/>
                  </w14:solidFill>
                </w14:textFill>
              </w:rPr>
              <w:t>能达到</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 0—30L/min量程</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 </w:t>
            </w:r>
          </w:p>
          <w:p w14:paraId="1D632631">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12. 治疗时间提示功能：可预设单次治疗时间，到时自动提醒</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7C61BC98">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13.高流量饱和吸氧器主机与移动支架之间采取滑动拆卸,螺钉固定</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 </w:t>
            </w:r>
          </w:p>
          <w:p w14:paraId="007B98D0">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14.移动支架:</w:t>
            </w:r>
            <w:r>
              <w:rPr>
                <w:rFonts w:hint="eastAsia" w:ascii="宋体" w:hAnsi="宋体" w:cs="宋体"/>
                <w:color w:val="000000" w:themeColor="text1"/>
                <w:sz w:val="21"/>
                <w:szCs w:val="21"/>
                <w:highlight w:val="none"/>
                <w:lang w:val="en-US" w:eastAsia="zh-CN" w:bidi="ar-SA"/>
                <w14:textFill>
                  <w14:solidFill>
                    <w14:schemeClr w14:val="tx1"/>
                  </w14:solidFill>
                </w14:textFill>
              </w:rPr>
              <w:t>要求能方便</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在病房内移动设备，高度</w:t>
            </w:r>
            <w:r>
              <w:rPr>
                <w:rFonts w:hint="eastAsia" w:ascii="宋体" w:hAnsi="宋体" w:cs="宋体"/>
                <w:color w:val="000000" w:themeColor="text1"/>
                <w:sz w:val="21"/>
                <w:szCs w:val="21"/>
                <w:highlight w:val="none"/>
                <w:lang w:val="en-US" w:eastAsia="zh-CN" w:bidi="ar-SA"/>
                <w14:textFill>
                  <w14:solidFill>
                    <w14:schemeClr w14:val="tx1"/>
                  </w14:solidFill>
                </w14:textFill>
              </w:rPr>
              <w:t>要求</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适宜，</w:t>
            </w:r>
            <w:r>
              <w:rPr>
                <w:rFonts w:hint="eastAsia" w:ascii="宋体" w:hAnsi="宋体" w:cs="宋体"/>
                <w:color w:val="000000" w:themeColor="text1"/>
                <w:sz w:val="21"/>
                <w:szCs w:val="21"/>
                <w:highlight w:val="none"/>
                <w:lang w:val="en-US" w:eastAsia="zh-CN" w:bidi="ar-SA"/>
                <w14:textFill>
                  <w14:solidFill>
                    <w14:schemeClr w14:val="tx1"/>
                  </w14:solidFill>
                </w14:textFill>
              </w:rPr>
              <w:t>要求</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底座</w:t>
            </w:r>
            <w:r>
              <w:rPr>
                <w:rFonts w:hint="eastAsia" w:ascii="宋体" w:hAnsi="宋体" w:cs="宋体"/>
                <w:color w:val="000000" w:themeColor="text1"/>
                <w:sz w:val="21"/>
                <w:szCs w:val="21"/>
                <w:highlight w:val="none"/>
                <w:lang w:val="en-US" w:eastAsia="zh-CN" w:bidi="ar-SA"/>
                <w14:textFill>
                  <w14:solidFill>
                    <w14:schemeClr w14:val="tx1"/>
                  </w14:solidFill>
                </w14:textFill>
              </w:rPr>
              <w:t>为</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万向轮 ,到位后可以固定防止滑动</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tc>
      </w:tr>
      <w:tr w14:paraId="46C5FB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8" w:hRule="atLeast"/>
        </w:trPr>
        <w:tc>
          <w:tcPr>
            <w:tcW w:w="531" w:type="dxa"/>
            <w:noWrap w:val="0"/>
            <w:vAlign w:val="center"/>
          </w:tcPr>
          <w:p w14:paraId="78BFEB0C">
            <w:pPr>
              <w:jc w:val="cente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9</w:t>
            </w:r>
          </w:p>
        </w:tc>
        <w:tc>
          <w:tcPr>
            <w:tcW w:w="753" w:type="dxa"/>
            <w:noWrap w:val="0"/>
            <w:vAlign w:val="center"/>
          </w:tcPr>
          <w:p w14:paraId="59244EF1">
            <w:pPr>
              <w:keepNext w:val="0"/>
              <w:keepLines w:val="0"/>
              <w:widowControl/>
              <w:suppressLineNumbers w:val="0"/>
              <w:jc w:val="center"/>
              <w:rPr>
                <w:rFonts w:hint="eastAsia" w:ascii="宋体" w:hAnsi="宋体" w:eastAsia="宋体" w:cs="宋体"/>
                <w:b w:val="0"/>
                <w:bCs w:val="0"/>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多功能牵引治疗仪</w:t>
            </w:r>
          </w:p>
        </w:tc>
        <w:tc>
          <w:tcPr>
            <w:tcW w:w="756" w:type="dxa"/>
            <w:noWrap w:val="0"/>
            <w:vAlign w:val="center"/>
          </w:tcPr>
          <w:p w14:paraId="65C6E34C">
            <w:pPr>
              <w:jc w:val="cente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w:t>
            </w:r>
            <w:r>
              <w:rPr>
                <w:rFonts w:hint="eastAsia" w:ascii="宋体" w:hAnsi="宋体" w:cs="宋体"/>
                <w:color w:val="000000" w:themeColor="text1"/>
                <w:sz w:val="21"/>
                <w:szCs w:val="21"/>
                <w:highlight w:val="none"/>
                <w:vertAlign w:val="baseline"/>
                <w:lang w:val="en-US" w:eastAsia="zh-CN"/>
                <w14:textFill>
                  <w14:solidFill>
                    <w14:schemeClr w14:val="tx1"/>
                  </w14:solidFill>
                </w14:textFill>
              </w:rPr>
              <w:t>台</w:t>
            </w:r>
          </w:p>
        </w:tc>
        <w:tc>
          <w:tcPr>
            <w:tcW w:w="1056" w:type="dxa"/>
            <w:noWrap w:val="0"/>
            <w:vAlign w:val="center"/>
          </w:tcPr>
          <w:p w14:paraId="0A3F7C12">
            <w:pPr>
              <w:jc w:val="center"/>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4.5</w:t>
            </w:r>
          </w:p>
        </w:tc>
        <w:tc>
          <w:tcPr>
            <w:tcW w:w="5971" w:type="dxa"/>
            <w:noWrap w:val="0"/>
          </w:tcPr>
          <w:p w14:paraId="2C096E26">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1.电源：AC220V±22V 50Hz±1Hz </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       </w:t>
            </w:r>
          </w:p>
          <w:p w14:paraId="504DB731">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2.额定输入功率：</w:t>
            </w:r>
            <w:r>
              <w:rPr>
                <w:rFonts w:hint="eastAsia" w:ascii="宋体" w:hAnsi="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 240VA </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                   </w:t>
            </w:r>
          </w:p>
          <w:p w14:paraId="22E5E656">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3.腰椎牵引行程：0～200mm，允差±10%</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3B6AB2C1">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4.腰椎牵引力：0～980N（0～99kg）可设定，不大于200N时，允差±10%；200N～980N时，允差为±20%</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5460CC88">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5.腰椎牵引总时间：0～99min可设定，级差1min，允差为±30s</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12B488BE">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6.牵引持续时间：0～9min可设定，级差1min，允差为±30s</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432C7805">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7.牵引间歇时间：≤90s（0～90s可设定），级差10s，允差为±30s</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6E7DE1A2">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8.腰椎上下成角：-30°～+10°的范围内设定，级差1°，允差为±2°</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098F4820">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9.腰椎左右旋转：-25°～+25°的范围内设定，级差1°，允差为±2°</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0F10A56E">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10.腰椎左右平摆：-20°～+20°的范围内设定，级差1°，允差为±2°</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xml:space="preserve"> </w:t>
            </w:r>
          </w:p>
          <w:p w14:paraId="3BA2C25E">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11.具有纵向牵引、上下成角牵引、左右旋转牵引、左右平摆牵引四维牵引功能</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46E3A26C">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w:t>
            </w:r>
            <w:r>
              <w:rPr>
                <w:rFonts w:hint="eastAsia" w:ascii="宋体" w:hAnsi="宋体" w:cs="宋体"/>
                <w:color w:val="000000" w:themeColor="text1"/>
                <w:sz w:val="21"/>
                <w:szCs w:val="21"/>
                <w:highlight w:val="none"/>
                <w:lang w:val="en-US" w:eastAsia="zh-CN" w:bidi="ar-SA"/>
                <w14:textFill>
                  <w14:solidFill>
                    <w14:schemeClr w14:val="tx1"/>
                  </w14:solidFill>
                </w14:textFill>
              </w:rPr>
              <w:t>2</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.具有两套操作系统，一种是电脑配备操作软件，一种是数码显示板按键操作</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4D160EAE">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w:t>
            </w:r>
            <w:r>
              <w:rPr>
                <w:rFonts w:hint="eastAsia" w:ascii="宋体" w:hAnsi="宋体" w:cs="宋体"/>
                <w:color w:val="000000" w:themeColor="text1"/>
                <w:sz w:val="21"/>
                <w:szCs w:val="21"/>
                <w:highlight w:val="none"/>
                <w:lang w:val="en-US" w:eastAsia="zh-CN" w:bidi="ar-SA"/>
                <w14:textFill>
                  <w14:solidFill>
                    <w14:schemeClr w14:val="tx1"/>
                  </w14:solidFill>
                </w14:textFill>
              </w:rPr>
              <w:t>3</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.腰椎牵引力具备正向自动补偿功能</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36EBA666">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w:t>
            </w:r>
            <w:r>
              <w:rPr>
                <w:rFonts w:hint="eastAsia" w:ascii="宋体" w:hAnsi="宋体" w:cs="宋体"/>
                <w:color w:val="000000" w:themeColor="text1"/>
                <w:sz w:val="21"/>
                <w:szCs w:val="21"/>
                <w:highlight w:val="none"/>
                <w:lang w:val="en-US" w:eastAsia="zh-CN" w:bidi="ar-SA"/>
                <w14:textFill>
                  <w14:solidFill>
                    <w14:schemeClr w14:val="tx1"/>
                  </w14:solidFill>
                </w14:textFill>
              </w:rPr>
              <w:t>4</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.具有持续牵引、间歇牵引、上下阶梯式牵引及反复牵引等牵引模式</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0D719454">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w:t>
            </w:r>
            <w:r>
              <w:rPr>
                <w:rFonts w:hint="eastAsia" w:ascii="宋体" w:hAnsi="宋体" w:cs="宋体"/>
                <w:color w:val="000000" w:themeColor="text1"/>
                <w:sz w:val="21"/>
                <w:szCs w:val="21"/>
                <w:highlight w:val="none"/>
                <w:lang w:val="en-US" w:eastAsia="zh-CN" w:bidi="ar-SA"/>
                <w14:textFill>
                  <w14:solidFill>
                    <w14:schemeClr w14:val="tx1"/>
                  </w14:solidFill>
                </w14:textFill>
              </w:rPr>
              <w:t>5</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.具有手动应急放松安全保护功能</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2BCE5546">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w:t>
            </w:r>
            <w:r>
              <w:rPr>
                <w:rFonts w:hint="eastAsia" w:ascii="宋体" w:hAnsi="宋体" w:cs="宋体"/>
                <w:color w:val="000000" w:themeColor="text1"/>
                <w:sz w:val="21"/>
                <w:szCs w:val="21"/>
                <w:highlight w:val="none"/>
                <w:lang w:val="en-US" w:eastAsia="zh-CN" w:bidi="ar-SA"/>
                <w14:textFill>
                  <w14:solidFill>
                    <w14:schemeClr w14:val="tx1"/>
                  </w14:solidFill>
                </w14:textFill>
              </w:rPr>
              <w:t>6</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w:t>
            </w:r>
            <w:r>
              <w:rPr>
                <w:rFonts w:hint="eastAsia" w:ascii="宋体" w:hAnsi="宋体" w:cs="宋体"/>
                <w:color w:val="000000" w:themeColor="text1"/>
                <w:sz w:val="21"/>
                <w:szCs w:val="21"/>
                <w:highlight w:val="none"/>
                <w:lang w:val="en-US" w:eastAsia="zh-CN" w:bidi="ar-SA"/>
                <w14:textFill>
                  <w14:solidFill>
                    <w14:schemeClr w14:val="tx1"/>
                  </w14:solidFill>
                </w14:textFill>
              </w:rPr>
              <w:t>要求具备</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独立的电脑显示操作台</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37F9183D">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w:t>
            </w:r>
            <w:r>
              <w:rPr>
                <w:rFonts w:hint="eastAsia" w:ascii="宋体" w:hAnsi="宋体" w:cs="宋体"/>
                <w:color w:val="000000" w:themeColor="text1"/>
                <w:sz w:val="21"/>
                <w:szCs w:val="21"/>
                <w:highlight w:val="none"/>
                <w:lang w:val="en-US" w:eastAsia="zh-CN" w:bidi="ar-SA"/>
                <w14:textFill>
                  <w14:solidFill>
                    <w14:schemeClr w14:val="tx1"/>
                  </w14:solidFill>
                </w14:textFill>
              </w:rPr>
              <w:t>7</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.具有病历档案的存储功能</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56B3CCCB">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w:t>
            </w:r>
            <w:r>
              <w:rPr>
                <w:rFonts w:hint="eastAsia" w:ascii="宋体" w:hAnsi="宋体" w:cs="宋体"/>
                <w:color w:val="000000" w:themeColor="text1"/>
                <w:sz w:val="21"/>
                <w:szCs w:val="21"/>
                <w:highlight w:val="none"/>
                <w:lang w:val="en-US" w:eastAsia="zh-CN" w:bidi="ar-SA"/>
                <w14:textFill>
                  <w14:solidFill>
                    <w14:schemeClr w14:val="tx1"/>
                  </w14:solidFill>
                </w14:textFill>
              </w:rPr>
              <w:t>8</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.配有可靠的测力传感器，在治疗过程中及时跟踪显示牵引力的变化</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31176625">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cs="宋体"/>
                <w:color w:val="000000" w:themeColor="text1"/>
                <w:sz w:val="21"/>
                <w:szCs w:val="21"/>
                <w:highlight w:val="none"/>
                <w:lang w:val="en-US" w:eastAsia="zh-CN" w:bidi="ar-SA"/>
                <w14:textFill>
                  <w14:solidFill>
                    <w14:schemeClr w14:val="tx1"/>
                  </w14:solidFill>
                </w14:textFill>
              </w:rPr>
              <w:t>19</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 牵引床在运行时的噪声不大于60dB(A)</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3BB2B761">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w:t>
            </w:r>
            <w:r>
              <w:rPr>
                <w:rFonts w:hint="eastAsia" w:ascii="宋体" w:hAnsi="宋体" w:cs="宋体"/>
                <w:color w:val="000000" w:themeColor="text1"/>
                <w:sz w:val="21"/>
                <w:szCs w:val="21"/>
                <w:highlight w:val="none"/>
                <w:lang w:val="en-US" w:eastAsia="zh-CN" w:bidi="ar-SA"/>
                <w14:textFill>
                  <w14:solidFill>
                    <w14:schemeClr w14:val="tx1"/>
                  </w14:solidFill>
                </w14:textFill>
              </w:rPr>
              <w:t>0</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.颈椎牵引行程：≥300mm，允差为±10%</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62CD617F">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w:t>
            </w:r>
            <w:r>
              <w:rPr>
                <w:rFonts w:hint="eastAsia" w:ascii="宋体" w:hAnsi="宋体" w:cs="宋体"/>
                <w:color w:val="000000" w:themeColor="text1"/>
                <w:sz w:val="21"/>
                <w:szCs w:val="21"/>
                <w:highlight w:val="none"/>
                <w:lang w:val="en-US" w:eastAsia="zh-CN" w:bidi="ar-SA"/>
                <w14:textFill>
                  <w14:solidFill>
                    <w14:schemeClr w14:val="tx1"/>
                  </w14:solidFill>
                </w14:textFill>
              </w:rPr>
              <w:t>1</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颈椎牵引速度：7mm/s±2mm/s</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33729860">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w:t>
            </w:r>
            <w:r>
              <w:rPr>
                <w:rFonts w:hint="eastAsia" w:ascii="宋体" w:hAnsi="宋体" w:cs="宋体"/>
                <w:color w:val="000000" w:themeColor="text1"/>
                <w:sz w:val="21"/>
                <w:szCs w:val="21"/>
                <w:highlight w:val="none"/>
                <w:lang w:val="en-US" w:eastAsia="zh-CN" w:bidi="ar-SA"/>
                <w14:textFill>
                  <w14:solidFill>
                    <w14:schemeClr w14:val="tx1"/>
                  </w14:solidFill>
                </w14:textFill>
              </w:rPr>
              <w:t>2</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配备电动装置，牵引力大小以患者耐受程度为宜</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164506EE">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w:t>
            </w:r>
            <w:r>
              <w:rPr>
                <w:rFonts w:hint="eastAsia" w:ascii="宋体" w:hAnsi="宋体" w:cs="宋体"/>
                <w:color w:val="000000" w:themeColor="text1"/>
                <w:sz w:val="21"/>
                <w:szCs w:val="21"/>
                <w:highlight w:val="none"/>
                <w:lang w:val="en-US" w:eastAsia="zh-CN" w:bidi="ar-SA"/>
                <w14:textFill>
                  <w14:solidFill>
                    <w14:schemeClr w14:val="tx1"/>
                  </w14:solidFill>
                </w14:textFill>
              </w:rPr>
              <w:t>3</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颈椎牵引时间</w:t>
            </w:r>
            <w:r>
              <w:rPr>
                <w:rFonts w:hint="eastAsia" w:ascii="宋体" w:hAnsi="宋体" w:cs="宋体"/>
                <w:color w:val="000000" w:themeColor="text1"/>
                <w:sz w:val="21"/>
                <w:szCs w:val="21"/>
                <w:highlight w:val="none"/>
                <w:lang w:val="en-US" w:eastAsia="zh-CN" w:bidi="ar-SA"/>
                <w14:textFill>
                  <w14:solidFill>
                    <w14:schemeClr w14:val="tx1"/>
                  </w14:solidFill>
                </w14:textFill>
              </w:rPr>
              <w:t>能由</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医生自定</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4A4BC5D2">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w:t>
            </w:r>
            <w:r>
              <w:rPr>
                <w:rFonts w:hint="eastAsia" w:ascii="宋体" w:hAnsi="宋体" w:cs="宋体"/>
                <w:color w:val="000000" w:themeColor="text1"/>
                <w:sz w:val="21"/>
                <w:szCs w:val="21"/>
                <w:highlight w:val="none"/>
                <w:lang w:val="en-US" w:eastAsia="zh-CN" w:bidi="ar-SA"/>
                <w14:textFill>
                  <w14:solidFill>
                    <w14:schemeClr w14:val="tx1"/>
                  </w14:solidFill>
                </w14:textFill>
              </w:rPr>
              <w:t>4</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采用直线传动装置伸缩电机</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01E4016E">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w:t>
            </w:r>
            <w:r>
              <w:rPr>
                <w:rFonts w:hint="eastAsia" w:ascii="宋体" w:hAnsi="宋体" w:cs="宋体"/>
                <w:color w:val="000000" w:themeColor="text1"/>
                <w:sz w:val="21"/>
                <w:szCs w:val="21"/>
                <w:highlight w:val="none"/>
                <w:lang w:val="en-US" w:eastAsia="zh-CN" w:bidi="ar-SA"/>
                <w14:textFill>
                  <w14:solidFill>
                    <w14:schemeClr w14:val="tx1"/>
                  </w14:solidFill>
                </w14:textFill>
              </w:rPr>
              <w:t>5</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通过手动控制器实现颈椎持续牵引、间歇牵引、反复牵引及牵引力补偿功能</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2DA5C4EF">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w:t>
            </w:r>
            <w:r>
              <w:rPr>
                <w:rFonts w:hint="eastAsia" w:ascii="宋体" w:hAnsi="宋体" w:cs="宋体"/>
                <w:color w:val="000000" w:themeColor="text1"/>
                <w:sz w:val="21"/>
                <w:szCs w:val="21"/>
                <w:highlight w:val="none"/>
                <w:lang w:val="en-US" w:eastAsia="zh-CN" w:bidi="ar-SA"/>
                <w14:textFill>
                  <w14:solidFill>
                    <w14:schemeClr w14:val="tx1"/>
                  </w14:solidFill>
                </w14:textFill>
              </w:rPr>
              <w:t>6</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颈椎牵引曲度可以调节</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7EEA42A5">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w:t>
            </w:r>
            <w:r>
              <w:rPr>
                <w:rFonts w:hint="eastAsia" w:ascii="宋体" w:hAnsi="宋体" w:cs="宋体"/>
                <w:color w:val="000000" w:themeColor="text1"/>
                <w:sz w:val="21"/>
                <w:szCs w:val="21"/>
                <w:highlight w:val="none"/>
                <w:lang w:val="en-US" w:eastAsia="zh-CN" w:bidi="ar-SA"/>
                <w14:textFill>
                  <w14:solidFill>
                    <w14:schemeClr w14:val="tx1"/>
                  </w14:solidFill>
                </w14:textFill>
              </w:rPr>
              <w:t>7</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牵引架承受力≥300N,持续拉力30min应无变形</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79799F7E">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w:t>
            </w:r>
            <w:r>
              <w:rPr>
                <w:rFonts w:hint="eastAsia" w:ascii="宋体" w:hAnsi="宋体" w:cs="宋体"/>
                <w:color w:val="000000" w:themeColor="text1"/>
                <w:sz w:val="21"/>
                <w:szCs w:val="21"/>
                <w:highlight w:val="none"/>
                <w:lang w:val="en-US" w:eastAsia="zh-CN" w:bidi="ar-SA"/>
                <w14:textFill>
                  <w14:solidFill>
                    <w14:schemeClr w14:val="tx1"/>
                  </w14:solidFill>
                </w14:textFill>
              </w:rPr>
              <w:t>8</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颈椎牵引套承受力≥300N，持续拉力30min应无开口、开线和断裂</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63B7D251">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cs="宋体"/>
                <w:color w:val="000000" w:themeColor="text1"/>
                <w:sz w:val="21"/>
                <w:szCs w:val="21"/>
                <w:highlight w:val="none"/>
                <w:lang w:val="en-US" w:eastAsia="zh-CN" w:bidi="ar-SA"/>
                <w14:textFill>
                  <w14:solidFill>
                    <w14:schemeClr w14:val="tx1"/>
                  </w14:solidFill>
                </w14:textFill>
              </w:rPr>
              <w:t>29</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颈椎牵引运行噪音不大于60dB（A）</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16460E90">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3</w:t>
            </w:r>
            <w:r>
              <w:rPr>
                <w:rFonts w:hint="eastAsia" w:ascii="宋体" w:hAnsi="宋体" w:cs="宋体"/>
                <w:color w:val="000000" w:themeColor="text1"/>
                <w:sz w:val="21"/>
                <w:szCs w:val="21"/>
                <w:highlight w:val="none"/>
                <w:lang w:val="en-US" w:eastAsia="zh-CN" w:bidi="ar-SA"/>
                <w14:textFill>
                  <w14:solidFill>
                    <w14:schemeClr w14:val="tx1"/>
                  </w14:solidFill>
                </w14:textFill>
              </w:rPr>
              <w:t>0</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颈椎牵引具有手控器</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7F27A032">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3</w:t>
            </w:r>
            <w:r>
              <w:rPr>
                <w:rFonts w:hint="eastAsia" w:ascii="宋体" w:hAnsi="宋体" w:cs="宋体"/>
                <w:color w:val="000000" w:themeColor="text1"/>
                <w:sz w:val="21"/>
                <w:szCs w:val="21"/>
                <w:highlight w:val="none"/>
                <w:lang w:val="en-US" w:eastAsia="zh-CN" w:bidi="ar-SA"/>
                <w14:textFill>
                  <w14:solidFill>
                    <w14:schemeClr w14:val="tx1"/>
                  </w14:solidFill>
                </w14:textFill>
              </w:rPr>
              <w:t>1</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产品使用年限:≥10年</w:t>
            </w:r>
            <w:r>
              <w:rPr>
                <w:rFonts w:hint="eastAsia" w:ascii="宋体" w:hAnsi="宋体" w:cs="宋体"/>
                <w:color w:val="000000" w:themeColor="text1"/>
                <w:sz w:val="21"/>
                <w:szCs w:val="21"/>
                <w:highlight w:val="none"/>
                <w:lang w:val="en-US" w:eastAsia="zh-CN" w:bidi="ar-SA"/>
                <w14:textFill>
                  <w14:solidFill>
                    <w14:schemeClr w14:val="tx1"/>
                  </w14:solidFill>
                </w14:textFill>
              </w:rPr>
              <w:t>。</w:t>
            </w:r>
          </w:p>
        </w:tc>
      </w:tr>
      <w:tr w14:paraId="6BBC2D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59" w:hRule="atLeast"/>
        </w:trPr>
        <w:tc>
          <w:tcPr>
            <w:tcW w:w="531" w:type="dxa"/>
            <w:noWrap w:val="0"/>
            <w:vAlign w:val="center"/>
          </w:tcPr>
          <w:p w14:paraId="79EA7B4D">
            <w:pPr>
              <w:jc w:val="center"/>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10</w:t>
            </w:r>
          </w:p>
        </w:tc>
        <w:tc>
          <w:tcPr>
            <w:tcW w:w="753" w:type="dxa"/>
            <w:noWrap w:val="0"/>
            <w:vAlign w:val="center"/>
          </w:tcPr>
          <w:p w14:paraId="71CEC062">
            <w:pPr>
              <w:keepNext w:val="0"/>
              <w:keepLines w:val="0"/>
              <w:widowControl/>
              <w:suppressLineNumbers w:val="0"/>
              <w:jc w:val="center"/>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火针装置</w:t>
            </w:r>
          </w:p>
        </w:tc>
        <w:tc>
          <w:tcPr>
            <w:tcW w:w="756" w:type="dxa"/>
            <w:noWrap w:val="0"/>
            <w:vAlign w:val="center"/>
          </w:tcPr>
          <w:p w14:paraId="70210C1D">
            <w:pPr>
              <w:jc w:val="center"/>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w:t>
            </w:r>
            <w:r>
              <w:rPr>
                <w:rFonts w:hint="eastAsia" w:ascii="宋体" w:hAnsi="宋体" w:cs="宋体"/>
                <w:color w:val="000000" w:themeColor="text1"/>
                <w:sz w:val="21"/>
                <w:szCs w:val="21"/>
                <w:highlight w:val="none"/>
                <w:vertAlign w:val="baseline"/>
                <w:lang w:val="en-US" w:eastAsia="zh-CN"/>
                <w14:textFill>
                  <w14:solidFill>
                    <w14:schemeClr w14:val="tx1"/>
                  </w14:solidFill>
                </w14:textFill>
              </w:rPr>
              <w:t>台</w:t>
            </w:r>
          </w:p>
        </w:tc>
        <w:tc>
          <w:tcPr>
            <w:tcW w:w="1056" w:type="dxa"/>
            <w:noWrap w:val="0"/>
            <w:vAlign w:val="center"/>
          </w:tcPr>
          <w:p w14:paraId="0FFC3CF1">
            <w:pPr>
              <w:jc w:val="center"/>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3.7</w:t>
            </w:r>
          </w:p>
        </w:tc>
        <w:tc>
          <w:tcPr>
            <w:tcW w:w="5971" w:type="dxa"/>
            <w:noWrap w:val="0"/>
            <w:vAlign w:val="top"/>
          </w:tcPr>
          <w:p w14:paraId="0C75EF58">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cs="宋体"/>
                <w:color w:val="000000" w:themeColor="text1"/>
                <w:sz w:val="21"/>
                <w:szCs w:val="21"/>
                <w:highlight w:val="none"/>
                <w:lang w:val="en-US" w:eastAsia="zh-CN" w:bidi="ar-SA"/>
                <w14:textFill>
                  <w14:solidFill>
                    <w14:schemeClr w14:val="tx1"/>
                  </w14:solidFill>
                </w14:textFill>
              </w:rPr>
              <w:t>1.</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执行标准</w:t>
            </w:r>
          </w:p>
          <w:p w14:paraId="5E8C5F7D">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1.1设备安全应符合 GB 9706.1-2020《医用电气设备 第1部分:基本安全和基本性能的通用要求》</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5BECED23">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1.2 设备电磁兼容应符合 YY 9706.102-2021《医用电气设备 电磁兼容 要求和试验》</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245160A4">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1.3 火针针具可参考 T/CAAM 0001-2022《火针》的相关要求</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1FCEAAA7">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1.4 投标产品</w:t>
            </w:r>
            <w:r>
              <w:rPr>
                <w:rFonts w:hint="eastAsia" w:ascii="宋体" w:hAnsi="宋体" w:cs="宋体"/>
                <w:color w:val="000000" w:themeColor="text1"/>
                <w:sz w:val="21"/>
                <w:szCs w:val="21"/>
                <w:highlight w:val="none"/>
                <w:lang w:val="en-US" w:eastAsia="zh-CN" w:bidi="ar-SA"/>
                <w14:textFill>
                  <w14:solidFill>
                    <w14:schemeClr w14:val="tx1"/>
                  </w14:solidFill>
                </w14:textFill>
              </w:rPr>
              <w:t>供货时</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提供有效的</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国家认可的具有资质的</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第三方检测</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机构出具的检测</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报告</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4093CC80">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cs="宋体"/>
                <w:color w:val="000000" w:themeColor="text1"/>
                <w:sz w:val="21"/>
                <w:szCs w:val="21"/>
                <w:highlight w:val="none"/>
                <w:lang w:val="en-US" w:eastAsia="zh-CN" w:bidi="ar-SA"/>
                <w14:textFill>
                  <w14:solidFill>
                    <w14:schemeClr w14:val="tx1"/>
                  </w14:solidFill>
                </w14:textFill>
              </w:rPr>
              <w:t>2.</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技术规格和要求</w:t>
            </w:r>
          </w:p>
          <w:p w14:paraId="2C689B9C">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2.</w:t>
            </w:r>
            <w:r>
              <w:rPr>
                <w:rFonts w:hint="eastAsia" w:ascii="宋体" w:hAnsi="宋体" w:cs="宋体"/>
                <w:color w:val="000000" w:themeColor="text1"/>
                <w:sz w:val="21"/>
                <w:szCs w:val="21"/>
                <w:highlight w:val="none"/>
                <w:lang w:val="en-US" w:eastAsia="zh-CN" w:bidi="ar-SA"/>
                <w14:textFill>
                  <w14:solidFill>
                    <w14:schemeClr w14:val="tx1"/>
                  </w14:solidFill>
                </w14:textFill>
              </w:rPr>
              <w:t>1</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火针装置工作状态下工作温度为650℃，允差+15%;</w:t>
            </w:r>
          </w:p>
          <w:p w14:paraId="3CBA1711">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cs="宋体"/>
                <w:color w:val="000000" w:themeColor="text1"/>
                <w:sz w:val="21"/>
                <w:szCs w:val="21"/>
                <w:highlight w:val="none"/>
                <w:lang w:val="en-US" w:eastAsia="zh-CN" w:bidi="ar-SA"/>
                <w14:textFill>
                  <w14:solidFill>
                    <w14:schemeClr w14:val="tx1"/>
                  </w14:solidFill>
                </w14:textFill>
              </w:rPr>
              <w:t>2.2</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火针装置具有针刺深度调节功能，进针深度0-15mm可调;</w:t>
            </w:r>
          </w:p>
          <w:p w14:paraId="09C9265D">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cs="宋体"/>
                <w:color w:val="000000" w:themeColor="text1"/>
                <w:sz w:val="21"/>
                <w:szCs w:val="21"/>
                <w:highlight w:val="none"/>
                <w:lang w:val="en-US" w:eastAsia="zh-CN" w:bidi="ar-SA"/>
                <w14:textFill>
                  <w14:solidFill>
                    <w14:schemeClr w14:val="tx1"/>
                  </w14:solidFill>
                </w14:textFill>
              </w:rPr>
              <w:t>2.3</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火针针具为一次性使用不锈钢或钨钢</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材</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质;</w:t>
            </w:r>
          </w:p>
          <w:p w14:paraId="008C7DF9">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cs="宋体"/>
                <w:color w:val="000000" w:themeColor="text1"/>
                <w:sz w:val="21"/>
                <w:szCs w:val="21"/>
                <w:highlight w:val="none"/>
                <w:lang w:val="en-US" w:eastAsia="zh-CN" w:bidi="ar-SA"/>
                <w14:textFill>
                  <w14:solidFill>
                    <w14:schemeClr w14:val="tx1"/>
                  </w14:solidFill>
                </w14:textFill>
              </w:rPr>
              <w:t>2.4</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火针针具规格为:</w:t>
            </w:r>
          </w:p>
          <w:p w14:paraId="5D311552">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外径:0.5±0.03mm，长度:70±2mm;</w:t>
            </w:r>
          </w:p>
          <w:p w14:paraId="60922654">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外径:0.8+0.03mm，长度:70±2mm;</w:t>
            </w:r>
          </w:p>
          <w:p w14:paraId="42170DAE">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cs="宋体"/>
                <w:color w:val="000000" w:themeColor="text1"/>
                <w:sz w:val="21"/>
                <w:szCs w:val="21"/>
                <w:highlight w:val="none"/>
                <w:lang w:val="en-US" w:eastAsia="zh-CN" w:bidi="ar-SA"/>
                <w14:textFill>
                  <w14:solidFill>
                    <w14:schemeClr w14:val="tx1"/>
                  </w14:solidFill>
                </w14:textFill>
              </w:rPr>
              <w:t>2.5</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进出针时间</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0.02秒(</w:t>
            </w:r>
            <w:r>
              <w:rPr>
                <w:rFonts w:hint="eastAsia"/>
                <w:color w:val="000000" w:themeColor="text1"/>
                <w:highlight w:val="none"/>
                <w:lang w:val="en-US" w:eastAsia="zh-CN"/>
                <w14:textFill>
                  <w14:solidFill>
                    <w14:schemeClr w14:val="tx1"/>
                  </w14:solidFill>
                </w14:textFill>
              </w:rPr>
              <w:t>供货时</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提供</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国家认可的具有资质的</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第三方检测</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机构出具的检测</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报告);</w:t>
            </w:r>
          </w:p>
          <w:p w14:paraId="02E75CF0">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cs="宋体"/>
                <w:color w:val="000000" w:themeColor="text1"/>
                <w:sz w:val="21"/>
                <w:szCs w:val="21"/>
                <w:highlight w:val="none"/>
                <w:lang w:val="en-US" w:eastAsia="zh-CN" w:bidi="ar-SA"/>
                <w14:textFill>
                  <w14:solidFill>
                    <w14:schemeClr w14:val="tx1"/>
                  </w14:solidFill>
                </w14:textFill>
              </w:rPr>
              <w:t>2.6</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工作电源条件:AC220V+22V，50Hz±1HZ;</w:t>
            </w:r>
          </w:p>
          <w:p w14:paraId="521279C0">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cs="宋体"/>
                <w:color w:val="000000" w:themeColor="text1"/>
                <w:sz w:val="21"/>
                <w:szCs w:val="21"/>
                <w:highlight w:val="none"/>
                <w:lang w:val="en-US" w:eastAsia="zh-CN" w:bidi="ar-SA"/>
                <w14:textFill>
                  <w14:solidFill>
                    <w14:schemeClr w14:val="tx1"/>
                  </w14:solidFill>
                </w14:textFill>
              </w:rPr>
              <w:t>3.</w:t>
            </w: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配置要求</w:t>
            </w:r>
          </w:p>
          <w:p w14:paraId="6DD6CA29">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主机：1台</w:t>
            </w:r>
          </w:p>
          <w:p w14:paraId="0C8FC3AE">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电源适配器：1台</w:t>
            </w:r>
          </w:p>
          <w:p w14:paraId="1C0FD02E">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电源线：1根</w:t>
            </w:r>
          </w:p>
          <w:p w14:paraId="2EF92F46">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使用说明书：1本</w:t>
            </w:r>
          </w:p>
          <w:p w14:paraId="62D70DB6">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合格证：1张</w:t>
            </w:r>
          </w:p>
          <w:p w14:paraId="7777297E">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保修卡：1张</w:t>
            </w:r>
          </w:p>
          <w:p w14:paraId="48E04F9C">
            <w:pPr>
              <w:pStyle w:val="295"/>
              <w:keepNext w:val="0"/>
              <w:keepLines w:val="0"/>
              <w:pageBreakBefore w:val="0"/>
              <w:widowControl w:val="0"/>
              <w:numPr>
                <w:ilvl w:val="0"/>
                <w:numId w:val="0"/>
              </w:numPr>
              <w:bidi w:val="0"/>
              <w:ind w:left="0" w:firstLine="0"/>
              <w:rPr>
                <w:rFonts w:hint="default" w:ascii="宋体" w:hAnsi="宋体" w:eastAsia="宋体" w:cs="宋体"/>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转运箱：1个</w:t>
            </w:r>
          </w:p>
          <w:p w14:paraId="35AE2AD8">
            <w:pPr>
              <w:pStyle w:val="295"/>
              <w:keepNext w:val="0"/>
              <w:keepLines w:val="0"/>
              <w:pageBreakBefore w:val="0"/>
              <w:widowControl w:val="0"/>
              <w:numPr>
                <w:ilvl w:val="0"/>
                <w:numId w:val="0"/>
              </w:numPr>
              <w:bidi w:val="0"/>
              <w:ind w:left="0" w:firstLine="0"/>
              <w:rPr>
                <w:rFonts w:hint="default" w:ascii="宋体" w:hAnsi="宋体" w:eastAsia="宋体" w:cs="宋体"/>
                <w:b/>
                <w:bCs/>
                <w:color w:val="000000" w:themeColor="text1"/>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整机保修≥ 1 年</w:t>
            </w:r>
          </w:p>
        </w:tc>
      </w:tr>
    </w:tbl>
    <w:p w14:paraId="34E23EA4">
      <w:pPr>
        <w:pageBreakBefore w:val="0"/>
        <w:bidi w:val="0"/>
        <w:spacing w:line="440" w:lineRule="exac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bl>
      <w:tblPr>
        <w:tblStyle w:val="50"/>
        <w:tblW w:w="9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4"/>
        <w:gridCol w:w="7655"/>
      </w:tblGrid>
      <w:tr w14:paraId="3FBE0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9019" w:type="dxa"/>
            <w:gridSpan w:val="2"/>
            <w:tcBorders>
              <w:top w:val="single" w:color="auto" w:sz="4" w:space="0"/>
              <w:left w:val="single" w:color="auto" w:sz="4" w:space="0"/>
              <w:bottom w:val="single" w:color="auto" w:sz="4" w:space="0"/>
              <w:right w:val="single" w:color="auto" w:sz="4" w:space="0"/>
            </w:tcBorders>
            <w:noWrap/>
          </w:tcPr>
          <w:p w14:paraId="4F8069B7">
            <w:pPr>
              <w:pageBreakBefore w:val="0"/>
              <w:widowControl/>
              <w:bidi w:val="0"/>
              <w:spacing w:after="120" w:line="440" w:lineRule="exact"/>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二、</w:t>
            </w: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商务条款要求</w:t>
            </w:r>
          </w:p>
        </w:tc>
      </w:tr>
      <w:tr w14:paraId="73B51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tcBorders>
              <w:top w:val="single" w:color="auto" w:sz="4" w:space="0"/>
              <w:left w:val="single" w:color="auto" w:sz="4" w:space="0"/>
              <w:bottom w:val="single" w:color="auto" w:sz="4" w:space="0"/>
              <w:right w:val="single" w:color="auto" w:sz="4" w:space="0"/>
            </w:tcBorders>
            <w:noWrap/>
            <w:vAlign w:val="center"/>
          </w:tcPr>
          <w:p w14:paraId="6BC33F2A">
            <w:pPr>
              <w:pageBreakBefore w:val="0"/>
              <w:bidi w:val="0"/>
              <w:spacing w:line="440" w:lineRule="exact"/>
              <w:ind w:firstLine="198"/>
              <w:jc w:val="cente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质保期</w:t>
            </w:r>
          </w:p>
        </w:tc>
        <w:tc>
          <w:tcPr>
            <w:tcW w:w="7655" w:type="dxa"/>
            <w:tcBorders>
              <w:top w:val="single" w:color="auto" w:sz="4" w:space="0"/>
              <w:left w:val="single" w:color="auto" w:sz="4" w:space="0"/>
              <w:bottom w:val="single" w:color="auto" w:sz="4" w:space="0"/>
              <w:right w:val="single" w:color="auto" w:sz="4" w:space="0"/>
            </w:tcBorders>
            <w:noWrap/>
            <w:vAlign w:val="center"/>
          </w:tcPr>
          <w:p w14:paraId="52FBAFC8">
            <w:pPr>
              <w:pageBreakBefore w:val="0"/>
              <w:bidi w:val="0"/>
              <w:spacing w:line="440" w:lineRule="exact"/>
              <w:ind w:firstLine="42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按国家有关的产品“三包”规定实行“三包”，所有产品为全新产品，符合国家相关标准；所有设备安装调试并经用户验收合格之日起质保期不少于</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年（若国家或生产厂家对本项目所涉及货物的质量保证期的规定高于本项目要求的，应按国家或生产厂家的规定执行，若投标人在投标文件中承诺高于该期限，按照投标人承诺），质保期内维修、更换配件，提供设备维修及正常维护保养所需的零部件，质保期外提供终身维修服务。需求表中特别注明的按需求表中的执行。</w:t>
            </w:r>
          </w:p>
        </w:tc>
      </w:tr>
      <w:tr w14:paraId="71382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noWrap/>
            <w:vAlign w:val="center"/>
          </w:tcPr>
          <w:p w14:paraId="6121CEB8">
            <w:pPr>
              <w:pageBreakBefore w:val="0"/>
              <w:bidi w:val="0"/>
              <w:spacing w:line="440" w:lineRule="exact"/>
              <w:ind w:firstLine="198"/>
              <w:jc w:val="cente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售后服务要求</w:t>
            </w:r>
          </w:p>
        </w:tc>
        <w:tc>
          <w:tcPr>
            <w:tcW w:w="7655" w:type="dxa"/>
            <w:noWrap/>
            <w:vAlign w:val="center"/>
          </w:tcPr>
          <w:p w14:paraId="2C1D218B">
            <w:pPr>
              <w:pageBreakBefore w:val="0"/>
              <w:numPr>
                <w:ilvl w:val="0"/>
                <w:numId w:val="0"/>
              </w:numPr>
              <w:bidi w:val="0"/>
              <w:spacing w:line="440" w:lineRule="exact"/>
              <w:ind w:firstLine="198" w:firstLineChars="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bidi="ar-SA"/>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中标人负责送货至</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钦州市钦南区人民医院</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，负责安装调试，并对操作人员进行操作培训。</w:t>
            </w:r>
          </w:p>
          <w:p w14:paraId="15C1285F">
            <w:pPr>
              <w:pageBreakBefore w:val="0"/>
              <w:numPr>
                <w:ilvl w:val="0"/>
                <w:numId w:val="0"/>
              </w:numPr>
              <w:bidi w:val="0"/>
              <w:spacing w:line="440" w:lineRule="exact"/>
              <w:ind w:firstLine="21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2.维护保养的安排：中标人一年至少两次派工程技术人员对设备进行维护保养。质保期内当设备有重大级别提升时，中标人应为设备进行软件升级。</w:t>
            </w:r>
          </w:p>
          <w:p w14:paraId="34F57C00">
            <w:pPr>
              <w:pageBreakBefore w:val="0"/>
              <w:bidi w:val="0"/>
              <w:spacing w:line="440" w:lineRule="exact"/>
              <w:ind w:firstLine="198"/>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3.维修时间安排应急维修时间安排：至少提供5×8小时远程桌面</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及</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7×24小时电话技术支持，</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使用中出现故障接到通知后应立即响应</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，对重大问题提供现场技术支持，24小时内派工程技术人员到达现场维修。如果需要更换配件的，更换的配件应跟被更换的品牌、类型相一致或者是同类同档次的替代品，后者需征得采购人管理人员同意。</w:t>
            </w:r>
          </w:p>
          <w:p w14:paraId="37518D87">
            <w:pPr>
              <w:pageBreakBefore w:val="0"/>
              <w:bidi w:val="0"/>
              <w:spacing w:line="440" w:lineRule="exact"/>
              <w:ind w:firstLine="198"/>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4.主要零配件价格；为采购人提供优惠的零配件及易耗品。</w:t>
            </w:r>
          </w:p>
          <w:p w14:paraId="110A02D6">
            <w:pPr>
              <w:pageBreakBefore w:val="0"/>
              <w:bidi w:val="0"/>
              <w:spacing w:line="440" w:lineRule="exact"/>
              <w:ind w:firstLine="198"/>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5.设备质保期内一周如出现3次</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及</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以上停机或设备故障的，采购人有权要求中标人退货或更换新机器，所产生费用由中标人承担。</w:t>
            </w:r>
          </w:p>
          <w:p w14:paraId="64CF65EA">
            <w:pPr>
              <w:pageBreakBefore w:val="0"/>
              <w:bidi w:val="0"/>
              <w:spacing w:line="440" w:lineRule="exact"/>
              <w:ind w:firstLine="198"/>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6.培训对象：包括使用科室的设备使用人员及维修人员，</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为采购人提供使用技术培训</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，使用培训为验收要件之一，没有经过培训，视为没能完成验收。</w:t>
            </w:r>
          </w:p>
        </w:tc>
      </w:tr>
      <w:tr w14:paraId="69E15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noWrap/>
            <w:vAlign w:val="center"/>
          </w:tcPr>
          <w:p w14:paraId="32C2DD07">
            <w:pPr>
              <w:pageBreakBefore w:val="0"/>
              <w:bidi w:val="0"/>
              <w:spacing w:line="440" w:lineRule="exact"/>
              <w:ind w:firstLine="198"/>
              <w:jc w:val="cente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培训计划</w:t>
            </w:r>
          </w:p>
        </w:tc>
        <w:tc>
          <w:tcPr>
            <w:tcW w:w="7655" w:type="dxa"/>
            <w:noWrap/>
            <w:vAlign w:val="center"/>
          </w:tcPr>
          <w:p w14:paraId="27CE87A1">
            <w:pPr>
              <w:pageBreakBefore w:val="0"/>
              <w:bidi w:val="0"/>
              <w:spacing w:line="440" w:lineRule="exact"/>
              <w:ind w:firstLine="198"/>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为采购人提供使用技术培训</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，使用培训为验收要件之一，没有经过培训，视为没能完成验收。</w:t>
            </w:r>
          </w:p>
          <w:p w14:paraId="12602863">
            <w:pPr>
              <w:pageBreakBefore w:val="0"/>
              <w:bidi w:val="0"/>
              <w:spacing w:line="440" w:lineRule="exact"/>
              <w:ind w:firstLine="198"/>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1.培训对象：使用科室的设备使用人员及维修人员。</w:t>
            </w:r>
          </w:p>
          <w:p w14:paraId="665D018E">
            <w:pPr>
              <w:pageBreakBefore w:val="0"/>
              <w:bidi w:val="0"/>
              <w:spacing w:line="440" w:lineRule="exact"/>
              <w:ind w:firstLine="198"/>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2.培训形式：</w:t>
            </w:r>
          </w:p>
          <w:p w14:paraId="02CE820D">
            <w:pPr>
              <w:pageBreakBefore w:val="0"/>
              <w:bidi w:val="0"/>
              <w:spacing w:line="440" w:lineRule="exact"/>
              <w:ind w:firstLine="198"/>
              <w:jc w:val="left"/>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① 现场使用培训：安装调试结束后，中标人组织培训工程师对机器正确使用方法进行示范操作，保证教会使用人员能正确使用设备</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p>
          <w:p w14:paraId="228C362E">
            <w:pPr>
              <w:pageBreakBefore w:val="0"/>
              <w:bidi w:val="0"/>
              <w:spacing w:line="440" w:lineRule="exact"/>
              <w:ind w:firstLine="198"/>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② 集中授课：</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使用专门讲义进行授课</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，并进行考核考试。</w:t>
            </w:r>
          </w:p>
        </w:tc>
      </w:tr>
      <w:tr w14:paraId="1607C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noWrap/>
            <w:vAlign w:val="center"/>
          </w:tcPr>
          <w:p w14:paraId="40980805">
            <w:pPr>
              <w:pageBreakBefore w:val="0"/>
              <w:bidi w:val="0"/>
              <w:spacing w:line="440" w:lineRule="exact"/>
              <w:ind w:firstLine="198"/>
              <w:jc w:val="cente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交货期</w:t>
            </w:r>
          </w:p>
        </w:tc>
        <w:tc>
          <w:tcPr>
            <w:tcW w:w="7655" w:type="dxa"/>
            <w:noWrap/>
            <w:vAlign w:val="center"/>
          </w:tcPr>
          <w:p w14:paraId="7FCE7674">
            <w:pPr>
              <w:pageBreakBefore w:val="0"/>
              <w:bidi w:val="0"/>
              <w:spacing w:line="440" w:lineRule="exact"/>
              <w:jc w:val="left"/>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签订合同之日起</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60</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天内调试完毕验收合格并交付使用。</w:t>
            </w:r>
          </w:p>
        </w:tc>
      </w:tr>
      <w:tr w14:paraId="1B9DE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noWrap/>
            <w:vAlign w:val="center"/>
          </w:tcPr>
          <w:p w14:paraId="4E865FBB">
            <w:pPr>
              <w:pageBreakBefore w:val="0"/>
              <w:bidi w:val="0"/>
              <w:spacing w:line="440" w:lineRule="exact"/>
              <w:ind w:firstLine="198"/>
              <w:jc w:val="cente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交货地点</w:t>
            </w:r>
          </w:p>
        </w:tc>
        <w:tc>
          <w:tcPr>
            <w:tcW w:w="7655" w:type="dxa"/>
            <w:noWrap/>
            <w:vAlign w:val="center"/>
          </w:tcPr>
          <w:p w14:paraId="314989AF">
            <w:pPr>
              <w:pageBreakBefore w:val="0"/>
              <w:bidi w:val="0"/>
              <w:spacing w:line="440" w:lineRule="exact"/>
              <w:ind w:firstLine="198"/>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钦州市钦南区人民医院内采购人指定地点</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c>
      </w:tr>
      <w:tr w14:paraId="2DEF0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noWrap/>
            <w:vAlign w:val="center"/>
          </w:tcPr>
          <w:p w14:paraId="55F66488">
            <w:pPr>
              <w:pageBreakBefore w:val="0"/>
              <w:bidi w:val="0"/>
              <w:spacing w:line="440" w:lineRule="exact"/>
              <w:ind w:firstLine="198"/>
              <w:jc w:val="cente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签订合同日期</w:t>
            </w:r>
          </w:p>
        </w:tc>
        <w:tc>
          <w:tcPr>
            <w:tcW w:w="7655" w:type="dxa"/>
            <w:noWrap/>
            <w:vAlign w:val="center"/>
          </w:tcPr>
          <w:p w14:paraId="26BAB627">
            <w:pPr>
              <w:pageBreakBefore w:val="0"/>
              <w:bidi w:val="0"/>
              <w:spacing w:line="440" w:lineRule="exact"/>
              <w:ind w:firstLine="198"/>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自中标通知书发出之日起25天内。</w:t>
            </w:r>
          </w:p>
        </w:tc>
      </w:tr>
      <w:tr w14:paraId="5C6C8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noWrap/>
            <w:vAlign w:val="center"/>
          </w:tcPr>
          <w:p w14:paraId="6219143A">
            <w:pPr>
              <w:pageBreakBefore w:val="0"/>
              <w:bidi w:val="0"/>
              <w:spacing w:line="440" w:lineRule="exact"/>
              <w:ind w:firstLine="198"/>
              <w:jc w:val="cente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付款条件</w:t>
            </w:r>
          </w:p>
        </w:tc>
        <w:tc>
          <w:tcPr>
            <w:tcW w:w="7655" w:type="dxa"/>
            <w:noWrap/>
            <w:vAlign w:val="center"/>
          </w:tcPr>
          <w:p w14:paraId="643B4F16">
            <w:pPr>
              <w:pageBreakBefore w:val="0"/>
              <w:bidi w:val="0"/>
              <w:spacing w:before="240" w:after="60" w:line="440" w:lineRule="exact"/>
              <w:ind w:firstLine="210"/>
              <w:outlineLvl w:val="0"/>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合同签订后，无预付款。货物安装交付验收合格后两年内支付</w:t>
            </w:r>
            <w:r>
              <w:rPr>
                <w:rFonts w:hint="eastAsia" w:asciiTheme="minorEastAsia" w:hAnsiTheme="minorEastAsia" w:eastAsiaTheme="minorEastAsia" w:cstheme="minorEastAsia"/>
                <w:bCs/>
                <w:color w:val="000000" w:themeColor="text1"/>
                <w:sz w:val="21"/>
                <w:szCs w:val="21"/>
                <w:highlight w:val="none"/>
                <w:lang w:val="en-US" w:eastAsia="zh-CN"/>
                <w14:textFill>
                  <w14:solidFill>
                    <w14:schemeClr w14:val="tx1"/>
                  </w14:solidFill>
                </w14:textFill>
              </w:rPr>
              <w:t>完</w:t>
            </w: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设备款</w:t>
            </w:r>
            <w:r>
              <w:rPr>
                <w:rFonts w:hint="eastAsia" w:asciiTheme="minorEastAsia" w:hAnsiTheme="minorEastAsia" w:eastAsiaTheme="minorEastAsia" w:cstheme="minorEastAsia"/>
                <w:bCs/>
                <w:color w:val="000000" w:themeColor="text1"/>
                <w:sz w:val="21"/>
                <w:szCs w:val="21"/>
                <w:highlight w:val="none"/>
                <w:lang w:eastAsia="zh-CN"/>
                <w14:textFill>
                  <w14:solidFill>
                    <w14:schemeClr w14:val="tx1"/>
                  </w14:solidFill>
                </w14:textFill>
              </w:rPr>
              <w:t>。</w:t>
            </w:r>
          </w:p>
        </w:tc>
      </w:tr>
      <w:tr w14:paraId="27112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noWrap/>
            <w:vAlign w:val="center"/>
          </w:tcPr>
          <w:p w14:paraId="36A23C2F">
            <w:pPr>
              <w:pageBreakBefore w:val="0"/>
              <w:bidi w:val="0"/>
              <w:spacing w:line="440" w:lineRule="exact"/>
              <w:ind w:firstLine="198"/>
              <w:jc w:val="cente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备品备件或耗材等要求</w:t>
            </w:r>
          </w:p>
        </w:tc>
        <w:tc>
          <w:tcPr>
            <w:tcW w:w="7655" w:type="dxa"/>
            <w:noWrap/>
            <w:vAlign w:val="center"/>
          </w:tcPr>
          <w:p w14:paraId="34B83966">
            <w:pPr>
              <w:pageBreakBefore w:val="0"/>
              <w:bidi w:val="0"/>
              <w:spacing w:line="440" w:lineRule="exact"/>
              <w:ind w:firstLine="21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1.投标人必须有完善的备品备件库体系，质保期内能提供相应的措施和备件，保证过质保期后五年内有足够的备品备件，</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为本项目技术支持</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、服务需求提供可靠保证；</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264E984E">
            <w:pPr>
              <w:pageBreakBefore w:val="0"/>
              <w:bidi w:val="0"/>
              <w:spacing w:line="440" w:lineRule="exact"/>
              <w:ind w:firstLine="21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2.所有零部件、配件必须是全新未使用过的并符合国家有关质量安全标准的产品。</w:t>
            </w:r>
          </w:p>
        </w:tc>
      </w:tr>
      <w:tr w14:paraId="6E598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noWrap/>
            <w:vAlign w:val="center"/>
          </w:tcPr>
          <w:p w14:paraId="48586648">
            <w:pPr>
              <w:pageBreakBefore w:val="0"/>
              <w:bidi w:val="0"/>
              <w:spacing w:line="440" w:lineRule="exact"/>
              <w:ind w:firstLine="198"/>
              <w:jc w:val="cente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验收标准</w:t>
            </w:r>
          </w:p>
        </w:tc>
        <w:tc>
          <w:tcPr>
            <w:tcW w:w="7655" w:type="dxa"/>
            <w:noWrap/>
            <w:vAlign w:val="center"/>
          </w:tcPr>
          <w:p w14:paraId="50A24B26">
            <w:pPr>
              <w:widowControl/>
              <w:spacing w:line="360" w:lineRule="exact"/>
              <w:ind w:firstLine="21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1.验收过程中所产生的一切费用均由中标人承担。报价时应考虑相关费用。</w:t>
            </w:r>
          </w:p>
          <w:p w14:paraId="1FB9E1CB">
            <w:pPr>
              <w:widowControl/>
              <w:spacing w:line="360" w:lineRule="exact"/>
              <w:ind w:firstLine="21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中标人在货物验收时由采购人对照采购文件的功能目标及技术指标全面核对检验，对所有要求出具的证明文件的原件进行核查，如不符合采购文件的技术需求及要求以及提供虚假承诺的，按相关规定作退货处理及违约处理，中标人承担所有责任和费用，采购人保留进一步追究责任的权利。安装标准：符合国际、国家及行业有关技术规范和技术标准。采购项目有其他要求的按其要求。</w:t>
            </w:r>
          </w:p>
          <w:p w14:paraId="24B26FEC">
            <w:pPr>
              <w:pageBreakBefore w:val="0"/>
              <w:widowControl/>
              <w:bidi w:val="0"/>
              <w:spacing w:line="440" w:lineRule="exact"/>
              <w:ind w:firstLine="21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中标人负责安装的技术人员按照验收流程要求提供合格证标明的内容及技术参数表逐条进行验收。验收应符合国家相关法规及合同的技术要求，同时也应符合厂家提供的技术资料中各项技术指标和参数要求，参数要求必须符合采购参数规定，不能以“标准配置”、“选购配置”为由与采购参数不符。</w:t>
            </w:r>
          </w:p>
          <w:p w14:paraId="631B48A7">
            <w:pPr>
              <w:pageBreakBefore w:val="0"/>
              <w:widowControl/>
              <w:bidi w:val="0"/>
              <w:spacing w:line="440" w:lineRule="exact"/>
              <w:ind w:firstLine="21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3.验收时</w:t>
            </w:r>
            <w:r>
              <w:rPr>
                <w:rFonts w:hint="eastAsia" w:ascii="宋体" w:hAnsi="宋体" w:cs="宋体"/>
                <w:color w:val="000000" w:themeColor="text1"/>
                <w:szCs w:val="21"/>
                <w:highlight w:val="none"/>
                <w14:textFill>
                  <w14:solidFill>
                    <w14:schemeClr w14:val="tx1"/>
                  </w14:solidFill>
                </w14:textFill>
              </w:rPr>
              <w:t>属于医疗设备的提供注册证或备案证等材料。</w:t>
            </w:r>
          </w:p>
        </w:tc>
      </w:tr>
      <w:tr w14:paraId="6F12D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noWrap/>
            <w:vAlign w:val="center"/>
          </w:tcPr>
          <w:p w14:paraId="16C281E3">
            <w:pPr>
              <w:pageBreakBefore w:val="0"/>
              <w:bidi w:val="0"/>
              <w:spacing w:line="440" w:lineRule="exact"/>
              <w:ind w:firstLine="198"/>
              <w:jc w:val="cente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报价要求</w:t>
            </w:r>
          </w:p>
        </w:tc>
        <w:tc>
          <w:tcPr>
            <w:tcW w:w="7655" w:type="dxa"/>
            <w:noWrap/>
            <w:vAlign w:val="center"/>
          </w:tcPr>
          <w:p w14:paraId="7C30409A">
            <w:pPr>
              <w:pageBreakBefore w:val="0"/>
              <w:bidi w:val="0"/>
              <w:spacing w:line="440" w:lineRule="exact"/>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投标报价包括但不限于货款、标准附件、备品备件、专用工具、包装、运输、装卸、保险、税金、货到就位以及安装、调试、培训、保修、验收等一切税金和费用。投标人在固定总价中必须考虑各种风险费用。在合同履行过程中，采购人不予支付合同以外的其他费用。投标人负责工人人身、设备安全责任，验收前，设备丢失自行负责。</w:t>
            </w:r>
          </w:p>
          <w:p w14:paraId="0EBD39A3">
            <w:pPr>
              <w:pageBreakBefore w:val="0"/>
              <w:bidi w:val="0"/>
              <w:spacing w:line="440" w:lineRule="exact"/>
              <w:jc w:val="left"/>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2.要求投标货物是全新的、未经改装的、合格的、满足本项目技术需求及要求的货物，提供的货物及制作安装采用的各种配件、材料均必须满足国家和行业规范标准。</w:t>
            </w:r>
          </w:p>
        </w:tc>
      </w:tr>
      <w:tr w14:paraId="45428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noWrap/>
            <w:vAlign w:val="center"/>
          </w:tcPr>
          <w:p w14:paraId="04C7E391">
            <w:pPr>
              <w:pageBreakBefore w:val="0"/>
              <w:bidi w:val="0"/>
              <w:spacing w:line="440" w:lineRule="exact"/>
              <w:ind w:firstLine="198" w:firstLineChars="0"/>
              <w:jc w:val="cente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lang w:val="en-US" w:eastAsia="zh-CN"/>
                <w14:textFill>
                  <w14:solidFill>
                    <w14:schemeClr w14:val="tx1"/>
                  </w14:solidFill>
                </w14:textFill>
              </w:rPr>
              <w:t>文件其他要求</w:t>
            </w:r>
          </w:p>
        </w:tc>
        <w:tc>
          <w:tcPr>
            <w:tcW w:w="7655" w:type="dxa"/>
            <w:noWrap/>
            <w:vAlign w:val="center"/>
          </w:tcPr>
          <w:p w14:paraId="1D26A681">
            <w:pPr>
              <w:pageBreakBefore w:val="0"/>
              <w:bidi w:val="0"/>
              <w:spacing w:line="440" w:lineRule="exact"/>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投标人在投标文件中针对本项目提供切实可行的项目实施方案（格式自拟）【包含但不限于项目实施方案、质量保证措施等】及售后服务承诺方案（格式自拟）。</w:t>
            </w:r>
          </w:p>
        </w:tc>
      </w:tr>
      <w:tr w14:paraId="1DCD5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9" w:type="dxa"/>
            <w:gridSpan w:val="2"/>
            <w:noWrap/>
            <w:vAlign w:val="center"/>
          </w:tcPr>
          <w:p w14:paraId="3F54C939">
            <w:pPr>
              <w:pageBreakBefore w:val="0"/>
              <w:bidi w:val="0"/>
              <w:spacing w:line="440" w:lineRule="exact"/>
              <w:jc w:val="left"/>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lang w:val="en-US" w:eastAsia="zh-CN"/>
                <w14:textFill>
                  <w14:solidFill>
                    <w14:schemeClr w14:val="tx1"/>
                  </w14:solidFill>
                </w14:textFill>
              </w:rPr>
              <w:t>三、</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其他</w:t>
            </w:r>
            <w:r>
              <w:rPr>
                <w:rFonts w:hint="eastAsia" w:asciiTheme="minorEastAsia" w:hAnsiTheme="minorEastAsia" w:eastAsiaTheme="minorEastAsia" w:cstheme="minorEastAsia"/>
                <w:b/>
                <w:color w:val="000000" w:themeColor="text1"/>
                <w:sz w:val="21"/>
                <w:szCs w:val="21"/>
                <w:highlight w:val="none"/>
                <w:lang w:val="en-US" w:eastAsia="zh-CN"/>
                <w14:textFill>
                  <w14:solidFill>
                    <w14:schemeClr w14:val="tx1"/>
                  </w14:solidFill>
                </w14:textFill>
              </w:rPr>
              <w:t>要求</w:t>
            </w:r>
          </w:p>
        </w:tc>
      </w:tr>
      <w:tr w14:paraId="32EE6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9" w:type="dxa"/>
            <w:gridSpan w:val="2"/>
            <w:noWrap/>
            <w:vAlign w:val="center"/>
          </w:tcPr>
          <w:p w14:paraId="6BBE4668">
            <w:pPr>
              <w:pageBreakBefore w:val="0"/>
              <w:bidi w:val="0"/>
              <w:spacing w:line="440" w:lineRule="exac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1.投标人在投标活动中如提供任何虚假材料，以及投标产品的技术参数不如实说明，</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其投标无效</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，并报监管部门查处。</w:t>
            </w:r>
          </w:p>
          <w:p w14:paraId="290AD5CC">
            <w:pPr>
              <w:pageBreakBefore w:val="0"/>
              <w:bidi w:val="0"/>
              <w:spacing w:line="440" w:lineRule="exac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2.若中标人所供产品及售后服务不按招标文件要求履约的，将按照相关有关规定严肃处理。</w:t>
            </w:r>
          </w:p>
          <w:p w14:paraId="4D870BB4">
            <w:pPr>
              <w:pageBreakBefore w:val="0"/>
              <w:bidi w:val="0"/>
              <w:spacing w:before="25" w:after="25" w:line="440" w:lineRule="exact"/>
              <w:jc w:val="left"/>
              <w:rPr>
                <w:rFonts w:hint="eastAsia" w:ascii="宋体" w:hAnsi="宋体" w:cs="宋体"/>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宋体" w:hAnsi="宋体" w:cs="宋体"/>
                <w:color w:val="000000" w:themeColor="text1"/>
                <w:sz w:val="21"/>
                <w:szCs w:val="21"/>
                <w:highlight w:val="none"/>
                <w14:textFill>
                  <w14:solidFill>
                    <w14:schemeClr w14:val="tx1"/>
                  </w14:solidFill>
                </w14:textFill>
              </w:rPr>
              <w:t>进口产品说明：本</w:t>
            </w:r>
            <w:r>
              <w:rPr>
                <w:rFonts w:hint="eastAsia" w:ascii="宋体" w:hAnsi="宋体" w:cs="宋体"/>
                <w:color w:val="000000" w:themeColor="text1"/>
                <w:sz w:val="21"/>
                <w:szCs w:val="21"/>
                <w:highlight w:val="none"/>
                <w:lang w:val="en-US" w:eastAsia="zh-CN"/>
                <w14:textFill>
                  <w14:solidFill>
                    <w14:schemeClr w14:val="tx1"/>
                  </w14:solidFill>
                </w14:textFill>
              </w:rPr>
              <w:t>分标</w:t>
            </w:r>
            <w:r>
              <w:rPr>
                <w:rFonts w:hint="eastAsia" w:ascii="宋体" w:hAnsi="宋体" w:cs="宋体"/>
                <w:color w:val="000000" w:themeColor="text1"/>
                <w:sz w:val="21"/>
                <w:szCs w:val="21"/>
                <w:highlight w:val="none"/>
                <w14:textFill>
                  <w14:solidFill>
                    <w14:schemeClr w14:val="tx1"/>
                  </w14:solidFill>
                </w14:textFill>
              </w:rPr>
              <w:t>项目货物不接受进口产品（即通过中国海关报关验放进入中国境内且产自关境外的产品）参与投标，</w:t>
            </w:r>
            <w:r>
              <w:rPr>
                <w:rFonts w:hint="eastAsia" w:ascii="宋体" w:hAnsi="宋体" w:cs="宋体"/>
                <w:b/>
                <w:bCs/>
                <w:color w:val="000000" w:themeColor="text1"/>
                <w:sz w:val="21"/>
                <w:szCs w:val="21"/>
                <w:highlight w:val="none"/>
                <w14:textFill>
                  <w14:solidFill>
                    <w14:schemeClr w14:val="tx1"/>
                  </w14:solidFill>
                </w14:textFill>
              </w:rPr>
              <w:t>如有进口产品参与投标的作无效投标处理。</w:t>
            </w:r>
          </w:p>
          <w:p w14:paraId="695EA1AA">
            <w:pPr>
              <w:pageBreakBefore w:val="0"/>
              <w:bidi w:val="0"/>
              <w:spacing w:before="25" w:after="25" w:line="440" w:lineRule="exact"/>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.货物一览表中，</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标注“▲”</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项的内容为实质性响应条款，必须满足或优于，</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否则投标无效</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；不带“▲”的参数发生负偏离达4项（含）以上的，视为不实质性响应采购文件要求，</w:t>
            </w:r>
            <w:r>
              <w:rPr>
                <w:rFonts w:hint="eastAsia" w:asciiTheme="minorEastAsia" w:hAnsiTheme="minorEastAsia" w:eastAsiaTheme="minorEastAsia" w:cstheme="minorEastAsia"/>
                <w:b/>
                <w:color w:val="000000" w:themeColor="text1"/>
                <w:sz w:val="21"/>
                <w:szCs w:val="21"/>
                <w:highlight w:val="none"/>
                <w:lang w:eastAsia="zh-CN"/>
                <w14:textFill>
                  <w14:solidFill>
                    <w14:schemeClr w14:val="tx1"/>
                  </w14:solidFill>
                </w14:textFill>
              </w:rPr>
              <w:t>评审时投标文件将被作为无效处理</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0E140A33">
            <w:pPr>
              <w:pStyle w:val="248"/>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5.本项目核心产品为第2项货物“关节镜系统”。</w:t>
            </w:r>
          </w:p>
          <w:p w14:paraId="327E73FD">
            <w:pPr>
              <w:pStyle w:val="19"/>
              <w:rPr>
                <w:rFonts w:hint="default"/>
                <w:color w:val="000000" w:themeColor="text1"/>
                <w:highlight w:val="none"/>
                <w:lang w:val="en-US" w:eastAsia="zh-CN"/>
                <w14:textFill>
                  <w14:solidFill>
                    <w14:schemeClr w14:val="tx1"/>
                  </w14:solidFill>
                </w14:textFill>
              </w:rPr>
            </w:pPr>
            <w:r>
              <w:rPr>
                <w:rFonts w:hint="eastAsia" w:ascii="宋体" w:hAnsi="宋体" w:cs="宋体"/>
                <w:bCs w:val="0"/>
                <w:color w:val="000000" w:themeColor="text1"/>
                <w:spacing w:val="0"/>
                <w:sz w:val="21"/>
                <w:szCs w:val="21"/>
                <w:highlight w:val="none"/>
                <w:lang w:val="en-US" w:eastAsia="zh-CN"/>
                <w14:textFill>
                  <w14:solidFill>
                    <w14:schemeClr w14:val="tx1"/>
                  </w14:solidFill>
                </w14:textFill>
              </w:rPr>
              <w:t>6.投标人业绩及综合实力：具体详见评标方法及评标标准</w:t>
            </w:r>
          </w:p>
        </w:tc>
      </w:tr>
    </w:tbl>
    <w:p w14:paraId="679E6EE5">
      <w:pP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br w:type="page" w:clear="all"/>
      </w:r>
    </w:p>
    <w:p w14:paraId="396F3532">
      <w:pPr>
        <w:spacing w:line="360" w:lineRule="auto"/>
        <w:ind w:firstLine="649"/>
        <w:jc w:val="left"/>
        <w:rPr>
          <w:rFonts w:hint="default" w:ascii="宋体" w:hAnsi="宋体" w:eastAsia="宋体"/>
          <w:b/>
          <w:color w:val="000000" w:themeColor="text1"/>
          <w:sz w:val="32"/>
          <w:szCs w:val="32"/>
          <w:highlight w:val="none"/>
          <w:u w:val="single"/>
          <w:lang w:val="en-US" w:eastAsia="zh-CN"/>
          <w14:textFill>
            <w14:solidFill>
              <w14:schemeClr w14:val="tx1"/>
            </w14:solidFill>
          </w14:textFill>
        </w:rPr>
      </w:pPr>
      <w:r>
        <w:rPr>
          <w:rFonts w:hint="eastAsia" w:ascii="宋体" w:hAnsi="宋体" w:eastAsia="宋体" w:cs="Times New Roman"/>
          <w:b/>
          <w:color w:val="000000" w:themeColor="text1"/>
          <w:sz w:val="32"/>
          <w:szCs w:val="32"/>
          <w:highlight w:val="none"/>
          <w:u w:val="single"/>
          <w:lang w:val="en-US" w:eastAsia="zh-CN"/>
          <w14:textFill>
            <w14:solidFill>
              <w14:schemeClr w14:val="tx1"/>
            </w14:solidFill>
          </w14:textFill>
        </w:rPr>
        <w:t>3分标：</w:t>
      </w:r>
    </w:p>
    <w:tbl>
      <w:tblPr>
        <w:tblStyle w:val="50"/>
        <w:tblpPr w:leftFromText="180" w:rightFromText="180" w:vertAnchor="text" w:horzAnchor="page" w:tblpX="1456" w:tblpY="714"/>
        <w:tblOverlap w:val="never"/>
        <w:tblW w:w="906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1"/>
        <w:gridCol w:w="753"/>
        <w:gridCol w:w="756"/>
        <w:gridCol w:w="1056"/>
        <w:gridCol w:w="5971"/>
      </w:tblGrid>
      <w:tr w14:paraId="723FEE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6" w:hRule="atLeast"/>
        </w:trPr>
        <w:tc>
          <w:tcPr>
            <w:tcW w:w="9067" w:type="dxa"/>
            <w:gridSpan w:val="5"/>
            <w:noWrap w:val="0"/>
            <w:vAlign w:val="center"/>
          </w:tcPr>
          <w:p w14:paraId="26333A6B">
            <w:pPr>
              <w:tabs>
                <w:tab w:val="left" w:pos="180"/>
                <w:tab w:val="left" w:pos="1620"/>
              </w:tabs>
              <w:spacing w:line="360" w:lineRule="auto"/>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一、技术要求</w:t>
            </w:r>
          </w:p>
        </w:tc>
      </w:tr>
      <w:tr w14:paraId="3A2FE6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4" w:hRule="atLeast"/>
        </w:trPr>
        <w:tc>
          <w:tcPr>
            <w:tcW w:w="531" w:type="dxa"/>
            <w:noWrap w:val="0"/>
            <w:vAlign w:val="center"/>
          </w:tcPr>
          <w:p w14:paraId="011131DF">
            <w:pPr>
              <w:tabs>
                <w:tab w:val="left" w:pos="180"/>
                <w:tab w:val="left" w:pos="1620"/>
              </w:tabs>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753" w:type="dxa"/>
            <w:noWrap w:val="0"/>
            <w:vAlign w:val="center"/>
          </w:tcPr>
          <w:p w14:paraId="3ABF4923">
            <w:pPr>
              <w:tabs>
                <w:tab w:val="left" w:pos="180"/>
                <w:tab w:val="left" w:pos="1620"/>
              </w:tabs>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标的的名称</w:t>
            </w:r>
          </w:p>
        </w:tc>
        <w:tc>
          <w:tcPr>
            <w:tcW w:w="756" w:type="dxa"/>
            <w:noWrap w:val="0"/>
          </w:tcPr>
          <w:p w14:paraId="5920596C">
            <w:pPr>
              <w:tabs>
                <w:tab w:val="left" w:pos="180"/>
                <w:tab w:val="left" w:pos="1620"/>
              </w:tabs>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数量及</w:t>
            </w:r>
          </w:p>
          <w:p w14:paraId="28BA3239">
            <w:pPr>
              <w:tabs>
                <w:tab w:val="left" w:pos="180"/>
                <w:tab w:val="left" w:pos="1620"/>
              </w:tabs>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单位</w:t>
            </w:r>
          </w:p>
        </w:tc>
        <w:tc>
          <w:tcPr>
            <w:tcW w:w="1056" w:type="dxa"/>
            <w:noWrap w:val="0"/>
            <w:vAlign w:val="center"/>
          </w:tcPr>
          <w:p w14:paraId="2692D3CE">
            <w:pPr>
              <w:tabs>
                <w:tab w:val="left" w:pos="180"/>
                <w:tab w:val="left" w:pos="1620"/>
              </w:tabs>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总价</w:t>
            </w:r>
            <w:r>
              <w:rPr>
                <w:rFonts w:hint="eastAsia" w:ascii="宋体" w:hAnsi="宋体" w:eastAsia="宋体" w:cs="宋体"/>
                <w:color w:val="000000" w:themeColor="text1"/>
                <w:sz w:val="21"/>
                <w:szCs w:val="21"/>
                <w:highlight w:val="none"/>
                <w14:textFill>
                  <w14:solidFill>
                    <w14:schemeClr w14:val="tx1"/>
                  </w14:solidFill>
                </w14:textFill>
              </w:rPr>
              <w:t>最高限价（</w:t>
            </w:r>
            <w:r>
              <w:rPr>
                <w:rFonts w:hint="eastAsia" w:ascii="宋体" w:hAnsi="宋体" w:cs="宋体"/>
                <w:color w:val="000000" w:themeColor="text1"/>
                <w:sz w:val="21"/>
                <w:szCs w:val="21"/>
                <w:highlight w:val="none"/>
                <w:lang w:val="en-US" w:eastAsia="zh-CN"/>
                <w14:textFill>
                  <w14:solidFill>
                    <w14:schemeClr w14:val="tx1"/>
                  </w14:solidFill>
                </w14:textFill>
              </w:rPr>
              <w:t>万</w:t>
            </w:r>
            <w:r>
              <w:rPr>
                <w:rFonts w:hint="eastAsia" w:ascii="宋体" w:hAnsi="宋体" w:eastAsia="宋体" w:cs="宋体"/>
                <w:color w:val="000000" w:themeColor="text1"/>
                <w:sz w:val="21"/>
                <w:szCs w:val="21"/>
                <w:highlight w:val="none"/>
                <w14:textFill>
                  <w14:solidFill>
                    <w14:schemeClr w14:val="tx1"/>
                  </w14:solidFill>
                </w14:textFill>
              </w:rPr>
              <w:t>元）</w:t>
            </w:r>
          </w:p>
        </w:tc>
        <w:tc>
          <w:tcPr>
            <w:tcW w:w="5971" w:type="dxa"/>
            <w:noWrap w:val="0"/>
            <w:vAlign w:val="center"/>
          </w:tcPr>
          <w:p w14:paraId="4D346A86">
            <w:pPr>
              <w:tabs>
                <w:tab w:val="left" w:pos="180"/>
                <w:tab w:val="left" w:pos="1620"/>
              </w:tabs>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技术要求</w:t>
            </w:r>
          </w:p>
        </w:tc>
      </w:tr>
      <w:tr w14:paraId="3688E4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5" w:hRule="atLeast"/>
        </w:trPr>
        <w:tc>
          <w:tcPr>
            <w:tcW w:w="531" w:type="dxa"/>
            <w:noWrap w:val="0"/>
            <w:vAlign w:val="center"/>
          </w:tcPr>
          <w:p w14:paraId="672E3501">
            <w:pPr>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w:t>
            </w:r>
          </w:p>
        </w:tc>
        <w:tc>
          <w:tcPr>
            <w:tcW w:w="753" w:type="dxa"/>
            <w:noWrap w:val="0"/>
            <w:vAlign w:val="center"/>
          </w:tcPr>
          <w:p w14:paraId="60875FD7">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生物反馈神经功能重建治疗系统</w:t>
            </w:r>
          </w:p>
        </w:tc>
        <w:tc>
          <w:tcPr>
            <w:tcW w:w="756" w:type="dxa"/>
            <w:noWrap w:val="0"/>
            <w:vAlign w:val="center"/>
          </w:tcPr>
          <w:p w14:paraId="5B2D4966">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1台</w:t>
            </w:r>
          </w:p>
        </w:tc>
        <w:tc>
          <w:tcPr>
            <w:tcW w:w="1056" w:type="dxa"/>
            <w:noWrap w:val="0"/>
            <w:vAlign w:val="center"/>
          </w:tcPr>
          <w:p w14:paraId="4BE32AE5">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17.8</w:t>
            </w:r>
          </w:p>
        </w:tc>
        <w:tc>
          <w:tcPr>
            <w:tcW w:w="5971" w:type="dxa"/>
            <w:noWrap w:val="0"/>
          </w:tcPr>
          <w:p w14:paraId="7B20A726">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 xml:space="preserve">1.EMG采集位数: </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16位；</w:t>
            </w:r>
          </w:p>
          <w:p w14:paraId="5EAFC59B">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2.EMG每个通道单独采集肌电信号，采样频率不低于2500Hz；</w:t>
            </w:r>
          </w:p>
          <w:p w14:paraId="6A3BC4DD">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3.评估和治疗总共有三个通道： A通道，B通道，独立压力检测通道；</w:t>
            </w:r>
          </w:p>
          <w:p w14:paraId="73C0F212">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4.EMG采集灵敏度能到达：0-2000μV；</w:t>
            </w:r>
          </w:p>
          <w:p w14:paraId="2EE46902">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5.通频带能到达：20-500Hz；</w:t>
            </w:r>
          </w:p>
          <w:p w14:paraId="41088EB0">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6.电刺激输出电流强度可调范围能到达：0-100mA，步长0.5mA或1mA；</w:t>
            </w:r>
          </w:p>
          <w:p w14:paraId="0E744C78">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7.电刺激输出电流频率可调范围能到达：1-1000Hz，步长1Hz；</w:t>
            </w:r>
          </w:p>
          <w:p w14:paraId="5F92D511">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8.电刺激输出电流脉宽可调范围能到达：20-1000μs，步长50μs；</w:t>
            </w:r>
          </w:p>
          <w:p w14:paraId="3E42D762">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9.电刺激持续治疗时间可调范围能到达：2-60s，步长1s；</w:t>
            </w:r>
          </w:p>
          <w:p w14:paraId="0D2580A5">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10.休息时间可调范围能到达：2-120s，步长1s；</w:t>
            </w:r>
          </w:p>
          <w:p w14:paraId="3A5E6251">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11.电刺激波形上升和下降时间可调范围能到达：0-9.9s，步长0.1s；</w:t>
            </w:r>
          </w:p>
          <w:p w14:paraId="6BA55DA2">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12.产品使用年限</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10年。</w:t>
            </w:r>
          </w:p>
        </w:tc>
      </w:tr>
      <w:tr w14:paraId="578216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1" w:type="dxa"/>
            <w:noWrap w:val="0"/>
            <w:vAlign w:val="center"/>
          </w:tcPr>
          <w:p w14:paraId="2EB6C137">
            <w:pPr>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2</w:t>
            </w:r>
          </w:p>
        </w:tc>
        <w:tc>
          <w:tcPr>
            <w:tcW w:w="753" w:type="dxa"/>
            <w:noWrap w:val="0"/>
            <w:vAlign w:val="center"/>
          </w:tcPr>
          <w:p w14:paraId="78AB4DB8">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磁刺激仪（盆底）</w:t>
            </w:r>
          </w:p>
        </w:tc>
        <w:tc>
          <w:tcPr>
            <w:tcW w:w="756" w:type="dxa"/>
            <w:noWrap w:val="0"/>
            <w:vAlign w:val="center"/>
          </w:tcPr>
          <w:p w14:paraId="3DCB3B42">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1台</w:t>
            </w:r>
          </w:p>
        </w:tc>
        <w:tc>
          <w:tcPr>
            <w:tcW w:w="1056" w:type="dxa"/>
            <w:noWrap w:val="0"/>
            <w:vAlign w:val="center"/>
          </w:tcPr>
          <w:p w14:paraId="7D34D9F8">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32.2</w:t>
            </w:r>
          </w:p>
        </w:tc>
        <w:tc>
          <w:tcPr>
            <w:tcW w:w="5971" w:type="dxa"/>
            <w:noWrap w:val="0"/>
          </w:tcPr>
          <w:p w14:paraId="6FC9F4F2">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lang w:eastAsia="zh-CN"/>
                <w14:textFill>
                  <w14:solidFill>
                    <w14:schemeClr w14:val="tx1"/>
                  </w14:solidFill>
                </w14:textFill>
              </w:rPr>
              <w:t xml:space="preserve">1.分体设计：系统采用模块独立分体设计，要求模块独立，液电隔离； </w:t>
            </w:r>
          </w:p>
          <w:p w14:paraId="373FFC82">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最大磁场刺激强度</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6T，可根据需求调节；</w:t>
            </w:r>
          </w:p>
          <w:p w14:paraId="2EBE4F73">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最高刺激频率</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50Hz，可以根据需求调节，允差±10%；</w:t>
            </w:r>
          </w:p>
          <w:p w14:paraId="0DA67FFA">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脉冲宽度：</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340μs±10%；</w:t>
            </w:r>
          </w:p>
          <w:p w14:paraId="3836535E">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脉冲上升时间：</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60μs±10μs；</w:t>
            </w:r>
          </w:p>
          <w:p w14:paraId="4380C52D">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磁感应强度变化率能达到：30~80KT/s；</w:t>
            </w:r>
          </w:p>
          <w:p w14:paraId="6EB69DE6">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7</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刺激模式：单刺激、重复刺激等多种模式可自由组合切换；</w:t>
            </w:r>
          </w:p>
          <w:p w14:paraId="27031602">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8</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刺激线圈：</w:t>
            </w:r>
          </w:p>
          <w:p w14:paraId="06E0BD7C">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lang w:eastAsia="zh-CN"/>
                <w14:textFill>
                  <w14:solidFill>
                    <w14:schemeClr w14:val="tx1"/>
                  </w14:solidFill>
                </w14:textFill>
              </w:rPr>
              <w:t>（1）刺激线圈可快速更换，且具备触发按钮和调节强度按钮，单手即可完成阈值测定和强度调节；</w:t>
            </w:r>
          </w:p>
          <w:p w14:paraId="2378B583">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（2）刺激线圈具有独立的保护装置，当线圈发生故障时，线圈连接断开或温度超过警戒值，应停止磁场输出，有视觉提示并报警；</w:t>
            </w:r>
          </w:p>
          <w:p w14:paraId="09C314CD">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9</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可根据治疗需要设置治疗时长1-99min，在预定时间到达后断开磁场输出，允差：±10%；</w:t>
            </w:r>
          </w:p>
          <w:p w14:paraId="66F1A644">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10</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设备运行过程中，可按压前面板上的触控停止键、自锁开关键及时断开磁场输出；</w:t>
            </w:r>
          </w:p>
          <w:p w14:paraId="1BCBD9A4">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lang w:eastAsia="zh-CN"/>
                <w14:textFill>
                  <w14:solidFill>
                    <w14:schemeClr w14:val="tx1"/>
                  </w14:solidFill>
                </w14:textFill>
              </w:rPr>
              <w:t>11</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bCs/>
                <w:color w:val="000000" w:themeColor="text1"/>
                <w:sz w:val="21"/>
                <w:szCs w:val="21"/>
                <w:highlight w:val="none"/>
                <w:lang w:eastAsia="zh-CN"/>
                <w14:textFill>
                  <w14:solidFill>
                    <w14:schemeClr w14:val="tx1"/>
                  </w14:solidFill>
                </w14:textFill>
              </w:rPr>
              <w:t>可通过主机触控面板或者移动终端安装软件进行手动设置刺激强度、刺激频率、刺激时间、间歇时间、工作时间；</w:t>
            </w:r>
          </w:p>
          <w:p w14:paraId="256D721C">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12</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主机内置高清液晶屏，显示仪器工作参数，所有操作也可以在主机上独立完成；</w:t>
            </w:r>
          </w:p>
          <w:p w14:paraId="53834C30">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13</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具有多台主机的互联与协同控制功能，多台主机间患者信息、治疗数据共享；</w:t>
            </w:r>
          </w:p>
          <w:p w14:paraId="741F67FC">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14</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两台经颅磁刺激系统可组合成对刺激模式；</w:t>
            </w:r>
          </w:p>
          <w:p w14:paraId="362F8DE1">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15</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具有无线通讯功能、支持通过移动端软件或电脑端软件下发操作指令或参数，执行并控制仪器输出磁刺激；</w:t>
            </w:r>
          </w:p>
          <w:p w14:paraId="0E703FE2">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16</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冷却系统：内循环液态冷却，冷却液为惰性液体，保证连续使用8小时</w:t>
            </w:r>
            <w:r>
              <w:rPr>
                <w:rFonts w:hint="eastAsia" w:ascii="宋体" w:hAnsi="宋体" w:cs="宋体"/>
                <w:color w:val="000000" w:themeColor="text1"/>
                <w:sz w:val="21"/>
                <w:szCs w:val="21"/>
                <w:highlight w:val="none"/>
                <w:lang w:val="en-US" w:eastAsia="zh-CN"/>
                <w14:textFill>
                  <w14:solidFill>
                    <w14:schemeClr w14:val="tx1"/>
                  </w14:solidFill>
                </w14:textFill>
              </w:rPr>
              <w:t>及</w:t>
            </w:r>
            <w:r>
              <w:rPr>
                <w:rFonts w:hint="eastAsia" w:ascii="宋体" w:hAnsi="宋体" w:eastAsia="宋体" w:cs="宋体"/>
                <w:color w:val="000000" w:themeColor="text1"/>
                <w:sz w:val="21"/>
                <w:szCs w:val="21"/>
                <w:highlight w:val="none"/>
                <w:lang w:eastAsia="zh-CN"/>
                <w14:textFill>
                  <w14:solidFill>
                    <w14:schemeClr w14:val="tx1"/>
                  </w14:solidFill>
                </w14:textFill>
              </w:rPr>
              <w:t>以上，无渗漏、无挥发现象；</w:t>
            </w:r>
          </w:p>
          <w:p w14:paraId="7E255181">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17</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数据库管理功能，包含治疗记录管理，可存储患者基本信息、 临床方案、诊疗记录等信息，并可实时查询、编辑及导出数据，并可快速调取历史刺激记录，直接启动刺激；</w:t>
            </w:r>
          </w:p>
          <w:p w14:paraId="43ED41EE">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18</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计时功能:刺激方案设定后，设备能依据设定方案自行计算总刺激时间；</w:t>
            </w:r>
          </w:p>
          <w:p w14:paraId="119FBCEC">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19</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万向可调节线圈固定支臂，360度旋转调节高度可调；</w:t>
            </w:r>
          </w:p>
          <w:p w14:paraId="38BA427A">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20</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设备软件具有电容放电计数功能；</w:t>
            </w:r>
          </w:p>
          <w:p w14:paraId="27E3B359">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21</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温度控制：实时显示治疗线圈温度，当温度超过40℃</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，自动停止输出；</w:t>
            </w:r>
          </w:p>
          <w:p w14:paraId="634FEB26">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22</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提供患者治疗数据管理:为患者提供完善的报告；也可用于临床病例统计和研究；</w:t>
            </w:r>
          </w:p>
          <w:p w14:paraId="7CE7346E">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23</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安全保证：电源、刺激强度、刺激时间、线圈温度等实时监控；有线圈脱落、温度异常等异常情况时实时报错功能，根据故障及时停止运行；</w:t>
            </w:r>
          </w:p>
          <w:p w14:paraId="7268617E">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24</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符合YY 9706.102-2021电磁兼容要求，符合YY/T0994-2015磁刺激设备要求；</w:t>
            </w:r>
          </w:p>
          <w:p w14:paraId="4750BD24">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25</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整机使用年限≥10年；</w:t>
            </w:r>
          </w:p>
          <w:p w14:paraId="666C21B9">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26</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治疗位置可视化：系统内置刺激部位图，根据处方治疗部位实时突出显示刺激部位，并配详细文字介绍；</w:t>
            </w:r>
          </w:p>
          <w:p w14:paraId="1CB97C13">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27</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支持选配身份读卡器，自动录入身份信息；</w:t>
            </w:r>
          </w:p>
          <w:p w14:paraId="3D2DC1E4">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lang w:eastAsia="zh-CN"/>
                <w14:textFill>
                  <w14:solidFill>
                    <w14:schemeClr w14:val="tx1"/>
                  </w14:solidFill>
                </w14:textFill>
              </w:rPr>
              <w:t>28</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bCs/>
                <w:color w:val="000000" w:themeColor="text1"/>
                <w:sz w:val="21"/>
                <w:szCs w:val="21"/>
                <w:highlight w:val="none"/>
                <w:lang w:eastAsia="zh-CN"/>
                <w14:textFill>
                  <w14:solidFill>
                    <w14:schemeClr w14:val="tx1"/>
                  </w14:solidFill>
                </w14:textFill>
              </w:rPr>
              <w:t>支持操作方法：≥3种，均能独立操控设备；</w:t>
            </w:r>
          </w:p>
          <w:p w14:paraId="308BDD6D">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29</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主机内部高压储能电容；</w:t>
            </w:r>
          </w:p>
          <w:p w14:paraId="4E454638">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30</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清单</w:t>
            </w:r>
            <w:r>
              <w:rPr>
                <w:rFonts w:hint="eastAsia" w:ascii="宋体" w:hAnsi="宋体" w:eastAsia="宋体" w:cs="宋体"/>
                <w:color w:val="000000" w:themeColor="text1"/>
                <w:sz w:val="21"/>
                <w:szCs w:val="21"/>
                <w:highlight w:val="none"/>
                <w:lang w:eastAsia="zh-CN"/>
                <w14:textFill>
                  <w14:solidFill>
                    <w14:schemeClr w14:val="tx1"/>
                  </w14:solidFill>
                </w14:textFill>
              </w:rPr>
              <w:t>配置</w:t>
            </w:r>
          </w:p>
          <w:p w14:paraId="66C44E4A">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⑴刺激系统主机</w:t>
            </w:r>
            <w:r>
              <w:rPr>
                <w:rFonts w:hint="eastAsia" w:ascii="宋体" w:hAnsi="宋体" w:cs="宋体"/>
                <w:color w:val="000000" w:themeColor="text1"/>
                <w:sz w:val="21"/>
                <w:szCs w:val="21"/>
                <w:highlight w:val="none"/>
                <w:lang w:val="en-US" w:eastAsia="zh-CN"/>
                <w14:textFill>
                  <w14:solidFill>
                    <w14:schemeClr w14:val="tx1"/>
                  </w14:solidFill>
                </w14:textFill>
              </w:rPr>
              <w:t>1套</w:t>
            </w:r>
          </w:p>
          <w:p w14:paraId="07CA9C5D">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⑵冷却主机</w:t>
            </w:r>
            <w:r>
              <w:rPr>
                <w:rFonts w:hint="eastAsia" w:ascii="宋体" w:hAnsi="宋体" w:cs="宋体"/>
                <w:color w:val="000000" w:themeColor="text1"/>
                <w:sz w:val="21"/>
                <w:szCs w:val="21"/>
                <w:highlight w:val="none"/>
                <w:lang w:val="en-US" w:eastAsia="zh-CN"/>
                <w14:textFill>
                  <w14:solidFill>
                    <w14:schemeClr w14:val="tx1"/>
                  </w14:solidFill>
                </w14:textFill>
              </w:rPr>
              <w:t>1套</w:t>
            </w:r>
          </w:p>
          <w:p w14:paraId="54815C0A">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⑶线圈</w:t>
            </w:r>
            <w:r>
              <w:rPr>
                <w:rFonts w:hint="eastAsia" w:ascii="宋体" w:hAnsi="宋体" w:cs="宋体"/>
                <w:color w:val="000000" w:themeColor="text1"/>
                <w:sz w:val="21"/>
                <w:szCs w:val="21"/>
                <w:highlight w:val="none"/>
                <w:lang w:val="en-US" w:eastAsia="zh-CN"/>
                <w14:textFill>
                  <w14:solidFill>
                    <w14:schemeClr w14:val="tx1"/>
                  </w14:solidFill>
                </w14:textFill>
              </w:rPr>
              <w:t>1套</w:t>
            </w:r>
          </w:p>
          <w:p w14:paraId="2F80AE3D">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⑷</w:t>
            </w:r>
            <w:r>
              <w:rPr>
                <w:rFonts w:hint="eastAsia" w:ascii="宋体" w:hAnsi="宋体" w:eastAsia="宋体" w:cs="宋体"/>
                <w:color w:val="000000" w:themeColor="text1"/>
                <w:sz w:val="21"/>
                <w:szCs w:val="21"/>
                <w:highlight w:val="none"/>
                <w:lang w:val="en-US" w:eastAsia="zh-CN"/>
                <w14:textFill>
                  <w14:solidFill>
                    <w14:schemeClr w14:val="tx1"/>
                  </w14:solidFill>
                </w14:textFill>
              </w:rPr>
              <w:t>工作终端</w:t>
            </w:r>
            <w:r>
              <w:rPr>
                <w:rFonts w:hint="eastAsia" w:ascii="宋体" w:hAnsi="宋体" w:cs="宋体"/>
                <w:color w:val="000000" w:themeColor="text1"/>
                <w:sz w:val="21"/>
                <w:szCs w:val="21"/>
                <w:highlight w:val="none"/>
                <w:lang w:val="en-US" w:eastAsia="zh-CN"/>
                <w14:textFill>
                  <w14:solidFill>
                    <w14:schemeClr w14:val="tx1"/>
                  </w14:solidFill>
                </w14:textFill>
              </w:rPr>
              <w:t>1套</w:t>
            </w:r>
          </w:p>
          <w:p w14:paraId="52D0A8E3">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⑸台车</w:t>
            </w:r>
            <w:r>
              <w:rPr>
                <w:rFonts w:hint="eastAsia" w:ascii="宋体" w:hAnsi="宋体" w:cs="宋体"/>
                <w:color w:val="000000" w:themeColor="text1"/>
                <w:sz w:val="21"/>
                <w:szCs w:val="21"/>
                <w:highlight w:val="none"/>
                <w:lang w:val="en-US" w:eastAsia="zh-CN"/>
                <w14:textFill>
                  <w14:solidFill>
                    <w14:schemeClr w14:val="tx1"/>
                  </w14:solidFill>
                </w14:textFill>
              </w:rPr>
              <w:t>1台</w:t>
            </w:r>
          </w:p>
          <w:p w14:paraId="37F61E68">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⑹沙发</w:t>
            </w:r>
            <w:r>
              <w:rPr>
                <w:rFonts w:hint="eastAsia" w:ascii="宋体" w:hAnsi="宋体" w:cs="宋体"/>
                <w:color w:val="000000" w:themeColor="text1"/>
                <w:sz w:val="21"/>
                <w:szCs w:val="21"/>
                <w:highlight w:val="none"/>
                <w:lang w:val="en-US" w:eastAsia="zh-CN"/>
                <w14:textFill>
                  <w14:solidFill>
                    <w14:schemeClr w14:val="tx1"/>
                  </w14:solidFill>
                </w14:textFill>
              </w:rPr>
              <w:t>1套</w:t>
            </w:r>
          </w:p>
        </w:tc>
      </w:tr>
      <w:tr w14:paraId="55C254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1" w:type="dxa"/>
            <w:noWrap w:val="0"/>
            <w:vAlign w:val="center"/>
          </w:tcPr>
          <w:p w14:paraId="03CA30A1">
            <w:pPr>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3</w:t>
            </w:r>
          </w:p>
        </w:tc>
        <w:tc>
          <w:tcPr>
            <w:tcW w:w="753" w:type="dxa"/>
            <w:noWrap w:val="0"/>
            <w:vAlign w:val="center"/>
          </w:tcPr>
          <w:p w14:paraId="48AD1000">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磁刺激治疗仪</w:t>
            </w:r>
          </w:p>
        </w:tc>
        <w:tc>
          <w:tcPr>
            <w:tcW w:w="756" w:type="dxa"/>
            <w:noWrap w:val="0"/>
            <w:vAlign w:val="center"/>
          </w:tcPr>
          <w:p w14:paraId="5A5E8016">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1台</w:t>
            </w:r>
          </w:p>
        </w:tc>
        <w:tc>
          <w:tcPr>
            <w:tcW w:w="1056" w:type="dxa"/>
            <w:noWrap w:val="0"/>
            <w:vAlign w:val="center"/>
          </w:tcPr>
          <w:p w14:paraId="38A6DB25">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30</w:t>
            </w:r>
          </w:p>
        </w:tc>
        <w:tc>
          <w:tcPr>
            <w:tcW w:w="5971" w:type="dxa"/>
            <w:noWrap w:val="0"/>
          </w:tcPr>
          <w:p w14:paraId="51C4C1D8">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1.适用范围：刺激人体中枢神经和外周神经，用于人体中枢神经、外周神经功能的检测、评定、改善，对卒中所导致的运动功能障碍、认知功能障碍、疼痛、失眠、外周神经损伤及神经源性膀胱的辅助治疗；</w:t>
            </w:r>
          </w:p>
          <w:p w14:paraId="556EBB2F">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lang w:eastAsia="zh-CN"/>
                <w14:textFill>
                  <w14:solidFill>
                    <w14:schemeClr w14:val="tx1"/>
                  </w14:solidFill>
                </w14:textFill>
              </w:rPr>
              <w:t>2.分体设计：系统采用模块独立分体设计，</w:t>
            </w:r>
            <w:r>
              <w:rPr>
                <w:rFonts w:hint="eastAsia"/>
                <w:b/>
                <w:bCs/>
                <w:color w:val="000000" w:themeColor="text1"/>
                <w:highlight w:val="none"/>
                <w:lang w:val="en-US" w:eastAsia="zh-CN"/>
                <w14:textFill>
                  <w14:solidFill>
                    <w14:schemeClr w14:val="tx1"/>
                  </w14:solidFill>
                </w14:textFill>
              </w:rPr>
              <w:t>要求</w:t>
            </w:r>
            <w:r>
              <w:rPr>
                <w:rFonts w:hint="eastAsia" w:ascii="宋体" w:hAnsi="宋体" w:eastAsia="宋体" w:cs="宋体"/>
                <w:b/>
                <w:bCs/>
                <w:color w:val="000000" w:themeColor="text1"/>
                <w:sz w:val="21"/>
                <w:szCs w:val="21"/>
                <w:highlight w:val="none"/>
                <w:lang w:eastAsia="zh-CN"/>
                <w14:textFill>
                  <w14:solidFill>
                    <w14:schemeClr w14:val="tx1"/>
                  </w14:solidFill>
                </w14:textFill>
              </w:rPr>
              <w:t>模块独立</w:t>
            </w:r>
            <w:r>
              <w:rPr>
                <w:rFonts w:hint="eastAsia" w:ascii="宋体" w:hAnsi="宋体" w:cs="宋体"/>
                <w:b/>
                <w:bCs/>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lang w:eastAsia="zh-CN"/>
                <w14:textFill>
                  <w14:solidFill>
                    <w14:schemeClr w14:val="tx1"/>
                  </w14:solidFill>
                </w14:textFill>
              </w:rPr>
              <w:t>液电隔离；</w:t>
            </w:r>
            <w:r>
              <w:rPr>
                <w:rFonts w:hint="eastAsia" w:ascii="宋体" w:hAnsi="宋体" w:eastAsia="宋体" w:cs="宋体"/>
                <w:color w:val="000000" w:themeColor="text1"/>
                <w:sz w:val="21"/>
                <w:szCs w:val="21"/>
                <w:highlight w:val="none"/>
                <w:lang w:eastAsia="zh-CN"/>
                <w14:textFill>
                  <w14:solidFill>
                    <w14:schemeClr w14:val="tx1"/>
                  </w14:solidFill>
                </w14:textFill>
              </w:rPr>
              <w:t xml:space="preserve"> </w:t>
            </w:r>
          </w:p>
          <w:p w14:paraId="0D5DA8E9">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最大磁场刺激强度</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6T，可根据需求调节；</w:t>
            </w:r>
          </w:p>
          <w:p w14:paraId="70C1E731">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最高刺激频率</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50Hz，可以根据需求调节，允差±10%。</w:t>
            </w:r>
          </w:p>
          <w:p w14:paraId="0B060D83">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脉冲宽度：</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340μs±10%；</w:t>
            </w:r>
          </w:p>
          <w:p w14:paraId="015D7C0A">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脉冲上升时间：</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60μs±10μs；</w:t>
            </w:r>
          </w:p>
          <w:p w14:paraId="6189C592">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7</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磁感应强度变化率能达到：30~80KT/s。</w:t>
            </w:r>
          </w:p>
          <w:p w14:paraId="24CCA828">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8</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刺激模式：单刺激、重复刺激等多种模式可自由组合切换；</w:t>
            </w:r>
          </w:p>
          <w:p w14:paraId="6EF253E4">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9</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刺激线圈：</w:t>
            </w:r>
          </w:p>
          <w:p w14:paraId="3CD4260B">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lang w:eastAsia="zh-CN"/>
                <w14:textFill>
                  <w14:solidFill>
                    <w14:schemeClr w14:val="tx1"/>
                  </w14:solidFill>
                </w14:textFill>
              </w:rPr>
              <w:t>（1）刺激线圈可快速更换，且具备触发按钮和调节强度按钮，单手即可完成阈值测定和强度调节；</w:t>
            </w:r>
          </w:p>
          <w:p w14:paraId="313C5C05">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（2）刺激线圈具有独立的保护装置，当线圈发生故障时，线圈连接断开或温度超过警戒值，应停止磁场输出，有视觉提示并报警；</w:t>
            </w:r>
          </w:p>
          <w:p w14:paraId="17FC6257">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10</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可根据治疗需要设置治疗时长1-99min，在预定时间到达后断开磁场输出，允差：±10%；</w:t>
            </w:r>
          </w:p>
          <w:p w14:paraId="6B128392">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11</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设备运行过程中，可按压前面板上的触控停止键、自锁开关键及时断开磁场输出；</w:t>
            </w:r>
          </w:p>
          <w:p w14:paraId="2F9C616E">
            <w:pPr>
              <w:keepNext w:val="0"/>
              <w:keepLines w:val="0"/>
              <w:pageBreakBefore w:val="0"/>
              <w:widowControl/>
              <w:numPr>
                <w:ilvl w:val="0"/>
                <w:numId w:val="0"/>
              </w:numPr>
              <w:bidi w:val="0"/>
              <w:spacing w:line="480" w:lineRule="exact"/>
              <w:ind w:left="0" w:firstLine="0"/>
              <w:jc w:val="left"/>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lang w:eastAsia="zh-CN"/>
                <w14:textFill>
                  <w14:solidFill>
                    <w14:schemeClr w14:val="tx1"/>
                  </w14:solidFill>
                </w14:textFill>
              </w:rPr>
              <w:t>12</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bCs/>
                <w:color w:val="000000" w:themeColor="text1"/>
                <w:sz w:val="21"/>
                <w:szCs w:val="21"/>
                <w:highlight w:val="none"/>
                <w:lang w:eastAsia="zh-CN"/>
                <w14:textFill>
                  <w14:solidFill>
                    <w14:schemeClr w14:val="tx1"/>
                  </w14:solidFill>
                </w14:textFill>
              </w:rPr>
              <w:t>可通过主机触控面板或者移动终端安装软件进行手动设置刺激强度、刺激频率、刺激时间、间歇时间、工作时间；</w:t>
            </w:r>
          </w:p>
          <w:p w14:paraId="0E62ACE4">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13</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主机内置高清液晶屏，显示仪器工作参数，所有操作也可以在主机上独立完成；</w:t>
            </w:r>
          </w:p>
          <w:p w14:paraId="31CC1807">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14</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具有多台主机的互联与协同控制功能，多台主机间患者信息、治疗数据共享；</w:t>
            </w:r>
          </w:p>
          <w:p w14:paraId="6F884A8C">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15</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两台经颅磁刺激系统可组合成对刺激模式；</w:t>
            </w:r>
          </w:p>
          <w:p w14:paraId="4867BECF">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16</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具有无线通讯功能、支持通过移动端软件或电脑端软件下发操作指令或参数，执行并控制仪器输出磁刺激；</w:t>
            </w:r>
          </w:p>
          <w:p w14:paraId="56D0F42F">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17</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冷却系统：内循环液态冷却，冷却液为惰性液体，保证连续使用8小时</w:t>
            </w:r>
            <w:r>
              <w:rPr>
                <w:rFonts w:hint="eastAsia" w:ascii="宋体" w:hAnsi="宋体" w:cs="宋体"/>
                <w:color w:val="000000" w:themeColor="text1"/>
                <w:sz w:val="21"/>
                <w:szCs w:val="21"/>
                <w:highlight w:val="none"/>
                <w:lang w:val="en-US" w:eastAsia="zh-CN"/>
                <w14:textFill>
                  <w14:solidFill>
                    <w14:schemeClr w14:val="tx1"/>
                  </w14:solidFill>
                </w14:textFill>
              </w:rPr>
              <w:t>及</w:t>
            </w:r>
            <w:r>
              <w:rPr>
                <w:rFonts w:hint="eastAsia" w:ascii="宋体" w:hAnsi="宋体" w:eastAsia="宋体" w:cs="宋体"/>
                <w:color w:val="000000" w:themeColor="text1"/>
                <w:sz w:val="21"/>
                <w:szCs w:val="21"/>
                <w:highlight w:val="none"/>
                <w:lang w:eastAsia="zh-CN"/>
                <w14:textFill>
                  <w14:solidFill>
                    <w14:schemeClr w14:val="tx1"/>
                  </w14:solidFill>
                </w14:textFill>
              </w:rPr>
              <w:t>以上，无渗漏、无挥发现象；</w:t>
            </w:r>
          </w:p>
          <w:p w14:paraId="45FFDE49">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18</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数据库管理功能，包含治疗记录管理，可存储患者基本信息、 临床方案、诊疗记录等信息，并可实时查询、编辑及导出数据，并可快速调取历史刺激记录，直接启动刺激；</w:t>
            </w:r>
          </w:p>
          <w:p w14:paraId="33BE0868">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19</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计时功能:刺激方案设定后，设备能依据设定方案自行计算总刺激时间；</w:t>
            </w:r>
          </w:p>
          <w:p w14:paraId="08474E79">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20</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万向可调节线圈固定支臂，360度旋转调节高度可调；</w:t>
            </w:r>
          </w:p>
          <w:p w14:paraId="2386683A">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21</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设备软件具有电容放电计数功能；</w:t>
            </w:r>
          </w:p>
          <w:p w14:paraId="74A5CA63">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22</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温度控制：实时显示治疗线圈温度，当温度超过40℃</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，自动停止输出；</w:t>
            </w:r>
          </w:p>
          <w:p w14:paraId="49D21C58">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23</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提供患者治疗数据管理:为患者提供完善的报告；也可用于临床病例统计和研究；</w:t>
            </w:r>
          </w:p>
          <w:p w14:paraId="1830F981">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24</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安全保证：电源、刺激强度、刺激时间、线圈温度等实时监控；有线圈脱落、温度异常等异常情况时实时报错功能，根据故障及时停止运行；</w:t>
            </w:r>
          </w:p>
          <w:p w14:paraId="3E0F9899">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25</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符合YY 9706.102-2021电磁兼容要求，符合YY/T0994-2015磁刺激设备要求。</w:t>
            </w:r>
          </w:p>
          <w:p w14:paraId="4CE82DAC">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26</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整机使用年限≥10年；</w:t>
            </w:r>
          </w:p>
          <w:p w14:paraId="6AB3726F">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27</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治疗位置可视化：系统内置刺激部位图，根据处方治疗部位实时突出显示刺激部位，并配详细文字介绍；</w:t>
            </w:r>
          </w:p>
          <w:p w14:paraId="030BEE34">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28</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支持选配身份读卡器，自动录入身份信息；</w:t>
            </w:r>
          </w:p>
          <w:p w14:paraId="74692877">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lang w:eastAsia="zh-CN"/>
                <w14:textFill>
                  <w14:solidFill>
                    <w14:schemeClr w14:val="tx1"/>
                  </w14:solidFill>
                </w14:textFill>
              </w:rPr>
              <w:t>29</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bCs/>
                <w:color w:val="000000" w:themeColor="text1"/>
                <w:sz w:val="21"/>
                <w:szCs w:val="21"/>
                <w:highlight w:val="none"/>
                <w:lang w:eastAsia="zh-CN"/>
                <w14:textFill>
                  <w14:solidFill>
                    <w14:schemeClr w14:val="tx1"/>
                  </w14:solidFill>
                </w14:textFill>
              </w:rPr>
              <w:t>支持操作方法：≥3种，均能独立操控设备；</w:t>
            </w:r>
          </w:p>
          <w:p w14:paraId="12F1CBAA">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30</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主机内部高压储能电容；</w:t>
            </w:r>
          </w:p>
          <w:p w14:paraId="09850C6B">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31</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清单</w:t>
            </w:r>
            <w:r>
              <w:rPr>
                <w:rFonts w:hint="eastAsia" w:ascii="宋体" w:hAnsi="宋体" w:eastAsia="宋体" w:cs="宋体"/>
                <w:color w:val="000000" w:themeColor="text1"/>
                <w:sz w:val="21"/>
                <w:szCs w:val="21"/>
                <w:highlight w:val="none"/>
                <w:lang w:eastAsia="zh-CN"/>
                <w14:textFill>
                  <w14:solidFill>
                    <w14:schemeClr w14:val="tx1"/>
                  </w14:solidFill>
                </w14:textFill>
              </w:rPr>
              <w:t>配置</w:t>
            </w:r>
          </w:p>
          <w:p w14:paraId="79103600">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⑴刺激系统主机</w:t>
            </w:r>
            <w:r>
              <w:rPr>
                <w:rFonts w:hint="eastAsia" w:ascii="宋体" w:hAnsi="宋体" w:cs="宋体"/>
                <w:color w:val="000000" w:themeColor="text1"/>
                <w:sz w:val="21"/>
                <w:szCs w:val="21"/>
                <w:highlight w:val="none"/>
                <w:lang w:val="en-US" w:eastAsia="zh-CN"/>
                <w14:textFill>
                  <w14:solidFill>
                    <w14:schemeClr w14:val="tx1"/>
                  </w14:solidFill>
                </w14:textFill>
              </w:rPr>
              <w:t>1套</w:t>
            </w:r>
          </w:p>
          <w:p w14:paraId="0CD53BCE">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⑵冷却主机</w:t>
            </w:r>
            <w:r>
              <w:rPr>
                <w:rFonts w:hint="eastAsia" w:ascii="宋体" w:hAnsi="宋体" w:cs="宋体"/>
                <w:color w:val="000000" w:themeColor="text1"/>
                <w:sz w:val="21"/>
                <w:szCs w:val="21"/>
                <w:highlight w:val="none"/>
                <w:lang w:val="en-US" w:eastAsia="zh-CN"/>
                <w14:textFill>
                  <w14:solidFill>
                    <w14:schemeClr w14:val="tx1"/>
                  </w14:solidFill>
                </w14:textFill>
              </w:rPr>
              <w:t>1套</w:t>
            </w:r>
          </w:p>
          <w:p w14:paraId="0B1B36D7">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⑶线圈</w:t>
            </w:r>
            <w:r>
              <w:rPr>
                <w:rFonts w:hint="eastAsia" w:ascii="宋体" w:hAnsi="宋体" w:cs="宋体"/>
                <w:color w:val="000000" w:themeColor="text1"/>
                <w:sz w:val="21"/>
                <w:szCs w:val="21"/>
                <w:highlight w:val="none"/>
                <w:lang w:val="en-US" w:eastAsia="zh-CN"/>
                <w14:textFill>
                  <w14:solidFill>
                    <w14:schemeClr w14:val="tx1"/>
                  </w14:solidFill>
                </w14:textFill>
              </w:rPr>
              <w:t>1套</w:t>
            </w:r>
          </w:p>
          <w:p w14:paraId="79E8AEBA">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⑷电脑</w:t>
            </w:r>
            <w:r>
              <w:rPr>
                <w:rFonts w:hint="eastAsia" w:ascii="宋体" w:hAnsi="宋体" w:cs="宋体"/>
                <w:color w:val="000000" w:themeColor="text1"/>
                <w:sz w:val="21"/>
                <w:szCs w:val="21"/>
                <w:highlight w:val="none"/>
                <w:lang w:val="en-US" w:eastAsia="zh-CN"/>
                <w14:textFill>
                  <w14:solidFill>
                    <w14:schemeClr w14:val="tx1"/>
                  </w14:solidFill>
                </w14:textFill>
              </w:rPr>
              <w:t>1套</w:t>
            </w:r>
          </w:p>
          <w:p w14:paraId="7BEC0A72">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⑸台车</w:t>
            </w:r>
            <w:r>
              <w:rPr>
                <w:rFonts w:hint="eastAsia" w:ascii="宋体" w:hAnsi="宋体" w:cs="宋体"/>
                <w:color w:val="000000" w:themeColor="text1"/>
                <w:sz w:val="21"/>
                <w:szCs w:val="21"/>
                <w:highlight w:val="none"/>
                <w:lang w:val="en-US" w:eastAsia="zh-CN"/>
                <w14:textFill>
                  <w14:solidFill>
                    <w14:schemeClr w14:val="tx1"/>
                  </w14:solidFill>
                </w14:textFill>
              </w:rPr>
              <w:t>1台</w:t>
            </w:r>
          </w:p>
          <w:p w14:paraId="305B6606">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⑹定位帽</w:t>
            </w:r>
            <w:r>
              <w:rPr>
                <w:rFonts w:hint="eastAsia" w:ascii="宋体" w:hAnsi="宋体" w:cs="宋体"/>
                <w:color w:val="000000" w:themeColor="text1"/>
                <w:sz w:val="21"/>
                <w:szCs w:val="21"/>
                <w:highlight w:val="none"/>
                <w:lang w:val="en-US" w:eastAsia="zh-CN"/>
                <w14:textFill>
                  <w14:solidFill>
                    <w14:schemeClr w14:val="tx1"/>
                  </w14:solidFill>
                </w14:textFill>
              </w:rPr>
              <w:t>1套</w:t>
            </w:r>
          </w:p>
        </w:tc>
      </w:tr>
      <w:tr w14:paraId="569989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96" w:hRule="atLeast"/>
        </w:trPr>
        <w:tc>
          <w:tcPr>
            <w:tcW w:w="531" w:type="dxa"/>
            <w:noWrap w:val="0"/>
            <w:vAlign w:val="center"/>
          </w:tcPr>
          <w:p w14:paraId="2FDA802F">
            <w:pPr>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4</w:t>
            </w:r>
          </w:p>
        </w:tc>
        <w:tc>
          <w:tcPr>
            <w:tcW w:w="753" w:type="dxa"/>
            <w:noWrap w:val="0"/>
            <w:vAlign w:val="center"/>
          </w:tcPr>
          <w:p w14:paraId="2B57FFBA">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多模态磁刺激仪</w:t>
            </w:r>
          </w:p>
        </w:tc>
        <w:tc>
          <w:tcPr>
            <w:tcW w:w="756" w:type="dxa"/>
            <w:noWrap w:val="0"/>
            <w:vAlign w:val="center"/>
          </w:tcPr>
          <w:p w14:paraId="36FB39AE">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1台</w:t>
            </w:r>
          </w:p>
        </w:tc>
        <w:tc>
          <w:tcPr>
            <w:tcW w:w="1056" w:type="dxa"/>
            <w:noWrap w:val="0"/>
            <w:vAlign w:val="center"/>
          </w:tcPr>
          <w:p w14:paraId="4E5A15AD">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60</w:t>
            </w:r>
          </w:p>
        </w:tc>
        <w:tc>
          <w:tcPr>
            <w:tcW w:w="5971" w:type="dxa"/>
            <w:noWrap w:val="0"/>
          </w:tcPr>
          <w:p w14:paraId="7A89245C">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1.主机技术要求</w:t>
            </w:r>
          </w:p>
          <w:p w14:paraId="25C7DBCB">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1.1磁场刺激强度≥6T，可根据需求调节；</w:t>
            </w:r>
          </w:p>
          <w:p w14:paraId="7E10C567">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1.2刺激频率0-50Hz，1-50Hz步长1Hz，0-1Hz步长0.1Hz，连续可调，可以根据需求调节；</w:t>
            </w:r>
          </w:p>
          <w:p w14:paraId="70200E34">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1.3脉冲宽度≥340μs，允差±10%；</w:t>
            </w:r>
          </w:p>
          <w:p w14:paraId="7F230A9A">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1.4脉冲上升时间：≥60μs；</w:t>
            </w:r>
          </w:p>
          <w:p w14:paraId="4ADC1401">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1.5磁感应强度最小变化率最小≥30KT/s，最大变化率≤80KT/s；</w:t>
            </w:r>
          </w:p>
          <w:p w14:paraId="0A020D99">
            <w:pPr>
              <w:keepNext w:val="0"/>
              <w:keepLines w:val="0"/>
              <w:pageBreakBefore w:val="0"/>
              <w:widowControl/>
              <w:numPr>
                <w:ilvl w:val="0"/>
                <w:numId w:val="0"/>
              </w:numPr>
              <w:bidi w:val="0"/>
              <w:spacing w:line="480" w:lineRule="exact"/>
              <w:ind w:left="0" w:firstLine="0"/>
              <w:jc w:val="left"/>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lang w:eastAsia="zh-CN"/>
                <w14:textFill>
                  <w14:solidFill>
                    <w14:schemeClr w14:val="tx1"/>
                  </w14:solidFill>
                </w14:textFill>
              </w:rPr>
              <w:t>1.6设备最大功耗≤2500VA；</w:t>
            </w:r>
          </w:p>
          <w:p w14:paraId="63C2004B">
            <w:pPr>
              <w:keepNext w:val="0"/>
              <w:keepLines w:val="0"/>
              <w:pageBreakBefore w:val="0"/>
              <w:widowControl/>
              <w:numPr>
                <w:ilvl w:val="0"/>
                <w:numId w:val="0"/>
              </w:numPr>
              <w:bidi w:val="0"/>
              <w:spacing w:line="480" w:lineRule="exact"/>
              <w:ind w:left="0" w:firstLine="0"/>
              <w:jc w:val="left"/>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lang w:eastAsia="zh-CN"/>
                <w14:textFill>
                  <w14:solidFill>
                    <w14:schemeClr w14:val="tx1"/>
                  </w14:solidFill>
                </w14:textFill>
              </w:rPr>
              <w:t>1.7主机内置高清液晶屏，所有操作也可以在主机上独立完成，可通过主机触控面板进行手动设置刺激强度、刺激频率、刺激时间、工作时间等，并在治疗过程中实时显示；</w:t>
            </w:r>
          </w:p>
          <w:p w14:paraId="089E9983">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1.8整机使用年限≥10年；</w:t>
            </w:r>
          </w:p>
          <w:p w14:paraId="4D8C5059">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2.冷却系统技术要求</w:t>
            </w:r>
          </w:p>
          <w:p w14:paraId="4EE618E5">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2.1内循环液态冷却，冷却液为惰性液体，无渗漏、无挥发现象，无需定期维护；</w:t>
            </w:r>
          </w:p>
          <w:p w14:paraId="50F7B31E">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2.2安全保证：电源、刺激强度、刺激时间、线圈温度等实时监控；有线圈脱落、温度异常等异常情况时实时报错功能，根据故障及时停止运行；</w:t>
            </w:r>
          </w:p>
          <w:p w14:paraId="27113891">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lang w:eastAsia="zh-CN"/>
                <w14:textFill>
                  <w14:solidFill>
                    <w14:schemeClr w14:val="tx1"/>
                  </w14:solidFill>
                </w14:textFill>
              </w:rPr>
              <w:t>2.3分体化设计，主机可独立工作，通过线缆连接,由数据分析平台控制管理；</w:t>
            </w:r>
          </w:p>
          <w:p w14:paraId="521A273F">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3.线圈技术要求</w:t>
            </w:r>
          </w:p>
          <w:p w14:paraId="6333F5C8">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lang w:eastAsia="zh-CN"/>
                <w14:textFill>
                  <w14:solidFill>
                    <w14:schemeClr w14:val="tx1"/>
                  </w14:solidFill>
                </w14:textFill>
              </w:rPr>
              <w:t>3.1刺激线圈具备触发按钮和调节强度按钮，单手即可完成阈值测定和强度调节；</w:t>
            </w:r>
          </w:p>
          <w:p w14:paraId="57662377">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3.2刺激线圈具有独立的保护装置，当线圈发生故障时，线圈连接断开或温度超过40℃</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，停止磁场输出并有视觉提示；</w:t>
            </w:r>
          </w:p>
          <w:p w14:paraId="250A4B01">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3.3 具有多种线圈可选：锥型线圈、圆形线圈、动物线圈、儿童线圈等；</w:t>
            </w:r>
          </w:p>
          <w:p w14:paraId="3624D4E2">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4.MEP(EMG)模块技术要求</w:t>
            </w:r>
          </w:p>
          <w:p w14:paraId="7F41B3CD">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4.1放大器通道</w:t>
            </w:r>
            <w:r>
              <w:rPr>
                <w:rFonts w:hint="eastAsia" w:ascii="宋体" w:hAnsi="宋体" w:cs="宋体"/>
                <w:color w:val="000000" w:themeColor="text1"/>
                <w:sz w:val="21"/>
                <w:szCs w:val="21"/>
                <w:highlight w:val="none"/>
                <w:lang w:val="en-US" w:eastAsia="zh-CN"/>
                <w14:textFill>
                  <w14:solidFill>
                    <w14:schemeClr w14:val="tx1"/>
                  </w14:solidFill>
                </w14:textFill>
              </w:rPr>
              <w:t>能达到</w:t>
            </w:r>
            <w:r>
              <w:rPr>
                <w:rFonts w:hint="eastAsia" w:ascii="宋体" w:hAnsi="宋体" w:eastAsia="宋体" w:cs="宋体"/>
                <w:color w:val="000000" w:themeColor="text1"/>
                <w:sz w:val="21"/>
                <w:szCs w:val="21"/>
                <w:highlight w:val="none"/>
                <w:lang w:eastAsia="zh-CN"/>
                <w14:textFill>
                  <w14:solidFill>
                    <w14:schemeClr w14:val="tx1"/>
                  </w14:solidFill>
                </w14:textFill>
              </w:rPr>
              <w:t>：2-DIN信号采集通道；2组EP通道 ；</w:t>
            </w:r>
          </w:p>
          <w:p w14:paraId="36DED371">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4.2刺激通道：放大器内置电刺激、音频、闪光、图形刺激通道；</w:t>
            </w:r>
          </w:p>
          <w:p w14:paraId="4577790A">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lang w:eastAsia="zh-CN"/>
                <w14:textFill>
                  <w14:solidFill>
                    <w14:schemeClr w14:val="tx1"/>
                  </w14:solidFill>
                </w14:textFill>
              </w:rPr>
              <w:t>4.3一体设计：集成信号放大、采集、刺激和控制（键盘）功能</w:t>
            </w:r>
            <w:r>
              <w:rPr>
                <w:rFonts w:hint="eastAsia" w:ascii="宋体" w:hAnsi="宋体" w:cs="宋体"/>
                <w:b/>
                <w:bCs/>
                <w:color w:val="000000" w:themeColor="text1"/>
                <w:sz w:val="21"/>
                <w:szCs w:val="21"/>
                <w:highlight w:val="none"/>
                <w:lang w:val="en-US" w:eastAsia="zh-CN"/>
                <w14:textFill>
                  <w14:solidFill>
                    <w14:schemeClr w14:val="tx1"/>
                  </w14:solidFill>
                </w14:textFill>
              </w:rPr>
              <w:t>于</w:t>
            </w:r>
            <w:r>
              <w:rPr>
                <w:rFonts w:hint="eastAsia" w:ascii="宋体" w:hAnsi="宋体" w:eastAsia="宋体" w:cs="宋体"/>
                <w:b/>
                <w:bCs/>
                <w:color w:val="000000" w:themeColor="text1"/>
                <w:sz w:val="21"/>
                <w:szCs w:val="21"/>
                <w:highlight w:val="none"/>
                <w:lang w:eastAsia="zh-CN"/>
                <w14:textFill>
                  <w14:solidFill>
                    <w14:schemeClr w14:val="tx1"/>
                  </w14:solidFill>
                </w14:textFill>
              </w:rPr>
              <w:t>一体；</w:t>
            </w:r>
          </w:p>
          <w:p w14:paraId="2C56E25A">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4.4彩色液晶窗口直接显示参数修改内容，提高工作效率；</w:t>
            </w:r>
          </w:p>
          <w:p w14:paraId="78B34200">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4.5设备接口：USB2.0传输信号、供电；不需要专用地线支持；</w:t>
            </w:r>
          </w:p>
          <w:p w14:paraId="7D21B67B">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4.6A/D转换：≥16Bit；</w:t>
            </w:r>
          </w:p>
          <w:p w14:paraId="3B3E99E1">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4.7采样率：≥80kHz；</w:t>
            </w:r>
          </w:p>
          <w:p w14:paraId="3B3AF6DC">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4.8共模抑制比：≥100dB；</w:t>
            </w:r>
          </w:p>
          <w:p w14:paraId="21C89904">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4.9AC滤波：≥50Hz；</w:t>
            </w:r>
          </w:p>
          <w:p w14:paraId="349C82FA">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4.10噪声水平均方根：≤0.5μV；</w:t>
            </w:r>
          </w:p>
          <w:p w14:paraId="53756972">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4.11差模输入阻抗＞5MΩ；</w:t>
            </w:r>
          </w:p>
          <w:p w14:paraId="60C8698C">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4.12AC滤波：50Hz、60Hz切换；</w:t>
            </w:r>
          </w:p>
          <w:p w14:paraId="3B7E7D8C">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4.13高通滤波器：20–10000 Hz，低通滤波器：0.5–200 Hz</w:t>
            </w:r>
          </w:p>
          <w:p w14:paraId="66D8C6E5">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4.14面板阻抗测试按钮/阻抗分级调节功能；</w:t>
            </w:r>
          </w:p>
          <w:p w14:paraId="55EA2165">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4.15扩展功能：可连接磁刺激器；</w:t>
            </w:r>
          </w:p>
          <w:p w14:paraId="4F81E7FC">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5.软件功能</w:t>
            </w:r>
          </w:p>
          <w:p w14:paraId="291323DE">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5.1刺激模式：具有单、脉冲</w:t>
            </w:r>
            <w:r>
              <w:rPr>
                <w:rFonts w:hint="eastAsia" w:ascii="宋体" w:hAnsi="宋体" w:cs="宋体"/>
                <w:color w:val="000000" w:themeColor="text1"/>
                <w:sz w:val="21"/>
                <w:szCs w:val="21"/>
                <w:highlight w:val="none"/>
                <w:lang w:val="en-US" w:eastAsia="zh-CN"/>
                <w14:textFill>
                  <w14:solidFill>
                    <w14:schemeClr w14:val="tx1"/>
                  </w14:solidFill>
                </w14:textFill>
              </w:rPr>
              <w:t>刺激</w:t>
            </w:r>
            <w:r>
              <w:rPr>
                <w:rFonts w:hint="eastAsia" w:ascii="宋体" w:hAnsi="宋体" w:eastAsia="宋体" w:cs="宋体"/>
                <w:color w:val="000000" w:themeColor="text1"/>
                <w:sz w:val="21"/>
                <w:szCs w:val="21"/>
                <w:highlight w:val="none"/>
                <w:lang w:eastAsia="zh-CN"/>
                <w14:textFill>
                  <w14:solidFill>
                    <w14:schemeClr w14:val="tx1"/>
                  </w14:solidFill>
                </w14:textFill>
              </w:rPr>
              <w:t>模式（sTMS）、程控模式 （rTMS）、脉冲串模式（TBS）；</w:t>
            </w:r>
          </w:p>
          <w:p w14:paraId="5D903CC9">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5.2控制系统具有人机交互功能，病例管理及打印功能；</w:t>
            </w:r>
          </w:p>
          <w:p w14:paraId="1D1C0497">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5.3内置多种专家方案，可供临床选择，支持刺激方案自定义，设置刺激时间、输出频率、刺激间歇、刺激强度、刺激数量等；</w:t>
            </w:r>
          </w:p>
          <w:p w14:paraId="4CD600DE">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5.4可建立和储存患者的一般信息、病情信息；一般信息包括：姓名、性别、出生年月日、身高体重、联系地址、联系电话、检测日期、门诊号或住院号、就诊科室等；</w:t>
            </w:r>
          </w:p>
          <w:p w14:paraId="4FA30D73">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5.5可实现互联网功能，病人档案管理，专家方案，自定义治疗方案，海量储存；</w:t>
            </w:r>
          </w:p>
          <w:p w14:paraId="2C301EDA">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5.6定时时间按照方案的需要设置，在预定时间（方案的总时间）到达后设备自动终止磁场输出，允差：±10%；</w:t>
            </w:r>
          </w:p>
          <w:p w14:paraId="164AE049">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lang w:eastAsia="zh-CN"/>
                <w14:textFill>
                  <w14:solidFill>
                    <w14:schemeClr w14:val="tx1"/>
                  </w14:solidFill>
                </w14:textFill>
              </w:rPr>
              <w:t>5.7操作方法：≥3种操作方法，均能独立操控设备。</w:t>
            </w:r>
          </w:p>
          <w:p w14:paraId="2EF2DB7A">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5.8治疗方案提供详细图文描述，配合定位帽标识，提供精准靶点指导；</w:t>
            </w:r>
          </w:p>
          <w:p w14:paraId="04AE35E2">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5.9支持选配身份读卡器，自动录入身份信息；</w:t>
            </w:r>
          </w:p>
          <w:p w14:paraId="7122EAA6">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6.MEP(EMG)模块软件功能；</w:t>
            </w:r>
          </w:p>
          <w:p w14:paraId="04BA488F">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6.1具备运动神经传导，感觉神经传导，运动/感觉同时测量，运动/感觉微移定位，F-波、H-反射(可成对刺激)，瞬目反射，交感皮肤反应(可设声、光、电刺激)，震颤分析，骶骨反射，球海绵体肌反射，重复电刺激(衰减实验)等神经传导功能监测项目；</w:t>
            </w:r>
          </w:p>
          <w:p w14:paraId="4401C708">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6.2肌电图：自发电位，干扰相，全自动\手动运动单位电位分析，运动单位数目估算MUNE，自动分解运动单位电位MUP，单纤维肌电图，巨肌电图；</w:t>
            </w:r>
          </w:p>
          <w:p w14:paraId="5EBA4E9F">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6.3神经肌肉功能检测项目，内置快速CMAP扫描和MUNIX，MUNE递增、MUNE分解；</w:t>
            </w:r>
          </w:p>
          <w:p w14:paraId="7EFE114F">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6.4内置2路视频端口，可同步连接神经超声、电子喉镜，影像与神经检测多维度同时检测；视频可同时记录肌电图信号与患者动作，用作康复评估；</w:t>
            </w:r>
          </w:p>
          <w:p w14:paraId="3305FEF9">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6.5诱发电位：支持前庭肌源性诱发电位cVEMP，oVEMP；视觉诱发电位：闪光视觉诱发电位、黑白格棋盘翻转视觉诱发电位；脑干听觉诱发电位和中、长潜伏期听觉诱发电位；体感诱发电位；</w:t>
            </w:r>
          </w:p>
          <w:p w14:paraId="125982EB">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6.6事件相关电位:P300，MMN，CNV，P50，MRCP，可自定义创建事件相关电位模板；</w:t>
            </w:r>
          </w:p>
          <w:p w14:paraId="5411E2DD">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6.9软件支持磁刺激检测运动诱发电位功能，包括项目：自动检测MT，MEP，CSP，募集曲线，阈值追踪；</w:t>
            </w:r>
          </w:p>
          <w:p w14:paraId="02F0FAD1">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6.10支持自定义计算公式用于对轨迹和轨迹区间进行计算和分析，支持对事件相关电位再次叠加平均和二次滤波；</w:t>
            </w:r>
          </w:p>
          <w:p w14:paraId="09DA22B8">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6.11支持删除感觉/运动神经传导和诱发电位的刺激伪迹，不影响波形参数和形态的二次优化；</w:t>
            </w:r>
          </w:p>
          <w:p w14:paraId="2BA5A510">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6.12支持用户自定义检查模板，将神经传导检查、肌电图和诱发电位检查项目有效组织起来，为不同的疾病创建检查套餐，一键启动多项检查，</w:t>
            </w:r>
            <w:r>
              <w:rPr>
                <w:rFonts w:hint="eastAsia" w:ascii="宋体" w:hAnsi="宋体" w:cs="宋体"/>
                <w:color w:val="000000" w:themeColor="text1"/>
                <w:sz w:val="21"/>
                <w:szCs w:val="21"/>
                <w:highlight w:val="none"/>
                <w:lang w:val="en-US" w:eastAsia="zh-CN"/>
                <w14:textFill>
                  <w14:solidFill>
                    <w14:schemeClr w14:val="tx1"/>
                  </w14:solidFill>
                </w14:textFill>
              </w:rPr>
              <w:t>要求能</w:t>
            </w:r>
            <w:r>
              <w:rPr>
                <w:rFonts w:hint="eastAsia" w:ascii="宋体" w:hAnsi="宋体" w:eastAsia="宋体" w:cs="宋体"/>
                <w:color w:val="000000" w:themeColor="text1"/>
                <w:sz w:val="21"/>
                <w:szCs w:val="21"/>
                <w:highlight w:val="none"/>
                <w:lang w:eastAsia="zh-CN"/>
                <w14:textFill>
                  <w14:solidFill>
                    <w14:schemeClr w14:val="tx1"/>
                  </w14:solidFill>
                </w14:textFill>
              </w:rPr>
              <w:t>减少用户重复操作；</w:t>
            </w:r>
          </w:p>
          <w:p w14:paraId="2447EF92">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6.13正常值数据库管理：实现测量数据与正常值实时比较；</w:t>
            </w:r>
          </w:p>
          <w:p w14:paraId="6FE5E388">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6.14快速滤波：对测量波形可以滑轨式快速滤波，数据不失真且可逆；</w:t>
            </w:r>
          </w:p>
          <w:p w14:paraId="508666BE">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6.15软件支持附件管理，</w:t>
            </w:r>
            <w:r>
              <w:rPr>
                <w:rFonts w:hint="eastAsia" w:ascii="宋体" w:hAnsi="宋体" w:cs="宋体"/>
                <w:color w:val="000000" w:themeColor="text1"/>
                <w:sz w:val="21"/>
                <w:szCs w:val="21"/>
                <w:highlight w:val="none"/>
                <w:lang w:val="en-US" w:eastAsia="zh-CN"/>
                <w14:textFill>
                  <w14:solidFill>
                    <w14:schemeClr w14:val="tx1"/>
                  </w14:solidFill>
                </w14:textFill>
              </w:rPr>
              <w:t>要求能</w:t>
            </w:r>
            <w:r>
              <w:rPr>
                <w:rFonts w:hint="eastAsia" w:ascii="宋体" w:hAnsi="宋体" w:eastAsia="宋体" w:cs="宋体"/>
                <w:color w:val="000000" w:themeColor="text1"/>
                <w:sz w:val="21"/>
                <w:szCs w:val="21"/>
                <w:highlight w:val="none"/>
                <w:lang w:eastAsia="zh-CN"/>
                <w14:textFill>
                  <w14:solidFill>
                    <w14:schemeClr w14:val="tx1"/>
                  </w14:solidFill>
                </w14:textFill>
              </w:rPr>
              <w:t>整合与患者相关的检查数据、视频、影像等文件；</w:t>
            </w:r>
          </w:p>
          <w:p w14:paraId="481DA73F">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6.16在同一台电脑软件中，支持为多个用户创建独立工作账户，可加密保护，数据不相互影响；</w:t>
            </w:r>
          </w:p>
          <w:p w14:paraId="3DBEE792">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6.17支持在轨迹中手动、自动打标。支持实时显示平均叠加、平均的次数；软件支持重新叠加平均；</w:t>
            </w:r>
          </w:p>
          <w:p w14:paraId="407CCE90">
            <w:pPr>
              <w:keepNext w:val="0"/>
              <w:keepLines w:val="0"/>
              <w:pageBreakBefore w:val="0"/>
              <w:widowControl/>
              <w:numPr>
                <w:ilvl w:val="0"/>
                <w:numId w:val="0"/>
              </w:numPr>
              <w:bidi w:val="0"/>
              <w:spacing w:line="480" w:lineRule="exact"/>
              <w:ind w:left="0" w:firstLine="0"/>
              <w:jc w:val="left"/>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lang w:eastAsia="zh-CN"/>
                <w14:textFill>
                  <w14:solidFill>
                    <w14:schemeClr w14:val="tx1"/>
                  </w14:solidFill>
                </w14:textFill>
              </w:rPr>
              <w:t>6.18具备二次滤波功能、滤除谐波功能；</w:t>
            </w:r>
          </w:p>
          <w:p w14:paraId="3A9B624E">
            <w:pPr>
              <w:keepNext w:val="0"/>
              <w:keepLines w:val="0"/>
              <w:pageBreakBefore w:val="0"/>
              <w:widowControl/>
              <w:numPr>
                <w:ilvl w:val="0"/>
                <w:numId w:val="0"/>
              </w:numPr>
              <w:bidi w:val="0"/>
              <w:spacing w:line="480" w:lineRule="exact"/>
              <w:ind w:left="0" w:firstLine="0"/>
              <w:jc w:val="left"/>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lang w:eastAsia="zh-CN"/>
                <w14:textFill>
                  <w14:solidFill>
                    <w14:schemeClr w14:val="tx1"/>
                  </w14:solidFill>
                </w14:textFill>
              </w:rPr>
              <w:t>6.19具备对轨迹进行加、减、平均、校正、翻转等功能；</w:t>
            </w:r>
          </w:p>
          <w:p w14:paraId="6ED37A94">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6.20支持自动探测并删除刺激前伪迹，保证基线平稳；</w:t>
            </w:r>
          </w:p>
          <w:p w14:paraId="6FC82415">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6.21支持更改软件界面布局、颜色；轨迹颜色、宽度；</w:t>
            </w:r>
          </w:p>
          <w:p w14:paraId="7E413D2D">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6.22病案管理：可建立、保存、删除、修改、查询病例信息，可导入、导出病例文件。可设置多种检查模板、测试模板，可回放数据、查找数据、即时查看检查报告、支持本地、网络SQL数据库。支持文件与内置读图软件一并导出；</w:t>
            </w:r>
          </w:p>
          <w:p w14:paraId="51485831">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6.23报告输出方式：内置报告模板编辑器，也可使用基于 MS Word 软件出具检查报告，无限制报告模板数量；报告可直接导出至 PDF 格式文档；报告内容可在检查管理器中预览；</w:t>
            </w:r>
          </w:p>
          <w:p w14:paraId="0D8A8471">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7.配置要求</w:t>
            </w:r>
          </w:p>
          <w:p w14:paraId="74512DF3">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（1）刺激主机1台</w:t>
            </w:r>
          </w:p>
          <w:p w14:paraId="7DD7FDF4">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（2）冷却主机1台</w:t>
            </w:r>
          </w:p>
          <w:p w14:paraId="7EA65911">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（3）刺激线圈组件1个</w:t>
            </w:r>
          </w:p>
          <w:p w14:paraId="27752FB0">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（4）MEP（EMG）组件1套</w:t>
            </w:r>
          </w:p>
          <w:p w14:paraId="6563D71A">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（5）移动台车1套</w:t>
            </w:r>
          </w:p>
          <w:p w14:paraId="0A25E4E9">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（6）固定支臂1个</w:t>
            </w:r>
          </w:p>
          <w:p w14:paraId="071EEC89">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（7）定位帽2个</w:t>
            </w:r>
          </w:p>
        </w:tc>
      </w:tr>
      <w:tr w14:paraId="7FE9C3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96" w:hRule="atLeast"/>
        </w:trPr>
        <w:tc>
          <w:tcPr>
            <w:tcW w:w="531" w:type="dxa"/>
            <w:noWrap w:val="0"/>
            <w:vAlign w:val="center"/>
          </w:tcPr>
          <w:p w14:paraId="05FA51BB">
            <w:pPr>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5</w:t>
            </w:r>
          </w:p>
        </w:tc>
        <w:tc>
          <w:tcPr>
            <w:tcW w:w="753" w:type="dxa"/>
            <w:noWrap w:val="0"/>
            <w:vAlign w:val="center"/>
          </w:tcPr>
          <w:p w14:paraId="3CD670C3">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经颅电刺激仪</w:t>
            </w:r>
          </w:p>
        </w:tc>
        <w:tc>
          <w:tcPr>
            <w:tcW w:w="756" w:type="dxa"/>
            <w:noWrap w:val="0"/>
            <w:vAlign w:val="center"/>
          </w:tcPr>
          <w:p w14:paraId="14E40E96">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1台</w:t>
            </w:r>
          </w:p>
        </w:tc>
        <w:tc>
          <w:tcPr>
            <w:tcW w:w="1056" w:type="dxa"/>
            <w:noWrap w:val="0"/>
            <w:vAlign w:val="center"/>
          </w:tcPr>
          <w:p w14:paraId="4D58F88D">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13.8</w:t>
            </w:r>
          </w:p>
        </w:tc>
        <w:tc>
          <w:tcPr>
            <w:tcW w:w="5971" w:type="dxa"/>
            <w:noWrap w:val="0"/>
          </w:tcPr>
          <w:p w14:paraId="2972EFFC">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1.适用范围：适用于对脑损伤引起的运动功能障碍、语言障碍（失语症）、吞咽障碍的辅助治疗，用于改善或缓解失眠症状</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45626D6B">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2.最大输出电流：-2mA~2mA连续可调，误差不大于10%</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3EAFF27E">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3.输出脉宽为5ms-1s，允许误差±10%</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674D7DE0">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4.单个刺激仪主机支持双通道输出机型，输出可选，每个通道能独立输出，也可以同时输出</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7C12A583">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5.输出频率：1~200Hz可调</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1F7751C0">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6.刺激时间：1-60min可调，允许误差±10%</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000E8FEF">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7.刺激模式：具备直流波模式，支持升级正弦波模式、方波模式、噪声波模式、伪</w:t>
            </w:r>
            <w:r>
              <w:rPr>
                <w:rFonts w:hint="eastAsia" w:ascii="宋体" w:hAnsi="宋体" w:cs="宋体"/>
                <w:color w:val="000000" w:themeColor="text1"/>
                <w:sz w:val="21"/>
                <w:szCs w:val="21"/>
                <w:highlight w:val="none"/>
                <w:lang w:val="en-US" w:eastAsia="zh-CN"/>
                <w14:textFill>
                  <w14:solidFill>
                    <w14:schemeClr w14:val="tx1"/>
                  </w14:solidFill>
                </w14:textFill>
              </w:rPr>
              <w:t>刺激</w:t>
            </w:r>
            <w:r>
              <w:rPr>
                <w:rFonts w:hint="default" w:ascii="宋体" w:hAnsi="宋体" w:eastAsia="宋体" w:cs="宋体"/>
                <w:color w:val="000000" w:themeColor="text1"/>
                <w:sz w:val="21"/>
                <w:szCs w:val="21"/>
                <w:highlight w:val="none"/>
                <w:lang w:val="en-US" w:eastAsia="zh-CN"/>
                <w14:textFill>
                  <w14:solidFill>
                    <w14:schemeClr w14:val="tx1"/>
                  </w14:solidFill>
                </w14:textFill>
              </w:rPr>
              <w:t>模式</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1C739114">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8.操作方式：具有主机按键简便操作、移动端无线控制操作两种操作方式</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56C1F61A">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r>
              <w:rPr>
                <w:rFonts w:hint="default" w:ascii="宋体" w:hAnsi="宋体" w:eastAsia="宋体" w:cs="宋体"/>
                <w:b/>
                <w:bCs/>
                <w:color w:val="000000" w:themeColor="text1"/>
                <w:sz w:val="21"/>
                <w:szCs w:val="21"/>
                <w:highlight w:val="none"/>
                <w:lang w:val="en-US" w:eastAsia="zh-CN"/>
                <w14:textFill>
                  <w14:solidFill>
                    <w14:schemeClr w14:val="tx1"/>
                  </w14:solidFill>
                </w14:textFill>
              </w:rPr>
              <w:t>（1）移动端无线控制操作：实时下发操作指令、实时修改刺激参数，并支持多台刺激仪主机的互联与协同控制，患者信息、治疗记录共享</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w:t>
            </w:r>
          </w:p>
          <w:p w14:paraId="3FDF2662">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（2）主机操作：主机配置液晶屏，通过按键移动光标来选择所需功能</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10652B4A">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9.人机交互：</w:t>
            </w:r>
          </w:p>
          <w:p w14:paraId="6ADA2037">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（1）可实现启动与停止、选择输出波形、时间，强度等功能</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0FB5F29F">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（2）实时显示仪器参数，工作模式与运行状态</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4E3B3452">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10.参数设定：刺激模式、治疗时间、输出电流等参数进行自定义设置，刺激参数实时显示</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46DDF6DC">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11.安全保护功能：电极抗阻实时监测，异常情况及时报错；刺激过程中可随时一键终止电流输出</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71B34C33">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12.定位方式：配置头颅定位帽，辅助定位，并使电极片充分紧贴刺激部位，实现治疗</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42EDCCA0">
            <w:pPr>
              <w:keepNext w:val="0"/>
              <w:keepLines w:val="0"/>
              <w:pageBreakBefore w:val="0"/>
              <w:widowControl/>
              <w:numPr>
                <w:ilvl w:val="0"/>
                <w:numId w:val="0"/>
              </w:numPr>
              <w:bidi w:val="0"/>
              <w:spacing w:line="480" w:lineRule="exact"/>
              <w:ind w:left="0" w:firstLine="0"/>
              <w:jc w:val="left"/>
              <w:rPr>
                <w:rFonts w:hint="default"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lang w:eastAsia="zh-CN"/>
                <w14:textFill>
                  <w14:solidFill>
                    <w14:schemeClr w14:val="tx1"/>
                  </w14:solidFill>
                </w14:textFill>
              </w:rPr>
              <w:t>▲</w:t>
            </w:r>
            <w:r>
              <w:rPr>
                <w:rFonts w:hint="default" w:ascii="宋体" w:hAnsi="宋体" w:eastAsia="宋体" w:cs="宋体"/>
                <w:b/>
                <w:bCs/>
                <w:color w:val="000000" w:themeColor="text1"/>
                <w:sz w:val="21"/>
                <w:szCs w:val="21"/>
                <w:highlight w:val="none"/>
                <w:lang w:val="en-US" w:eastAsia="zh-CN"/>
                <w14:textFill>
                  <w14:solidFill>
                    <w14:schemeClr w14:val="tx1"/>
                  </w14:solidFill>
                </w14:textFill>
              </w:rPr>
              <w:t>13.主机预留防摔绳口，</w:t>
            </w:r>
            <w:r>
              <w:rPr>
                <w:rFonts w:hint="eastAsia" w:ascii="宋体" w:hAnsi="宋体" w:cs="宋体"/>
                <w:b/>
                <w:bCs/>
                <w:color w:val="000000" w:themeColor="text1"/>
                <w:sz w:val="21"/>
                <w:szCs w:val="21"/>
                <w:highlight w:val="none"/>
                <w:lang w:val="en-US" w:eastAsia="zh-CN"/>
                <w14:textFill>
                  <w14:solidFill>
                    <w14:schemeClr w14:val="tx1"/>
                  </w14:solidFill>
                </w14:textFill>
              </w:rPr>
              <w:t>要求</w:t>
            </w:r>
            <w:r>
              <w:rPr>
                <w:rFonts w:hint="default" w:ascii="宋体" w:hAnsi="宋体" w:eastAsia="宋体" w:cs="宋体"/>
                <w:b/>
                <w:bCs/>
                <w:color w:val="000000" w:themeColor="text1"/>
                <w:sz w:val="21"/>
                <w:szCs w:val="21"/>
                <w:highlight w:val="none"/>
                <w:lang w:val="en-US" w:eastAsia="zh-CN"/>
                <w14:textFill>
                  <w14:solidFill>
                    <w14:schemeClr w14:val="tx1"/>
                  </w14:solidFill>
                </w14:textFill>
              </w:rPr>
              <w:t>设备轻巧，易于携带，随时随地使用</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w:t>
            </w:r>
          </w:p>
          <w:p w14:paraId="427811AF">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14.配置要求</w:t>
            </w:r>
          </w:p>
          <w:p w14:paraId="4D18FE5B">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（1）刺激仪主机1台</w:t>
            </w:r>
          </w:p>
          <w:p w14:paraId="1F123E72">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（2）电极输出线2条</w:t>
            </w:r>
          </w:p>
          <w:p w14:paraId="5F9EA7A0">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（3）充电数据线1套</w:t>
            </w:r>
          </w:p>
          <w:p w14:paraId="0815524C">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（4）理疗电极片2对</w:t>
            </w:r>
          </w:p>
          <w:p w14:paraId="64D5A801">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（5）定位帽2个</w:t>
            </w:r>
          </w:p>
        </w:tc>
      </w:tr>
      <w:tr w14:paraId="2E3283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96" w:hRule="atLeast"/>
        </w:trPr>
        <w:tc>
          <w:tcPr>
            <w:tcW w:w="531" w:type="dxa"/>
            <w:noWrap w:val="0"/>
            <w:vAlign w:val="center"/>
          </w:tcPr>
          <w:p w14:paraId="3B006076">
            <w:pPr>
              <w:jc w:val="center"/>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6</w:t>
            </w:r>
          </w:p>
        </w:tc>
        <w:tc>
          <w:tcPr>
            <w:tcW w:w="753" w:type="dxa"/>
            <w:noWrap w:val="0"/>
            <w:vAlign w:val="center"/>
          </w:tcPr>
          <w:p w14:paraId="1D2FE3DA">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数字神经电生理系统</w:t>
            </w:r>
          </w:p>
        </w:tc>
        <w:tc>
          <w:tcPr>
            <w:tcW w:w="756" w:type="dxa"/>
            <w:noWrap w:val="0"/>
            <w:vAlign w:val="center"/>
          </w:tcPr>
          <w:p w14:paraId="4B13259F">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1台</w:t>
            </w:r>
          </w:p>
        </w:tc>
        <w:tc>
          <w:tcPr>
            <w:tcW w:w="1056" w:type="dxa"/>
            <w:noWrap w:val="0"/>
            <w:vAlign w:val="center"/>
          </w:tcPr>
          <w:p w14:paraId="430086FC">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73.5</w:t>
            </w:r>
          </w:p>
        </w:tc>
        <w:tc>
          <w:tcPr>
            <w:tcW w:w="5971" w:type="dxa"/>
            <w:noWrap w:val="0"/>
          </w:tcPr>
          <w:p w14:paraId="4317E174">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（一）</w:t>
            </w:r>
            <w:r>
              <w:rPr>
                <w:rFonts w:hint="default" w:ascii="宋体" w:hAnsi="宋体" w:eastAsia="宋体" w:cs="宋体"/>
                <w:color w:val="000000" w:themeColor="text1"/>
                <w:sz w:val="21"/>
                <w:szCs w:val="21"/>
                <w:highlight w:val="none"/>
                <w:lang w:val="en-US" w:eastAsia="zh-CN"/>
                <w14:textFill>
                  <w14:solidFill>
                    <w14:schemeClr w14:val="tx1"/>
                  </w14:solidFill>
                </w14:textFill>
              </w:rPr>
              <w:t>技术要求</w:t>
            </w:r>
          </w:p>
          <w:p w14:paraId="7CB6BBE9">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1.信号放大器系统</w:t>
            </w:r>
          </w:p>
          <w:p w14:paraId="6B275DD2">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(1)放大器通道：≥37脑电信号，≥8双极信号（差分通道），≥11通道DC信号，≥3通道独立下颌肌电信号，≥2通道独立眼电信号，≥1通道呼吸信号，独立REF通道，可采集EEG、ECG、EOG、EMG与SpO₂等多种信号</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3942F71D">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(2)放大器与电脑主机接口与传输：USB接口，采用USB连接电脑直流供与信号传输，不接受网线接口传输与电源适配器供电方式</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1D917F75">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(3)至少具备中英文语言操作界面</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1C5C4DD8">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(4)A/D转换：≥24Bit</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130A7D38">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(5)共模抑制比：≥120dB</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63FA2F71">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(6)AC滤波：50Hz、60Hz切换</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5A5FD2E1">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(7)最大采样频率：≥16kHz/通道</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2B911440">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(8)输入范围：±1100 mV</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73EEA1FC">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(9)噪声：</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default" w:ascii="宋体" w:hAnsi="宋体" w:eastAsia="宋体" w:cs="宋体"/>
                <w:color w:val="000000" w:themeColor="text1"/>
                <w:sz w:val="21"/>
                <w:szCs w:val="21"/>
                <w:highlight w:val="none"/>
                <w:lang w:val="en-US" w:eastAsia="zh-CN"/>
                <w14:textFill>
                  <w14:solidFill>
                    <w14:schemeClr w14:val="tx1"/>
                  </w14:solidFill>
                </w14:textFill>
              </w:rPr>
              <w:t>1.4μVpp</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5AB7C70E">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(10)所有通道兼容AC/DC</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587CFC8D">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(11)三色阻抗指示：主机通道可视化阻抗，实时在线连续测试阻抗</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04B418FC">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(12)具备软件检测报告</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1D40BC53">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2.设备软件电脑系统要求</w:t>
            </w:r>
            <w:r>
              <w:rPr>
                <w:rFonts w:hint="eastAsia" w:ascii="宋体" w:hAnsi="宋体" w:eastAsia="宋体" w:cs="宋体"/>
                <w:color w:val="000000" w:themeColor="text1"/>
                <w:sz w:val="21"/>
                <w:szCs w:val="21"/>
                <w:highlight w:val="none"/>
                <w:lang w:val="en-US" w:eastAsia="zh-CN"/>
                <w14:textFill>
                  <w14:solidFill>
                    <w14:schemeClr w14:val="tx1"/>
                  </w14:solidFill>
                </w14:textFill>
              </w:rPr>
              <w:t>：参照或相当于</w:t>
            </w:r>
            <w:r>
              <w:rPr>
                <w:rFonts w:hint="default" w:ascii="宋体" w:hAnsi="宋体" w:eastAsia="宋体" w:cs="宋体"/>
                <w:color w:val="000000" w:themeColor="text1"/>
                <w:sz w:val="21"/>
                <w:szCs w:val="21"/>
                <w:highlight w:val="none"/>
                <w:lang w:val="en-US" w:eastAsia="zh-CN"/>
                <w14:textFill>
                  <w14:solidFill>
                    <w14:schemeClr w14:val="tx1"/>
                  </w14:solidFill>
                </w14:textFill>
              </w:rPr>
              <w:t>Windows11操作系统</w:t>
            </w:r>
          </w:p>
          <w:p w14:paraId="33F175D1">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（二）</w:t>
            </w:r>
            <w:r>
              <w:rPr>
                <w:rFonts w:hint="default" w:ascii="宋体" w:hAnsi="宋体" w:eastAsia="宋体" w:cs="宋体"/>
                <w:color w:val="000000" w:themeColor="text1"/>
                <w:sz w:val="21"/>
                <w:szCs w:val="21"/>
                <w:highlight w:val="none"/>
                <w:lang w:val="en-US" w:eastAsia="zh-CN"/>
                <w14:textFill>
                  <w14:solidFill>
                    <w14:schemeClr w14:val="tx1"/>
                  </w14:solidFill>
                </w14:textFill>
              </w:rPr>
              <w:t>软件参数</w:t>
            </w:r>
          </w:p>
          <w:p w14:paraId="4AE1757E">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 xml:space="preserve">1.软件包含专业的脑电信号采集、睡眠采集及分析功能； </w:t>
            </w:r>
          </w:p>
          <w:p w14:paraId="297A2A89">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2.软件终身升级和维护</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622518A8">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3.内置PSG睡眠电极放置帮助内容，无需调换窗口即可查看电极安装规则</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7FBB1FB0">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4.多导睡眠分析参数：符合</w:t>
            </w:r>
            <w:r>
              <w:rPr>
                <w:rFonts w:hint="eastAsia" w:ascii="宋体" w:hAnsi="宋体" w:cs="宋体"/>
                <w:color w:val="000000" w:themeColor="text1"/>
                <w:sz w:val="21"/>
                <w:szCs w:val="21"/>
                <w:highlight w:val="none"/>
                <w:lang w:val="en-US" w:eastAsia="zh-CN"/>
                <w14:textFill>
                  <w14:solidFill>
                    <w14:schemeClr w14:val="tx1"/>
                  </w14:solidFill>
                </w14:textFill>
              </w:rPr>
              <w:t>国家</w:t>
            </w:r>
            <w:r>
              <w:rPr>
                <w:rFonts w:hint="default" w:ascii="宋体" w:hAnsi="宋体" w:eastAsia="宋体" w:cs="宋体"/>
                <w:color w:val="000000" w:themeColor="text1"/>
                <w:sz w:val="21"/>
                <w:szCs w:val="21"/>
                <w:highlight w:val="none"/>
                <w:lang w:val="en-US" w:eastAsia="zh-CN"/>
                <w14:textFill>
                  <w14:solidFill>
                    <w14:schemeClr w14:val="tx1"/>
                  </w14:solidFill>
                </w14:textFill>
              </w:rPr>
              <w:t>标准（具备8导脑电监测+3导下颌肌电监测+2导眼动监测+同时具备压力气流监测和热敏气流监测功能）</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79C219FF">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5.睡眠事件自动划分标记：打鼾，磨牙，周期性腿动，肺换气不足等；支持对事件进行时长、类型、色彩、文字描述等全自定义设置，进行手动标记</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6FF240B2">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6.呼吸指数：具备AHI、RDI和RERA指标（包括AHI、RERA和气流受限等不确定呼吸事件），和是否发生陈-施氏（Cheyne-Stokes）呼吸事件，发生可自动计算和生成报告</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3D1150D8">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7.自动分析功能：具备呼吸事件、氧减、鼾声、LM/PLM、微觉醒、睡眠结构分析（微觉醒选项）、PTT分析、心律异常、磨牙、RERA、陈-施氏呼吸、矛盾呼吸等自动分析功能，并可以自动生成在报告中</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1C0CBDD6">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8.趋势图功能：设定显示百分比，使其适合计算机窗口显示；趋势图分栏显示。睡眠趋势图</w:t>
            </w:r>
            <w:r>
              <w:rPr>
                <w:color w:val="000000" w:themeColor="text1"/>
                <w:highlight w:val="none"/>
                <w14:textFill>
                  <w14:solidFill>
                    <w14:schemeClr w14:val="tx1"/>
                  </w14:solidFill>
                </w14:textFill>
              </w:rPr>
              <w:t>SpO₂</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default" w:ascii="宋体" w:hAnsi="宋体" w:eastAsia="宋体" w:cs="宋体"/>
                <w:color w:val="000000" w:themeColor="text1"/>
                <w:sz w:val="21"/>
                <w:szCs w:val="21"/>
                <w:highlight w:val="none"/>
                <w:lang w:val="en-US" w:eastAsia="zh-CN"/>
                <w14:textFill>
                  <w14:solidFill>
                    <w14:schemeClr w14:val="tx1"/>
                  </w14:solidFill>
                </w14:textFill>
              </w:rPr>
              <w:t>呼吸频率</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default" w:ascii="宋体" w:hAnsi="宋体" w:eastAsia="宋体" w:cs="宋体"/>
                <w:color w:val="000000" w:themeColor="text1"/>
                <w:sz w:val="21"/>
                <w:szCs w:val="21"/>
                <w:highlight w:val="none"/>
                <w:lang w:val="en-US" w:eastAsia="zh-CN"/>
                <w14:textFill>
                  <w14:solidFill>
                    <w14:schemeClr w14:val="tx1"/>
                  </w14:solidFill>
                </w14:textFill>
              </w:rPr>
              <w:t>胸腹运动</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default" w:ascii="宋体" w:hAnsi="宋体" w:eastAsia="宋体" w:cs="宋体"/>
                <w:color w:val="000000" w:themeColor="text1"/>
                <w:sz w:val="21"/>
                <w:szCs w:val="21"/>
                <w:highlight w:val="none"/>
                <w:lang w:val="en-US" w:eastAsia="zh-CN"/>
                <w14:textFill>
                  <w14:solidFill>
                    <w14:schemeClr w14:val="tx1"/>
                  </w14:solidFill>
                </w14:textFill>
              </w:rPr>
              <w:t>心率</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default" w:ascii="宋体" w:hAnsi="宋体" w:eastAsia="宋体" w:cs="宋体"/>
                <w:color w:val="000000" w:themeColor="text1"/>
                <w:sz w:val="21"/>
                <w:szCs w:val="21"/>
                <w:highlight w:val="none"/>
                <w:lang w:val="en-US" w:eastAsia="zh-CN"/>
                <w14:textFill>
                  <w14:solidFill>
                    <w14:schemeClr w14:val="tx1"/>
                  </w14:solidFill>
                </w14:textFill>
              </w:rPr>
              <w:t>肢体运动</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default" w:ascii="宋体" w:hAnsi="宋体" w:eastAsia="宋体" w:cs="宋体"/>
                <w:color w:val="000000" w:themeColor="text1"/>
                <w:sz w:val="21"/>
                <w:szCs w:val="21"/>
                <w:highlight w:val="none"/>
                <w:lang w:val="en-US" w:eastAsia="zh-CN"/>
                <w14:textFill>
                  <w14:solidFill>
                    <w14:schemeClr w14:val="tx1"/>
                  </w14:solidFill>
                </w14:textFill>
              </w:rPr>
              <w:t>打鼾</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default" w:ascii="宋体" w:hAnsi="宋体" w:eastAsia="宋体" w:cs="宋体"/>
                <w:color w:val="000000" w:themeColor="text1"/>
                <w:sz w:val="21"/>
                <w:szCs w:val="21"/>
                <w:highlight w:val="none"/>
                <w:lang w:val="en-US" w:eastAsia="zh-CN"/>
                <w14:textFill>
                  <w14:solidFill>
                    <w14:schemeClr w14:val="tx1"/>
                  </w14:solidFill>
                </w14:textFill>
              </w:rPr>
              <w:t>体位</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default" w:ascii="宋体" w:hAnsi="宋体" w:eastAsia="宋体" w:cs="宋体"/>
                <w:color w:val="000000" w:themeColor="text1"/>
                <w:sz w:val="21"/>
                <w:szCs w:val="21"/>
                <w:highlight w:val="none"/>
                <w:lang w:val="en-US" w:eastAsia="zh-CN"/>
                <w14:textFill>
                  <w14:solidFill>
                    <w14:schemeClr w14:val="tx1"/>
                  </w14:solidFill>
                </w14:textFill>
              </w:rPr>
              <w:t>眼动</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default" w:ascii="宋体" w:hAnsi="宋体" w:eastAsia="宋体" w:cs="宋体"/>
                <w:color w:val="000000" w:themeColor="text1"/>
                <w:sz w:val="21"/>
                <w:szCs w:val="21"/>
                <w:highlight w:val="none"/>
                <w:lang w:val="en-US" w:eastAsia="zh-CN"/>
                <w14:textFill>
                  <w14:solidFill>
                    <w14:schemeClr w14:val="tx1"/>
                  </w14:solidFill>
                </w14:textFill>
              </w:rPr>
              <w:t>脑电图波幅</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022F91A0">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9.趋势列表：包含神经生理、呼吸、心电、肌电和</w:t>
            </w:r>
            <w:r>
              <w:rPr>
                <w:rFonts w:hint="eastAsia" w:ascii="宋体" w:hAnsi="宋体" w:cs="宋体"/>
                <w:color w:val="000000" w:themeColor="text1"/>
                <w:sz w:val="21"/>
                <w:szCs w:val="21"/>
                <w:highlight w:val="none"/>
                <w:lang w:val="en-US" w:eastAsia="zh-CN"/>
                <w14:textFill>
                  <w14:solidFill>
                    <w14:schemeClr w14:val="tx1"/>
                  </w14:solidFill>
                </w14:textFill>
              </w:rPr>
              <w:t>SpO₂</w:t>
            </w:r>
            <w:r>
              <w:rPr>
                <w:rFonts w:hint="default" w:ascii="宋体" w:hAnsi="宋体" w:eastAsia="宋体" w:cs="宋体"/>
                <w:color w:val="000000" w:themeColor="text1"/>
                <w:sz w:val="21"/>
                <w:szCs w:val="21"/>
                <w:highlight w:val="none"/>
                <w:lang w:val="en-US" w:eastAsia="zh-CN"/>
                <w14:textFill>
                  <w14:solidFill>
                    <w14:schemeClr w14:val="tx1"/>
                  </w14:solidFill>
                </w14:textFill>
              </w:rPr>
              <w:t>事件等，包括RERA、气流受限、陈施呼吸运动等。并可在原始图中对任意事件、任意时间的原始波形数据进行回访查找并阅读</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4194B14A">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10.标记和统计：PSG回顾中，以颜色自动标记纺锤波、K复合波、Delta波，REM期的反相和正相眼球运动，以及各种呼吸、氧减、磨牙、腿动和心电事件等；可通过鼠标拖动、右键点按以及快捷键注释（包括事件类型，起止时间，峰值等）和统计</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0D14ADDE">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11.信号分屏：一键分开用于睡眠分期的EEG和其他睡眠事件轨迹，以不同的扫描速度显示（EEG-30s/屏，PSG事件-1s-10min/屏），互不干扰，并可对用户睡眠分期的信号种类进行调整，</w:t>
            </w:r>
            <w:r>
              <w:rPr>
                <w:rFonts w:hint="eastAsia" w:ascii="宋体" w:hAnsi="宋体" w:cs="宋体"/>
                <w:color w:val="000000" w:themeColor="text1"/>
                <w:sz w:val="21"/>
                <w:szCs w:val="21"/>
                <w:highlight w:val="none"/>
                <w:lang w:val="en-US" w:eastAsia="zh-CN"/>
                <w14:textFill>
                  <w14:solidFill>
                    <w14:schemeClr w14:val="tx1"/>
                  </w14:solidFill>
                </w14:textFill>
              </w:rPr>
              <w:t>要求能</w:t>
            </w:r>
            <w:r>
              <w:rPr>
                <w:rFonts w:hint="default" w:ascii="宋体" w:hAnsi="宋体" w:eastAsia="宋体" w:cs="宋体"/>
                <w:color w:val="000000" w:themeColor="text1"/>
                <w:sz w:val="21"/>
                <w:szCs w:val="21"/>
                <w:highlight w:val="none"/>
                <w:lang w:val="en-US" w:eastAsia="zh-CN"/>
                <w14:textFill>
                  <w14:solidFill>
                    <w14:schemeClr w14:val="tx1"/>
                  </w14:solidFill>
                </w14:textFill>
              </w:rPr>
              <w:t>方便判读医师分期与识别PSG事件</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1F658A41">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12.波形全局调整：内置功能按键，</w:t>
            </w:r>
            <w:r>
              <w:rPr>
                <w:rFonts w:hint="eastAsia" w:ascii="宋体" w:hAnsi="宋体" w:cs="宋体"/>
                <w:color w:val="000000" w:themeColor="text1"/>
                <w:sz w:val="21"/>
                <w:szCs w:val="21"/>
                <w:highlight w:val="none"/>
                <w:lang w:val="en-US" w:eastAsia="zh-CN"/>
                <w14:textFill>
                  <w14:solidFill>
                    <w14:schemeClr w14:val="tx1"/>
                  </w14:solidFill>
                </w14:textFill>
              </w:rPr>
              <w:t>要求能</w:t>
            </w:r>
            <w:r>
              <w:rPr>
                <w:rFonts w:hint="default" w:ascii="宋体" w:hAnsi="宋体" w:eastAsia="宋体" w:cs="宋体"/>
                <w:color w:val="000000" w:themeColor="text1"/>
                <w:sz w:val="21"/>
                <w:szCs w:val="21"/>
                <w:highlight w:val="none"/>
                <w:lang w:val="en-US" w:eastAsia="zh-CN"/>
                <w14:textFill>
                  <w14:solidFill>
                    <w14:schemeClr w14:val="tx1"/>
                  </w14:solidFill>
                </w14:textFill>
              </w:rPr>
              <w:t>根据屏幕尺寸自动调整显示比例</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399C1210">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13.波形识别工具：波形测量，一键开启波形测量，可在记录到的轨迹中测量片段的频率、波幅、功率等参数。波形放大器，在回顾中开启，用于精确放置事件片段，查看波形特点</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4C5FAD76">
            <w:pPr>
              <w:keepNext w:val="0"/>
              <w:keepLines w:val="0"/>
              <w:pageBreakBefore w:val="0"/>
              <w:widowControl/>
              <w:numPr>
                <w:ilvl w:val="0"/>
                <w:numId w:val="0"/>
              </w:numPr>
              <w:bidi w:val="0"/>
              <w:spacing w:line="480" w:lineRule="exact"/>
              <w:ind w:left="0" w:firstLine="0"/>
              <w:jc w:val="lef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14.心电事件：涉及最大、最小和平均心率，以及呼吸事件和睡眠分期与心电事件的关联</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061EB540">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15.肢体活动事件：可以自动或手动判定肢体运动次数（PLMS），以及与觉醒和睡眠分期的关联</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251B0CAB">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16.癫痫功能：自定义癫痫探测规则设置、自动探测，具有棘波、尖波和棘慢波分析功能，可自动识别并标记出癫痫病理波及癫痫发作片段</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589172F7">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17.软件具有实时/区间分析的波幅、频率地形图，辅助临床快速查看各脑区脑电活动分布</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49B685BF">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18.软件可统计分析脑电信号节律信息，允许用户选择需要展示的信息</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52B8FA14">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19.阿尔法频率峰值与离散地形图：计算每个通道阿尔法频率峰值、功率与指数，计算不同脑区平均峰值与额叶不对称性；具备编辑不同疾病的参考值系统，可自动出示报告，支持编辑颜色映射反映阿尔法峰值离散度</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6AA4B157">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20.软件内置 ABCD 频谱功率图，可自动计算图形类别，具备ABCD趋势图和图形类别统计结果呈现，细化ABCD分类，具备自动化采集分析和报告模板；</w:t>
            </w:r>
            <w:r>
              <w:rPr>
                <w:rFonts w:hint="eastAsia" w:ascii="宋体" w:hAnsi="宋体" w:cs="宋体"/>
                <w:color w:val="000000" w:themeColor="text1"/>
                <w:sz w:val="21"/>
                <w:szCs w:val="21"/>
                <w:highlight w:val="none"/>
                <w:lang w:val="en-US" w:eastAsia="zh-CN"/>
                <w14:textFill>
                  <w14:solidFill>
                    <w14:schemeClr w14:val="tx1"/>
                  </w14:solidFill>
                </w14:textFill>
              </w:rPr>
              <w:t>要求能</w:t>
            </w:r>
            <w:r>
              <w:rPr>
                <w:rFonts w:hint="default" w:ascii="宋体" w:hAnsi="宋体" w:eastAsia="宋体" w:cs="宋体"/>
                <w:color w:val="000000" w:themeColor="text1"/>
                <w:sz w:val="21"/>
                <w:szCs w:val="21"/>
                <w:highlight w:val="none"/>
                <w:lang w:val="en-US" w:eastAsia="zh-CN"/>
                <w14:textFill>
                  <w14:solidFill>
                    <w14:schemeClr w14:val="tx1"/>
                  </w14:solidFill>
                </w14:textFill>
              </w:rPr>
              <w:t>辅助临床医生评估患者意识状态</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05C5CEE2">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21.软件内置脑电定量分析功能和指标：自相关与互相关分析；相干性分析数据与图形显示；频谱－功率分析；不同区间对比分析波幅、功率和指数图；二维与三维脑电地形图；软件内置单通道时频分析</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0B73B296">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22.软件内置专业的脑功能趋势分析：静息态指数，光谱熵，平均波幅，节律指数比，快慢波比值，各节律指数</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085E3E54">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23.实时显示各个通道阻抗趋势图</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21B30F6B">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24.密度谱阵列（DSA）与压缩密度谱阵列（CSA）功能：支持以μV2与dB显示结果；显示优势频率、边缘频率和中位频率，可设置平滑水平；自定义噪声排除水平和去除标记为伪迹片段的分析结果</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62F4E937">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25.功能测试、刺激系统：预设多种功能测试模板，用户可设置语音、文字提示与时长设置，减少操作者对患者讲解，标记的片段可用于对比分析；支持用户自定义测试</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76363971">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26.软件内置小波分析与独立成分分析功能用于去除伪迹</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15F8EB04">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27.自动化采集、分析与报告：软件支持用户自定义信号校准、监测、采集，伪迹识别标记，分析和自动报告全过程；减少不必要的操作，节省时间；支持用户随时打断自动化过程</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1621CA98">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28.软件支持同时打开多个脑电采集、分析窗口，同步脑电采集与分析</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12F3D1B9">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29.可设置视频1-10倍回放速度，使用视频定位脑电信号采集时间；可将视频画面保存为图片或直接导出至报告文件</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1E4E8EA6">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30.可将视频分段保存，删除、锁定、编辑操作，也可以将脑电图和视频片段剪辑后保存为独立文件在不同脑电软件中回放</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59779D0A">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31.软件内置波形频率、波幅测量尺；单波电子测量频率、功率和波幅；支持滑动测量，支持将所选波形和测量结果一键截取发送至报告</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201311E5">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32.设置各个通道EEG、EMG上下边界数值/线，通过肉眼查看信号是否超过设定数值</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3E6F3FE7">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33.</w:t>
            </w:r>
            <w:r>
              <w:rPr>
                <w:rFonts w:hint="eastAsia" w:ascii="宋体" w:hAnsi="宋体" w:cs="宋体"/>
                <w:color w:val="000000" w:themeColor="text1"/>
                <w:sz w:val="21"/>
                <w:szCs w:val="21"/>
                <w:highlight w:val="none"/>
                <w:lang w:val="en-US" w:eastAsia="zh-CN"/>
                <w14:textFill>
                  <w14:solidFill>
                    <w14:schemeClr w14:val="tx1"/>
                  </w14:solidFill>
                </w14:textFill>
              </w:rPr>
              <w:t>要求能</w:t>
            </w:r>
            <w:r>
              <w:rPr>
                <w:rFonts w:hint="default" w:ascii="宋体" w:hAnsi="宋体" w:eastAsia="宋体" w:cs="宋体"/>
                <w:color w:val="000000" w:themeColor="text1"/>
                <w:sz w:val="21"/>
                <w:szCs w:val="21"/>
                <w:highlight w:val="none"/>
                <w:lang w:val="en-US" w:eastAsia="zh-CN"/>
                <w14:textFill>
                  <w14:solidFill>
                    <w14:schemeClr w14:val="tx1"/>
                  </w14:solidFill>
                </w14:textFill>
              </w:rPr>
              <w:t>左右侧导联叠放，操作者肉眼</w:t>
            </w:r>
            <w:r>
              <w:rPr>
                <w:rFonts w:hint="eastAsia" w:ascii="宋体" w:hAnsi="宋体" w:cs="宋体"/>
                <w:color w:val="000000" w:themeColor="text1"/>
                <w:sz w:val="21"/>
                <w:szCs w:val="21"/>
                <w:highlight w:val="none"/>
                <w:lang w:val="en-US" w:eastAsia="zh-CN"/>
                <w14:textFill>
                  <w14:solidFill>
                    <w14:schemeClr w14:val="tx1"/>
                  </w14:solidFill>
                </w14:textFill>
              </w:rPr>
              <w:t>能</w:t>
            </w:r>
            <w:r>
              <w:rPr>
                <w:rFonts w:hint="default" w:ascii="宋体" w:hAnsi="宋体" w:eastAsia="宋体" w:cs="宋体"/>
                <w:color w:val="000000" w:themeColor="text1"/>
                <w:sz w:val="21"/>
                <w:szCs w:val="21"/>
                <w:highlight w:val="none"/>
                <w:lang w:val="en-US" w:eastAsia="zh-CN"/>
                <w14:textFill>
                  <w14:solidFill>
                    <w14:schemeClr w14:val="tx1"/>
                  </w14:solidFill>
                </w14:textFill>
              </w:rPr>
              <w:t>识别左右半球信号对称性</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1F69E481">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34.软件预设单极、双极、横联、纵联和平均导联，支持用户自定义蒙太奇；以头形直观显示蒙太奇导联设置界面；可对蒙太奇内单个导联进行统一、独立设置滤波、颜色；监测和回放中可自由切换</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0403507C">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35.软件预设多种参考方式。平均参考（AV），双耳平均参考（AA）， 中央参考（Cz）， 源参考（SD），左半球平均参考（AV1），右半球平均参考（AV2），系统参考（REF），同侧耳电极参考（A1或A2）；对侧耳电极参考（A2或A1）</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4634347B">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36.支持调用DirectX（图形优化组件），优化轨迹显示，还原信号连续性，不会因为屏幕分辨率低而显示粗糙</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1B45DC09">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37.支持以秒为单位显示脑电信号与以天文时间为单位标记脑电信号</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6BE6D0AC">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38.软件预设多种脑电分析报告模板，支持导出至MS Word编辑；报告可导出至PDF文档</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1B5FFDF0">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39.支持预设报告术语表，在书写结论时，通过点击粘贴文本</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4358AB39">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40.事件管理：内置事件列表，可筛选、编辑、删除事件</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5C92A056">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41.数据管理，软件支持网络和本地数据管理器，支持导入、导出数据存档；对数据进行合并；支持导出检查统计记录到word和excel格式</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1E56ECEE">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42.软件预设多种患者信息，支持用户自定义参数、编写列表和历史字符串录入信息</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46361247">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43.软件支持同步保存检查数据和备份EDF+，BDF格式文档到磁盘，确保数据安全和科研便利性</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7A4520F6">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44.支持局域网内从不同终端设备调取、查看实时软件界面</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3B3C2246">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45.支持创建不同权限的账户，满足不同用户需求</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7D917D52">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46.滤波范围</w:t>
            </w:r>
            <w:r>
              <w:rPr>
                <w:rFonts w:hint="eastAsia" w:ascii="宋体" w:hAnsi="宋体" w:cs="宋体"/>
                <w:color w:val="000000" w:themeColor="text1"/>
                <w:sz w:val="21"/>
                <w:szCs w:val="21"/>
                <w:highlight w:val="none"/>
                <w:lang w:val="en-US" w:eastAsia="zh-CN"/>
                <w14:textFill>
                  <w14:solidFill>
                    <w14:schemeClr w14:val="tx1"/>
                  </w14:solidFill>
                </w14:textFill>
              </w:rPr>
              <w:t>能达到</w:t>
            </w:r>
            <w:r>
              <w:rPr>
                <w:rFonts w:hint="default" w:ascii="宋体" w:hAnsi="宋体" w:eastAsia="宋体" w:cs="宋体"/>
                <w:color w:val="000000" w:themeColor="text1"/>
                <w:sz w:val="21"/>
                <w:szCs w:val="21"/>
                <w:highlight w:val="none"/>
                <w:lang w:val="en-US" w:eastAsia="zh-CN"/>
                <w14:textFill>
                  <w14:solidFill>
                    <w14:schemeClr w14:val="tx1"/>
                  </w14:solidFill>
                </w14:textFill>
              </w:rPr>
              <w:t>：高通0.05~10Hz；低通5~600Hz，范围内任意调节</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1CC56573">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47.软件内置带通滤波器，方便用户快速滤波，获取目标信息；滤波范围支持自定义</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0BB5F0BC">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48.扫描速度</w:t>
            </w:r>
            <w:r>
              <w:rPr>
                <w:rFonts w:hint="eastAsia" w:ascii="宋体" w:hAnsi="宋体" w:cs="宋体"/>
                <w:color w:val="000000" w:themeColor="text1"/>
                <w:sz w:val="21"/>
                <w:szCs w:val="21"/>
                <w:highlight w:val="none"/>
                <w:lang w:val="en-US" w:eastAsia="zh-CN"/>
                <w14:textFill>
                  <w14:solidFill>
                    <w14:schemeClr w14:val="tx1"/>
                  </w14:solidFill>
                </w14:textFill>
              </w:rPr>
              <w:t>能达到</w:t>
            </w:r>
            <w:r>
              <w:rPr>
                <w:rFonts w:hint="default" w:ascii="宋体" w:hAnsi="宋体" w:eastAsia="宋体" w:cs="宋体"/>
                <w:color w:val="000000" w:themeColor="text1"/>
                <w:sz w:val="21"/>
                <w:szCs w:val="21"/>
                <w:highlight w:val="none"/>
                <w:lang w:val="en-US" w:eastAsia="zh-CN"/>
                <w14:textFill>
                  <w14:solidFill>
                    <w14:schemeClr w14:val="tx1"/>
                  </w14:solidFill>
                </w14:textFill>
              </w:rPr>
              <w:t>：1～10000mm/s，1-200s/页两种单位范围内任意调节</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30D2B5A6">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49.灵敏度</w:t>
            </w:r>
            <w:r>
              <w:rPr>
                <w:rFonts w:hint="eastAsia" w:ascii="宋体" w:hAnsi="宋体" w:cs="宋体"/>
                <w:color w:val="000000" w:themeColor="text1"/>
                <w:sz w:val="21"/>
                <w:szCs w:val="21"/>
                <w:highlight w:val="none"/>
                <w:lang w:val="en-US" w:eastAsia="zh-CN"/>
                <w14:textFill>
                  <w14:solidFill>
                    <w14:schemeClr w14:val="tx1"/>
                  </w14:solidFill>
                </w14:textFill>
              </w:rPr>
              <w:t>能达到</w:t>
            </w:r>
            <w:r>
              <w:rPr>
                <w:rFonts w:hint="default" w:ascii="宋体" w:hAnsi="宋体" w:eastAsia="宋体" w:cs="宋体"/>
                <w:color w:val="000000" w:themeColor="text1"/>
                <w:sz w:val="21"/>
                <w:szCs w:val="21"/>
                <w:highlight w:val="none"/>
                <w:lang w:val="en-US" w:eastAsia="zh-CN"/>
                <w14:textFill>
                  <w14:solidFill>
                    <w14:schemeClr w14:val="tx1"/>
                  </w14:solidFill>
                </w14:textFill>
              </w:rPr>
              <w:t>：1~10000μV/mm，可根据屏幕脑电信号范围自动调整灵敏度</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5272924B">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50.视频系统要求</w:t>
            </w:r>
          </w:p>
          <w:p w14:paraId="020DDC4D">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 xml:space="preserve">(1)软件最多支持 </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default" w:ascii="宋体" w:hAnsi="宋体" w:eastAsia="宋体" w:cs="宋体"/>
                <w:color w:val="000000" w:themeColor="text1"/>
                <w:sz w:val="21"/>
                <w:szCs w:val="21"/>
                <w:highlight w:val="none"/>
                <w:lang w:val="en-US" w:eastAsia="zh-CN"/>
                <w14:textFill>
                  <w14:solidFill>
                    <w14:schemeClr w14:val="tx1"/>
                  </w14:solidFill>
                </w14:textFill>
              </w:rPr>
              <w:t>3 路视频监测</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78EDCB93">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(2)软件内置控制面板，并可通过浏览器进行视频录制质量控制与设置</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24E37491">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(3)内置画面动态监测（可设置监测灵敏度），可通过文字、声音进行报警</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5553F6D4">
            <w:pPr>
              <w:keepNext w:val="0"/>
              <w:keepLines w:val="0"/>
              <w:pageBreakBefore w:val="0"/>
              <w:widowControl/>
              <w:numPr>
                <w:ilvl w:val="0"/>
                <w:numId w:val="0"/>
              </w:numPr>
              <w:bidi w:val="0"/>
              <w:spacing w:line="480" w:lineRule="exact"/>
              <w:ind w:left="0" w:firstLine="0"/>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(4)支持在视频界面对摄像头进行调整</w:t>
            </w:r>
            <w:r>
              <w:rPr>
                <w:rFonts w:hint="eastAsia" w:ascii="宋体" w:hAnsi="宋体" w:cs="宋体"/>
                <w:color w:val="000000" w:themeColor="text1"/>
                <w:sz w:val="21"/>
                <w:szCs w:val="21"/>
                <w:highlight w:val="none"/>
                <w:lang w:val="en-US" w:eastAsia="zh-CN"/>
                <w14:textFill>
                  <w14:solidFill>
                    <w14:schemeClr w14:val="tx1"/>
                  </w14:solidFill>
                </w14:textFill>
              </w:rPr>
              <w:t>。</w:t>
            </w:r>
          </w:p>
        </w:tc>
      </w:tr>
    </w:tbl>
    <w:p w14:paraId="4D245919">
      <w:pPr>
        <w:pageBreakBefore w:val="0"/>
        <w:bidi w:val="0"/>
        <w:spacing w:line="440" w:lineRule="exact"/>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p>
    <w:tbl>
      <w:tblPr>
        <w:tblStyle w:val="50"/>
        <w:tblW w:w="9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4"/>
        <w:gridCol w:w="7655"/>
      </w:tblGrid>
      <w:tr w14:paraId="76B06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9019" w:type="dxa"/>
            <w:gridSpan w:val="2"/>
            <w:tcBorders>
              <w:top w:val="single" w:color="auto" w:sz="4" w:space="0"/>
              <w:left w:val="single" w:color="auto" w:sz="4" w:space="0"/>
              <w:bottom w:val="single" w:color="auto" w:sz="4" w:space="0"/>
              <w:right w:val="single" w:color="auto" w:sz="4" w:space="0"/>
            </w:tcBorders>
            <w:noWrap/>
          </w:tcPr>
          <w:p w14:paraId="5FD967A1">
            <w:pPr>
              <w:pageBreakBefore w:val="0"/>
              <w:widowControl/>
              <w:bidi w:val="0"/>
              <w:spacing w:after="120" w:line="440" w:lineRule="exact"/>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二、</w:t>
            </w: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商务条款要求</w:t>
            </w:r>
          </w:p>
        </w:tc>
      </w:tr>
      <w:tr w14:paraId="694F0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tcBorders>
              <w:top w:val="single" w:color="auto" w:sz="4" w:space="0"/>
              <w:left w:val="single" w:color="auto" w:sz="4" w:space="0"/>
              <w:bottom w:val="single" w:color="auto" w:sz="4" w:space="0"/>
              <w:right w:val="single" w:color="auto" w:sz="4" w:space="0"/>
            </w:tcBorders>
            <w:noWrap/>
            <w:vAlign w:val="center"/>
          </w:tcPr>
          <w:p w14:paraId="0A535F66">
            <w:pPr>
              <w:pageBreakBefore w:val="0"/>
              <w:bidi w:val="0"/>
              <w:spacing w:line="440" w:lineRule="exact"/>
              <w:ind w:firstLine="198"/>
              <w:jc w:val="cente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质保期</w:t>
            </w:r>
          </w:p>
        </w:tc>
        <w:tc>
          <w:tcPr>
            <w:tcW w:w="7655" w:type="dxa"/>
            <w:tcBorders>
              <w:top w:val="single" w:color="auto" w:sz="4" w:space="0"/>
              <w:left w:val="single" w:color="auto" w:sz="4" w:space="0"/>
              <w:bottom w:val="single" w:color="auto" w:sz="4" w:space="0"/>
              <w:right w:val="single" w:color="auto" w:sz="4" w:space="0"/>
            </w:tcBorders>
            <w:noWrap/>
            <w:vAlign w:val="center"/>
          </w:tcPr>
          <w:p w14:paraId="3453D6D8">
            <w:pPr>
              <w:pageBreakBefore w:val="0"/>
              <w:bidi w:val="0"/>
              <w:spacing w:line="440" w:lineRule="exact"/>
              <w:ind w:firstLine="42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按国家有关的产品“三包”规定实行“三包”，所有产品为全新产品，符合国家相关标准；所有设备安装调试并经用户验收合格之日起质保期不少于</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年（若国家或生产厂家对本项目所涉及货物的质量保证期的规定高于本项目要求的，应按国家或生产厂家的规定执行，若投标人在投标文件中承诺高于该期限，按照投标人承诺），质保期内维修、更换配件，提供设备维修及正常维护保养所需的零部件，质保期外提供终身维修服务。需求表中特别注明的按需求表中的执行。</w:t>
            </w:r>
          </w:p>
        </w:tc>
      </w:tr>
      <w:tr w14:paraId="4FBBC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noWrap/>
            <w:vAlign w:val="center"/>
          </w:tcPr>
          <w:p w14:paraId="3BD517C7">
            <w:pPr>
              <w:pageBreakBefore w:val="0"/>
              <w:bidi w:val="0"/>
              <w:spacing w:line="440" w:lineRule="exact"/>
              <w:ind w:firstLine="198"/>
              <w:jc w:val="cente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售后服务要求</w:t>
            </w:r>
          </w:p>
        </w:tc>
        <w:tc>
          <w:tcPr>
            <w:tcW w:w="7655" w:type="dxa"/>
            <w:noWrap/>
            <w:vAlign w:val="center"/>
          </w:tcPr>
          <w:p w14:paraId="23690AB1">
            <w:pPr>
              <w:pageBreakBefore w:val="0"/>
              <w:numPr>
                <w:ilvl w:val="0"/>
                <w:numId w:val="0"/>
              </w:numPr>
              <w:bidi w:val="0"/>
              <w:spacing w:line="440" w:lineRule="exact"/>
              <w:ind w:firstLine="198" w:firstLineChars="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bidi="ar-SA"/>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中标人负责送货至</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钦州市钦南区人民医院</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，负责安装调试，并对操作人员进行操作培训。</w:t>
            </w:r>
          </w:p>
          <w:p w14:paraId="03C693F9">
            <w:pPr>
              <w:pageBreakBefore w:val="0"/>
              <w:numPr>
                <w:ilvl w:val="0"/>
                <w:numId w:val="0"/>
              </w:numPr>
              <w:bidi w:val="0"/>
              <w:spacing w:line="440" w:lineRule="exact"/>
              <w:ind w:firstLine="21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2.维护保养的安排：中标人一年至少两次派工程技术人员对设备进行维护保养。质保期内当设备有重大级别提升时，中标人应为设备进行软件升级。</w:t>
            </w:r>
          </w:p>
          <w:p w14:paraId="66C4AE19">
            <w:pPr>
              <w:pageBreakBefore w:val="0"/>
              <w:bidi w:val="0"/>
              <w:spacing w:line="440" w:lineRule="exact"/>
              <w:ind w:firstLine="198"/>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3.维修时间安排应急维修时间安排：至少提供5×8小时远程桌面</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及</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7×24小时电话技术支持，</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使用中出现故障接到通知后应立即响应</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，对重大问题提供现场技术支持，24小时内派工程技术人员到达现场维修。如果需要更换配件的，更换的配件应跟被更换的品牌、类型相一致或者是同类同档次的替代品，后者需征得采购人管理人员同意。</w:t>
            </w:r>
          </w:p>
          <w:p w14:paraId="3A8A384F">
            <w:pPr>
              <w:pageBreakBefore w:val="0"/>
              <w:bidi w:val="0"/>
              <w:spacing w:line="440" w:lineRule="exact"/>
              <w:ind w:firstLine="198"/>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4.主要零配件价格；为采购人提供优惠的零配件及易耗品。</w:t>
            </w:r>
          </w:p>
          <w:p w14:paraId="60E5D582">
            <w:pPr>
              <w:pageBreakBefore w:val="0"/>
              <w:bidi w:val="0"/>
              <w:spacing w:line="440" w:lineRule="exact"/>
              <w:ind w:firstLine="198"/>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5.设备质保期内一周如出现3次</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及</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以上停机或设备故障的，采购人有权要求中标人退货或更换新机器，所产生费用由中标人承担。</w:t>
            </w:r>
          </w:p>
          <w:p w14:paraId="366FECC7">
            <w:pPr>
              <w:pageBreakBefore w:val="0"/>
              <w:bidi w:val="0"/>
              <w:spacing w:line="440" w:lineRule="exact"/>
              <w:ind w:firstLine="198"/>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6.培训对象：包括使用科室的设备使用人员及维修人员，</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为采购人提供使用技术培训</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，使用培训为验收要件之一，没有经过培训，视为没能完成验收。</w:t>
            </w:r>
          </w:p>
        </w:tc>
      </w:tr>
      <w:tr w14:paraId="64443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noWrap/>
            <w:vAlign w:val="center"/>
          </w:tcPr>
          <w:p w14:paraId="2C12BE60">
            <w:pPr>
              <w:pageBreakBefore w:val="0"/>
              <w:bidi w:val="0"/>
              <w:spacing w:line="440" w:lineRule="exact"/>
              <w:ind w:firstLine="198"/>
              <w:jc w:val="cente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培训计划</w:t>
            </w:r>
          </w:p>
        </w:tc>
        <w:tc>
          <w:tcPr>
            <w:tcW w:w="7655" w:type="dxa"/>
            <w:noWrap/>
            <w:vAlign w:val="center"/>
          </w:tcPr>
          <w:p w14:paraId="428EF231">
            <w:pPr>
              <w:pageBreakBefore w:val="0"/>
              <w:bidi w:val="0"/>
              <w:spacing w:line="440" w:lineRule="exact"/>
              <w:ind w:firstLine="198"/>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为采购人提供使用技术培训</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，使用培训为验收要件之一，没有经过培训，视为没能完成验收。</w:t>
            </w:r>
          </w:p>
          <w:p w14:paraId="3C62C938">
            <w:pPr>
              <w:pageBreakBefore w:val="0"/>
              <w:bidi w:val="0"/>
              <w:spacing w:line="440" w:lineRule="exact"/>
              <w:ind w:firstLine="198"/>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1.培训对象：使用科室的设备使用人员及维修人员。</w:t>
            </w:r>
          </w:p>
          <w:p w14:paraId="25BD4164">
            <w:pPr>
              <w:pageBreakBefore w:val="0"/>
              <w:bidi w:val="0"/>
              <w:spacing w:line="440" w:lineRule="exact"/>
              <w:ind w:firstLine="198"/>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2.培训形式：</w:t>
            </w:r>
          </w:p>
          <w:p w14:paraId="4D7F19F8">
            <w:pPr>
              <w:pageBreakBefore w:val="0"/>
              <w:bidi w:val="0"/>
              <w:spacing w:line="440" w:lineRule="exact"/>
              <w:ind w:firstLine="198"/>
              <w:jc w:val="left"/>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① 现场使用培训：安装调试结束后，中标人组织培训工程师对机器正确使用方法进行示范操作，保证教会使用人员能正确使用设备</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p>
          <w:p w14:paraId="09042981">
            <w:pPr>
              <w:pageBreakBefore w:val="0"/>
              <w:bidi w:val="0"/>
              <w:spacing w:line="440" w:lineRule="exact"/>
              <w:ind w:firstLine="198"/>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② 集中授课：</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使用专门讲义进行授课</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，并进行考核考试。</w:t>
            </w:r>
          </w:p>
        </w:tc>
      </w:tr>
      <w:tr w14:paraId="23B33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noWrap/>
            <w:vAlign w:val="center"/>
          </w:tcPr>
          <w:p w14:paraId="29522A7A">
            <w:pPr>
              <w:pageBreakBefore w:val="0"/>
              <w:bidi w:val="0"/>
              <w:spacing w:line="440" w:lineRule="exact"/>
              <w:ind w:firstLine="198"/>
              <w:jc w:val="cente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交货期</w:t>
            </w:r>
          </w:p>
        </w:tc>
        <w:tc>
          <w:tcPr>
            <w:tcW w:w="7655" w:type="dxa"/>
            <w:noWrap/>
            <w:vAlign w:val="center"/>
          </w:tcPr>
          <w:p w14:paraId="7FA6996E">
            <w:pPr>
              <w:pageBreakBefore w:val="0"/>
              <w:bidi w:val="0"/>
              <w:spacing w:line="440" w:lineRule="exact"/>
              <w:jc w:val="left"/>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签订合同之日起</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60</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天内调试完毕验收合格并交付使用。</w:t>
            </w:r>
          </w:p>
        </w:tc>
      </w:tr>
      <w:tr w14:paraId="0EA1B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noWrap/>
            <w:vAlign w:val="center"/>
          </w:tcPr>
          <w:p w14:paraId="51A2AF92">
            <w:pPr>
              <w:pageBreakBefore w:val="0"/>
              <w:bidi w:val="0"/>
              <w:spacing w:line="440" w:lineRule="exact"/>
              <w:ind w:firstLine="198"/>
              <w:jc w:val="cente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交货地点</w:t>
            </w:r>
          </w:p>
        </w:tc>
        <w:tc>
          <w:tcPr>
            <w:tcW w:w="7655" w:type="dxa"/>
            <w:noWrap/>
            <w:vAlign w:val="center"/>
          </w:tcPr>
          <w:p w14:paraId="4D56FC87">
            <w:pPr>
              <w:pageBreakBefore w:val="0"/>
              <w:bidi w:val="0"/>
              <w:spacing w:line="440" w:lineRule="exact"/>
              <w:ind w:firstLine="198"/>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钦州市钦南区人民医院内采购人指定地点</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c>
      </w:tr>
      <w:tr w14:paraId="2382A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noWrap/>
            <w:vAlign w:val="center"/>
          </w:tcPr>
          <w:p w14:paraId="254EB4E2">
            <w:pPr>
              <w:pageBreakBefore w:val="0"/>
              <w:bidi w:val="0"/>
              <w:spacing w:line="440" w:lineRule="exact"/>
              <w:ind w:firstLine="198"/>
              <w:jc w:val="cente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签订合同日期</w:t>
            </w:r>
          </w:p>
        </w:tc>
        <w:tc>
          <w:tcPr>
            <w:tcW w:w="7655" w:type="dxa"/>
            <w:noWrap/>
            <w:vAlign w:val="center"/>
          </w:tcPr>
          <w:p w14:paraId="0E0D0763">
            <w:pPr>
              <w:pageBreakBefore w:val="0"/>
              <w:bidi w:val="0"/>
              <w:spacing w:line="440" w:lineRule="exact"/>
              <w:ind w:firstLine="198"/>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自中标通知书发出之日起25天内。</w:t>
            </w:r>
          </w:p>
        </w:tc>
      </w:tr>
      <w:tr w14:paraId="2E686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noWrap/>
            <w:vAlign w:val="center"/>
          </w:tcPr>
          <w:p w14:paraId="57C5A20B">
            <w:pPr>
              <w:pageBreakBefore w:val="0"/>
              <w:bidi w:val="0"/>
              <w:spacing w:line="440" w:lineRule="exact"/>
              <w:ind w:firstLine="198"/>
              <w:jc w:val="cente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付款条件</w:t>
            </w:r>
          </w:p>
        </w:tc>
        <w:tc>
          <w:tcPr>
            <w:tcW w:w="7655" w:type="dxa"/>
            <w:noWrap/>
            <w:vAlign w:val="center"/>
          </w:tcPr>
          <w:p w14:paraId="129037AB">
            <w:pPr>
              <w:pageBreakBefore w:val="0"/>
              <w:bidi w:val="0"/>
              <w:spacing w:before="240" w:after="60" w:line="440" w:lineRule="exact"/>
              <w:ind w:firstLine="210"/>
              <w:outlineLvl w:val="0"/>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合同签订后，无预付款。货物安装交付验收合格后三年内支</w:t>
            </w:r>
            <w:r>
              <w:rPr>
                <w:rFonts w:hint="eastAsia" w:asciiTheme="minorEastAsia" w:hAnsiTheme="minorEastAsia" w:eastAsiaTheme="minorEastAsia" w:cstheme="minorEastAsia"/>
                <w:bCs/>
                <w:color w:val="000000" w:themeColor="text1"/>
                <w:sz w:val="21"/>
                <w:szCs w:val="21"/>
                <w:highlight w:val="none"/>
                <w:lang w:val="en-US" w:eastAsia="zh-CN"/>
                <w14:textFill>
                  <w14:solidFill>
                    <w14:schemeClr w14:val="tx1"/>
                  </w14:solidFill>
                </w14:textFill>
              </w:rPr>
              <w:t>完</w:t>
            </w: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付设备款。</w:t>
            </w:r>
          </w:p>
        </w:tc>
      </w:tr>
      <w:tr w14:paraId="7D70E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noWrap/>
            <w:vAlign w:val="center"/>
          </w:tcPr>
          <w:p w14:paraId="5B13613C">
            <w:pPr>
              <w:pageBreakBefore w:val="0"/>
              <w:bidi w:val="0"/>
              <w:spacing w:line="440" w:lineRule="exact"/>
              <w:ind w:firstLine="198"/>
              <w:jc w:val="cente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备品备件或耗材等要求</w:t>
            </w:r>
          </w:p>
        </w:tc>
        <w:tc>
          <w:tcPr>
            <w:tcW w:w="7655" w:type="dxa"/>
            <w:noWrap/>
            <w:vAlign w:val="center"/>
          </w:tcPr>
          <w:p w14:paraId="6215A5F9">
            <w:pPr>
              <w:pageBreakBefore w:val="0"/>
              <w:bidi w:val="0"/>
              <w:spacing w:line="440" w:lineRule="exact"/>
              <w:ind w:firstLine="21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1.投标人必须有完善的备品备件库体系，质保期内能提供相应的措施和备件，保证过质保期后五年内有足够的备品备件，</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为本项目技术支持</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、服务需求提供可靠保证；</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7DA7E27C">
            <w:pPr>
              <w:pageBreakBefore w:val="0"/>
              <w:bidi w:val="0"/>
              <w:spacing w:line="440" w:lineRule="exact"/>
              <w:ind w:firstLine="21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2.所有零部件、配件必须是全新未使用过的并符合国家有关质量安全标准的产品。</w:t>
            </w:r>
          </w:p>
        </w:tc>
      </w:tr>
      <w:tr w14:paraId="07559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noWrap/>
            <w:vAlign w:val="center"/>
          </w:tcPr>
          <w:p w14:paraId="37037B4B">
            <w:pPr>
              <w:pageBreakBefore w:val="0"/>
              <w:bidi w:val="0"/>
              <w:spacing w:line="440" w:lineRule="exact"/>
              <w:ind w:firstLine="198"/>
              <w:jc w:val="cente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验收标准</w:t>
            </w:r>
          </w:p>
        </w:tc>
        <w:tc>
          <w:tcPr>
            <w:tcW w:w="7655" w:type="dxa"/>
            <w:noWrap/>
            <w:vAlign w:val="center"/>
          </w:tcPr>
          <w:p w14:paraId="3B7B8479">
            <w:pPr>
              <w:widowControl/>
              <w:spacing w:line="360" w:lineRule="exact"/>
              <w:ind w:firstLine="21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1.验收过程中所产生的一切费用均由中标人承担。报价时应考虑相关费用。</w:t>
            </w:r>
          </w:p>
          <w:p w14:paraId="76C63BB8">
            <w:pPr>
              <w:widowControl/>
              <w:spacing w:line="360" w:lineRule="exact"/>
              <w:ind w:firstLine="21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中标人在货物验收时由采购人对照采购文件的功能目标及技术指标全面核对检验，对所有要求出具的证明文件的原件进行核查，如不符合采购文件的技术需求及要求以及提供虚假承诺的，按相关规定作退货处理及违约处理，中标人承担所有责任和费用，采购人保留进一步追究责任的权利。安装标准：符合国际、国家及行业有关技术规范和技术标准。采购项目有其他要求的按其要求。</w:t>
            </w:r>
          </w:p>
          <w:p w14:paraId="1D6670F8">
            <w:pPr>
              <w:pageBreakBefore w:val="0"/>
              <w:widowControl/>
              <w:bidi w:val="0"/>
              <w:spacing w:line="440" w:lineRule="exact"/>
              <w:ind w:firstLine="21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中标人负责安装的技术人员按照验收流程要求提供合格证标明的内容及技术参数表逐条进行验收。验收应符合国家相关法规及合同的技术要求，同时也应符合厂家提供的技术资料中各项技术指标和参数要求，参数要求必须符合采购参数规定，不能以“标准配置”、“选购配置”为由与采购参数不符。</w:t>
            </w:r>
          </w:p>
          <w:p w14:paraId="26D6E561">
            <w:pPr>
              <w:pageBreakBefore w:val="0"/>
              <w:widowControl/>
              <w:bidi w:val="0"/>
              <w:spacing w:line="440" w:lineRule="exact"/>
              <w:ind w:firstLine="21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3.验收时</w:t>
            </w:r>
            <w:r>
              <w:rPr>
                <w:rFonts w:hint="eastAsia" w:ascii="宋体" w:hAnsi="宋体" w:cs="宋体"/>
                <w:color w:val="000000" w:themeColor="text1"/>
                <w:szCs w:val="21"/>
                <w:highlight w:val="none"/>
                <w14:textFill>
                  <w14:solidFill>
                    <w14:schemeClr w14:val="tx1"/>
                  </w14:solidFill>
                </w14:textFill>
              </w:rPr>
              <w:t>属于医疗设备的提供注册证或备案证等材料。</w:t>
            </w:r>
          </w:p>
        </w:tc>
      </w:tr>
      <w:tr w14:paraId="370AE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noWrap/>
            <w:vAlign w:val="center"/>
          </w:tcPr>
          <w:p w14:paraId="51EE03C6">
            <w:pPr>
              <w:pageBreakBefore w:val="0"/>
              <w:bidi w:val="0"/>
              <w:spacing w:line="440" w:lineRule="exact"/>
              <w:ind w:firstLine="198"/>
              <w:jc w:val="cente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报价要求</w:t>
            </w:r>
          </w:p>
        </w:tc>
        <w:tc>
          <w:tcPr>
            <w:tcW w:w="7655" w:type="dxa"/>
            <w:noWrap/>
            <w:vAlign w:val="center"/>
          </w:tcPr>
          <w:p w14:paraId="372C2550">
            <w:pPr>
              <w:pageBreakBefore w:val="0"/>
              <w:bidi w:val="0"/>
              <w:spacing w:line="440" w:lineRule="exact"/>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投标报价包括但不限于货款、标准附件、备品备件、专用工具、包装、运输、装卸、保险、税金、货到就位以及安装、调试、培训、保修、验收等一切税金和费用。投标人在固定总价中必须考虑各种风险费用。在合同履行过程中，采购人不予支付合同以外的其他费用。投标人负责工人人身、设备安全责任，验收前，设备丢失自行负责。</w:t>
            </w:r>
          </w:p>
          <w:p w14:paraId="74A78FC2">
            <w:pPr>
              <w:pageBreakBefore w:val="0"/>
              <w:bidi w:val="0"/>
              <w:spacing w:line="440" w:lineRule="exact"/>
              <w:jc w:val="left"/>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2.要求投标货物是全新的、未经改装的、合格的、满足本项目技术需求及要求的货物，提供的货物及制作安装采用的各种配件、材料均必须满足国家和行业规范标准。</w:t>
            </w:r>
          </w:p>
        </w:tc>
      </w:tr>
      <w:tr w14:paraId="346D8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noWrap/>
            <w:vAlign w:val="center"/>
          </w:tcPr>
          <w:p w14:paraId="79340DDA">
            <w:pPr>
              <w:pageBreakBefore w:val="0"/>
              <w:bidi w:val="0"/>
              <w:spacing w:line="440" w:lineRule="exact"/>
              <w:ind w:firstLine="198" w:firstLineChars="0"/>
              <w:jc w:val="cente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lang w:val="en-US" w:eastAsia="zh-CN"/>
                <w14:textFill>
                  <w14:solidFill>
                    <w14:schemeClr w14:val="tx1"/>
                  </w14:solidFill>
                </w14:textFill>
              </w:rPr>
              <w:t>文件其他要求</w:t>
            </w:r>
          </w:p>
        </w:tc>
        <w:tc>
          <w:tcPr>
            <w:tcW w:w="7655" w:type="dxa"/>
            <w:noWrap/>
            <w:vAlign w:val="center"/>
          </w:tcPr>
          <w:p w14:paraId="24E70CFA">
            <w:pPr>
              <w:pageBreakBefore w:val="0"/>
              <w:bidi w:val="0"/>
              <w:spacing w:line="440" w:lineRule="exact"/>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投标人在投标文件中针对本项目提供切实可行的项目实施方案（格式自拟）【包含但不限于项目实施方案、质量保证措施等】及售后服务承诺方案（格式自拟）。</w:t>
            </w:r>
          </w:p>
        </w:tc>
      </w:tr>
      <w:tr w14:paraId="5EA62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9" w:type="dxa"/>
            <w:gridSpan w:val="2"/>
            <w:noWrap/>
            <w:vAlign w:val="center"/>
          </w:tcPr>
          <w:p w14:paraId="11352471">
            <w:pPr>
              <w:pageBreakBefore w:val="0"/>
              <w:bidi w:val="0"/>
              <w:spacing w:line="440" w:lineRule="exact"/>
              <w:jc w:val="left"/>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lang w:val="en-US" w:eastAsia="zh-CN"/>
                <w14:textFill>
                  <w14:solidFill>
                    <w14:schemeClr w14:val="tx1"/>
                  </w14:solidFill>
                </w14:textFill>
              </w:rPr>
              <w:t>三、</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其他</w:t>
            </w:r>
            <w:r>
              <w:rPr>
                <w:rFonts w:hint="eastAsia" w:asciiTheme="minorEastAsia" w:hAnsiTheme="minorEastAsia" w:eastAsiaTheme="minorEastAsia" w:cstheme="minorEastAsia"/>
                <w:b/>
                <w:color w:val="000000" w:themeColor="text1"/>
                <w:sz w:val="21"/>
                <w:szCs w:val="21"/>
                <w:highlight w:val="none"/>
                <w:lang w:val="en-US" w:eastAsia="zh-CN"/>
                <w14:textFill>
                  <w14:solidFill>
                    <w14:schemeClr w14:val="tx1"/>
                  </w14:solidFill>
                </w14:textFill>
              </w:rPr>
              <w:t>要求</w:t>
            </w:r>
          </w:p>
        </w:tc>
      </w:tr>
      <w:tr w14:paraId="68234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9" w:type="dxa"/>
            <w:gridSpan w:val="2"/>
            <w:noWrap/>
            <w:vAlign w:val="center"/>
          </w:tcPr>
          <w:p w14:paraId="31BBAA7C">
            <w:pPr>
              <w:pageBreakBefore w:val="0"/>
              <w:bidi w:val="0"/>
              <w:spacing w:line="440" w:lineRule="exac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1.投标人在投标活动中如提供任何虚假材料，以及投标产品的技术参数不如实说明，</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其投标无效</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，并报监管部门查处。</w:t>
            </w:r>
          </w:p>
          <w:p w14:paraId="3F48CEF6">
            <w:pPr>
              <w:pageBreakBefore w:val="0"/>
              <w:bidi w:val="0"/>
              <w:spacing w:line="440" w:lineRule="exac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2.若中标人所供产品及售后服务不按招标文件要求履约的，将按照相关有关规定严肃处理。</w:t>
            </w:r>
          </w:p>
          <w:p w14:paraId="456E4775">
            <w:pPr>
              <w:pageBreakBefore w:val="0"/>
              <w:bidi w:val="0"/>
              <w:spacing w:before="25" w:after="25" w:line="440" w:lineRule="exact"/>
              <w:jc w:val="left"/>
              <w:rPr>
                <w:rFonts w:hint="eastAsia" w:ascii="宋体" w:hAnsi="宋体" w:cs="宋体"/>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宋体" w:hAnsi="宋体" w:cs="宋体"/>
                <w:color w:val="000000" w:themeColor="text1"/>
                <w:sz w:val="21"/>
                <w:szCs w:val="21"/>
                <w:highlight w:val="none"/>
                <w14:textFill>
                  <w14:solidFill>
                    <w14:schemeClr w14:val="tx1"/>
                  </w14:solidFill>
                </w14:textFill>
              </w:rPr>
              <w:t>进口产品说明：本</w:t>
            </w:r>
            <w:r>
              <w:rPr>
                <w:rFonts w:hint="eastAsia" w:ascii="宋体" w:hAnsi="宋体" w:cs="宋体"/>
                <w:color w:val="000000" w:themeColor="text1"/>
                <w:sz w:val="21"/>
                <w:szCs w:val="21"/>
                <w:highlight w:val="none"/>
                <w:lang w:val="en-US" w:eastAsia="zh-CN"/>
                <w14:textFill>
                  <w14:solidFill>
                    <w14:schemeClr w14:val="tx1"/>
                  </w14:solidFill>
                </w14:textFill>
              </w:rPr>
              <w:t>分标</w:t>
            </w:r>
            <w:r>
              <w:rPr>
                <w:rFonts w:hint="eastAsia" w:ascii="宋体" w:hAnsi="宋体" w:cs="宋体"/>
                <w:color w:val="000000" w:themeColor="text1"/>
                <w:sz w:val="21"/>
                <w:szCs w:val="21"/>
                <w:highlight w:val="none"/>
                <w14:textFill>
                  <w14:solidFill>
                    <w14:schemeClr w14:val="tx1"/>
                  </w14:solidFill>
                </w14:textFill>
              </w:rPr>
              <w:t>项目货物不接受进口产品（即通过中国海关报关验放进入中国境内且产自关境外的产品）参与投标，</w:t>
            </w:r>
            <w:r>
              <w:rPr>
                <w:rFonts w:hint="eastAsia" w:ascii="宋体" w:hAnsi="宋体" w:cs="宋体"/>
                <w:b/>
                <w:bCs/>
                <w:color w:val="000000" w:themeColor="text1"/>
                <w:sz w:val="21"/>
                <w:szCs w:val="21"/>
                <w:highlight w:val="none"/>
                <w14:textFill>
                  <w14:solidFill>
                    <w14:schemeClr w14:val="tx1"/>
                  </w14:solidFill>
                </w14:textFill>
              </w:rPr>
              <w:t>如有进口产品参与投标的作无效投标处理。</w:t>
            </w:r>
          </w:p>
          <w:p w14:paraId="1425F19F">
            <w:pPr>
              <w:pageBreakBefore w:val="0"/>
              <w:bidi w:val="0"/>
              <w:spacing w:before="25" w:after="25" w:line="440" w:lineRule="exact"/>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.货物一览表中，</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标注“▲”</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项的内容为实质性响应条款，必须满足或优于，</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否则投标无效</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；不带“▲”的参数发生负偏离达4项（含）以上的，视为不实质性响应采购文件要求，</w:t>
            </w:r>
            <w:r>
              <w:rPr>
                <w:rFonts w:hint="eastAsia" w:asciiTheme="minorEastAsia" w:hAnsiTheme="minorEastAsia" w:eastAsiaTheme="minorEastAsia" w:cstheme="minorEastAsia"/>
                <w:b/>
                <w:color w:val="000000" w:themeColor="text1"/>
                <w:sz w:val="21"/>
                <w:szCs w:val="21"/>
                <w:highlight w:val="none"/>
                <w:lang w:eastAsia="zh-CN"/>
                <w14:textFill>
                  <w14:solidFill>
                    <w14:schemeClr w14:val="tx1"/>
                  </w14:solidFill>
                </w14:textFill>
              </w:rPr>
              <w:t>评审时投标文件将被作为无效处理</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2069F7F0">
            <w:pPr>
              <w:pStyle w:val="248"/>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5.本项目核心产品为第4项货物“多模态磁刺激仪”。</w:t>
            </w:r>
          </w:p>
          <w:p w14:paraId="12B96F80">
            <w:pPr>
              <w:pStyle w:val="19"/>
              <w:rPr>
                <w:rFonts w:hint="default"/>
                <w:color w:val="000000" w:themeColor="text1"/>
                <w:highlight w:val="none"/>
                <w:lang w:val="en-US" w:eastAsia="zh-CN"/>
                <w14:textFill>
                  <w14:solidFill>
                    <w14:schemeClr w14:val="tx1"/>
                  </w14:solidFill>
                </w14:textFill>
              </w:rPr>
            </w:pPr>
            <w:r>
              <w:rPr>
                <w:rFonts w:hint="eastAsia" w:ascii="宋体" w:hAnsi="宋体" w:cs="宋体"/>
                <w:bCs w:val="0"/>
                <w:color w:val="000000" w:themeColor="text1"/>
                <w:spacing w:val="0"/>
                <w:sz w:val="21"/>
                <w:szCs w:val="21"/>
                <w:highlight w:val="none"/>
                <w:lang w:val="en-US" w:eastAsia="zh-CN"/>
                <w14:textFill>
                  <w14:solidFill>
                    <w14:schemeClr w14:val="tx1"/>
                  </w14:solidFill>
                </w14:textFill>
              </w:rPr>
              <w:t>6.投标人业绩及综合实力：具体详见评标方法及评标标准</w:t>
            </w:r>
          </w:p>
        </w:tc>
      </w:tr>
    </w:tbl>
    <w:p w14:paraId="11F78882">
      <w:pP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br w:type="page" w:clear="all"/>
      </w:r>
    </w:p>
    <w:p w14:paraId="7C90FC51">
      <w:pPr>
        <w:rPr>
          <w:color w:val="000000" w:themeColor="text1"/>
          <w:szCs w:val="21"/>
          <w:highlight w:val="none"/>
          <w14:textFill>
            <w14:solidFill>
              <w14:schemeClr w14:val="tx1"/>
            </w14:solidFill>
          </w14:textFill>
        </w:rPr>
      </w:pPr>
    </w:p>
    <w:p w14:paraId="1E499830">
      <w:pPr>
        <w:spacing w:line="440" w:lineRule="exact"/>
        <w:rPr>
          <w:color w:val="000000" w:themeColor="text1"/>
          <w:szCs w:val="21"/>
          <w:highlight w:val="none"/>
          <w14:textFill>
            <w14:solidFill>
              <w14:schemeClr w14:val="tx1"/>
            </w14:solidFill>
          </w14:textFill>
        </w:rPr>
      </w:pPr>
    </w:p>
    <w:p w14:paraId="6BE0B1B4">
      <w:pPr>
        <w:rPr>
          <w:color w:val="000000" w:themeColor="text1"/>
          <w:szCs w:val="21"/>
          <w:highlight w:val="none"/>
          <w14:textFill>
            <w14:solidFill>
              <w14:schemeClr w14:val="tx1"/>
            </w14:solidFill>
          </w14:textFill>
        </w:rPr>
      </w:pPr>
    </w:p>
    <w:p w14:paraId="1A6AD883">
      <w:pPr>
        <w:spacing w:line="428" w:lineRule="exact"/>
        <w:ind w:left="119"/>
        <w:rPr>
          <w:rFonts w:ascii="Arial Unicode MS" w:hAnsi="Arial Unicode MS" w:eastAsia="Arial Unicode MS" w:cs="Arial Unicode MS"/>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附件1：</w:t>
      </w:r>
    </w:p>
    <w:p w14:paraId="1815DDEA">
      <w:pPr>
        <w:spacing w:before="7"/>
        <w:rPr>
          <w:rFonts w:ascii="Arial Unicode MS" w:hAnsi="Arial Unicode MS" w:eastAsia="Arial Unicode MS" w:cs="Arial Unicode MS"/>
          <w:color w:val="000000" w:themeColor="text1"/>
          <w:sz w:val="17"/>
          <w:szCs w:val="17"/>
          <w:highlight w:val="none"/>
          <w14:textFill>
            <w14:solidFill>
              <w14:schemeClr w14:val="tx1"/>
            </w14:solidFill>
          </w14:textFill>
        </w:rPr>
      </w:pPr>
    </w:p>
    <w:p w14:paraId="0E87C673">
      <w:pPr>
        <w:spacing w:line="528" w:lineRule="exact"/>
        <w:ind w:left="1871"/>
        <w:rPr>
          <w:rFonts w:ascii="Arial Unicode MS" w:hAnsi="Arial Unicode MS" w:eastAsia="Arial Unicode MS" w:cs="Arial Unicode MS"/>
          <w:color w:val="000000" w:themeColor="text1"/>
          <w:sz w:val="40"/>
          <w:szCs w:val="40"/>
          <w:highlight w:val="none"/>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t>节能产品政府采购品目清单</w:t>
      </w:r>
    </w:p>
    <w:tbl>
      <w:tblPr>
        <w:tblStyle w:val="5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7"/>
        <w:gridCol w:w="1421"/>
        <w:gridCol w:w="1495"/>
        <w:gridCol w:w="1480"/>
        <w:gridCol w:w="3431"/>
      </w:tblGrid>
      <w:tr w14:paraId="37D94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noWrap w:val="0"/>
            <w:vAlign w:val="center"/>
          </w:tcPr>
          <w:p w14:paraId="158BAE09">
            <w:pPr>
              <w:jc w:val="center"/>
              <w:rPr>
                <w:rFonts w:ascii="Calibri" w:hAnsi="Calibri"/>
                <w:color w:val="000000" w:themeColor="text1"/>
                <w:szCs w:val="22"/>
                <w:highlight w:val="none"/>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品目序号</w:t>
            </w:r>
          </w:p>
        </w:tc>
        <w:tc>
          <w:tcPr>
            <w:tcW w:w="4399" w:type="dxa"/>
            <w:gridSpan w:val="3"/>
            <w:tcBorders>
              <w:top w:val="single" w:color="000000" w:sz="4" w:space="0"/>
              <w:left w:val="single" w:color="000000" w:sz="4" w:space="0"/>
              <w:bottom w:val="single" w:color="000000" w:sz="4" w:space="0"/>
              <w:right w:val="single" w:color="000000" w:sz="4" w:space="0"/>
            </w:tcBorders>
            <w:noWrap w:val="0"/>
            <w:vAlign w:val="center"/>
          </w:tcPr>
          <w:p w14:paraId="73198490">
            <w:pPr>
              <w:jc w:val="center"/>
              <w:rPr>
                <w:rFonts w:ascii="Calibri" w:hAnsi="Calibri"/>
                <w:color w:val="000000" w:themeColor="text1"/>
                <w:szCs w:val="22"/>
                <w:highlight w:val="none"/>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名称</w:t>
            </w:r>
          </w:p>
        </w:tc>
        <w:tc>
          <w:tcPr>
            <w:tcW w:w="3452" w:type="dxa"/>
            <w:tcBorders>
              <w:top w:val="single" w:color="000000" w:sz="4" w:space="0"/>
              <w:left w:val="single" w:color="000000" w:sz="4" w:space="0"/>
              <w:bottom w:val="single" w:color="000000" w:sz="4" w:space="0"/>
              <w:right w:val="single" w:color="000000" w:sz="4" w:space="0"/>
            </w:tcBorders>
            <w:noWrap w:val="0"/>
            <w:vAlign w:val="center"/>
          </w:tcPr>
          <w:p w14:paraId="1F61AFE2">
            <w:pPr>
              <w:jc w:val="center"/>
              <w:rPr>
                <w:rFonts w:ascii="Calibri" w:hAnsi="Calibri"/>
                <w:color w:val="000000" w:themeColor="text1"/>
                <w:szCs w:val="22"/>
                <w:highlight w:val="none"/>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依据的标准</w:t>
            </w:r>
          </w:p>
        </w:tc>
      </w:tr>
      <w:tr w14:paraId="33DAA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noWrap w:val="0"/>
            <w:vAlign w:val="center"/>
          </w:tcPr>
          <w:p w14:paraId="67FA4BE5">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w:t>
            </w:r>
          </w:p>
        </w:tc>
        <w:tc>
          <w:tcPr>
            <w:tcW w:w="1422" w:type="dxa"/>
            <w:vMerge w:val="restart"/>
            <w:tcBorders>
              <w:top w:val="single" w:color="000000" w:sz="4" w:space="0"/>
              <w:left w:val="single" w:color="000000" w:sz="4" w:space="0"/>
              <w:bottom w:val="single" w:color="000000" w:sz="4" w:space="0"/>
              <w:right w:val="single" w:color="000000" w:sz="4" w:space="0"/>
            </w:tcBorders>
            <w:noWrap w:val="0"/>
            <w:vAlign w:val="center"/>
          </w:tcPr>
          <w:p w14:paraId="16B7783E">
            <w:pPr>
              <w:jc w:val="center"/>
              <w:rPr>
                <w:rFonts w:ascii="宋体" w:hAnsi="宋体"/>
                <w:color w:val="000000" w:themeColor="text1"/>
                <w:szCs w:val="21"/>
                <w:highlight w:val="none"/>
                <w14:textFill>
                  <w14:solidFill>
                    <w14:schemeClr w14:val="tx1"/>
                  </w14:solidFill>
                </w14:textFill>
              </w:rPr>
            </w:pPr>
            <w:r>
              <w:rPr>
                <w:rFonts w:hint="eastAsia" w:ascii="宋体" w:hAnsi="宋体" w:cs="仿宋_GB2312"/>
                <w:color w:val="000000" w:themeColor="text1"/>
                <w:szCs w:val="21"/>
                <w:highlight w:val="none"/>
                <w14:textFill>
                  <w14:solidFill>
                    <w14:schemeClr w14:val="tx1"/>
                  </w14:solidFill>
                </w14:textFill>
              </w:rPr>
              <w:t>A02010100</w:t>
            </w:r>
            <w:r>
              <w:rPr>
                <w:rFonts w:hint="eastAsia" w:ascii="宋体" w:hAnsi="宋体" w:cs="宋体"/>
                <w:color w:val="000000" w:themeColor="text1"/>
                <w:szCs w:val="21"/>
                <w:highlight w:val="none"/>
                <w14:textFill>
                  <w14:solidFill>
                    <w14:schemeClr w14:val="tx1"/>
                  </w14:solidFill>
                </w14:textFill>
              </w:rPr>
              <w:t>计算机</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4AF99845">
            <w:pPr>
              <w:pStyle w:val="300"/>
              <w:spacing w:before="93"/>
              <w:ind w:left="7" w:right="5"/>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w:t>
            </w:r>
            <w:r>
              <w:rPr>
                <w:rFonts w:hint="eastAsia" w:ascii="宋体" w:hAnsi="宋体" w:cs="仿宋_GB2312"/>
                <w:color w:val="000000" w:themeColor="text1"/>
                <w:sz w:val="21"/>
                <w:szCs w:val="21"/>
                <w:highlight w:val="none"/>
                <w14:textFill>
                  <w14:solidFill>
                    <w14:schemeClr w14:val="tx1"/>
                  </w14:solidFill>
                </w14:textFill>
              </w:rPr>
              <w:t>A02010105</w:t>
            </w:r>
            <w:r>
              <w:rPr>
                <w:rFonts w:hint="eastAsia" w:ascii="宋体" w:hAnsi="宋体" w:cs="宋体"/>
                <w:color w:val="000000" w:themeColor="text1"/>
                <w:sz w:val="21"/>
                <w:szCs w:val="21"/>
                <w:highlight w:val="none"/>
                <w14:textFill>
                  <w14:solidFill>
                    <w14:schemeClr w14:val="tx1"/>
                  </w14:solidFill>
                </w14:textFill>
              </w:rPr>
              <w:t>台式计算机</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4B542F6C">
            <w:pPr>
              <w:jc w:val="center"/>
              <w:rPr>
                <w:rFonts w:ascii="宋体" w:hAnsi="宋体"/>
                <w:color w:val="000000" w:themeColor="text1"/>
                <w:szCs w:val="21"/>
                <w:highlight w:val="none"/>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noWrap w:val="0"/>
          </w:tcPr>
          <w:p w14:paraId="3AB62A3A">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《微型计算机能效限定值及能效等级》（GB28380）</w:t>
            </w:r>
          </w:p>
        </w:tc>
      </w:tr>
      <w:tr w14:paraId="088FF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75990D">
            <w:pPr>
              <w:widowControl/>
              <w:jc w:val="left"/>
              <w:rPr>
                <w:rFonts w:ascii="宋体" w:hAnsi="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9E312A">
            <w:pPr>
              <w:widowControl/>
              <w:jc w:val="left"/>
              <w:rPr>
                <w:rFonts w:ascii="宋体" w:hAnsi="宋体"/>
                <w:color w:val="000000" w:themeColor="text1"/>
                <w:szCs w:val="21"/>
                <w:highlight w:val="none"/>
                <w14:textFill>
                  <w14:solidFill>
                    <w14:schemeClr w14:val="tx1"/>
                  </w14:solidFill>
                </w14:textFill>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5C52B7ED">
            <w:pPr>
              <w:pStyle w:val="300"/>
              <w:spacing w:before="44"/>
              <w:ind w:left="7" w:right="5"/>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w:t>
            </w:r>
            <w:r>
              <w:rPr>
                <w:rFonts w:hint="eastAsia" w:ascii="宋体" w:hAnsi="宋体" w:cs="仿宋_GB2312"/>
                <w:color w:val="000000" w:themeColor="text1"/>
                <w:sz w:val="21"/>
                <w:szCs w:val="21"/>
                <w:highlight w:val="none"/>
                <w14:textFill>
                  <w14:solidFill>
                    <w14:schemeClr w14:val="tx1"/>
                  </w14:solidFill>
                </w14:textFill>
              </w:rPr>
              <w:t>A02010108</w:t>
            </w:r>
            <w:r>
              <w:rPr>
                <w:rFonts w:hint="eastAsia" w:ascii="宋体" w:hAnsi="宋体" w:cs="宋体"/>
                <w:color w:val="000000" w:themeColor="text1"/>
                <w:sz w:val="21"/>
                <w:szCs w:val="21"/>
                <w:highlight w:val="none"/>
                <w14:textFill>
                  <w14:solidFill>
                    <w14:schemeClr w14:val="tx1"/>
                  </w14:solidFill>
                </w14:textFill>
              </w:rPr>
              <w:t>便携式计算机</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681B9B85">
            <w:pPr>
              <w:jc w:val="center"/>
              <w:rPr>
                <w:rFonts w:ascii="宋体" w:hAnsi="宋体"/>
                <w:color w:val="000000" w:themeColor="text1"/>
                <w:szCs w:val="21"/>
                <w:highlight w:val="none"/>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noWrap w:val="0"/>
          </w:tcPr>
          <w:p w14:paraId="529F68EE">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《微型计算机能效限定值及能效等级》（GB28380）</w:t>
            </w:r>
          </w:p>
        </w:tc>
      </w:tr>
      <w:tr w14:paraId="59682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5A3AFE">
            <w:pPr>
              <w:widowControl/>
              <w:jc w:val="left"/>
              <w:rPr>
                <w:rFonts w:ascii="宋体" w:hAnsi="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A85480">
            <w:pPr>
              <w:widowControl/>
              <w:jc w:val="left"/>
              <w:rPr>
                <w:rFonts w:ascii="宋体" w:hAnsi="宋体"/>
                <w:color w:val="000000" w:themeColor="text1"/>
                <w:szCs w:val="21"/>
                <w:highlight w:val="none"/>
                <w14:textFill>
                  <w14:solidFill>
                    <w14:schemeClr w14:val="tx1"/>
                  </w14:solidFill>
                </w14:textFill>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350616E8">
            <w:pPr>
              <w:pStyle w:val="300"/>
              <w:spacing w:before="64"/>
              <w:ind w:left="7" w:right="5"/>
              <w:jc w:val="center"/>
              <w:rPr>
                <w:rFonts w:ascii="宋体" w:hAnsi="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cs="仿宋_GB2312"/>
                <w:color w:val="000000" w:themeColor="text1"/>
                <w:sz w:val="21"/>
                <w:szCs w:val="21"/>
                <w:highlight w:val="none"/>
                <w:lang w:eastAsia="zh-CN"/>
                <w14:textFill>
                  <w14:solidFill>
                    <w14:schemeClr w14:val="tx1"/>
                  </w14:solidFill>
                </w14:textFill>
              </w:rPr>
              <w:t>A02010109平板式计算机</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2D7F66F7">
            <w:pPr>
              <w:jc w:val="center"/>
              <w:rPr>
                <w:rFonts w:ascii="宋体" w:hAnsi="宋体"/>
                <w:color w:val="000000" w:themeColor="text1"/>
                <w:szCs w:val="21"/>
                <w:highlight w:val="none"/>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noWrap w:val="0"/>
          </w:tcPr>
          <w:p w14:paraId="20687141">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《微型计算机能效限定值及能效等级》（GB28380）</w:t>
            </w:r>
          </w:p>
        </w:tc>
      </w:tr>
      <w:tr w14:paraId="17D30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noWrap w:val="0"/>
            <w:vAlign w:val="center"/>
          </w:tcPr>
          <w:p w14:paraId="0FB89B5B">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w:t>
            </w:r>
          </w:p>
        </w:tc>
        <w:tc>
          <w:tcPr>
            <w:tcW w:w="1422" w:type="dxa"/>
            <w:vMerge w:val="restart"/>
            <w:tcBorders>
              <w:top w:val="single" w:color="000000" w:sz="4" w:space="0"/>
              <w:left w:val="single" w:color="000000" w:sz="4" w:space="0"/>
              <w:bottom w:val="single" w:color="000000" w:sz="4" w:space="0"/>
              <w:right w:val="single" w:color="000000" w:sz="4" w:space="0"/>
            </w:tcBorders>
            <w:noWrap w:val="0"/>
            <w:vAlign w:val="center"/>
          </w:tcPr>
          <w:p w14:paraId="27DBB451">
            <w:pPr>
              <w:pStyle w:val="300"/>
              <w:ind w:left="7"/>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仿宋_GB2312"/>
                <w:color w:val="000000" w:themeColor="text1"/>
                <w:sz w:val="21"/>
                <w:szCs w:val="21"/>
                <w:highlight w:val="none"/>
                <w14:textFill>
                  <w14:solidFill>
                    <w14:schemeClr w14:val="tx1"/>
                  </w14:solidFill>
                </w14:textFill>
              </w:rPr>
              <w:t>A02020000</w:t>
            </w:r>
            <w:r>
              <w:rPr>
                <w:rFonts w:hint="eastAsia" w:ascii="宋体" w:hAnsi="宋体" w:cs="宋体"/>
                <w:color w:val="000000" w:themeColor="text1"/>
                <w:sz w:val="21"/>
                <w:szCs w:val="21"/>
                <w:highlight w:val="none"/>
                <w14:textFill>
                  <w14:solidFill>
                    <w14:schemeClr w14:val="tx1"/>
                  </w14:solidFill>
                </w14:textFill>
              </w:rPr>
              <w:t>办公设备</w:t>
            </w:r>
          </w:p>
        </w:tc>
        <w:tc>
          <w:tcPr>
            <w:tcW w:w="1496" w:type="dxa"/>
            <w:vMerge w:val="restart"/>
            <w:tcBorders>
              <w:top w:val="single" w:color="000000" w:sz="4" w:space="0"/>
              <w:left w:val="single" w:color="000000" w:sz="4" w:space="0"/>
              <w:bottom w:val="single" w:color="000000" w:sz="4" w:space="0"/>
              <w:right w:val="single" w:color="000000" w:sz="4" w:space="0"/>
            </w:tcBorders>
            <w:noWrap w:val="0"/>
            <w:vAlign w:val="center"/>
          </w:tcPr>
          <w:p w14:paraId="3EA6FB2A">
            <w:pPr>
              <w:jc w:val="center"/>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pacing w:val="1"/>
                <w:szCs w:val="21"/>
                <w:highlight w:val="none"/>
                <w14:textFill>
                  <w14:solidFill>
                    <w14:schemeClr w14:val="tx1"/>
                  </w14:solidFill>
                </w14:textFill>
              </w:rPr>
              <w:t>A02021000</w:t>
            </w:r>
            <w:r>
              <w:rPr>
                <w:rFonts w:hint="eastAsia" w:ascii="宋体" w:hAnsi="宋体" w:cs="Arial"/>
                <w:color w:val="000000" w:themeColor="text1"/>
                <w:szCs w:val="21"/>
                <w:highlight w:val="none"/>
                <w:shd w:val="clear" w:color="auto" w:fill="FFFFFF"/>
                <w14:textFill>
                  <w14:solidFill>
                    <w14:schemeClr w14:val="tx1"/>
                  </w14:solidFill>
                </w14:textFill>
              </w:rPr>
              <w:t>打印机</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43F9AC4B">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A02021001 A3黑白打印机</w:t>
            </w:r>
          </w:p>
        </w:tc>
        <w:tc>
          <w:tcPr>
            <w:tcW w:w="3452" w:type="dxa"/>
            <w:tcBorders>
              <w:top w:val="single" w:color="000000" w:sz="4" w:space="0"/>
              <w:left w:val="single" w:color="000000" w:sz="4" w:space="0"/>
              <w:bottom w:val="single" w:color="000000" w:sz="4" w:space="0"/>
              <w:right w:val="single" w:color="000000" w:sz="4" w:space="0"/>
            </w:tcBorders>
            <w:noWrap w:val="0"/>
          </w:tcPr>
          <w:p w14:paraId="72C81572">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《复印机、打印机和传真机能效限定值及能效等级》（GB21521）</w:t>
            </w:r>
          </w:p>
        </w:tc>
      </w:tr>
      <w:tr w14:paraId="4C5A8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7E4403">
            <w:pPr>
              <w:widowControl/>
              <w:jc w:val="left"/>
              <w:rPr>
                <w:rFonts w:ascii="宋体" w:hAnsi="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ECC587">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16ED18">
            <w:pPr>
              <w:widowControl/>
              <w:jc w:val="left"/>
              <w:rPr>
                <w:rFonts w:ascii="宋体" w:hAnsi="宋体"/>
                <w:color w:val="000000" w:themeColor="text1"/>
                <w:szCs w:val="21"/>
                <w:highlight w:val="none"/>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70A51DA1">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A02021002 A3彩色打印机</w:t>
            </w:r>
          </w:p>
        </w:tc>
        <w:tc>
          <w:tcPr>
            <w:tcW w:w="3452" w:type="dxa"/>
            <w:tcBorders>
              <w:top w:val="single" w:color="000000" w:sz="4" w:space="0"/>
              <w:left w:val="single" w:color="000000" w:sz="4" w:space="0"/>
              <w:bottom w:val="single" w:color="000000" w:sz="4" w:space="0"/>
              <w:right w:val="single" w:color="000000" w:sz="4" w:space="0"/>
            </w:tcBorders>
            <w:noWrap w:val="0"/>
          </w:tcPr>
          <w:p w14:paraId="5328911C">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《复印机、打印机和传真机能效限定值及能效等级》（GB21521）</w:t>
            </w:r>
          </w:p>
        </w:tc>
      </w:tr>
      <w:tr w14:paraId="4817A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2D6A8A">
            <w:pPr>
              <w:widowControl/>
              <w:jc w:val="left"/>
              <w:rPr>
                <w:rFonts w:ascii="宋体" w:hAnsi="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63F986">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5B6812">
            <w:pPr>
              <w:widowControl/>
              <w:jc w:val="left"/>
              <w:rPr>
                <w:rFonts w:ascii="宋体" w:hAnsi="宋体"/>
                <w:color w:val="000000" w:themeColor="text1"/>
                <w:szCs w:val="21"/>
                <w:highlight w:val="none"/>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605A34E2">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A02021003 A4黑白打印机</w:t>
            </w:r>
          </w:p>
        </w:tc>
        <w:tc>
          <w:tcPr>
            <w:tcW w:w="3452" w:type="dxa"/>
            <w:tcBorders>
              <w:top w:val="single" w:color="000000" w:sz="4" w:space="0"/>
              <w:left w:val="single" w:color="000000" w:sz="4" w:space="0"/>
              <w:bottom w:val="single" w:color="000000" w:sz="4" w:space="0"/>
              <w:right w:val="single" w:color="000000" w:sz="4" w:space="0"/>
            </w:tcBorders>
            <w:noWrap w:val="0"/>
          </w:tcPr>
          <w:p w14:paraId="3EA9BC96">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《复印机、打印机和传真机能效限定值及能效等级》（GB21521）</w:t>
            </w:r>
          </w:p>
        </w:tc>
      </w:tr>
      <w:tr w14:paraId="29F97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554F47">
            <w:pPr>
              <w:widowControl/>
              <w:jc w:val="left"/>
              <w:rPr>
                <w:rFonts w:ascii="宋体" w:hAnsi="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2C295A">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24D81A">
            <w:pPr>
              <w:widowControl/>
              <w:jc w:val="left"/>
              <w:rPr>
                <w:rFonts w:ascii="宋体" w:hAnsi="宋体"/>
                <w:color w:val="000000" w:themeColor="text1"/>
                <w:szCs w:val="21"/>
                <w:highlight w:val="none"/>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11DCE25B">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A02021004 A4彩色打印机</w:t>
            </w:r>
          </w:p>
        </w:tc>
        <w:tc>
          <w:tcPr>
            <w:tcW w:w="3452" w:type="dxa"/>
            <w:tcBorders>
              <w:top w:val="single" w:color="000000" w:sz="4" w:space="0"/>
              <w:left w:val="single" w:color="000000" w:sz="4" w:space="0"/>
              <w:bottom w:val="single" w:color="000000" w:sz="4" w:space="0"/>
              <w:right w:val="single" w:color="000000" w:sz="4" w:space="0"/>
            </w:tcBorders>
            <w:noWrap w:val="0"/>
          </w:tcPr>
          <w:p w14:paraId="0BA63C23">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《复印机、打印机和传真机能效限定值及能效等级》（GB21521）</w:t>
            </w:r>
          </w:p>
        </w:tc>
      </w:tr>
      <w:tr w14:paraId="7497D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7B1D870">
            <w:pPr>
              <w:widowControl/>
              <w:jc w:val="left"/>
              <w:rPr>
                <w:rFonts w:ascii="宋体" w:hAnsi="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781CD9">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54233D">
            <w:pPr>
              <w:widowControl/>
              <w:jc w:val="left"/>
              <w:rPr>
                <w:rFonts w:ascii="宋体" w:hAnsi="宋体"/>
                <w:color w:val="000000" w:themeColor="text1"/>
                <w:szCs w:val="21"/>
                <w:highlight w:val="none"/>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3DB5F8D5">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A02021005 3D打印机</w:t>
            </w:r>
          </w:p>
        </w:tc>
        <w:tc>
          <w:tcPr>
            <w:tcW w:w="3452" w:type="dxa"/>
            <w:tcBorders>
              <w:top w:val="single" w:color="000000" w:sz="4" w:space="0"/>
              <w:left w:val="single" w:color="000000" w:sz="4" w:space="0"/>
              <w:bottom w:val="single" w:color="000000" w:sz="4" w:space="0"/>
              <w:right w:val="single" w:color="000000" w:sz="4" w:space="0"/>
            </w:tcBorders>
            <w:noWrap w:val="0"/>
          </w:tcPr>
          <w:p w14:paraId="409FEBC0">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《复印机、打印机和传真机能效限定值及能效等级》（GB21521）</w:t>
            </w:r>
          </w:p>
        </w:tc>
      </w:tr>
      <w:tr w14:paraId="457BC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28BFD0">
            <w:pPr>
              <w:widowControl/>
              <w:jc w:val="left"/>
              <w:rPr>
                <w:rFonts w:ascii="宋体" w:hAnsi="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AC7095">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6D1D93">
            <w:pPr>
              <w:widowControl/>
              <w:jc w:val="left"/>
              <w:rPr>
                <w:rFonts w:ascii="宋体" w:hAnsi="宋体"/>
                <w:color w:val="000000" w:themeColor="text1"/>
                <w:szCs w:val="21"/>
                <w:highlight w:val="none"/>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68622C4E">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A02021006票据打印机</w:t>
            </w:r>
          </w:p>
        </w:tc>
        <w:tc>
          <w:tcPr>
            <w:tcW w:w="3452" w:type="dxa"/>
            <w:tcBorders>
              <w:top w:val="single" w:color="000000" w:sz="4" w:space="0"/>
              <w:left w:val="single" w:color="000000" w:sz="4" w:space="0"/>
              <w:bottom w:val="single" w:color="000000" w:sz="4" w:space="0"/>
              <w:right w:val="single" w:color="000000" w:sz="4" w:space="0"/>
            </w:tcBorders>
            <w:noWrap w:val="0"/>
          </w:tcPr>
          <w:p w14:paraId="6A1DE85D">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《复印机、打印机和传真机能效限定值及能效等级》（GB21521）</w:t>
            </w:r>
          </w:p>
        </w:tc>
      </w:tr>
      <w:tr w14:paraId="15DC1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111A0A">
            <w:pPr>
              <w:widowControl/>
              <w:jc w:val="left"/>
              <w:rPr>
                <w:rFonts w:ascii="宋体" w:hAnsi="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D62481">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DD6642F">
            <w:pPr>
              <w:widowControl/>
              <w:jc w:val="left"/>
              <w:rPr>
                <w:rFonts w:ascii="宋体" w:hAnsi="宋体"/>
                <w:color w:val="000000" w:themeColor="text1"/>
                <w:szCs w:val="21"/>
                <w:highlight w:val="none"/>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1E43DAC5">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A02021007条码打印机</w:t>
            </w:r>
          </w:p>
        </w:tc>
        <w:tc>
          <w:tcPr>
            <w:tcW w:w="3452" w:type="dxa"/>
            <w:tcBorders>
              <w:top w:val="single" w:color="000000" w:sz="4" w:space="0"/>
              <w:left w:val="single" w:color="000000" w:sz="4" w:space="0"/>
              <w:bottom w:val="single" w:color="000000" w:sz="4" w:space="0"/>
              <w:right w:val="single" w:color="000000" w:sz="4" w:space="0"/>
            </w:tcBorders>
            <w:noWrap w:val="0"/>
          </w:tcPr>
          <w:p w14:paraId="346E66FE">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《复印机、打印机和传真机能效限定值及能效等级》（GB21521）</w:t>
            </w:r>
          </w:p>
        </w:tc>
      </w:tr>
      <w:tr w14:paraId="344E1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EE8CB4">
            <w:pPr>
              <w:widowControl/>
              <w:jc w:val="left"/>
              <w:rPr>
                <w:rFonts w:ascii="宋体" w:hAnsi="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CCFC67">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AB8D6C">
            <w:pPr>
              <w:widowControl/>
              <w:jc w:val="left"/>
              <w:rPr>
                <w:rFonts w:ascii="宋体" w:hAnsi="宋体"/>
                <w:color w:val="000000" w:themeColor="text1"/>
                <w:szCs w:val="21"/>
                <w:highlight w:val="none"/>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4D5B92C3">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A02021008地址打印机</w:t>
            </w:r>
          </w:p>
        </w:tc>
        <w:tc>
          <w:tcPr>
            <w:tcW w:w="3452" w:type="dxa"/>
            <w:tcBorders>
              <w:top w:val="single" w:color="000000" w:sz="4" w:space="0"/>
              <w:left w:val="single" w:color="000000" w:sz="4" w:space="0"/>
              <w:bottom w:val="single" w:color="000000" w:sz="4" w:space="0"/>
              <w:right w:val="single" w:color="000000" w:sz="4" w:space="0"/>
            </w:tcBorders>
            <w:noWrap w:val="0"/>
          </w:tcPr>
          <w:p w14:paraId="70CF62C2">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《复印机、打印机和传真机能效限定值及能效等级》（GB21521）</w:t>
            </w:r>
          </w:p>
        </w:tc>
      </w:tr>
      <w:tr w14:paraId="31DD2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DDF26DA">
            <w:pPr>
              <w:widowControl/>
              <w:jc w:val="left"/>
              <w:rPr>
                <w:rFonts w:ascii="宋体" w:hAnsi="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67460B">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83B81E">
            <w:pPr>
              <w:widowControl/>
              <w:jc w:val="left"/>
              <w:rPr>
                <w:rFonts w:ascii="宋体" w:hAnsi="宋体"/>
                <w:color w:val="000000" w:themeColor="text1"/>
                <w:szCs w:val="21"/>
                <w:highlight w:val="none"/>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14324ACE">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A02021099其他打印机</w:t>
            </w:r>
          </w:p>
        </w:tc>
        <w:tc>
          <w:tcPr>
            <w:tcW w:w="3452" w:type="dxa"/>
            <w:tcBorders>
              <w:top w:val="single" w:color="000000" w:sz="4" w:space="0"/>
              <w:left w:val="single" w:color="000000" w:sz="4" w:space="0"/>
              <w:bottom w:val="single" w:color="000000" w:sz="4" w:space="0"/>
              <w:right w:val="single" w:color="000000" w:sz="4" w:space="0"/>
            </w:tcBorders>
            <w:noWrap w:val="0"/>
          </w:tcPr>
          <w:p w14:paraId="33A29912">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《复印机、打印机和传真机能效限定值及能效等级》（GB21521）</w:t>
            </w:r>
          </w:p>
        </w:tc>
      </w:tr>
      <w:tr w14:paraId="4E050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BB94059">
            <w:pPr>
              <w:widowControl/>
              <w:jc w:val="left"/>
              <w:rPr>
                <w:rFonts w:ascii="宋体" w:hAnsi="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C82BD3">
            <w:pPr>
              <w:widowControl/>
              <w:jc w:val="left"/>
              <w:rPr>
                <w:rFonts w:ascii="宋体" w:hAnsi="宋体" w:cs="宋体"/>
                <w:color w:val="000000" w:themeColor="text1"/>
                <w:szCs w:val="21"/>
                <w:highlight w:val="none"/>
                <w14:textFill>
                  <w14:solidFill>
                    <w14:schemeClr w14:val="tx1"/>
                  </w14:solidFill>
                </w14:textFill>
              </w:rPr>
            </w:pPr>
          </w:p>
        </w:tc>
        <w:tc>
          <w:tcPr>
            <w:tcW w:w="1496" w:type="dxa"/>
            <w:vMerge w:val="restart"/>
            <w:tcBorders>
              <w:top w:val="single" w:color="000000" w:sz="4" w:space="0"/>
              <w:left w:val="single" w:color="000000" w:sz="4" w:space="0"/>
              <w:bottom w:val="single" w:color="000000" w:sz="4" w:space="0"/>
              <w:right w:val="single" w:color="000000" w:sz="4" w:space="0"/>
            </w:tcBorders>
            <w:noWrap w:val="0"/>
            <w:vAlign w:val="center"/>
          </w:tcPr>
          <w:p w14:paraId="44FF4678">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A02021100输入输出设备</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3ADDE629">
            <w:pPr>
              <w:jc w:val="center"/>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A02021104液晶显示器</w:t>
            </w:r>
          </w:p>
        </w:tc>
        <w:tc>
          <w:tcPr>
            <w:tcW w:w="3452" w:type="dxa"/>
            <w:tcBorders>
              <w:top w:val="single" w:color="000000" w:sz="4" w:space="0"/>
              <w:left w:val="single" w:color="000000" w:sz="4" w:space="0"/>
              <w:bottom w:val="single" w:color="000000" w:sz="4" w:space="0"/>
              <w:right w:val="single" w:color="000000" w:sz="4" w:space="0"/>
            </w:tcBorders>
            <w:noWrap w:val="0"/>
            <w:vAlign w:val="center"/>
          </w:tcPr>
          <w:p w14:paraId="3085633F">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《计算机显示器能效限定值及能效等级》（GB21520）</w:t>
            </w:r>
          </w:p>
        </w:tc>
      </w:tr>
      <w:tr w14:paraId="6FF7C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3C7A7C">
            <w:pPr>
              <w:widowControl/>
              <w:jc w:val="left"/>
              <w:rPr>
                <w:rFonts w:ascii="宋体" w:hAnsi="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0FB1ED">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16963F">
            <w:pPr>
              <w:widowControl/>
              <w:jc w:val="left"/>
              <w:rPr>
                <w:rFonts w:ascii="宋体" w:hAnsi="宋体"/>
                <w:color w:val="000000" w:themeColor="text1"/>
                <w:szCs w:val="21"/>
                <w:highlight w:val="none"/>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0C3C1434">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A02021118扫描仪</w:t>
            </w:r>
          </w:p>
        </w:tc>
        <w:tc>
          <w:tcPr>
            <w:tcW w:w="3452" w:type="dxa"/>
            <w:tcBorders>
              <w:top w:val="single" w:color="000000" w:sz="4" w:space="0"/>
              <w:left w:val="single" w:color="000000" w:sz="4" w:space="0"/>
              <w:bottom w:val="single" w:color="000000" w:sz="4" w:space="0"/>
              <w:right w:val="single" w:color="000000" w:sz="4" w:space="0"/>
            </w:tcBorders>
            <w:noWrap w:val="0"/>
            <w:vAlign w:val="center"/>
          </w:tcPr>
          <w:p w14:paraId="37851E5A">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参照《复印机、打印机和传真机能效限定值及能效等级》（GB21521）中打印速度为15页/分的针式打印机相关要求</w:t>
            </w:r>
          </w:p>
        </w:tc>
      </w:tr>
      <w:tr w14:paraId="12D43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noWrap w:val="0"/>
            <w:vAlign w:val="center"/>
          </w:tcPr>
          <w:p w14:paraId="05C10A0B">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0F64BFDB">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A02020200投影仪</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372F76AE">
            <w:pPr>
              <w:jc w:val="center"/>
              <w:rPr>
                <w:rFonts w:ascii="宋体" w:hAnsi="宋体"/>
                <w:color w:val="000000" w:themeColor="text1"/>
                <w:szCs w:val="21"/>
                <w:highlight w:val="none"/>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7B864DD9">
            <w:pPr>
              <w:jc w:val="center"/>
              <w:rPr>
                <w:rFonts w:ascii="宋体" w:hAnsi="宋体"/>
                <w:color w:val="000000" w:themeColor="text1"/>
                <w:szCs w:val="21"/>
                <w:highlight w:val="none"/>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noWrap w:val="0"/>
            <w:vAlign w:val="center"/>
          </w:tcPr>
          <w:p w14:paraId="2AB48925">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《投影机能效限定值及能效等级》（GB32028）</w:t>
            </w:r>
          </w:p>
        </w:tc>
      </w:tr>
      <w:tr w14:paraId="56D5A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noWrap w:val="0"/>
            <w:vAlign w:val="center"/>
          </w:tcPr>
          <w:p w14:paraId="1947150E">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064C1A7C">
            <w:pPr>
              <w:pStyle w:val="300"/>
              <w:spacing w:before="66"/>
              <w:ind w:left="7"/>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仿宋_GB2312"/>
                <w:color w:val="000000" w:themeColor="text1"/>
                <w:sz w:val="21"/>
                <w:szCs w:val="21"/>
                <w:highlight w:val="none"/>
                <w14:textFill>
                  <w14:solidFill>
                    <w14:schemeClr w14:val="tx1"/>
                  </w14:solidFill>
                </w14:textFill>
              </w:rPr>
              <w:t>A02020400</w:t>
            </w:r>
            <w:r>
              <w:rPr>
                <w:rFonts w:hint="eastAsia" w:ascii="宋体" w:hAnsi="宋体" w:cs="宋体"/>
                <w:color w:val="000000" w:themeColor="text1"/>
                <w:sz w:val="21"/>
                <w:szCs w:val="21"/>
                <w:highlight w:val="none"/>
                <w14:textFill>
                  <w14:solidFill>
                    <w14:schemeClr w14:val="tx1"/>
                  </w14:solidFill>
                </w14:textFill>
              </w:rPr>
              <w:t>多功能一体机</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3BFDF0A9">
            <w:pPr>
              <w:jc w:val="center"/>
              <w:rPr>
                <w:rFonts w:ascii="宋体" w:hAnsi="宋体"/>
                <w:color w:val="000000" w:themeColor="text1"/>
                <w:szCs w:val="21"/>
                <w:highlight w:val="none"/>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301FCD79">
            <w:pPr>
              <w:jc w:val="center"/>
              <w:rPr>
                <w:rFonts w:ascii="宋体" w:hAnsi="宋体"/>
                <w:color w:val="000000" w:themeColor="text1"/>
                <w:szCs w:val="21"/>
                <w:highlight w:val="none"/>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noWrap w:val="0"/>
            <w:vAlign w:val="center"/>
          </w:tcPr>
          <w:p w14:paraId="35D19980">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《复印机、打印机和传真机能效限定值及能效等级》（GB21521）</w:t>
            </w:r>
          </w:p>
        </w:tc>
      </w:tr>
      <w:tr w14:paraId="68456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noWrap w:val="0"/>
            <w:vAlign w:val="center"/>
          </w:tcPr>
          <w:p w14:paraId="41A0070C">
            <w:pPr>
              <w:pStyle w:val="300"/>
              <w:spacing w:before="160"/>
              <w:ind w:right="1"/>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5</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21C8F487">
            <w:pPr>
              <w:pStyle w:val="300"/>
              <w:spacing w:before="160"/>
              <w:ind w:left="7"/>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仿宋_GB2312"/>
                <w:color w:val="000000" w:themeColor="text1"/>
                <w:sz w:val="21"/>
                <w:szCs w:val="21"/>
                <w:highlight w:val="none"/>
                <w14:textFill>
                  <w14:solidFill>
                    <w14:schemeClr w14:val="tx1"/>
                  </w14:solidFill>
                </w14:textFill>
              </w:rPr>
              <w:t>A02051900</w:t>
            </w:r>
            <w:r>
              <w:rPr>
                <w:rFonts w:hint="eastAsia" w:ascii="宋体" w:hAnsi="宋体" w:cs="宋体"/>
                <w:color w:val="000000" w:themeColor="text1"/>
                <w:sz w:val="21"/>
                <w:szCs w:val="21"/>
                <w:highlight w:val="none"/>
                <w14:textFill>
                  <w14:solidFill>
                    <w14:schemeClr w14:val="tx1"/>
                  </w14:solidFill>
                </w14:textFill>
              </w:rPr>
              <w:t>泵</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4E0B7571">
            <w:pPr>
              <w:pStyle w:val="300"/>
              <w:spacing w:before="160"/>
              <w:ind w:left="7"/>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pacing w:val="1"/>
                <w:sz w:val="21"/>
                <w:szCs w:val="21"/>
                <w:highlight w:val="none"/>
                <w14:textFill>
                  <w14:solidFill>
                    <w14:schemeClr w14:val="tx1"/>
                  </w14:solidFill>
                </w14:textFill>
              </w:rPr>
              <w:t>A02</w:t>
            </w:r>
            <w:r>
              <w:rPr>
                <w:rFonts w:hint="eastAsia" w:ascii="宋体" w:hAnsi="宋体" w:cs="宋体"/>
                <w:color w:val="000000" w:themeColor="text1"/>
                <w:sz w:val="21"/>
                <w:szCs w:val="21"/>
                <w:highlight w:val="none"/>
                <w14:textFill>
                  <w14:solidFill>
                    <w14:schemeClr w14:val="tx1"/>
                  </w14:solidFill>
                </w14:textFill>
              </w:rPr>
              <w:t>05</w:t>
            </w:r>
            <w:r>
              <w:rPr>
                <w:rFonts w:hint="eastAsia" w:ascii="宋体" w:hAnsi="宋体" w:cs="宋体"/>
                <w:color w:val="000000" w:themeColor="text1"/>
                <w:spacing w:val="1"/>
                <w:sz w:val="21"/>
                <w:szCs w:val="21"/>
                <w:highlight w:val="none"/>
                <w14:textFill>
                  <w14:solidFill>
                    <w14:schemeClr w14:val="tx1"/>
                  </w14:solidFill>
                </w14:textFill>
              </w:rPr>
              <w:t>1</w:t>
            </w:r>
            <w:r>
              <w:rPr>
                <w:rFonts w:hint="eastAsia" w:ascii="宋体" w:hAnsi="宋体" w:cs="宋体"/>
                <w:color w:val="000000" w:themeColor="text1"/>
                <w:sz w:val="21"/>
                <w:szCs w:val="21"/>
                <w:highlight w:val="none"/>
                <w14:textFill>
                  <w14:solidFill>
                    <w14:schemeClr w14:val="tx1"/>
                  </w14:solidFill>
                </w14:textFill>
              </w:rPr>
              <w:t>901离心泵</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63D483E1">
            <w:pPr>
              <w:jc w:val="center"/>
              <w:rPr>
                <w:rFonts w:ascii="宋体" w:hAnsi="宋体"/>
                <w:color w:val="000000" w:themeColor="text1"/>
                <w:szCs w:val="21"/>
                <w:highlight w:val="none"/>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noWrap w:val="0"/>
          </w:tcPr>
          <w:p w14:paraId="0A90E742">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《清水离心泵能效限定值及节能评价值》（GB19762）</w:t>
            </w:r>
          </w:p>
        </w:tc>
      </w:tr>
      <w:tr w14:paraId="22711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noWrap w:val="0"/>
            <w:vAlign w:val="center"/>
          </w:tcPr>
          <w:p w14:paraId="51FAFCD9">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w:t>
            </w:r>
          </w:p>
        </w:tc>
        <w:tc>
          <w:tcPr>
            <w:tcW w:w="1422" w:type="dxa"/>
            <w:vMerge w:val="restart"/>
            <w:tcBorders>
              <w:top w:val="single" w:color="000000" w:sz="4" w:space="0"/>
              <w:left w:val="single" w:color="000000" w:sz="4" w:space="0"/>
              <w:bottom w:val="single" w:color="000000" w:sz="4" w:space="0"/>
              <w:right w:val="single" w:color="000000" w:sz="4" w:space="0"/>
            </w:tcBorders>
            <w:noWrap w:val="0"/>
            <w:vAlign w:val="center"/>
          </w:tcPr>
          <w:p w14:paraId="4AD15DC0">
            <w:pPr>
              <w:pStyle w:val="300"/>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仿宋_GB2312"/>
                <w:color w:val="000000" w:themeColor="text1"/>
                <w:sz w:val="21"/>
                <w:szCs w:val="21"/>
                <w:highlight w:val="none"/>
                <w14:textFill>
                  <w14:solidFill>
                    <w14:schemeClr w14:val="tx1"/>
                  </w14:solidFill>
                </w14:textFill>
              </w:rPr>
              <w:t>A02052300</w:t>
            </w:r>
            <w:r>
              <w:rPr>
                <w:rFonts w:hint="eastAsia" w:ascii="宋体" w:hAnsi="宋体" w:cs="宋体"/>
                <w:color w:val="000000" w:themeColor="text1"/>
                <w:sz w:val="21"/>
                <w:szCs w:val="21"/>
                <w:highlight w:val="none"/>
                <w14:textFill>
                  <w14:solidFill>
                    <w14:schemeClr w14:val="tx1"/>
                  </w14:solidFill>
                </w14:textFill>
              </w:rPr>
              <w:t>制冷空调设备</w:t>
            </w:r>
          </w:p>
        </w:tc>
        <w:tc>
          <w:tcPr>
            <w:tcW w:w="1496" w:type="dxa"/>
            <w:vMerge w:val="restart"/>
            <w:tcBorders>
              <w:top w:val="single" w:color="000000" w:sz="4" w:space="0"/>
              <w:left w:val="single" w:color="000000" w:sz="4" w:space="0"/>
              <w:bottom w:val="single" w:color="000000" w:sz="4" w:space="0"/>
              <w:right w:val="single" w:color="000000" w:sz="4" w:space="0"/>
            </w:tcBorders>
            <w:noWrap w:val="0"/>
            <w:vAlign w:val="center"/>
          </w:tcPr>
          <w:p w14:paraId="47C87E9D">
            <w:pPr>
              <w:pStyle w:val="300"/>
              <w:spacing w:line="276" w:lineRule="auto"/>
              <w:ind w:right="5"/>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w:t>
            </w:r>
            <w:r>
              <w:rPr>
                <w:rFonts w:hint="eastAsia" w:ascii="宋体" w:hAnsi="宋体" w:cs="宋体"/>
                <w:color w:val="000000" w:themeColor="text1"/>
                <w:spacing w:val="1"/>
                <w:sz w:val="21"/>
                <w:szCs w:val="21"/>
                <w:highlight w:val="none"/>
                <w14:textFill>
                  <w14:solidFill>
                    <w14:schemeClr w14:val="tx1"/>
                  </w14:solidFill>
                </w14:textFill>
              </w:rPr>
              <w:t>A020</w:t>
            </w:r>
            <w:r>
              <w:rPr>
                <w:rFonts w:hint="eastAsia" w:ascii="宋体" w:hAnsi="宋体" w:cs="宋体"/>
                <w:color w:val="000000" w:themeColor="text1"/>
                <w:sz w:val="21"/>
                <w:szCs w:val="21"/>
                <w:highlight w:val="none"/>
                <w14:textFill>
                  <w14:solidFill>
                    <w14:schemeClr w14:val="tx1"/>
                  </w14:solidFill>
                </w14:textFill>
              </w:rPr>
              <w:t>52</w:t>
            </w:r>
            <w:r>
              <w:rPr>
                <w:rFonts w:hint="eastAsia" w:ascii="宋体" w:hAnsi="宋体" w:cs="宋体"/>
                <w:color w:val="000000" w:themeColor="text1"/>
                <w:spacing w:val="1"/>
                <w:sz w:val="21"/>
                <w:szCs w:val="21"/>
                <w:highlight w:val="none"/>
                <w14:textFill>
                  <w14:solidFill>
                    <w14:schemeClr w14:val="tx1"/>
                  </w14:solidFill>
                </w14:textFill>
              </w:rPr>
              <w:t>3</w:t>
            </w:r>
            <w:r>
              <w:rPr>
                <w:rFonts w:hint="eastAsia" w:ascii="宋体" w:hAnsi="宋体" w:cs="宋体"/>
                <w:color w:val="000000" w:themeColor="text1"/>
                <w:sz w:val="21"/>
                <w:szCs w:val="21"/>
                <w:highlight w:val="none"/>
                <w14:textFill>
                  <w14:solidFill>
                    <w14:schemeClr w14:val="tx1"/>
                  </w14:solidFill>
                </w14:textFill>
              </w:rPr>
              <w:t>01制冷压缩机</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0EE2A129">
            <w:pPr>
              <w:pStyle w:val="300"/>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冷水机组</w:t>
            </w:r>
          </w:p>
        </w:tc>
        <w:tc>
          <w:tcPr>
            <w:tcW w:w="3452" w:type="dxa"/>
            <w:tcBorders>
              <w:top w:val="single" w:color="000000" w:sz="4" w:space="0"/>
              <w:left w:val="single" w:color="000000" w:sz="4" w:space="0"/>
              <w:bottom w:val="single" w:color="000000" w:sz="4" w:space="0"/>
              <w:right w:val="single" w:color="000000" w:sz="4" w:space="0"/>
            </w:tcBorders>
            <w:noWrap w:val="0"/>
          </w:tcPr>
          <w:p w14:paraId="062DC0C2">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《冷水机组能效限定值及能效等级》（GB19577），《低环境温度空气源热泵（冷水）机组能效限定值及能效等级》（GB37480）</w:t>
            </w:r>
          </w:p>
        </w:tc>
      </w:tr>
      <w:tr w14:paraId="65560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695BBE">
            <w:pPr>
              <w:widowControl/>
              <w:jc w:val="left"/>
              <w:rPr>
                <w:rFonts w:ascii="宋体" w:hAnsi="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B42077">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2ADE89">
            <w:pPr>
              <w:widowControl/>
              <w:jc w:val="left"/>
              <w:rPr>
                <w:rFonts w:ascii="宋体" w:hAnsi="宋体" w:cs="宋体"/>
                <w:color w:val="000000" w:themeColor="text1"/>
                <w:szCs w:val="21"/>
                <w:highlight w:val="none"/>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1AD97D10">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溴化锂吸收式冷水机组</w:t>
            </w:r>
          </w:p>
        </w:tc>
        <w:tc>
          <w:tcPr>
            <w:tcW w:w="3452" w:type="dxa"/>
            <w:tcBorders>
              <w:top w:val="single" w:color="000000" w:sz="4" w:space="0"/>
              <w:left w:val="single" w:color="000000" w:sz="4" w:space="0"/>
              <w:bottom w:val="single" w:color="000000" w:sz="4" w:space="0"/>
              <w:right w:val="single" w:color="000000" w:sz="4" w:space="0"/>
            </w:tcBorders>
            <w:noWrap w:val="0"/>
            <w:vAlign w:val="center"/>
          </w:tcPr>
          <w:p w14:paraId="6133778F">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《溴化锂吸收式冷水机组能效限</w:t>
            </w:r>
          </w:p>
          <w:p w14:paraId="46BDFB98">
            <w:pPr>
              <w:spacing w:before="131" w:line="276" w:lineRule="auto"/>
              <w:ind w:right="4"/>
              <w:rPr>
                <w:rFonts w:ascii="宋体" w:hAnsi="宋体" w:cs="宋体"/>
                <w:color w:val="000000" w:themeColor="text1"/>
                <w:spacing w:val="10"/>
                <w:szCs w:val="21"/>
                <w:highlight w:val="none"/>
                <w14:textFill>
                  <w14:solidFill>
                    <w14:schemeClr w14:val="tx1"/>
                  </w14:solidFill>
                </w14:textFill>
              </w:rPr>
            </w:pPr>
            <w:r>
              <w:rPr>
                <w:rFonts w:hint="eastAsia" w:ascii="宋体" w:hAnsi="宋体" w:cs="宋体"/>
                <w:color w:val="000000" w:themeColor="text1"/>
                <w:spacing w:val="10"/>
                <w:szCs w:val="21"/>
                <w:highlight w:val="none"/>
                <w14:textFill>
                  <w14:solidFill>
                    <w14:schemeClr w14:val="tx1"/>
                  </w14:solidFill>
                </w14:textFill>
              </w:rPr>
              <w:t>定值及能效等级》（GB29540）</w:t>
            </w:r>
          </w:p>
        </w:tc>
      </w:tr>
      <w:tr w14:paraId="45D2C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3127BC7">
            <w:pPr>
              <w:widowControl/>
              <w:jc w:val="left"/>
              <w:rPr>
                <w:rFonts w:ascii="宋体" w:hAnsi="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685273">
            <w:pPr>
              <w:widowControl/>
              <w:jc w:val="left"/>
              <w:rPr>
                <w:rFonts w:ascii="宋体" w:hAnsi="宋体" w:cs="宋体"/>
                <w:color w:val="000000" w:themeColor="text1"/>
                <w:szCs w:val="21"/>
                <w:highlight w:val="none"/>
                <w14:textFill>
                  <w14:solidFill>
                    <w14:schemeClr w14:val="tx1"/>
                  </w14:solidFill>
                </w14:textFill>
              </w:rPr>
            </w:pPr>
          </w:p>
        </w:tc>
        <w:tc>
          <w:tcPr>
            <w:tcW w:w="1496" w:type="dxa"/>
            <w:vMerge w:val="restart"/>
            <w:tcBorders>
              <w:top w:val="single" w:color="000000" w:sz="4" w:space="0"/>
              <w:left w:val="single" w:color="000000" w:sz="4" w:space="0"/>
              <w:bottom w:val="single" w:color="000000" w:sz="4" w:space="0"/>
              <w:right w:val="single" w:color="000000" w:sz="4" w:space="0"/>
            </w:tcBorders>
            <w:noWrap w:val="0"/>
            <w:vAlign w:val="center"/>
          </w:tcPr>
          <w:p w14:paraId="7F1DEE58">
            <w:pPr>
              <w:pStyle w:val="300"/>
              <w:spacing w:line="276" w:lineRule="auto"/>
              <w:ind w:right="5"/>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★A02052305空调机组</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0C954B79">
            <w:pPr>
              <w:pStyle w:val="300"/>
              <w:spacing w:before="4" w:line="276" w:lineRule="auto"/>
              <w:ind w:left="7" w:right="7"/>
              <w:jc w:val="center"/>
              <w:rPr>
                <w:rFonts w:ascii="宋体" w:hAnsi="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多联式空调（热泵）机组（制冷量＞14000W）</w:t>
            </w:r>
          </w:p>
        </w:tc>
        <w:tc>
          <w:tcPr>
            <w:tcW w:w="3452" w:type="dxa"/>
            <w:tcBorders>
              <w:top w:val="single" w:color="000000" w:sz="4" w:space="0"/>
              <w:left w:val="single" w:color="000000" w:sz="4" w:space="0"/>
              <w:bottom w:val="single" w:color="000000" w:sz="4" w:space="0"/>
              <w:right w:val="single" w:color="000000" w:sz="4" w:space="0"/>
            </w:tcBorders>
            <w:noWrap w:val="0"/>
          </w:tcPr>
          <w:p w14:paraId="302E5E10">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《多联式空调（热泵）机组能效限定值及能源效率等级》（GB21454）</w:t>
            </w:r>
          </w:p>
        </w:tc>
      </w:tr>
      <w:tr w14:paraId="518EB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F40DF7">
            <w:pPr>
              <w:widowControl/>
              <w:jc w:val="left"/>
              <w:rPr>
                <w:rFonts w:ascii="宋体" w:hAnsi="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1E99283">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84355C5">
            <w:pPr>
              <w:widowControl/>
              <w:jc w:val="left"/>
              <w:rPr>
                <w:rFonts w:ascii="宋体" w:hAnsi="宋体" w:cs="宋体"/>
                <w:color w:val="000000" w:themeColor="text1"/>
                <w:szCs w:val="21"/>
                <w:highlight w:val="none"/>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01EAD80C">
            <w:pPr>
              <w:jc w:val="center"/>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单元式空气调节机</w:t>
            </w:r>
          </w:p>
        </w:tc>
        <w:tc>
          <w:tcPr>
            <w:tcW w:w="3452" w:type="dxa"/>
            <w:tcBorders>
              <w:top w:val="single" w:color="000000" w:sz="4" w:space="0"/>
              <w:left w:val="single" w:color="000000" w:sz="4" w:space="0"/>
              <w:bottom w:val="single" w:color="000000" w:sz="4" w:space="0"/>
              <w:right w:val="single" w:color="000000" w:sz="4" w:space="0"/>
            </w:tcBorders>
            <w:noWrap w:val="0"/>
          </w:tcPr>
          <w:p w14:paraId="193CEE36">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《单元式空气调节机能效限定值及能效等级》（GB19576）《风管送风式空调机组能效限定值及能效等级》（GB37479）</w:t>
            </w:r>
          </w:p>
        </w:tc>
      </w:tr>
      <w:tr w14:paraId="76E29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310A64">
            <w:pPr>
              <w:widowControl/>
              <w:jc w:val="left"/>
              <w:rPr>
                <w:rFonts w:ascii="宋体" w:hAnsi="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5B488A">
            <w:pPr>
              <w:widowControl/>
              <w:jc w:val="left"/>
              <w:rPr>
                <w:rFonts w:ascii="宋体" w:hAnsi="宋体" w:cs="宋体"/>
                <w:color w:val="000000" w:themeColor="text1"/>
                <w:szCs w:val="21"/>
                <w:highlight w:val="none"/>
                <w14:textFill>
                  <w14:solidFill>
                    <w14:schemeClr w14:val="tx1"/>
                  </w14:solidFill>
                </w14:textFill>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123094B7">
            <w:pPr>
              <w:pStyle w:val="300"/>
              <w:spacing w:before="83"/>
              <w:ind w:left="7"/>
              <w:jc w:val="center"/>
              <w:rPr>
                <w:rFonts w:ascii="宋体" w:hAnsi="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★A02052309专用制冷、空调设备</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75C55C1E">
            <w:pPr>
              <w:pStyle w:val="300"/>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机房空调</w:t>
            </w:r>
          </w:p>
        </w:tc>
        <w:tc>
          <w:tcPr>
            <w:tcW w:w="3452" w:type="dxa"/>
            <w:tcBorders>
              <w:top w:val="single" w:color="000000" w:sz="4" w:space="0"/>
              <w:left w:val="single" w:color="000000" w:sz="4" w:space="0"/>
              <w:bottom w:val="single" w:color="000000" w:sz="4" w:space="0"/>
              <w:right w:val="single" w:color="000000" w:sz="4" w:space="0"/>
            </w:tcBorders>
            <w:noWrap w:val="0"/>
          </w:tcPr>
          <w:p w14:paraId="3C93B7A4">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《单元式空气调节机能效限定值</w:t>
            </w:r>
          </w:p>
          <w:p w14:paraId="298FAC3C">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及能效等级》（GB19576）</w:t>
            </w:r>
          </w:p>
        </w:tc>
      </w:tr>
      <w:tr w14:paraId="4E612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F460F6E">
            <w:pPr>
              <w:widowControl/>
              <w:jc w:val="left"/>
              <w:rPr>
                <w:rFonts w:ascii="宋体" w:hAnsi="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74B9DD">
            <w:pPr>
              <w:widowControl/>
              <w:jc w:val="left"/>
              <w:rPr>
                <w:rFonts w:ascii="宋体" w:hAnsi="宋体" w:cs="宋体"/>
                <w:color w:val="000000" w:themeColor="text1"/>
                <w:szCs w:val="21"/>
                <w:highlight w:val="none"/>
                <w14:textFill>
                  <w14:solidFill>
                    <w14:schemeClr w14:val="tx1"/>
                  </w14:solidFill>
                </w14:textFill>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4F51C66B">
            <w:pPr>
              <w:pStyle w:val="300"/>
              <w:spacing w:line="254" w:lineRule="exact"/>
              <w:ind w:left="7"/>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A02052399其他制冷</w:t>
            </w:r>
          </w:p>
          <w:p w14:paraId="1DD8948C">
            <w:pPr>
              <w:pStyle w:val="300"/>
              <w:spacing w:line="254" w:lineRule="exact"/>
              <w:ind w:left="7"/>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空调设备</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1DDD41CF">
            <w:pPr>
              <w:widowControl/>
              <w:jc w:val="center"/>
              <w:rPr>
                <w:rFonts w:ascii="宋体" w:hAnsi="宋体" w:cs="宋体"/>
                <w:color w:val="000000" w:themeColor="text1"/>
                <w:szCs w:val="21"/>
                <w:highlight w:val="none"/>
                <w:lang w:eastAsia="en-US"/>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冷却塔</w:t>
            </w:r>
          </w:p>
        </w:tc>
        <w:tc>
          <w:tcPr>
            <w:tcW w:w="3452" w:type="dxa"/>
            <w:tcBorders>
              <w:top w:val="single" w:color="000000" w:sz="4" w:space="0"/>
              <w:left w:val="single" w:color="000000" w:sz="4" w:space="0"/>
              <w:bottom w:val="single" w:color="000000" w:sz="4" w:space="0"/>
              <w:right w:val="single" w:color="000000" w:sz="4" w:space="0"/>
            </w:tcBorders>
            <w:noWrap w:val="0"/>
          </w:tcPr>
          <w:p w14:paraId="673BE886">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《机械通风冷却塔第1部分：中小型开式冷却塔》（GB/T7190.1）</w:t>
            </w:r>
          </w:p>
          <w:p w14:paraId="03D14936">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《机械通风冷却塔第2部分：大型开式冷却塔》（GB/T7190.2）</w:t>
            </w:r>
          </w:p>
        </w:tc>
      </w:tr>
      <w:tr w14:paraId="56277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noWrap w:val="0"/>
            <w:vAlign w:val="center"/>
          </w:tcPr>
          <w:p w14:paraId="79828E7D">
            <w:pPr>
              <w:pStyle w:val="300"/>
              <w:ind w:right="1"/>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7</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0F198F16">
            <w:pPr>
              <w:pStyle w:val="300"/>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仿宋_GB2312"/>
                <w:color w:val="000000" w:themeColor="text1"/>
                <w:sz w:val="21"/>
                <w:szCs w:val="21"/>
                <w:highlight w:val="none"/>
                <w14:textFill>
                  <w14:solidFill>
                    <w14:schemeClr w14:val="tx1"/>
                  </w14:solidFill>
                </w14:textFill>
              </w:rPr>
              <w:t>A02060100</w:t>
            </w:r>
            <w:r>
              <w:rPr>
                <w:rFonts w:hint="eastAsia" w:ascii="宋体" w:hAnsi="宋体" w:cs="宋体"/>
                <w:color w:val="000000" w:themeColor="text1"/>
                <w:sz w:val="21"/>
                <w:szCs w:val="21"/>
                <w:highlight w:val="none"/>
                <w14:textFill>
                  <w14:solidFill>
                    <w14:schemeClr w14:val="tx1"/>
                  </w14:solidFill>
                </w14:textFill>
              </w:rPr>
              <w:t>电机</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3FD715B1">
            <w:pPr>
              <w:jc w:val="center"/>
              <w:rPr>
                <w:rFonts w:ascii="宋体" w:hAnsi="宋体"/>
                <w:color w:val="000000" w:themeColor="text1"/>
                <w:szCs w:val="21"/>
                <w:highlight w:val="none"/>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1C9007D4">
            <w:pPr>
              <w:jc w:val="center"/>
              <w:rPr>
                <w:rFonts w:ascii="宋体" w:hAnsi="宋体"/>
                <w:color w:val="000000" w:themeColor="text1"/>
                <w:szCs w:val="21"/>
                <w:highlight w:val="none"/>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noWrap w:val="0"/>
          </w:tcPr>
          <w:p w14:paraId="39C006EF">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《中小型三相异步电动机能效限定值及能效等级》（GB18613）</w:t>
            </w:r>
          </w:p>
        </w:tc>
      </w:tr>
      <w:tr w14:paraId="05ECC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noWrap w:val="0"/>
            <w:vAlign w:val="center"/>
          </w:tcPr>
          <w:p w14:paraId="6F7EA3FF">
            <w:pPr>
              <w:pStyle w:val="300"/>
              <w:ind w:right="1"/>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8</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46D9D74B">
            <w:pPr>
              <w:pStyle w:val="300"/>
              <w:spacing w:before="30"/>
              <w:ind w:left="7"/>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仿宋_GB2312"/>
                <w:color w:val="000000" w:themeColor="text1"/>
                <w:sz w:val="21"/>
                <w:szCs w:val="21"/>
                <w:highlight w:val="none"/>
                <w14:textFill>
                  <w14:solidFill>
                    <w14:schemeClr w14:val="tx1"/>
                  </w14:solidFill>
                </w14:textFill>
              </w:rPr>
              <w:t>A02060200</w:t>
            </w:r>
            <w:r>
              <w:rPr>
                <w:rFonts w:hint="eastAsia" w:ascii="宋体" w:hAnsi="宋体" w:cs="宋体"/>
                <w:color w:val="000000" w:themeColor="text1"/>
                <w:sz w:val="21"/>
                <w:szCs w:val="21"/>
                <w:highlight w:val="none"/>
                <w14:textFill>
                  <w14:solidFill>
                    <w14:schemeClr w14:val="tx1"/>
                  </w14:solidFill>
                </w14:textFill>
              </w:rPr>
              <w:t>变压</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1CE7DCE1">
            <w:pPr>
              <w:pStyle w:val="300"/>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配电变压器</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660EFEFD">
            <w:pPr>
              <w:jc w:val="center"/>
              <w:rPr>
                <w:rFonts w:ascii="宋体" w:hAnsi="宋体"/>
                <w:color w:val="000000" w:themeColor="text1"/>
                <w:szCs w:val="21"/>
                <w:highlight w:val="none"/>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noWrap w:val="0"/>
          </w:tcPr>
          <w:p w14:paraId="2B64F51C">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《三相配电变压器能效限定值及能效等级》（GB 20052）</w:t>
            </w:r>
          </w:p>
        </w:tc>
      </w:tr>
      <w:tr w14:paraId="570B5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noWrap w:val="0"/>
            <w:vAlign w:val="center"/>
          </w:tcPr>
          <w:p w14:paraId="6A63300D">
            <w:pPr>
              <w:pStyle w:val="300"/>
              <w:ind w:right="1"/>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9</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0E26F9A1">
            <w:pPr>
              <w:pStyle w:val="300"/>
              <w:spacing w:before="126"/>
              <w:ind w:left="7"/>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★A02060900镇流器</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1F3CFA3E">
            <w:pPr>
              <w:pStyle w:val="300"/>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管型荧光灯镇流器</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196DAECA">
            <w:pPr>
              <w:jc w:val="center"/>
              <w:rPr>
                <w:rFonts w:ascii="宋体" w:hAnsi="宋体"/>
                <w:color w:val="000000" w:themeColor="text1"/>
                <w:szCs w:val="21"/>
                <w:highlight w:val="none"/>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noWrap w:val="0"/>
          </w:tcPr>
          <w:p w14:paraId="5684ABE2">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《管形荧光灯镇流器能效限定值及能效等级》（GB17896）</w:t>
            </w:r>
          </w:p>
        </w:tc>
      </w:tr>
      <w:tr w14:paraId="783AB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noWrap w:val="0"/>
            <w:vAlign w:val="center"/>
          </w:tcPr>
          <w:p w14:paraId="79F82CDB">
            <w:pPr>
              <w:pStyle w:val="300"/>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10</w:t>
            </w:r>
          </w:p>
        </w:tc>
        <w:tc>
          <w:tcPr>
            <w:tcW w:w="1422" w:type="dxa"/>
            <w:vMerge w:val="restart"/>
            <w:tcBorders>
              <w:top w:val="single" w:color="000000" w:sz="4" w:space="0"/>
              <w:left w:val="single" w:color="000000" w:sz="4" w:space="0"/>
              <w:bottom w:val="single" w:color="000000" w:sz="4" w:space="0"/>
              <w:right w:val="single" w:color="000000" w:sz="4" w:space="0"/>
            </w:tcBorders>
            <w:noWrap w:val="0"/>
            <w:vAlign w:val="center"/>
          </w:tcPr>
          <w:p w14:paraId="296EDCD5">
            <w:pPr>
              <w:pStyle w:val="300"/>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A02061800生活用电器</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7995DA4D">
            <w:pPr>
              <w:pStyle w:val="300"/>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A02061801电冰箱</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5365E13B">
            <w:pPr>
              <w:jc w:val="center"/>
              <w:rPr>
                <w:rFonts w:ascii="宋体" w:hAnsi="宋体"/>
                <w:color w:val="000000" w:themeColor="text1"/>
                <w:szCs w:val="21"/>
                <w:highlight w:val="none"/>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noWrap w:val="0"/>
          </w:tcPr>
          <w:p w14:paraId="37F6F14C">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《家用电冰箱耗电量限定值及能效等级》（GB12021.2）</w:t>
            </w:r>
          </w:p>
        </w:tc>
      </w:tr>
      <w:tr w14:paraId="2B945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73161B">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327657">
            <w:pPr>
              <w:widowControl/>
              <w:jc w:val="left"/>
              <w:rPr>
                <w:rFonts w:ascii="宋体" w:hAnsi="宋体" w:cs="宋体"/>
                <w:color w:val="000000" w:themeColor="text1"/>
                <w:szCs w:val="21"/>
                <w:highlight w:val="none"/>
                <w14:textFill>
                  <w14:solidFill>
                    <w14:schemeClr w14:val="tx1"/>
                  </w14:solidFill>
                </w14:textFill>
              </w:rPr>
            </w:pPr>
          </w:p>
        </w:tc>
        <w:tc>
          <w:tcPr>
            <w:tcW w:w="1496" w:type="dxa"/>
            <w:vMerge w:val="restart"/>
            <w:tcBorders>
              <w:top w:val="single" w:color="000000" w:sz="4" w:space="0"/>
              <w:left w:val="single" w:color="000000" w:sz="4" w:space="0"/>
              <w:bottom w:val="single" w:color="000000" w:sz="4" w:space="0"/>
              <w:right w:val="single" w:color="000000" w:sz="4" w:space="0"/>
            </w:tcBorders>
            <w:noWrap w:val="0"/>
            <w:vAlign w:val="center"/>
          </w:tcPr>
          <w:p w14:paraId="1180C048">
            <w:pPr>
              <w:pStyle w:val="300"/>
              <w:spacing w:before="171"/>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w:t>
            </w:r>
            <w:r>
              <w:rPr>
                <w:rFonts w:hint="eastAsia" w:ascii="宋体" w:hAnsi="宋体" w:cs="仿宋_GB2312"/>
                <w:color w:val="000000" w:themeColor="text1"/>
                <w:sz w:val="21"/>
                <w:szCs w:val="21"/>
                <w:highlight w:val="none"/>
                <w14:textFill>
                  <w14:solidFill>
                    <w14:schemeClr w14:val="tx1"/>
                  </w14:solidFill>
                </w14:textFill>
              </w:rPr>
              <w:t>A02061804</w:t>
            </w:r>
            <w:r>
              <w:rPr>
                <w:rFonts w:hint="eastAsia" w:ascii="宋体" w:hAnsi="宋体" w:cs="宋体"/>
                <w:color w:val="000000" w:themeColor="text1"/>
                <w:sz w:val="21"/>
                <w:szCs w:val="21"/>
                <w:highlight w:val="none"/>
                <w14:textFill>
                  <w14:solidFill>
                    <w14:schemeClr w14:val="tx1"/>
                  </w14:solidFill>
                </w14:textFill>
              </w:rPr>
              <w:t>空调机</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510543A3">
            <w:pPr>
              <w:pStyle w:val="300"/>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房间空气调节器</w:t>
            </w:r>
          </w:p>
        </w:tc>
        <w:tc>
          <w:tcPr>
            <w:tcW w:w="3452" w:type="dxa"/>
            <w:tcBorders>
              <w:top w:val="single" w:color="000000" w:sz="4" w:space="0"/>
              <w:left w:val="single" w:color="000000" w:sz="4" w:space="0"/>
              <w:bottom w:val="single" w:color="000000" w:sz="4" w:space="0"/>
              <w:right w:val="single" w:color="000000" w:sz="4" w:space="0"/>
            </w:tcBorders>
            <w:noWrap w:val="0"/>
          </w:tcPr>
          <w:p w14:paraId="1F79CA61">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《房间空气调节器能效限定值及能效等级》（GB21455-2019）</w:t>
            </w:r>
          </w:p>
        </w:tc>
      </w:tr>
      <w:tr w14:paraId="69C07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90FA7F">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95B1E6">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93E1B8">
            <w:pPr>
              <w:widowControl/>
              <w:jc w:val="left"/>
              <w:rPr>
                <w:rFonts w:ascii="宋体" w:hAnsi="宋体" w:cs="宋体"/>
                <w:color w:val="000000" w:themeColor="text1"/>
                <w:szCs w:val="21"/>
                <w:highlight w:val="none"/>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32CD90E0">
            <w:pPr>
              <w:pStyle w:val="300"/>
              <w:spacing w:before="4" w:line="276" w:lineRule="auto"/>
              <w:ind w:left="7" w:right="7"/>
              <w:jc w:val="center"/>
              <w:rPr>
                <w:rFonts w:ascii="宋体" w:hAnsi="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多联式空调（热泵）机组（制冷量≤ 14000W）</w:t>
            </w:r>
          </w:p>
        </w:tc>
        <w:tc>
          <w:tcPr>
            <w:tcW w:w="3452" w:type="dxa"/>
            <w:tcBorders>
              <w:top w:val="single" w:color="000000" w:sz="4" w:space="0"/>
              <w:left w:val="single" w:color="000000" w:sz="4" w:space="0"/>
              <w:bottom w:val="single" w:color="000000" w:sz="4" w:space="0"/>
              <w:right w:val="single" w:color="000000" w:sz="4" w:space="0"/>
            </w:tcBorders>
            <w:noWrap w:val="0"/>
          </w:tcPr>
          <w:p w14:paraId="786A52BA">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《多联式空调（热泵）机组能效限定值及能源效率等级》（GB21454）</w:t>
            </w:r>
          </w:p>
        </w:tc>
      </w:tr>
      <w:tr w14:paraId="29A83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301A55">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C1C697A">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97D2A3">
            <w:pPr>
              <w:widowControl/>
              <w:jc w:val="left"/>
              <w:rPr>
                <w:rFonts w:ascii="宋体" w:hAnsi="宋体" w:cs="宋体"/>
                <w:color w:val="000000" w:themeColor="text1"/>
                <w:szCs w:val="21"/>
                <w:highlight w:val="none"/>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6E0C8AF8">
            <w:pPr>
              <w:pStyle w:val="300"/>
              <w:jc w:val="center"/>
              <w:rPr>
                <w:rFonts w:ascii="宋体" w:hAnsi="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单元式空气调节机（制冷量≤ 14000W）</w:t>
            </w:r>
          </w:p>
        </w:tc>
        <w:tc>
          <w:tcPr>
            <w:tcW w:w="3452" w:type="dxa"/>
            <w:tcBorders>
              <w:top w:val="single" w:color="000000" w:sz="4" w:space="0"/>
              <w:left w:val="single" w:color="000000" w:sz="4" w:space="0"/>
              <w:bottom w:val="single" w:color="000000" w:sz="4" w:space="0"/>
              <w:right w:val="single" w:color="000000" w:sz="4" w:space="0"/>
            </w:tcBorders>
            <w:noWrap w:val="0"/>
          </w:tcPr>
          <w:p w14:paraId="1A70C097">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《单元式空气调节机能效限定值及能源效率等级》（GB19576）《风管送风式空调机组能效限定值及能效等级》（GB37479）</w:t>
            </w:r>
          </w:p>
        </w:tc>
      </w:tr>
      <w:tr w14:paraId="4BA1A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70F70A">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8748C63">
            <w:pPr>
              <w:widowControl/>
              <w:jc w:val="left"/>
              <w:rPr>
                <w:rFonts w:ascii="宋体" w:hAnsi="宋体" w:cs="宋体"/>
                <w:color w:val="000000" w:themeColor="text1"/>
                <w:szCs w:val="21"/>
                <w:highlight w:val="none"/>
                <w14:textFill>
                  <w14:solidFill>
                    <w14:schemeClr w14:val="tx1"/>
                  </w14:solidFill>
                </w14:textFill>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3662DCED">
            <w:pPr>
              <w:pStyle w:val="300"/>
              <w:spacing w:before="162"/>
              <w:ind w:left="7"/>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仿宋_GB2312"/>
                <w:color w:val="000000" w:themeColor="text1"/>
                <w:sz w:val="21"/>
                <w:szCs w:val="21"/>
                <w:highlight w:val="none"/>
                <w14:textFill>
                  <w14:solidFill>
                    <w14:schemeClr w14:val="tx1"/>
                  </w14:solidFill>
                </w14:textFill>
              </w:rPr>
              <w:t>A02061810</w:t>
            </w:r>
            <w:r>
              <w:rPr>
                <w:rFonts w:hint="eastAsia" w:ascii="宋体" w:hAnsi="宋体" w:cs="宋体"/>
                <w:color w:val="000000" w:themeColor="text1"/>
                <w:sz w:val="21"/>
                <w:szCs w:val="21"/>
                <w:highlight w:val="none"/>
                <w14:textFill>
                  <w14:solidFill>
                    <w14:schemeClr w14:val="tx1"/>
                  </w14:solidFill>
                </w14:textFill>
              </w:rPr>
              <w:t>洗衣机</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401EE7BA">
            <w:pPr>
              <w:jc w:val="center"/>
              <w:rPr>
                <w:rFonts w:ascii="宋体" w:hAnsi="宋体"/>
                <w:color w:val="000000" w:themeColor="text1"/>
                <w:szCs w:val="21"/>
                <w:highlight w:val="none"/>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noWrap w:val="0"/>
          </w:tcPr>
          <w:p w14:paraId="48386034">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《电动洗衣机能效水效限定值及等级》（GB12021.4）</w:t>
            </w:r>
          </w:p>
        </w:tc>
      </w:tr>
      <w:tr w14:paraId="55021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5A3C1C">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F5F59BE">
            <w:pPr>
              <w:widowControl/>
              <w:jc w:val="left"/>
              <w:rPr>
                <w:rFonts w:ascii="宋体" w:hAnsi="宋体" w:cs="宋体"/>
                <w:color w:val="000000" w:themeColor="text1"/>
                <w:szCs w:val="21"/>
                <w:highlight w:val="none"/>
                <w14:textFill>
                  <w14:solidFill>
                    <w14:schemeClr w14:val="tx1"/>
                  </w14:solidFill>
                </w14:textFill>
              </w:rPr>
            </w:pPr>
          </w:p>
        </w:tc>
        <w:tc>
          <w:tcPr>
            <w:tcW w:w="1496" w:type="dxa"/>
            <w:vMerge w:val="restart"/>
            <w:tcBorders>
              <w:top w:val="single" w:color="000000" w:sz="4" w:space="0"/>
              <w:left w:val="single" w:color="000000" w:sz="4" w:space="0"/>
              <w:bottom w:val="single" w:color="000000" w:sz="4" w:space="0"/>
              <w:right w:val="single" w:color="000000" w:sz="4" w:space="0"/>
            </w:tcBorders>
            <w:noWrap w:val="0"/>
            <w:vAlign w:val="center"/>
          </w:tcPr>
          <w:p w14:paraId="5C486BD6">
            <w:pPr>
              <w:pStyle w:val="300"/>
              <w:spacing w:before="161"/>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仿宋_GB2312"/>
                <w:color w:val="000000" w:themeColor="text1"/>
                <w:sz w:val="21"/>
                <w:szCs w:val="21"/>
                <w:highlight w:val="none"/>
                <w14:textFill>
                  <w14:solidFill>
                    <w14:schemeClr w14:val="tx1"/>
                  </w14:solidFill>
                </w14:textFill>
              </w:rPr>
              <w:t>A02061819</w:t>
            </w:r>
            <w:r>
              <w:rPr>
                <w:rFonts w:hint="eastAsia" w:ascii="宋体" w:hAnsi="宋体" w:cs="宋体"/>
                <w:color w:val="000000" w:themeColor="text1"/>
                <w:sz w:val="21"/>
                <w:szCs w:val="21"/>
                <w:highlight w:val="none"/>
                <w14:textFill>
                  <w14:solidFill>
                    <w14:schemeClr w14:val="tx1"/>
                  </w14:solidFill>
                </w14:textFill>
              </w:rPr>
              <w:t>热水器</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308D43B7">
            <w:pPr>
              <w:pStyle w:val="300"/>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★电热</w:t>
            </w:r>
            <w:r>
              <w:rPr>
                <w:rFonts w:hint="eastAsia" w:ascii="宋体" w:hAnsi="宋体" w:cs="宋体"/>
                <w:color w:val="000000" w:themeColor="text1"/>
                <w:spacing w:val="2"/>
                <w:sz w:val="21"/>
                <w:szCs w:val="21"/>
                <w:highlight w:val="none"/>
                <w14:textFill>
                  <w14:solidFill>
                    <w14:schemeClr w14:val="tx1"/>
                  </w14:solidFill>
                </w14:textFill>
              </w:rPr>
              <w:t>水</w:t>
            </w:r>
            <w:r>
              <w:rPr>
                <w:rFonts w:hint="eastAsia" w:ascii="宋体" w:hAnsi="宋体" w:cs="宋体"/>
                <w:color w:val="000000" w:themeColor="text1"/>
                <w:sz w:val="21"/>
                <w:szCs w:val="21"/>
                <w:highlight w:val="none"/>
                <w14:textFill>
                  <w14:solidFill>
                    <w14:schemeClr w14:val="tx1"/>
                  </w14:solidFill>
                </w14:textFill>
              </w:rPr>
              <w:t>器</w:t>
            </w:r>
          </w:p>
        </w:tc>
        <w:tc>
          <w:tcPr>
            <w:tcW w:w="3452" w:type="dxa"/>
            <w:tcBorders>
              <w:top w:val="single" w:color="000000" w:sz="4" w:space="0"/>
              <w:left w:val="single" w:color="000000" w:sz="4" w:space="0"/>
              <w:bottom w:val="single" w:color="000000" w:sz="4" w:space="0"/>
              <w:right w:val="single" w:color="000000" w:sz="4" w:space="0"/>
            </w:tcBorders>
            <w:noWrap w:val="0"/>
          </w:tcPr>
          <w:p w14:paraId="6E401DDE">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《储水式电热水器能效限定值及能效等级》（GB21519）</w:t>
            </w:r>
          </w:p>
        </w:tc>
      </w:tr>
      <w:tr w14:paraId="43D71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C5DDE4C">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DA3216">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9B0C7B">
            <w:pPr>
              <w:widowControl/>
              <w:jc w:val="left"/>
              <w:rPr>
                <w:rFonts w:ascii="宋体" w:hAnsi="宋体" w:cs="宋体"/>
                <w:color w:val="000000" w:themeColor="text1"/>
                <w:szCs w:val="21"/>
                <w:highlight w:val="none"/>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41112ECC">
            <w:pPr>
              <w:pStyle w:val="300"/>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燃气热</w:t>
            </w:r>
            <w:r>
              <w:rPr>
                <w:rFonts w:hint="eastAsia" w:ascii="宋体" w:hAnsi="宋体" w:cs="宋体"/>
                <w:color w:val="000000" w:themeColor="text1"/>
                <w:spacing w:val="2"/>
                <w:sz w:val="21"/>
                <w:szCs w:val="21"/>
                <w:highlight w:val="none"/>
                <w14:textFill>
                  <w14:solidFill>
                    <w14:schemeClr w14:val="tx1"/>
                  </w14:solidFill>
                </w14:textFill>
              </w:rPr>
              <w:t>水</w:t>
            </w:r>
            <w:r>
              <w:rPr>
                <w:rFonts w:hint="eastAsia" w:ascii="宋体" w:hAnsi="宋体" w:cs="宋体"/>
                <w:color w:val="000000" w:themeColor="text1"/>
                <w:sz w:val="21"/>
                <w:szCs w:val="21"/>
                <w:highlight w:val="none"/>
                <w14:textFill>
                  <w14:solidFill>
                    <w14:schemeClr w14:val="tx1"/>
                  </w14:solidFill>
                </w14:textFill>
              </w:rPr>
              <w:t>器</w:t>
            </w:r>
          </w:p>
        </w:tc>
        <w:tc>
          <w:tcPr>
            <w:tcW w:w="3452" w:type="dxa"/>
            <w:tcBorders>
              <w:top w:val="single" w:color="000000" w:sz="4" w:space="0"/>
              <w:left w:val="single" w:color="000000" w:sz="4" w:space="0"/>
              <w:bottom w:val="single" w:color="000000" w:sz="4" w:space="0"/>
              <w:right w:val="single" w:color="000000" w:sz="4" w:space="0"/>
            </w:tcBorders>
            <w:noWrap w:val="0"/>
          </w:tcPr>
          <w:p w14:paraId="7585A6C5">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《家用燃气快速热水器和燃气采暖热水炉能效限定值及能效等级》（GB20665）</w:t>
            </w:r>
          </w:p>
        </w:tc>
      </w:tr>
      <w:tr w14:paraId="73876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023C96">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A580928">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96324B">
            <w:pPr>
              <w:widowControl/>
              <w:jc w:val="left"/>
              <w:rPr>
                <w:rFonts w:ascii="宋体" w:hAnsi="宋体" w:cs="宋体"/>
                <w:color w:val="000000" w:themeColor="text1"/>
                <w:szCs w:val="21"/>
                <w:highlight w:val="none"/>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76A6FD75">
            <w:pPr>
              <w:pStyle w:val="300"/>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热泵热</w:t>
            </w:r>
            <w:r>
              <w:rPr>
                <w:rFonts w:hint="eastAsia" w:ascii="宋体" w:hAnsi="宋体" w:cs="宋体"/>
                <w:color w:val="000000" w:themeColor="text1"/>
                <w:spacing w:val="2"/>
                <w:sz w:val="21"/>
                <w:szCs w:val="21"/>
                <w:highlight w:val="none"/>
                <w14:textFill>
                  <w14:solidFill>
                    <w14:schemeClr w14:val="tx1"/>
                  </w14:solidFill>
                </w14:textFill>
              </w:rPr>
              <w:t>水</w:t>
            </w:r>
            <w:r>
              <w:rPr>
                <w:rFonts w:hint="eastAsia" w:ascii="宋体" w:hAnsi="宋体" w:cs="宋体"/>
                <w:color w:val="000000" w:themeColor="text1"/>
                <w:sz w:val="21"/>
                <w:szCs w:val="21"/>
                <w:highlight w:val="none"/>
                <w14:textFill>
                  <w14:solidFill>
                    <w14:schemeClr w14:val="tx1"/>
                  </w14:solidFill>
                </w14:textFill>
              </w:rPr>
              <w:t>器</w:t>
            </w:r>
          </w:p>
        </w:tc>
        <w:tc>
          <w:tcPr>
            <w:tcW w:w="3452" w:type="dxa"/>
            <w:tcBorders>
              <w:top w:val="single" w:color="000000" w:sz="4" w:space="0"/>
              <w:left w:val="single" w:color="000000" w:sz="4" w:space="0"/>
              <w:bottom w:val="single" w:color="000000" w:sz="4" w:space="0"/>
              <w:right w:val="single" w:color="000000" w:sz="4" w:space="0"/>
            </w:tcBorders>
            <w:noWrap w:val="0"/>
          </w:tcPr>
          <w:p w14:paraId="08E83E3A">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《热泵热水机（器）能效限定值及能效等级》（GB29541）</w:t>
            </w:r>
          </w:p>
        </w:tc>
      </w:tr>
      <w:tr w14:paraId="0BA0C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D5ECDB">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A36CC5">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E471E5">
            <w:pPr>
              <w:widowControl/>
              <w:jc w:val="left"/>
              <w:rPr>
                <w:rFonts w:ascii="宋体" w:hAnsi="宋体" w:cs="宋体"/>
                <w:color w:val="000000" w:themeColor="text1"/>
                <w:szCs w:val="21"/>
                <w:highlight w:val="none"/>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744ABECC">
            <w:pPr>
              <w:pStyle w:val="300"/>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太阳能</w:t>
            </w:r>
            <w:r>
              <w:rPr>
                <w:rFonts w:hint="eastAsia" w:ascii="宋体" w:hAnsi="宋体" w:cs="宋体"/>
                <w:color w:val="000000" w:themeColor="text1"/>
                <w:spacing w:val="2"/>
                <w:sz w:val="21"/>
                <w:szCs w:val="21"/>
                <w:highlight w:val="none"/>
                <w14:textFill>
                  <w14:solidFill>
                    <w14:schemeClr w14:val="tx1"/>
                  </w14:solidFill>
                </w14:textFill>
              </w:rPr>
              <w:t>热</w:t>
            </w:r>
            <w:r>
              <w:rPr>
                <w:rFonts w:hint="eastAsia" w:ascii="宋体" w:hAnsi="宋体" w:cs="宋体"/>
                <w:color w:val="000000" w:themeColor="text1"/>
                <w:sz w:val="21"/>
                <w:szCs w:val="21"/>
                <w:highlight w:val="none"/>
                <w14:textFill>
                  <w14:solidFill>
                    <w14:schemeClr w14:val="tx1"/>
                  </w14:solidFill>
                </w14:textFill>
              </w:rPr>
              <w:t>水系统</w:t>
            </w:r>
          </w:p>
        </w:tc>
        <w:tc>
          <w:tcPr>
            <w:tcW w:w="3452" w:type="dxa"/>
            <w:tcBorders>
              <w:top w:val="single" w:color="000000" w:sz="4" w:space="0"/>
              <w:left w:val="single" w:color="000000" w:sz="4" w:space="0"/>
              <w:bottom w:val="single" w:color="000000" w:sz="4" w:space="0"/>
              <w:right w:val="single" w:color="000000" w:sz="4" w:space="0"/>
            </w:tcBorders>
            <w:noWrap w:val="0"/>
          </w:tcPr>
          <w:p w14:paraId="464D04D2">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《家用太阳能热水系统能效限定值及能效等级》（GB26969）</w:t>
            </w:r>
          </w:p>
        </w:tc>
      </w:tr>
      <w:tr w14:paraId="7F67E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noWrap w:val="0"/>
            <w:vAlign w:val="center"/>
          </w:tcPr>
          <w:p w14:paraId="704EFC80">
            <w:pPr>
              <w:pStyle w:val="300"/>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olor w:val="000000" w:themeColor="text1"/>
                <w:spacing w:val="1"/>
                <w:sz w:val="21"/>
                <w:szCs w:val="21"/>
                <w:highlight w:val="none"/>
                <w14:textFill>
                  <w14:solidFill>
                    <w14:schemeClr w14:val="tx1"/>
                  </w14:solidFill>
                </w14:textFill>
              </w:rPr>
              <w:t>1</w:t>
            </w:r>
            <w:r>
              <w:rPr>
                <w:rFonts w:hint="eastAsia" w:ascii="宋体" w:hAnsi="宋体"/>
                <w:color w:val="000000" w:themeColor="text1"/>
                <w:sz w:val="21"/>
                <w:szCs w:val="21"/>
                <w:highlight w:val="none"/>
                <w14:textFill>
                  <w14:solidFill>
                    <w14:schemeClr w14:val="tx1"/>
                  </w14:solidFill>
                </w14:textFill>
              </w:rPr>
              <w:t>1</w:t>
            </w:r>
          </w:p>
        </w:tc>
        <w:tc>
          <w:tcPr>
            <w:tcW w:w="1422" w:type="dxa"/>
            <w:vMerge w:val="restart"/>
            <w:tcBorders>
              <w:top w:val="single" w:color="000000" w:sz="4" w:space="0"/>
              <w:left w:val="single" w:color="000000" w:sz="4" w:space="0"/>
              <w:bottom w:val="single" w:color="000000" w:sz="4" w:space="0"/>
              <w:right w:val="single" w:color="000000" w:sz="4" w:space="0"/>
            </w:tcBorders>
            <w:noWrap w:val="0"/>
            <w:vAlign w:val="center"/>
          </w:tcPr>
          <w:p w14:paraId="5FE7F290">
            <w:pPr>
              <w:pStyle w:val="300"/>
              <w:spacing w:before="157"/>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pacing w:val="1"/>
                <w:sz w:val="21"/>
                <w:szCs w:val="21"/>
                <w:highlight w:val="none"/>
                <w14:textFill>
                  <w14:solidFill>
                    <w14:schemeClr w14:val="tx1"/>
                  </w14:solidFill>
                </w14:textFill>
              </w:rPr>
              <w:t>A02</w:t>
            </w:r>
            <w:r>
              <w:rPr>
                <w:rFonts w:hint="eastAsia" w:ascii="宋体" w:hAnsi="宋体" w:cs="宋体"/>
                <w:color w:val="000000" w:themeColor="text1"/>
                <w:sz w:val="21"/>
                <w:szCs w:val="21"/>
                <w:highlight w:val="none"/>
                <w14:textFill>
                  <w14:solidFill>
                    <w14:schemeClr w14:val="tx1"/>
                  </w14:solidFill>
                </w14:textFill>
              </w:rPr>
              <w:t>06</w:t>
            </w:r>
            <w:r>
              <w:rPr>
                <w:rFonts w:hint="eastAsia" w:ascii="宋体" w:hAnsi="宋体" w:cs="宋体"/>
                <w:color w:val="000000" w:themeColor="text1"/>
                <w:spacing w:val="1"/>
                <w:sz w:val="21"/>
                <w:szCs w:val="21"/>
                <w:highlight w:val="none"/>
                <w14:textFill>
                  <w14:solidFill>
                    <w14:schemeClr w14:val="tx1"/>
                  </w14:solidFill>
                </w14:textFill>
              </w:rPr>
              <w:t>1</w:t>
            </w:r>
            <w:r>
              <w:rPr>
                <w:rFonts w:hint="eastAsia" w:ascii="宋体" w:hAnsi="宋体" w:cs="宋体"/>
                <w:color w:val="000000" w:themeColor="text1"/>
                <w:sz w:val="21"/>
                <w:szCs w:val="21"/>
                <w:highlight w:val="none"/>
                <w14:textFill>
                  <w14:solidFill>
                    <w14:schemeClr w14:val="tx1"/>
                  </w14:solidFill>
                </w14:textFill>
              </w:rPr>
              <w:t>900照明设备</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0A2316BB">
            <w:pPr>
              <w:pStyle w:val="300"/>
              <w:spacing w:before="133" w:line="276" w:lineRule="auto"/>
              <w:ind w:left="7" w:right="7"/>
              <w:jc w:val="center"/>
              <w:rPr>
                <w:rFonts w:ascii="宋体" w:hAnsi="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★普通照明用双端荧光灯</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28A424A5">
            <w:pPr>
              <w:jc w:val="center"/>
              <w:rPr>
                <w:rFonts w:ascii="宋体" w:hAnsi="宋体"/>
                <w:color w:val="000000" w:themeColor="text1"/>
                <w:szCs w:val="21"/>
                <w:highlight w:val="none"/>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noWrap w:val="0"/>
          </w:tcPr>
          <w:p w14:paraId="59FB6CB1">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《普通照明用双端荧光灯能效限定值及能效等级》（GB19043）</w:t>
            </w:r>
          </w:p>
        </w:tc>
      </w:tr>
      <w:tr w14:paraId="10902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A9F025">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C3A92D">
            <w:pPr>
              <w:widowControl/>
              <w:jc w:val="left"/>
              <w:rPr>
                <w:rFonts w:ascii="宋体" w:hAnsi="宋体" w:cs="宋体"/>
                <w:color w:val="000000" w:themeColor="text1"/>
                <w:szCs w:val="21"/>
                <w:highlight w:val="none"/>
                <w14:textFill>
                  <w14:solidFill>
                    <w14:schemeClr w14:val="tx1"/>
                  </w14:solidFill>
                </w14:textFill>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207B5E67">
            <w:pPr>
              <w:pStyle w:val="300"/>
              <w:spacing w:before="92" w:line="276" w:lineRule="auto"/>
              <w:ind w:left="7" w:right="2"/>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pacing w:val="1"/>
                <w:sz w:val="21"/>
                <w:szCs w:val="21"/>
                <w:highlight w:val="none"/>
                <w14:textFill>
                  <w14:solidFill>
                    <w14:schemeClr w14:val="tx1"/>
                  </w14:solidFill>
                </w14:textFill>
              </w:rPr>
              <w:t>LE</w:t>
            </w:r>
            <w:r>
              <w:rPr>
                <w:rFonts w:hint="eastAsia" w:ascii="宋体" w:hAnsi="宋体" w:cs="宋体"/>
                <w:color w:val="000000" w:themeColor="text1"/>
                <w:sz w:val="21"/>
                <w:szCs w:val="21"/>
                <w:highlight w:val="none"/>
                <w14:textFill>
                  <w14:solidFill>
                    <w14:schemeClr w14:val="tx1"/>
                  </w14:solidFill>
                </w14:textFill>
              </w:rPr>
              <w:t>D</w:t>
            </w:r>
            <w:r>
              <w:rPr>
                <w:rFonts w:hint="eastAsia" w:ascii="宋体" w:hAnsi="宋体" w:cs="宋体"/>
                <w:color w:val="000000" w:themeColor="text1"/>
                <w:spacing w:val="12"/>
                <w:sz w:val="21"/>
                <w:szCs w:val="21"/>
                <w:highlight w:val="none"/>
                <w14:textFill>
                  <w14:solidFill>
                    <w14:schemeClr w14:val="tx1"/>
                  </w14:solidFill>
                </w14:textFill>
              </w:rPr>
              <w:t>道</w:t>
            </w:r>
            <w:r>
              <w:rPr>
                <w:rFonts w:hint="eastAsia" w:ascii="宋体" w:hAnsi="宋体" w:cs="宋体"/>
                <w:color w:val="000000" w:themeColor="text1"/>
                <w:spacing w:val="9"/>
                <w:sz w:val="21"/>
                <w:szCs w:val="21"/>
                <w:highlight w:val="none"/>
                <w14:textFill>
                  <w14:solidFill>
                    <w14:schemeClr w14:val="tx1"/>
                  </w14:solidFill>
                </w14:textFill>
              </w:rPr>
              <w:t>路</w:t>
            </w:r>
            <w:r>
              <w:rPr>
                <w:rFonts w:hint="eastAsia" w:ascii="宋体" w:hAnsi="宋体" w:cs="宋体"/>
                <w:color w:val="000000" w:themeColor="text1"/>
                <w:spacing w:val="13"/>
                <w:sz w:val="21"/>
                <w:szCs w:val="21"/>
                <w:highlight w:val="none"/>
                <w14:textFill>
                  <w14:solidFill>
                    <w14:schemeClr w14:val="tx1"/>
                  </w14:solidFill>
                </w14:textFill>
              </w:rPr>
              <w:t>/</w:t>
            </w:r>
            <w:r>
              <w:rPr>
                <w:rFonts w:hint="eastAsia" w:ascii="宋体" w:hAnsi="宋体" w:cs="宋体"/>
                <w:color w:val="000000" w:themeColor="text1"/>
                <w:spacing w:val="12"/>
                <w:sz w:val="21"/>
                <w:szCs w:val="21"/>
                <w:highlight w:val="none"/>
                <w14:textFill>
                  <w14:solidFill>
                    <w14:schemeClr w14:val="tx1"/>
                  </w14:solidFill>
                </w14:textFill>
              </w:rPr>
              <w:t>隧道照</w:t>
            </w:r>
            <w:r>
              <w:rPr>
                <w:rFonts w:hint="eastAsia" w:ascii="宋体" w:hAnsi="宋体" w:cs="宋体"/>
                <w:color w:val="000000" w:themeColor="text1"/>
                <w:sz w:val="21"/>
                <w:szCs w:val="21"/>
                <w:highlight w:val="none"/>
                <w14:textFill>
                  <w14:solidFill>
                    <w14:schemeClr w14:val="tx1"/>
                  </w14:solidFill>
                </w14:textFill>
              </w:rPr>
              <w:t>明产品</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377C2517">
            <w:pPr>
              <w:jc w:val="center"/>
              <w:rPr>
                <w:rFonts w:ascii="宋体" w:hAnsi="宋体"/>
                <w:color w:val="000000" w:themeColor="text1"/>
                <w:szCs w:val="21"/>
                <w:highlight w:val="none"/>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noWrap w:val="0"/>
          </w:tcPr>
          <w:p w14:paraId="0849D8E1">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《道路和隧道照明用LED灯具能效限定值及能效等级》（GB37478</w:t>
            </w:r>
            <w:r>
              <w:rPr>
                <w:rFonts w:ascii="宋体" w:hAnsi="宋体" w:cs="宋体"/>
                <w:color w:val="000000" w:themeColor="text1"/>
                <w:spacing w:val="10"/>
                <w:sz w:val="21"/>
                <w:szCs w:val="21"/>
                <w:highlight w:val="none"/>
                <w:lang w:eastAsia="zh-CN"/>
                <w14:textFill>
                  <w14:solidFill>
                    <w14:schemeClr w14:val="tx1"/>
                  </w14:solidFill>
                </w14:textFill>
              </w:rPr>
              <w:t>）</w:t>
            </w:r>
          </w:p>
        </w:tc>
      </w:tr>
      <w:tr w14:paraId="5EC18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60912A">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D98461">
            <w:pPr>
              <w:widowControl/>
              <w:jc w:val="left"/>
              <w:rPr>
                <w:rFonts w:ascii="宋体" w:hAnsi="宋体" w:cs="宋体"/>
                <w:color w:val="000000" w:themeColor="text1"/>
                <w:szCs w:val="21"/>
                <w:highlight w:val="none"/>
                <w14:textFill>
                  <w14:solidFill>
                    <w14:schemeClr w14:val="tx1"/>
                  </w14:solidFill>
                </w14:textFill>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41B0EA1D">
            <w:pPr>
              <w:pStyle w:val="300"/>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pacing w:val="1"/>
                <w:sz w:val="21"/>
                <w:szCs w:val="21"/>
                <w:highlight w:val="none"/>
                <w14:textFill>
                  <w14:solidFill>
                    <w14:schemeClr w14:val="tx1"/>
                  </w14:solidFill>
                </w14:textFill>
              </w:rPr>
              <w:t>LE</w:t>
            </w:r>
            <w:r>
              <w:rPr>
                <w:rFonts w:hint="eastAsia" w:ascii="宋体" w:hAnsi="宋体" w:cs="宋体"/>
                <w:color w:val="000000" w:themeColor="text1"/>
                <w:sz w:val="21"/>
                <w:szCs w:val="21"/>
                <w:highlight w:val="none"/>
                <w14:textFill>
                  <w14:solidFill>
                    <w14:schemeClr w14:val="tx1"/>
                  </w14:solidFill>
                </w14:textFill>
              </w:rPr>
              <w:t>D筒灯</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48858433">
            <w:pPr>
              <w:jc w:val="center"/>
              <w:rPr>
                <w:rFonts w:ascii="宋体" w:hAnsi="宋体"/>
                <w:color w:val="000000" w:themeColor="text1"/>
                <w:szCs w:val="21"/>
                <w:highlight w:val="none"/>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noWrap w:val="0"/>
          </w:tcPr>
          <w:p w14:paraId="2E66948B">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《室内照明用LED产品能效限定值及能效等级》（GB30255）</w:t>
            </w:r>
          </w:p>
        </w:tc>
      </w:tr>
      <w:tr w14:paraId="3F8D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AE22BA">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E0C212">
            <w:pPr>
              <w:widowControl/>
              <w:jc w:val="left"/>
              <w:rPr>
                <w:rFonts w:ascii="宋体" w:hAnsi="宋体" w:cs="宋体"/>
                <w:color w:val="000000" w:themeColor="text1"/>
                <w:szCs w:val="21"/>
                <w:highlight w:val="none"/>
                <w14:textFill>
                  <w14:solidFill>
                    <w14:schemeClr w14:val="tx1"/>
                  </w14:solidFill>
                </w14:textFill>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1F1B8B38">
            <w:pPr>
              <w:pStyle w:val="300"/>
              <w:spacing w:line="276" w:lineRule="auto"/>
              <w:ind w:right="7"/>
              <w:jc w:val="center"/>
              <w:rPr>
                <w:rFonts w:ascii="宋体" w:hAnsi="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普</w:t>
            </w:r>
            <w:r>
              <w:rPr>
                <w:rFonts w:hint="eastAsia" w:ascii="宋体" w:hAnsi="宋体" w:cs="宋体"/>
                <w:color w:val="000000" w:themeColor="text1"/>
                <w:spacing w:val="24"/>
                <w:sz w:val="21"/>
                <w:szCs w:val="21"/>
                <w:highlight w:val="none"/>
                <w:lang w:eastAsia="zh-CN"/>
                <w14:textFill>
                  <w14:solidFill>
                    <w14:schemeClr w14:val="tx1"/>
                  </w14:solidFill>
                </w14:textFill>
              </w:rPr>
              <w:t>通</w:t>
            </w:r>
            <w:r>
              <w:rPr>
                <w:rFonts w:hint="eastAsia" w:ascii="宋体" w:hAnsi="宋体" w:cs="宋体"/>
                <w:color w:val="000000" w:themeColor="text1"/>
                <w:sz w:val="21"/>
                <w:szCs w:val="21"/>
                <w:highlight w:val="none"/>
                <w:lang w:eastAsia="zh-CN"/>
                <w14:textFill>
                  <w14:solidFill>
                    <w14:schemeClr w14:val="tx1"/>
                  </w14:solidFill>
                </w14:textFill>
              </w:rPr>
              <w:t>照明用非</w:t>
            </w:r>
            <w:r>
              <w:rPr>
                <w:rFonts w:hint="eastAsia" w:ascii="宋体" w:hAnsi="宋体" w:cs="宋体"/>
                <w:color w:val="000000" w:themeColor="text1"/>
                <w:spacing w:val="24"/>
                <w:sz w:val="21"/>
                <w:szCs w:val="21"/>
                <w:highlight w:val="none"/>
                <w:lang w:eastAsia="zh-CN"/>
                <w14:textFill>
                  <w14:solidFill>
                    <w14:schemeClr w14:val="tx1"/>
                  </w14:solidFill>
                </w14:textFill>
              </w:rPr>
              <w:t>定</w:t>
            </w:r>
            <w:r>
              <w:rPr>
                <w:rFonts w:hint="eastAsia" w:ascii="宋体" w:hAnsi="宋体" w:cs="宋体"/>
                <w:color w:val="000000" w:themeColor="text1"/>
                <w:sz w:val="21"/>
                <w:szCs w:val="21"/>
                <w:highlight w:val="none"/>
                <w:lang w:eastAsia="zh-CN"/>
                <w14:textFill>
                  <w14:solidFill>
                    <w14:schemeClr w14:val="tx1"/>
                  </w14:solidFill>
                </w14:textFill>
              </w:rPr>
              <w:t>向自镇流</w:t>
            </w:r>
            <w:r>
              <w:rPr>
                <w:rFonts w:hint="eastAsia" w:ascii="宋体" w:hAnsi="宋体" w:cs="宋体"/>
                <w:color w:val="000000" w:themeColor="text1"/>
                <w:spacing w:val="1"/>
                <w:sz w:val="21"/>
                <w:szCs w:val="21"/>
                <w:highlight w:val="none"/>
                <w:lang w:eastAsia="zh-CN"/>
                <w14:textFill>
                  <w14:solidFill>
                    <w14:schemeClr w14:val="tx1"/>
                  </w14:solidFill>
                </w14:textFill>
              </w:rPr>
              <w:t>LE</w:t>
            </w:r>
            <w:r>
              <w:rPr>
                <w:rFonts w:hint="eastAsia" w:ascii="宋体" w:hAnsi="宋体" w:cs="宋体"/>
                <w:color w:val="000000" w:themeColor="text1"/>
                <w:sz w:val="21"/>
                <w:szCs w:val="21"/>
                <w:highlight w:val="none"/>
                <w:lang w:eastAsia="zh-CN"/>
                <w14:textFill>
                  <w14:solidFill>
                    <w14:schemeClr w14:val="tx1"/>
                  </w14:solidFill>
                </w14:textFill>
              </w:rPr>
              <w:t>D灯</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22280ABB">
            <w:pPr>
              <w:jc w:val="center"/>
              <w:rPr>
                <w:rFonts w:ascii="宋体" w:hAnsi="宋体"/>
                <w:color w:val="000000" w:themeColor="text1"/>
                <w:szCs w:val="21"/>
                <w:highlight w:val="none"/>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noWrap w:val="0"/>
          </w:tcPr>
          <w:p w14:paraId="056E1A6D">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《室内照明用LED产品能效限定值及能效等级》（GB30255）</w:t>
            </w:r>
          </w:p>
        </w:tc>
      </w:tr>
      <w:tr w14:paraId="1F991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noWrap w:val="0"/>
            <w:vAlign w:val="center"/>
          </w:tcPr>
          <w:p w14:paraId="3920D645">
            <w:pPr>
              <w:pStyle w:val="300"/>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olor w:val="000000" w:themeColor="text1"/>
                <w:spacing w:val="1"/>
                <w:sz w:val="21"/>
                <w:szCs w:val="21"/>
                <w:highlight w:val="none"/>
                <w14:textFill>
                  <w14:solidFill>
                    <w14:schemeClr w14:val="tx1"/>
                  </w14:solidFill>
                </w14:textFill>
              </w:rPr>
              <w:t>1</w:t>
            </w:r>
            <w:r>
              <w:rPr>
                <w:rFonts w:hint="eastAsia" w:ascii="宋体" w:hAnsi="宋体"/>
                <w:color w:val="000000" w:themeColor="text1"/>
                <w:sz w:val="21"/>
                <w:szCs w:val="21"/>
                <w:highlight w:val="none"/>
                <w14:textFill>
                  <w14:solidFill>
                    <w14:schemeClr w14:val="tx1"/>
                  </w14:solidFill>
                </w14:textFill>
              </w:rPr>
              <w:t>2</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41007F06">
            <w:pPr>
              <w:pStyle w:val="300"/>
              <w:spacing w:before="81"/>
              <w:ind w:left="7"/>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w:t>
            </w:r>
            <w:r>
              <w:rPr>
                <w:rFonts w:hint="eastAsia" w:ascii="宋体" w:hAnsi="宋体" w:cs="宋体"/>
                <w:color w:val="000000" w:themeColor="text1"/>
                <w:spacing w:val="1"/>
                <w:sz w:val="21"/>
                <w:szCs w:val="21"/>
                <w:highlight w:val="none"/>
                <w14:textFill>
                  <w14:solidFill>
                    <w14:schemeClr w14:val="tx1"/>
                  </w14:solidFill>
                </w14:textFill>
              </w:rPr>
              <w:t>A020</w:t>
            </w:r>
            <w:r>
              <w:rPr>
                <w:rFonts w:hint="eastAsia" w:ascii="宋体" w:hAnsi="宋体" w:cs="宋体"/>
                <w:color w:val="000000" w:themeColor="text1"/>
                <w:sz w:val="21"/>
                <w:szCs w:val="21"/>
                <w:highlight w:val="none"/>
                <w14:textFill>
                  <w14:solidFill>
                    <w14:schemeClr w14:val="tx1"/>
                  </w14:solidFill>
                </w14:textFill>
              </w:rPr>
              <w:t>91000电视设备</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182123CC">
            <w:pPr>
              <w:pStyle w:val="300"/>
              <w:spacing w:before="81" w:line="276" w:lineRule="auto"/>
              <w:ind w:left="7" w:right="5"/>
              <w:jc w:val="center"/>
              <w:rPr>
                <w:rFonts w:ascii="宋体" w:hAnsi="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pacing w:val="1"/>
                <w:sz w:val="21"/>
                <w:szCs w:val="21"/>
                <w:highlight w:val="none"/>
                <w:lang w:eastAsia="zh-CN"/>
                <w14:textFill>
                  <w14:solidFill>
                    <w14:schemeClr w14:val="tx1"/>
                  </w14:solidFill>
                </w14:textFill>
              </w:rPr>
              <w:t>A02</w:t>
            </w:r>
            <w:r>
              <w:rPr>
                <w:rFonts w:hint="eastAsia" w:ascii="宋体" w:hAnsi="宋体" w:cs="宋体"/>
                <w:color w:val="000000" w:themeColor="text1"/>
                <w:sz w:val="21"/>
                <w:szCs w:val="21"/>
                <w:highlight w:val="none"/>
                <w:lang w:eastAsia="zh-CN"/>
                <w14:textFill>
                  <w14:solidFill>
                    <w14:schemeClr w14:val="tx1"/>
                  </w14:solidFill>
                </w14:textFill>
              </w:rPr>
              <w:t>09</w:t>
            </w:r>
            <w:r>
              <w:rPr>
                <w:rFonts w:hint="eastAsia" w:ascii="宋体" w:hAnsi="宋体" w:cs="宋体"/>
                <w:color w:val="000000" w:themeColor="text1"/>
                <w:spacing w:val="1"/>
                <w:sz w:val="21"/>
                <w:szCs w:val="21"/>
                <w:highlight w:val="none"/>
                <w:lang w:eastAsia="zh-CN"/>
                <w14:textFill>
                  <w14:solidFill>
                    <w14:schemeClr w14:val="tx1"/>
                  </w14:solidFill>
                </w14:textFill>
              </w:rPr>
              <w:t>1</w:t>
            </w:r>
            <w:r>
              <w:rPr>
                <w:rFonts w:hint="eastAsia" w:ascii="宋体" w:hAnsi="宋体" w:cs="宋体"/>
                <w:color w:val="000000" w:themeColor="text1"/>
                <w:sz w:val="21"/>
                <w:szCs w:val="21"/>
                <w:highlight w:val="none"/>
                <w:lang w:eastAsia="zh-CN"/>
                <w14:textFill>
                  <w14:solidFill>
                    <w14:schemeClr w14:val="tx1"/>
                  </w14:solidFill>
                </w14:textFill>
              </w:rPr>
              <w:t>001普通电视设备（</w:t>
            </w:r>
            <w:r>
              <w:rPr>
                <w:rFonts w:hint="eastAsia" w:ascii="宋体" w:hAnsi="宋体" w:cs="宋体"/>
                <w:color w:val="000000" w:themeColor="text1"/>
                <w:spacing w:val="2"/>
                <w:sz w:val="21"/>
                <w:szCs w:val="21"/>
                <w:highlight w:val="none"/>
                <w:lang w:eastAsia="zh-CN"/>
                <w14:textFill>
                  <w14:solidFill>
                    <w14:schemeClr w14:val="tx1"/>
                  </w14:solidFill>
                </w14:textFill>
              </w:rPr>
              <w:t>电</w:t>
            </w:r>
            <w:r>
              <w:rPr>
                <w:rFonts w:hint="eastAsia" w:ascii="宋体" w:hAnsi="宋体" w:cs="宋体"/>
                <w:color w:val="000000" w:themeColor="text1"/>
                <w:sz w:val="21"/>
                <w:szCs w:val="21"/>
                <w:highlight w:val="none"/>
                <w:lang w:eastAsia="zh-CN"/>
                <w14:textFill>
                  <w14:solidFill>
                    <w14:schemeClr w14:val="tx1"/>
                  </w14:solidFill>
                </w14:textFill>
              </w:rPr>
              <w:t>视机）</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09BB3F9D">
            <w:pPr>
              <w:jc w:val="center"/>
              <w:rPr>
                <w:rFonts w:ascii="宋体" w:hAnsi="宋体"/>
                <w:color w:val="000000" w:themeColor="text1"/>
                <w:szCs w:val="21"/>
                <w:highlight w:val="none"/>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noWrap w:val="0"/>
          </w:tcPr>
          <w:p w14:paraId="0340DC6D">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《平板电视能效限定值及能效等级》（GB24850）</w:t>
            </w:r>
          </w:p>
        </w:tc>
      </w:tr>
      <w:tr w14:paraId="20208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noWrap w:val="0"/>
            <w:vAlign w:val="center"/>
          </w:tcPr>
          <w:p w14:paraId="480E2F8B">
            <w:pPr>
              <w:pStyle w:val="300"/>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olor w:val="000000" w:themeColor="text1"/>
                <w:spacing w:val="1"/>
                <w:sz w:val="21"/>
                <w:szCs w:val="21"/>
                <w:highlight w:val="none"/>
                <w14:textFill>
                  <w14:solidFill>
                    <w14:schemeClr w14:val="tx1"/>
                  </w14:solidFill>
                </w14:textFill>
              </w:rPr>
              <w:t>1</w:t>
            </w:r>
            <w:r>
              <w:rPr>
                <w:rFonts w:hint="eastAsia" w:ascii="宋体" w:hAnsi="宋体"/>
                <w:color w:val="000000" w:themeColor="text1"/>
                <w:sz w:val="21"/>
                <w:szCs w:val="21"/>
                <w:highlight w:val="none"/>
                <w14:textFill>
                  <w14:solidFill>
                    <w14:schemeClr w14:val="tx1"/>
                  </w14:solidFill>
                </w14:textFill>
              </w:rPr>
              <w:t>3</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16E3FC37">
            <w:pPr>
              <w:pStyle w:val="300"/>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w:t>
            </w:r>
            <w:r>
              <w:rPr>
                <w:rFonts w:hint="eastAsia" w:ascii="宋体" w:hAnsi="宋体" w:cs="宋体"/>
                <w:color w:val="000000" w:themeColor="text1"/>
                <w:spacing w:val="1"/>
                <w:sz w:val="21"/>
                <w:szCs w:val="21"/>
                <w:highlight w:val="none"/>
                <w14:textFill>
                  <w14:solidFill>
                    <w14:schemeClr w14:val="tx1"/>
                  </w14:solidFill>
                </w14:textFill>
              </w:rPr>
              <w:t>A020</w:t>
            </w:r>
            <w:r>
              <w:rPr>
                <w:rFonts w:hint="eastAsia" w:ascii="宋体" w:hAnsi="宋体" w:cs="宋体"/>
                <w:color w:val="000000" w:themeColor="text1"/>
                <w:sz w:val="21"/>
                <w:szCs w:val="21"/>
                <w:highlight w:val="none"/>
                <w14:textFill>
                  <w14:solidFill>
                    <w14:schemeClr w14:val="tx1"/>
                  </w14:solidFill>
                </w14:textFill>
              </w:rPr>
              <w:t>91100视频设备</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6E87C945">
            <w:pPr>
              <w:pStyle w:val="300"/>
              <w:spacing w:line="276" w:lineRule="auto"/>
              <w:ind w:right="5"/>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pacing w:val="1"/>
                <w:sz w:val="21"/>
                <w:szCs w:val="21"/>
                <w:highlight w:val="none"/>
                <w14:textFill>
                  <w14:solidFill>
                    <w14:schemeClr w14:val="tx1"/>
                  </w14:solidFill>
                </w14:textFill>
              </w:rPr>
              <w:t>A02</w:t>
            </w:r>
            <w:r>
              <w:rPr>
                <w:rFonts w:hint="eastAsia" w:ascii="宋体" w:hAnsi="宋体" w:cs="宋体"/>
                <w:color w:val="000000" w:themeColor="text1"/>
                <w:sz w:val="21"/>
                <w:szCs w:val="21"/>
                <w:highlight w:val="none"/>
                <w14:textFill>
                  <w14:solidFill>
                    <w14:schemeClr w14:val="tx1"/>
                  </w14:solidFill>
                </w14:textFill>
              </w:rPr>
              <w:t>09</w:t>
            </w:r>
            <w:r>
              <w:rPr>
                <w:rFonts w:hint="eastAsia" w:ascii="宋体" w:hAnsi="宋体" w:cs="宋体"/>
                <w:color w:val="000000" w:themeColor="text1"/>
                <w:spacing w:val="1"/>
                <w:sz w:val="21"/>
                <w:szCs w:val="21"/>
                <w:highlight w:val="none"/>
                <w14:textFill>
                  <w14:solidFill>
                    <w14:schemeClr w14:val="tx1"/>
                  </w14:solidFill>
                </w14:textFill>
              </w:rPr>
              <w:t>1</w:t>
            </w:r>
            <w:r>
              <w:rPr>
                <w:rFonts w:hint="eastAsia" w:ascii="宋体" w:hAnsi="宋体" w:cs="宋体"/>
                <w:color w:val="000000" w:themeColor="text1"/>
                <w:sz w:val="21"/>
                <w:szCs w:val="21"/>
                <w:highlight w:val="none"/>
                <w14:textFill>
                  <w14:solidFill>
                    <w14:schemeClr w14:val="tx1"/>
                  </w14:solidFill>
                </w14:textFill>
              </w:rPr>
              <w:t>107视频监控设备</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7BAC6DD9">
            <w:pPr>
              <w:pStyle w:val="300"/>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监视器</w:t>
            </w:r>
          </w:p>
        </w:tc>
        <w:tc>
          <w:tcPr>
            <w:tcW w:w="3452" w:type="dxa"/>
            <w:tcBorders>
              <w:top w:val="single" w:color="000000" w:sz="4" w:space="0"/>
              <w:left w:val="single" w:color="000000" w:sz="4" w:space="0"/>
              <w:bottom w:val="single" w:color="000000" w:sz="4" w:space="0"/>
              <w:right w:val="single" w:color="000000" w:sz="4" w:space="0"/>
            </w:tcBorders>
            <w:noWrap w:val="0"/>
          </w:tcPr>
          <w:p w14:paraId="7A1C2A73">
            <w:pPr>
              <w:pStyle w:val="300"/>
              <w:spacing w:before="131" w:line="276" w:lineRule="auto"/>
              <w:ind w:left="7" w:right="4"/>
              <w:rPr>
                <w:rFonts w:ascii="宋体" w:hAnsi="宋体" w:cs="宋体"/>
                <w:color w:val="000000" w:themeColor="text1"/>
                <w:spacing w:val="10"/>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以射频信号为主要信号输入的监视器应符合《平板电视能效限定值及能效等级》（GB24850），以数字信号为主要信号输入的监视器应符合《计算机显示器能效限定值及能效等级》（GB21520）</w:t>
            </w:r>
          </w:p>
        </w:tc>
      </w:tr>
      <w:tr w14:paraId="734CF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noWrap w:val="0"/>
            <w:vAlign w:val="center"/>
          </w:tcPr>
          <w:p w14:paraId="738AB296">
            <w:pPr>
              <w:pStyle w:val="300"/>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olor w:val="000000" w:themeColor="text1"/>
                <w:spacing w:val="1"/>
                <w:sz w:val="21"/>
                <w:szCs w:val="21"/>
                <w:highlight w:val="none"/>
                <w14:textFill>
                  <w14:solidFill>
                    <w14:schemeClr w14:val="tx1"/>
                  </w14:solidFill>
                </w14:textFill>
              </w:rPr>
              <w:t>1</w:t>
            </w:r>
            <w:r>
              <w:rPr>
                <w:rFonts w:hint="eastAsia" w:ascii="宋体" w:hAnsi="宋体"/>
                <w:color w:val="000000" w:themeColor="text1"/>
                <w:sz w:val="21"/>
                <w:szCs w:val="21"/>
                <w:highlight w:val="none"/>
                <w14:textFill>
                  <w14:solidFill>
                    <w14:schemeClr w14:val="tx1"/>
                  </w14:solidFill>
                </w14:textFill>
              </w:rPr>
              <w:t>4</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7DFA66B3">
            <w:pPr>
              <w:pStyle w:val="300"/>
              <w:spacing w:before="76"/>
              <w:ind w:left="7"/>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仿宋_GB2312"/>
                <w:color w:val="000000" w:themeColor="text1"/>
                <w:sz w:val="21"/>
                <w:szCs w:val="21"/>
                <w:highlight w:val="none"/>
                <w14:textFill>
                  <w14:solidFill>
                    <w14:schemeClr w14:val="tx1"/>
                  </w14:solidFill>
                </w14:textFill>
              </w:rPr>
              <w:t>A02241000</w:t>
            </w:r>
            <w:r>
              <w:rPr>
                <w:rFonts w:hint="eastAsia" w:ascii="宋体" w:hAnsi="宋体" w:cs="宋体"/>
                <w:color w:val="000000" w:themeColor="text1"/>
                <w:sz w:val="21"/>
                <w:szCs w:val="21"/>
                <w:highlight w:val="none"/>
                <w14:textFill>
                  <w14:solidFill>
                    <w14:schemeClr w14:val="tx1"/>
                  </w14:solidFill>
                </w14:textFill>
              </w:rPr>
              <w:t>饮食炊事机械</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3B76A274">
            <w:pPr>
              <w:pStyle w:val="300"/>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商用燃</w:t>
            </w:r>
            <w:r>
              <w:rPr>
                <w:rFonts w:hint="eastAsia" w:ascii="宋体" w:hAnsi="宋体" w:cs="宋体"/>
                <w:color w:val="000000" w:themeColor="text1"/>
                <w:spacing w:val="2"/>
                <w:sz w:val="21"/>
                <w:szCs w:val="21"/>
                <w:highlight w:val="none"/>
                <w14:textFill>
                  <w14:solidFill>
                    <w14:schemeClr w14:val="tx1"/>
                  </w14:solidFill>
                </w14:textFill>
              </w:rPr>
              <w:t>气</w:t>
            </w:r>
            <w:r>
              <w:rPr>
                <w:rFonts w:hint="eastAsia" w:ascii="宋体" w:hAnsi="宋体" w:cs="宋体"/>
                <w:color w:val="000000" w:themeColor="text1"/>
                <w:sz w:val="21"/>
                <w:szCs w:val="21"/>
                <w:highlight w:val="none"/>
                <w14:textFill>
                  <w14:solidFill>
                    <w14:schemeClr w14:val="tx1"/>
                  </w14:solidFill>
                </w14:textFill>
              </w:rPr>
              <w:t>灶具</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2769F3E3">
            <w:pPr>
              <w:jc w:val="center"/>
              <w:rPr>
                <w:rFonts w:ascii="宋体" w:hAnsi="宋体"/>
                <w:color w:val="000000" w:themeColor="text1"/>
                <w:szCs w:val="21"/>
                <w:highlight w:val="none"/>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noWrap w:val="0"/>
          </w:tcPr>
          <w:p w14:paraId="1F81AFDF">
            <w:pPr>
              <w:pStyle w:val="300"/>
              <w:spacing w:before="131" w:line="276" w:lineRule="auto"/>
              <w:ind w:left="7" w:right="4"/>
              <w:rPr>
                <w:rFonts w:ascii="宋体" w:hAnsi="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《商用燃气灶具能效限定值及能效等级》（GB30531）</w:t>
            </w:r>
          </w:p>
        </w:tc>
      </w:tr>
      <w:tr w14:paraId="5C457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noWrap w:val="0"/>
            <w:vAlign w:val="center"/>
          </w:tcPr>
          <w:p w14:paraId="19277E26">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w:t>
            </w:r>
          </w:p>
        </w:tc>
        <w:tc>
          <w:tcPr>
            <w:tcW w:w="1422" w:type="dxa"/>
            <w:vMerge w:val="restart"/>
            <w:tcBorders>
              <w:top w:val="single" w:color="000000" w:sz="4" w:space="0"/>
              <w:left w:val="single" w:color="000000" w:sz="4" w:space="0"/>
              <w:bottom w:val="single" w:color="000000" w:sz="4" w:space="0"/>
              <w:right w:val="single" w:color="000000" w:sz="4" w:space="0"/>
            </w:tcBorders>
            <w:noWrap w:val="0"/>
            <w:vAlign w:val="center"/>
          </w:tcPr>
          <w:p w14:paraId="6F88A593">
            <w:pPr>
              <w:pStyle w:val="300"/>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w:t>
            </w:r>
            <w:r>
              <w:rPr>
                <w:rFonts w:hint="eastAsia" w:ascii="宋体" w:hAnsi="宋体" w:cs="仿宋_GB2312"/>
                <w:color w:val="000000" w:themeColor="text1"/>
                <w:sz w:val="21"/>
                <w:szCs w:val="21"/>
                <w:highlight w:val="none"/>
                <w14:textFill>
                  <w14:solidFill>
                    <w14:schemeClr w14:val="tx1"/>
                  </w14:solidFill>
                </w14:textFill>
              </w:rPr>
              <w:t>A05020105</w:t>
            </w:r>
            <w:r>
              <w:rPr>
                <w:rFonts w:hint="eastAsia" w:ascii="宋体" w:hAnsi="宋体" w:cs="宋体"/>
                <w:color w:val="000000" w:themeColor="text1"/>
                <w:sz w:val="21"/>
                <w:szCs w:val="21"/>
                <w:highlight w:val="none"/>
                <w14:textFill>
                  <w14:solidFill>
                    <w14:schemeClr w14:val="tx1"/>
                  </w14:solidFill>
                </w14:textFill>
              </w:rPr>
              <w:t>便器</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5717A8F8">
            <w:pPr>
              <w:pStyle w:val="300"/>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坐便器</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5708AB25">
            <w:pPr>
              <w:jc w:val="center"/>
              <w:rPr>
                <w:rFonts w:ascii="宋体" w:hAnsi="宋体"/>
                <w:color w:val="000000" w:themeColor="text1"/>
                <w:szCs w:val="21"/>
                <w:highlight w:val="none"/>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noWrap w:val="0"/>
          </w:tcPr>
          <w:p w14:paraId="43761C4A">
            <w:pPr>
              <w:pStyle w:val="300"/>
              <w:spacing w:before="131" w:line="276" w:lineRule="auto"/>
              <w:ind w:left="7" w:right="4"/>
              <w:rPr>
                <w:rFonts w:ascii="宋体" w:hAnsi="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《坐便器水效限定值及水效等级》</w:t>
            </w:r>
          </w:p>
          <w:p w14:paraId="0FF54B10">
            <w:pPr>
              <w:pStyle w:val="300"/>
              <w:spacing w:before="131" w:line="276" w:lineRule="auto"/>
              <w:ind w:left="7" w:right="4"/>
              <w:rPr>
                <w:rFonts w:ascii="宋体" w:hAnsi="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（GB25502）</w:t>
            </w:r>
          </w:p>
        </w:tc>
      </w:tr>
      <w:tr w14:paraId="272B8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426E9D4">
            <w:pPr>
              <w:widowControl/>
              <w:jc w:val="left"/>
              <w:rPr>
                <w:rFonts w:ascii="宋体" w:hAnsi="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4B541A">
            <w:pPr>
              <w:widowControl/>
              <w:jc w:val="left"/>
              <w:rPr>
                <w:rFonts w:ascii="宋体" w:hAnsi="宋体" w:cs="宋体"/>
                <w:color w:val="000000" w:themeColor="text1"/>
                <w:szCs w:val="21"/>
                <w:highlight w:val="none"/>
                <w:lang w:eastAsia="en-US"/>
                <w14:textFill>
                  <w14:solidFill>
                    <w14:schemeClr w14:val="tx1"/>
                  </w14:solidFill>
                </w14:textFill>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34297693">
            <w:pPr>
              <w:pStyle w:val="300"/>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蹲便器</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2AE397F5">
            <w:pPr>
              <w:jc w:val="center"/>
              <w:rPr>
                <w:rFonts w:ascii="宋体" w:hAnsi="宋体"/>
                <w:color w:val="000000" w:themeColor="text1"/>
                <w:szCs w:val="21"/>
                <w:highlight w:val="none"/>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noWrap w:val="0"/>
          </w:tcPr>
          <w:p w14:paraId="57C332F2">
            <w:pPr>
              <w:pStyle w:val="300"/>
              <w:spacing w:before="131" w:line="276" w:lineRule="auto"/>
              <w:ind w:left="7" w:right="4"/>
              <w:rPr>
                <w:rFonts w:ascii="宋体" w:hAnsi="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《蹲便器用水效率限定值及用水效率等级》（GB30717）</w:t>
            </w:r>
          </w:p>
        </w:tc>
      </w:tr>
      <w:tr w14:paraId="1635D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CF8042">
            <w:pPr>
              <w:widowControl/>
              <w:jc w:val="left"/>
              <w:rPr>
                <w:rFonts w:ascii="宋体" w:hAnsi="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746E89">
            <w:pPr>
              <w:widowControl/>
              <w:jc w:val="left"/>
              <w:rPr>
                <w:rFonts w:ascii="宋体" w:hAnsi="宋体" w:cs="宋体"/>
                <w:color w:val="000000" w:themeColor="text1"/>
                <w:szCs w:val="21"/>
                <w:highlight w:val="none"/>
                <w14:textFill>
                  <w14:solidFill>
                    <w14:schemeClr w14:val="tx1"/>
                  </w14:solidFill>
                </w14:textFill>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1D380270">
            <w:pPr>
              <w:pStyle w:val="300"/>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小便器</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7363BBF6">
            <w:pPr>
              <w:jc w:val="center"/>
              <w:rPr>
                <w:rFonts w:ascii="宋体" w:hAnsi="宋体"/>
                <w:color w:val="000000" w:themeColor="text1"/>
                <w:szCs w:val="21"/>
                <w:highlight w:val="none"/>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noWrap w:val="0"/>
          </w:tcPr>
          <w:p w14:paraId="34B37490">
            <w:pPr>
              <w:pStyle w:val="300"/>
              <w:spacing w:before="131" w:line="276" w:lineRule="auto"/>
              <w:ind w:left="7" w:right="4"/>
              <w:rPr>
                <w:rFonts w:ascii="宋体" w:hAnsi="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《小便器用水效率限定值及用水效率等级》（GB28377）</w:t>
            </w:r>
          </w:p>
        </w:tc>
      </w:tr>
      <w:tr w14:paraId="72299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noWrap w:val="0"/>
            <w:vAlign w:val="center"/>
          </w:tcPr>
          <w:p w14:paraId="2BE6F97D">
            <w:pPr>
              <w:pStyle w:val="300"/>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16</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408BD217">
            <w:pPr>
              <w:pStyle w:val="300"/>
              <w:spacing w:before="153"/>
              <w:ind w:left="7"/>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w:t>
            </w:r>
            <w:r>
              <w:rPr>
                <w:rFonts w:hint="eastAsia" w:ascii="宋体" w:hAnsi="宋体" w:cs="仿宋_GB2312"/>
                <w:color w:val="000000" w:themeColor="text1"/>
                <w:sz w:val="21"/>
                <w:szCs w:val="21"/>
                <w:highlight w:val="none"/>
                <w14:textFill>
                  <w14:solidFill>
                    <w14:schemeClr w14:val="tx1"/>
                  </w14:solidFill>
                </w14:textFill>
              </w:rPr>
              <w:t>A05020106</w:t>
            </w:r>
            <w:r>
              <w:rPr>
                <w:rFonts w:hint="eastAsia" w:ascii="宋体" w:hAnsi="宋体" w:cs="宋体"/>
                <w:color w:val="000000" w:themeColor="text1"/>
                <w:sz w:val="21"/>
                <w:szCs w:val="21"/>
                <w:highlight w:val="none"/>
                <w14:textFill>
                  <w14:solidFill>
                    <w14:schemeClr w14:val="tx1"/>
                  </w14:solidFill>
                </w14:textFill>
              </w:rPr>
              <w:t>水嘴</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17A34430">
            <w:pPr>
              <w:jc w:val="center"/>
              <w:rPr>
                <w:rFonts w:ascii="宋体" w:hAnsi="宋体"/>
                <w:color w:val="000000" w:themeColor="text1"/>
                <w:szCs w:val="21"/>
                <w:highlight w:val="none"/>
                <w:lang w:eastAsia="en-US"/>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54AD13D5">
            <w:pPr>
              <w:jc w:val="center"/>
              <w:rPr>
                <w:rFonts w:ascii="宋体" w:hAnsi="宋体"/>
                <w:color w:val="000000" w:themeColor="text1"/>
                <w:szCs w:val="21"/>
                <w:highlight w:val="none"/>
                <w:lang w:eastAsia="en-US"/>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noWrap w:val="0"/>
          </w:tcPr>
          <w:p w14:paraId="6FA8C2D8">
            <w:pPr>
              <w:pStyle w:val="300"/>
              <w:spacing w:before="153" w:line="276" w:lineRule="auto"/>
              <w:ind w:left="7" w:right="4"/>
              <w:rPr>
                <w:rFonts w:ascii="宋体" w:hAnsi="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《水嘴用水效率限定值及用水效</w:t>
            </w:r>
            <w:r>
              <w:rPr>
                <w:rFonts w:hint="eastAsia" w:ascii="宋体" w:hAnsi="宋体" w:cs="宋体"/>
                <w:color w:val="000000" w:themeColor="text1"/>
                <w:sz w:val="21"/>
                <w:szCs w:val="21"/>
                <w:highlight w:val="none"/>
                <w:lang w:eastAsia="zh-CN"/>
                <w14:textFill>
                  <w14:solidFill>
                    <w14:schemeClr w14:val="tx1"/>
                  </w14:solidFill>
                </w14:textFill>
              </w:rPr>
              <w:t>率等级》（GB 25501）</w:t>
            </w:r>
          </w:p>
        </w:tc>
      </w:tr>
      <w:tr w14:paraId="3EBC6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noWrap w:val="0"/>
            <w:vAlign w:val="center"/>
          </w:tcPr>
          <w:p w14:paraId="189F3A1A">
            <w:pPr>
              <w:pStyle w:val="300"/>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17</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4160281F">
            <w:pPr>
              <w:pStyle w:val="300"/>
              <w:spacing w:before="112"/>
              <w:ind w:left="7"/>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仿宋_GB2312"/>
                <w:color w:val="000000" w:themeColor="text1"/>
                <w:sz w:val="21"/>
                <w:szCs w:val="21"/>
                <w:highlight w:val="none"/>
                <w14:textFill>
                  <w14:solidFill>
                    <w14:schemeClr w14:val="tx1"/>
                  </w14:solidFill>
                </w14:textFill>
              </w:rPr>
              <w:t>A05020107</w:t>
            </w:r>
            <w:r>
              <w:rPr>
                <w:rFonts w:hint="eastAsia" w:ascii="宋体" w:hAnsi="宋体" w:cs="宋体"/>
                <w:color w:val="000000" w:themeColor="text1"/>
                <w:sz w:val="21"/>
                <w:szCs w:val="21"/>
                <w:highlight w:val="none"/>
                <w14:textFill>
                  <w14:solidFill>
                    <w14:schemeClr w14:val="tx1"/>
                  </w14:solidFill>
                </w14:textFill>
              </w:rPr>
              <w:t>便器冲洗阀</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6BCAD547">
            <w:pPr>
              <w:jc w:val="center"/>
              <w:rPr>
                <w:rFonts w:ascii="宋体" w:hAnsi="宋体"/>
                <w:color w:val="000000" w:themeColor="text1"/>
                <w:szCs w:val="21"/>
                <w:highlight w:val="none"/>
                <w:lang w:eastAsia="en-US"/>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58BBB720">
            <w:pPr>
              <w:jc w:val="center"/>
              <w:rPr>
                <w:rFonts w:ascii="宋体" w:hAnsi="宋体"/>
                <w:color w:val="000000" w:themeColor="text1"/>
                <w:szCs w:val="21"/>
                <w:highlight w:val="none"/>
                <w:lang w:eastAsia="en-US"/>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noWrap w:val="0"/>
          </w:tcPr>
          <w:p w14:paraId="448424F9">
            <w:pPr>
              <w:pStyle w:val="300"/>
              <w:spacing w:before="112" w:line="276" w:lineRule="auto"/>
              <w:ind w:left="7" w:right="4"/>
              <w:rPr>
                <w:rFonts w:ascii="宋体" w:hAnsi="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《便器冲洗阀用水效率限定值及</w:t>
            </w:r>
            <w:r>
              <w:rPr>
                <w:rFonts w:hint="eastAsia" w:ascii="宋体" w:hAnsi="宋体" w:cs="宋体"/>
                <w:color w:val="000000" w:themeColor="text1"/>
                <w:sz w:val="21"/>
                <w:szCs w:val="21"/>
                <w:highlight w:val="none"/>
                <w:lang w:eastAsia="zh-CN"/>
                <w14:textFill>
                  <w14:solidFill>
                    <w14:schemeClr w14:val="tx1"/>
                  </w14:solidFill>
                </w14:textFill>
              </w:rPr>
              <w:t>用水效率等级》（GB28379）</w:t>
            </w:r>
          </w:p>
        </w:tc>
      </w:tr>
      <w:tr w14:paraId="42730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noWrap w:val="0"/>
            <w:vAlign w:val="center"/>
          </w:tcPr>
          <w:p w14:paraId="2428DE06">
            <w:pPr>
              <w:pStyle w:val="300"/>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18</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2331D5E8">
            <w:pPr>
              <w:pStyle w:val="300"/>
              <w:spacing w:before="131"/>
              <w:ind w:left="7"/>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仿宋_GB2312"/>
                <w:color w:val="000000" w:themeColor="text1"/>
                <w:sz w:val="21"/>
                <w:szCs w:val="21"/>
                <w:highlight w:val="none"/>
                <w14:textFill>
                  <w14:solidFill>
                    <w14:schemeClr w14:val="tx1"/>
                  </w14:solidFill>
                </w14:textFill>
              </w:rPr>
              <w:t>A05020110</w:t>
            </w:r>
            <w:r>
              <w:rPr>
                <w:rFonts w:hint="eastAsia" w:ascii="宋体" w:hAnsi="宋体" w:cs="宋体"/>
                <w:color w:val="000000" w:themeColor="text1"/>
                <w:sz w:val="21"/>
                <w:szCs w:val="21"/>
                <w:highlight w:val="none"/>
                <w14:textFill>
                  <w14:solidFill>
                    <w14:schemeClr w14:val="tx1"/>
                  </w14:solidFill>
                </w14:textFill>
              </w:rPr>
              <w:t>淋浴器</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1E80ED7F">
            <w:pPr>
              <w:jc w:val="center"/>
              <w:rPr>
                <w:rFonts w:ascii="宋体" w:hAnsi="宋体"/>
                <w:color w:val="000000" w:themeColor="text1"/>
                <w:szCs w:val="21"/>
                <w:highlight w:val="none"/>
                <w:lang w:eastAsia="en-US"/>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32944EC4">
            <w:pPr>
              <w:jc w:val="center"/>
              <w:rPr>
                <w:rFonts w:ascii="宋体" w:hAnsi="宋体"/>
                <w:color w:val="000000" w:themeColor="text1"/>
                <w:szCs w:val="21"/>
                <w:highlight w:val="none"/>
                <w:lang w:eastAsia="en-US"/>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noWrap w:val="0"/>
          </w:tcPr>
          <w:p w14:paraId="7116E727">
            <w:pPr>
              <w:pStyle w:val="300"/>
              <w:spacing w:before="131" w:line="276" w:lineRule="auto"/>
              <w:ind w:left="7" w:right="4"/>
              <w:rPr>
                <w:rFonts w:ascii="宋体" w:hAnsi="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pacing w:val="10"/>
                <w:sz w:val="21"/>
                <w:szCs w:val="21"/>
                <w:highlight w:val="none"/>
                <w:lang w:eastAsia="zh-CN"/>
                <w14:textFill>
                  <w14:solidFill>
                    <w14:schemeClr w14:val="tx1"/>
                  </w14:solidFill>
                </w14:textFill>
              </w:rPr>
              <w:t>《淋浴器用水效率限定值及用水</w:t>
            </w:r>
            <w:r>
              <w:rPr>
                <w:rFonts w:hint="eastAsia" w:ascii="宋体" w:hAnsi="宋体" w:cs="宋体"/>
                <w:color w:val="000000" w:themeColor="text1"/>
                <w:sz w:val="21"/>
                <w:szCs w:val="21"/>
                <w:highlight w:val="none"/>
                <w:lang w:eastAsia="zh-CN"/>
                <w14:textFill>
                  <w14:solidFill>
                    <w14:schemeClr w14:val="tx1"/>
                  </w14:solidFill>
                </w14:textFill>
              </w:rPr>
              <w:t>效率等级》（GB28378）</w:t>
            </w:r>
          </w:p>
        </w:tc>
      </w:tr>
    </w:tbl>
    <w:p w14:paraId="5EDEBA03">
      <w:pPr>
        <w:pStyle w:val="19"/>
        <w:spacing w:line="360" w:lineRule="auto"/>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pacing w:val="-3"/>
          <w:sz w:val="21"/>
          <w:szCs w:val="21"/>
          <w:highlight w:val="none"/>
          <w14:textFill>
            <w14:solidFill>
              <w14:schemeClr w14:val="tx1"/>
            </w14:solidFill>
          </w14:textFill>
        </w:rPr>
        <w:t>注：</w:t>
      </w:r>
      <w:r>
        <w:rPr>
          <w:rFonts w:ascii="宋体" w:hAnsi="宋体"/>
          <w:color w:val="000000" w:themeColor="text1"/>
          <w:spacing w:val="-3"/>
          <w:sz w:val="21"/>
          <w:szCs w:val="21"/>
          <w:highlight w:val="none"/>
          <w14:textFill>
            <w14:solidFill>
              <w14:schemeClr w14:val="tx1"/>
            </w14:solidFill>
          </w14:textFill>
        </w:rPr>
        <w:t>1.</w:t>
      </w:r>
      <w:r>
        <w:rPr>
          <w:rFonts w:hint="eastAsia" w:ascii="宋体" w:hAnsi="宋体"/>
          <w:color w:val="000000" w:themeColor="text1"/>
          <w:spacing w:val="-3"/>
          <w:sz w:val="21"/>
          <w:szCs w:val="21"/>
          <w:highlight w:val="none"/>
          <w14:textFill>
            <w14:solidFill>
              <w14:schemeClr w14:val="tx1"/>
            </w14:solidFill>
          </w14:textFill>
        </w:rPr>
        <w:t>节能产品认证应依据相关国家标准的最新版本，依据国家标准中二级能效（水效）</w:t>
      </w:r>
      <w:r>
        <w:rPr>
          <w:rFonts w:hint="eastAsia" w:ascii="宋体" w:hAnsi="宋体"/>
          <w:color w:val="000000" w:themeColor="text1"/>
          <w:sz w:val="21"/>
          <w:szCs w:val="21"/>
          <w:highlight w:val="none"/>
          <w14:textFill>
            <w14:solidFill>
              <w14:schemeClr w14:val="tx1"/>
            </w14:solidFill>
          </w14:textFill>
        </w:rPr>
        <w:t>指标。</w:t>
      </w:r>
    </w:p>
    <w:p w14:paraId="5CCCE18E">
      <w:pPr>
        <w:pStyle w:val="19"/>
        <w:spacing w:line="360" w:lineRule="auto"/>
        <w:ind w:firstLine="465"/>
        <w:rPr>
          <w:rFonts w:ascii="宋体" w:hAnsi="宋体"/>
          <w:color w:val="000000" w:themeColor="text1"/>
          <w:sz w:val="21"/>
          <w:szCs w:val="21"/>
          <w:highlight w:val="none"/>
          <w14:textFill>
            <w14:solidFill>
              <w14:schemeClr w14:val="tx1"/>
            </w14:solidFill>
          </w14:textFill>
        </w:rPr>
      </w:pPr>
      <w:r>
        <w:rPr>
          <w:rFonts w:ascii="宋体" w:hAnsi="宋体"/>
          <w:color w:val="000000" w:themeColor="text1"/>
          <w:sz w:val="21"/>
          <w:szCs w:val="21"/>
          <w:highlight w:val="none"/>
          <w14:textFill>
            <w14:solidFill>
              <w14:schemeClr w14:val="tx1"/>
            </w14:solidFill>
          </w14:textFill>
        </w:rPr>
        <w:t>2</w:t>
      </w:r>
      <w:r>
        <w:rPr>
          <w:rFonts w:hint="eastAsia" w:ascii="宋体" w:hAnsi="宋体"/>
          <w:color w:val="000000" w:themeColor="text1"/>
          <w:sz w:val="21"/>
          <w:szCs w:val="21"/>
          <w:highlight w:val="none"/>
          <w14:textFill>
            <w14:solidFill>
              <w14:schemeClr w14:val="tx1"/>
            </w14:solidFill>
          </w14:textFill>
        </w:rPr>
        <w:t>.以</w:t>
      </w:r>
      <w:r>
        <w:rPr>
          <w:rFonts w:ascii="宋体" w:hAnsi="宋体"/>
          <w:color w:val="000000" w:themeColor="text1"/>
          <w:sz w:val="21"/>
          <w:szCs w:val="21"/>
          <w:highlight w:val="none"/>
          <w14:textFill>
            <w14:solidFill>
              <w14:schemeClr w14:val="tx1"/>
            </w14:solidFill>
          </w14:textFill>
        </w:rPr>
        <w:t>“</w:t>
      </w:r>
      <w:r>
        <w:rPr>
          <w:rFonts w:hint="eastAsia" w:ascii="宋体" w:hAnsi="宋体"/>
          <w:color w:val="000000" w:themeColor="text1"/>
          <w:sz w:val="21"/>
          <w:szCs w:val="21"/>
          <w:highlight w:val="none"/>
          <w14:textFill>
            <w14:solidFill>
              <w14:schemeClr w14:val="tx1"/>
            </w14:solidFill>
          </w14:textFill>
        </w:rPr>
        <w:t>★</w:t>
      </w:r>
      <w:r>
        <w:rPr>
          <w:rFonts w:ascii="宋体" w:hAnsi="宋体"/>
          <w:color w:val="000000" w:themeColor="text1"/>
          <w:sz w:val="21"/>
          <w:szCs w:val="21"/>
          <w:highlight w:val="none"/>
          <w14:textFill>
            <w14:solidFill>
              <w14:schemeClr w14:val="tx1"/>
            </w14:solidFill>
          </w14:textFill>
        </w:rPr>
        <w:t>”</w:t>
      </w:r>
      <w:r>
        <w:rPr>
          <w:rFonts w:hint="eastAsia" w:ascii="宋体" w:hAnsi="宋体"/>
          <w:color w:val="000000" w:themeColor="text1"/>
          <w:sz w:val="21"/>
          <w:szCs w:val="21"/>
          <w:highlight w:val="none"/>
          <w14:textFill>
            <w14:solidFill>
              <w14:schemeClr w14:val="tx1"/>
            </w14:solidFill>
          </w14:textFill>
        </w:rPr>
        <w:t>标注的为政府强制采购产品。</w:t>
      </w:r>
    </w:p>
    <w:p w14:paraId="319FB2AB">
      <w:pPr>
        <w:pStyle w:val="19"/>
        <w:spacing w:line="360" w:lineRule="auto"/>
        <w:ind w:firstLine="465"/>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3.本表格原为《关于印发节能产品政府采购品目清单的通知》（财库〔2019〕19号）规定的表格附件，其中名称及编码已根据《财政部关于印发〈政府采购品目分类目录〉的通知》（财库〔2022〕31号）修改。</w:t>
      </w:r>
    </w:p>
    <w:p w14:paraId="5033DF05">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br w:type="page" w:clear="all"/>
      </w:r>
    </w:p>
    <w:p w14:paraId="367285ED">
      <w:pPr>
        <w:pStyle w:val="41"/>
        <w:rPr>
          <w:color w:val="000000" w:themeColor="text1"/>
          <w:highlight w:val="none"/>
          <w14:textFill>
            <w14:solidFill>
              <w14:schemeClr w14:val="tx1"/>
            </w14:solidFill>
          </w14:textFill>
        </w:rPr>
      </w:pPr>
    </w:p>
    <w:p w14:paraId="2FAEFB32">
      <w:pPr>
        <w:widowControl/>
        <w:jc w:val="left"/>
        <w:rPr>
          <w:rFonts w:ascii="宋体" w:hAnsi="宋体" w:cs="宋体"/>
          <w:color w:val="000000" w:themeColor="text1"/>
          <w:sz w:val="20"/>
          <w:szCs w:val="20"/>
          <w:highlight w:val="none"/>
          <w14:textFill>
            <w14:solidFill>
              <w14:schemeClr w14:val="tx1"/>
            </w14:solidFill>
          </w14:textFill>
        </w:rPr>
      </w:pPr>
    </w:p>
    <w:p w14:paraId="488F09BF">
      <w:pPr>
        <w:widowControl/>
        <w:jc w:val="left"/>
        <w:rPr>
          <w:rFonts w:ascii="宋体" w:hAnsi="宋体" w:cs="宋体"/>
          <w:color w:val="000000" w:themeColor="text1"/>
          <w:sz w:val="20"/>
          <w:szCs w:val="20"/>
          <w:highlight w:val="none"/>
          <w14:textFill>
            <w14:solidFill>
              <w14:schemeClr w14:val="tx1"/>
            </w14:solidFill>
          </w14:textFill>
        </w:rPr>
      </w:pPr>
    </w:p>
    <w:p w14:paraId="1F7FF232">
      <w:pPr>
        <w:widowControl/>
        <w:jc w:val="left"/>
        <w:rPr>
          <w:rFonts w:ascii="黑体" w:hAnsi="黑体" w:eastAsia="黑体" w:cs="黑体"/>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附件2：</w:t>
      </w:r>
    </w:p>
    <w:p w14:paraId="0370FC29">
      <w:pPr>
        <w:pStyle w:val="19"/>
        <w:jc w:val="center"/>
        <w:rPr>
          <w:b/>
          <w:color w:val="000000" w:themeColor="text1"/>
          <w:sz w:val="28"/>
          <w:szCs w:val="28"/>
          <w:highlight w:val="none"/>
          <w14:textFill>
            <w14:solidFill>
              <w14:schemeClr w14:val="tx1"/>
            </w14:solidFill>
          </w14:textFill>
        </w:rPr>
      </w:pPr>
      <w:r>
        <w:rPr>
          <w:rFonts w:hint="eastAsia"/>
          <w:b/>
          <w:color w:val="000000" w:themeColor="text1"/>
          <w:sz w:val="28"/>
          <w:szCs w:val="28"/>
          <w:highlight w:val="none"/>
          <w14:textFill>
            <w14:solidFill>
              <w14:schemeClr w14:val="tx1"/>
            </w14:solidFill>
          </w14:textFill>
        </w:rPr>
        <w:t>中小企业划型标准规定</w:t>
      </w:r>
    </w:p>
    <w:p w14:paraId="16354295">
      <w:pPr>
        <w:pStyle w:val="19"/>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工信部联企业[2011]300号</w:t>
      </w:r>
    </w:p>
    <w:p w14:paraId="6403DEE8">
      <w:pPr>
        <w:pStyle w:val="19"/>
        <w:rPr>
          <w:color w:val="000000" w:themeColor="text1"/>
          <w:sz w:val="21"/>
          <w:szCs w:val="21"/>
          <w:highlight w:val="none"/>
          <w14:textFill>
            <w14:solidFill>
              <w14:schemeClr w14:val="tx1"/>
            </w14:solidFill>
          </w14:textFill>
        </w:rPr>
      </w:pPr>
    </w:p>
    <w:p w14:paraId="1BF6BBCD">
      <w:pPr>
        <w:pStyle w:val="19"/>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　　一、根据《中华人民共和国中小企业促进法》和《国务院关于进一步促进中小企业发展的若干意见》(国发[2009]36号)，制定本规定。</w:t>
      </w:r>
    </w:p>
    <w:p w14:paraId="3703C657">
      <w:pPr>
        <w:pStyle w:val="19"/>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　　二、中小企业划分为中型、小型、微型三种类型，具体标准根据企业从业人员、营业收入、资产总额等指标，结合行业特点制定。</w:t>
      </w:r>
    </w:p>
    <w:p w14:paraId="757FA257">
      <w:pPr>
        <w:pStyle w:val="19"/>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3F687F2C">
      <w:pPr>
        <w:pStyle w:val="19"/>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　　四、各行业划型标准为：</w:t>
      </w:r>
    </w:p>
    <w:p w14:paraId="79443170">
      <w:pPr>
        <w:pStyle w:val="19"/>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　　（一）农、林、牧、渔业。营业收入20000万元以下的为中小微型企业。其中，营业收入500万元及以上的为中型企业，营业收入50万元及以上的为小型企业，营业收入50万元以下的为微型企业。</w:t>
      </w:r>
    </w:p>
    <w:p w14:paraId="7DCF7C60">
      <w:pPr>
        <w:pStyle w:val="19"/>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4604FB61">
      <w:pPr>
        <w:pStyle w:val="19"/>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00E93F8D">
      <w:pPr>
        <w:pStyle w:val="19"/>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4863553B">
      <w:pPr>
        <w:pStyle w:val="19"/>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75CA75CE">
      <w:pPr>
        <w:pStyle w:val="19"/>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48A4D4E7">
      <w:pPr>
        <w:pStyle w:val="19"/>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438606CD">
      <w:pPr>
        <w:pStyle w:val="19"/>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61F995F7">
      <w:pPr>
        <w:pStyle w:val="19"/>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4D76D082">
      <w:pPr>
        <w:pStyle w:val="19"/>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6E20045C">
      <w:pPr>
        <w:pStyle w:val="19"/>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322F7494">
      <w:pPr>
        <w:pStyle w:val="19"/>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2B17AC93">
      <w:pPr>
        <w:pStyle w:val="19"/>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6AAD0A63">
      <w:pPr>
        <w:pStyle w:val="19"/>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7BFBFB58">
      <w:pPr>
        <w:pStyle w:val="19"/>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1A859FF0">
      <w:pPr>
        <w:pStyle w:val="19"/>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　　（十六）其他未列明行业。从业人员300人以下的为中小微型企业。其中，从业人员100人及以上的为中型企业；从业人员10人及以上的为小型企业；从业人员10人以下的为微型企业。</w:t>
      </w:r>
    </w:p>
    <w:p w14:paraId="22FF7F6C">
      <w:pPr>
        <w:pStyle w:val="19"/>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　　五、企业类型的划分以统计部门的统计数据为依据。</w:t>
      </w:r>
    </w:p>
    <w:p w14:paraId="67AC8858">
      <w:pPr>
        <w:pStyle w:val="19"/>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　　六、本规定适用于在中华人民共和国境内依法设立的各类所有制和各种组织形式的企业。个体工商户和本规定以外的行业，参照本规定进行划型。</w:t>
      </w:r>
    </w:p>
    <w:p w14:paraId="6994821B">
      <w:pPr>
        <w:pStyle w:val="19"/>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　　七、本规定的中型企业标准上限即为大型企业标准的下限，国家统计部门据此制定大中小微型企业的统计分类。国务院有关部门据此进行相关数据分析，不得制定与本规定不一致的企业划型标准。</w:t>
      </w:r>
    </w:p>
    <w:p w14:paraId="463F0D01">
      <w:pPr>
        <w:pStyle w:val="19"/>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　　八、本规定由工业和信息化部、国家统计局会同有关部门根据《国民经济行业分类》修订情况和企业发展变化情况适时修订。</w:t>
      </w:r>
    </w:p>
    <w:p w14:paraId="2E9C95F5">
      <w:pPr>
        <w:pStyle w:val="19"/>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　　九、本规定由工业和信息化部、国家统计局会同有关部门负责解释。</w:t>
      </w:r>
    </w:p>
    <w:p w14:paraId="19381719">
      <w:pPr>
        <w:pStyle w:val="19"/>
        <w:ind w:firstLine="42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十、本规定自发布之日起执行，原国家经贸委、原国家计委、财政部和国家统计局2003年颁布的《中小企业标准暂行规定》同时废止。</w:t>
      </w:r>
    </w:p>
    <w:p w14:paraId="00CCA8EB">
      <w:pPr>
        <w:pStyle w:val="19"/>
        <w:ind w:firstLine="420"/>
        <w:rPr>
          <w:color w:val="000000" w:themeColor="text1"/>
          <w:sz w:val="21"/>
          <w:szCs w:val="21"/>
          <w:highlight w:val="none"/>
          <w14:textFill>
            <w14:solidFill>
              <w14:schemeClr w14:val="tx1"/>
            </w14:solidFill>
          </w14:textFill>
        </w:rPr>
      </w:pPr>
    </w:p>
    <w:p w14:paraId="30605465">
      <w:pPr>
        <w:pStyle w:val="2"/>
        <w:spacing w:before="0" w:after="0" w:line="240" w:lineRule="auto"/>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clear="all"/>
      </w:r>
      <w:bookmarkStart w:id="4" w:name="_Toc24568"/>
      <w:r>
        <w:rPr>
          <w:rFonts w:hint="eastAsia"/>
          <w:color w:val="000000" w:themeColor="text1"/>
          <w:highlight w:val="none"/>
          <w14:textFill>
            <w14:solidFill>
              <w14:schemeClr w14:val="tx1"/>
            </w14:solidFill>
          </w14:textFill>
        </w:rPr>
        <w:t>第三章  投标人须知</w:t>
      </w:r>
      <w:bookmarkEnd w:id="4"/>
    </w:p>
    <w:p w14:paraId="49BA3116">
      <w:pPr>
        <w:jc w:val="center"/>
        <w:rPr>
          <w:color w:val="000000" w:themeColor="text1"/>
          <w:sz w:val="36"/>
          <w:szCs w:val="36"/>
          <w:highlight w:val="none"/>
          <w14:textFill>
            <w14:solidFill>
              <w14:schemeClr w14:val="tx1"/>
            </w14:solidFill>
          </w14:textFill>
        </w:rPr>
      </w:pPr>
      <w:r>
        <w:rPr>
          <w:rFonts w:hint="eastAsia"/>
          <w:color w:val="000000" w:themeColor="text1"/>
          <w:sz w:val="36"/>
          <w:szCs w:val="36"/>
          <w:highlight w:val="none"/>
          <w14:textFill>
            <w14:solidFill>
              <w14:schemeClr w14:val="tx1"/>
            </w14:solidFill>
          </w14:textFill>
        </w:rPr>
        <w:t>投标人须知前附表</w:t>
      </w:r>
    </w:p>
    <w:tbl>
      <w:tblPr>
        <w:tblStyle w:val="50"/>
        <w:tblW w:w="960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5"/>
        <w:gridCol w:w="8711"/>
      </w:tblGrid>
      <w:tr w14:paraId="1C254D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6EBDE4B5">
            <w:pPr>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条款号</w:t>
            </w:r>
          </w:p>
        </w:tc>
        <w:tc>
          <w:tcPr>
            <w:tcW w:w="8711" w:type="dxa"/>
            <w:tcBorders>
              <w:top w:val="single" w:color="auto" w:sz="4" w:space="0"/>
              <w:left w:val="single" w:color="auto" w:sz="4" w:space="0"/>
              <w:bottom w:val="single" w:color="auto" w:sz="4" w:space="0"/>
              <w:right w:val="single" w:color="auto" w:sz="4" w:space="0"/>
            </w:tcBorders>
            <w:noWrap w:val="0"/>
            <w:vAlign w:val="center"/>
          </w:tcPr>
          <w:p w14:paraId="416DB991">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编列内容</w:t>
            </w:r>
          </w:p>
        </w:tc>
      </w:tr>
      <w:tr w14:paraId="205B1F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64D8D974">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w:t>
            </w:r>
          </w:p>
        </w:tc>
        <w:tc>
          <w:tcPr>
            <w:tcW w:w="8711" w:type="dxa"/>
            <w:tcBorders>
              <w:top w:val="single" w:color="auto" w:sz="4" w:space="0"/>
              <w:left w:val="single" w:color="auto" w:sz="4" w:space="0"/>
              <w:bottom w:val="single" w:color="auto" w:sz="4" w:space="0"/>
              <w:right w:val="single" w:color="auto" w:sz="4" w:space="0"/>
            </w:tcBorders>
            <w:noWrap w:val="0"/>
            <w:vAlign w:val="center"/>
          </w:tcPr>
          <w:p w14:paraId="7BBF7F84">
            <w:pPr>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投标人的资格要求详见招标公告。</w:t>
            </w:r>
          </w:p>
          <w:p w14:paraId="3F7F5972">
            <w:pPr>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投标人出现下列情形之一的，不得参加政府采购活动：</w:t>
            </w:r>
          </w:p>
          <w:p w14:paraId="6339E4AC">
            <w:pPr>
              <w:spacing w:line="360" w:lineRule="auto"/>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2.1</w:t>
            </w:r>
            <w:r>
              <w:rPr>
                <w:rFonts w:hint="eastAsia" w:ascii="宋体" w:hAnsi="宋体"/>
                <w:color w:val="000000" w:themeColor="text1"/>
                <w:szCs w:val="21"/>
                <w:highlight w:val="none"/>
                <w14:textFill>
                  <w14:solidFill>
                    <w14:schemeClr w14:val="tx1"/>
                  </w14:solidFill>
                </w14:textFill>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7E8101EB">
            <w:pPr>
              <w:spacing w:line="360" w:lineRule="auto"/>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2.2</w:t>
            </w:r>
            <w:r>
              <w:rPr>
                <w:rFonts w:hint="eastAsia" w:ascii="宋体" w:hAnsi="宋体"/>
                <w:color w:val="000000" w:themeColor="text1"/>
                <w:szCs w:val="21"/>
                <w:highlight w:val="none"/>
                <w14:textFill>
                  <w14:solidFill>
                    <w14:schemeClr w14:val="tx1"/>
                  </w14:solidFill>
                </w14:textFill>
              </w:rPr>
              <w:t>对在“信用中国”网站（https://www.creditchina.gov.cn） 、中国政府采购网（https://www.ccgp.gov.cn）被列入失信被执行人、重大税收违法失信主体、政府采购严重违法失信行为记录名单及其他不符合《中华人民共和国政府采购法》第二十二条规定条件的供应商，不得参与政府采购活动。</w:t>
            </w:r>
          </w:p>
        </w:tc>
      </w:tr>
      <w:tr w14:paraId="25C3E5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3711BA27">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6.1</w:t>
            </w:r>
          </w:p>
        </w:tc>
        <w:tc>
          <w:tcPr>
            <w:tcW w:w="8711" w:type="dxa"/>
            <w:tcBorders>
              <w:top w:val="single" w:color="auto" w:sz="4" w:space="0"/>
              <w:left w:val="single" w:color="auto" w:sz="4" w:space="0"/>
              <w:bottom w:val="single" w:color="auto" w:sz="4" w:space="0"/>
              <w:right w:val="single" w:color="auto" w:sz="4" w:space="0"/>
            </w:tcBorders>
            <w:noWrap w:val="0"/>
            <w:vAlign w:val="center"/>
          </w:tcPr>
          <w:p w14:paraId="435E5AB5">
            <w:pPr>
              <w:pStyle w:val="17"/>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本项目是否接受联合体投标：详见招标公告。</w:t>
            </w:r>
          </w:p>
        </w:tc>
      </w:tr>
      <w:tr w14:paraId="4DBA05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1D3F7F91">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7.2</w:t>
            </w:r>
          </w:p>
        </w:tc>
        <w:tc>
          <w:tcPr>
            <w:tcW w:w="8711" w:type="dxa"/>
            <w:tcBorders>
              <w:top w:val="single" w:color="auto" w:sz="4" w:space="0"/>
              <w:left w:val="single" w:color="auto" w:sz="4" w:space="0"/>
              <w:bottom w:val="single" w:color="auto" w:sz="4" w:space="0"/>
              <w:right w:val="single" w:color="auto" w:sz="4" w:space="0"/>
            </w:tcBorders>
            <w:noWrap w:val="0"/>
            <w:vAlign w:val="center"/>
          </w:tcPr>
          <w:p w14:paraId="23818AF4">
            <w:pPr>
              <w:pStyle w:val="17"/>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本项目不允许分包</w:t>
            </w:r>
          </w:p>
        </w:tc>
      </w:tr>
      <w:tr w14:paraId="780D42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77C1F551">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8.1</w:t>
            </w:r>
          </w:p>
        </w:tc>
        <w:tc>
          <w:tcPr>
            <w:tcW w:w="8711" w:type="dxa"/>
            <w:tcBorders>
              <w:top w:val="single" w:color="auto" w:sz="4" w:space="0"/>
              <w:left w:val="single" w:color="auto" w:sz="4" w:space="0"/>
              <w:bottom w:val="single" w:color="auto" w:sz="4" w:space="0"/>
              <w:right w:val="single" w:color="auto" w:sz="4" w:space="0"/>
            </w:tcBorders>
            <w:noWrap w:val="0"/>
            <w:vAlign w:val="center"/>
          </w:tcPr>
          <w:p w14:paraId="78717CA1">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采用综合评分法的采购项目，</w:t>
            </w:r>
            <w:r>
              <w:rPr>
                <w:rFonts w:hint="eastAsia" w:ascii="宋体" w:hAnsi="宋体"/>
                <w:color w:val="000000" w:themeColor="text1"/>
                <w:szCs w:val="21"/>
                <w:highlight w:val="none"/>
                <w14:textFill>
                  <w14:solidFill>
                    <w14:schemeClr w14:val="tx1"/>
                  </w14:solidFill>
                </w14:textFill>
              </w:rPr>
              <w:t>提供相同品牌产品（非单一产品采购项目的，指核心产品）的不同投标人评审得分相同时，按照下列方式确定一个投标人获得中标人推荐资格：</w:t>
            </w:r>
          </w:p>
          <w:p w14:paraId="2D6157F7">
            <w:pPr>
              <w:spacing w:line="360" w:lineRule="auto"/>
              <w:rPr>
                <w:rFonts w:ascii="宋体" w:hAnsi="宋体"/>
                <w:i/>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☑依次按投标报价低的优先、政策分得分高的优先、技术评分高的优先、商务评分高的优先、质保期长优先、交货期短优先、故障响应时间短优先的顺序推荐；</w:t>
            </w:r>
          </w:p>
          <w:p w14:paraId="6DBCEEBC">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□随机抽取；</w:t>
            </w:r>
          </w:p>
        </w:tc>
      </w:tr>
      <w:tr w14:paraId="67CD1A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11" w:hRule="atLeast"/>
        </w:trPr>
        <w:tc>
          <w:tcPr>
            <w:tcW w:w="895" w:type="dxa"/>
            <w:vMerge w:val="restart"/>
            <w:tcBorders>
              <w:top w:val="single" w:color="auto" w:sz="4" w:space="0"/>
              <w:left w:val="single" w:color="auto" w:sz="4" w:space="0"/>
              <w:right w:val="single" w:color="auto" w:sz="4" w:space="0"/>
            </w:tcBorders>
            <w:noWrap w:val="0"/>
            <w:vAlign w:val="center"/>
          </w:tcPr>
          <w:p w14:paraId="231440B1">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w:t>
            </w:r>
            <w:r>
              <w:rPr>
                <w:rFonts w:ascii="宋体" w:hAnsi="宋体"/>
                <w:color w:val="000000" w:themeColor="text1"/>
                <w:szCs w:val="21"/>
                <w:highlight w:val="none"/>
                <w14:textFill>
                  <w14:solidFill>
                    <w14:schemeClr w14:val="tx1"/>
                  </w14:solidFill>
                </w14:textFill>
              </w:rPr>
              <w:t>1.2</w:t>
            </w:r>
          </w:p>
        </w:tc>
        <w:tc>
          <w:tcPr>
            <w:tcW w:w="8711" w:type="dxa"/>
            <w:tcBorders>
              <w:top w:val="single" w:color="auto" w:sz="4" w:space="0"/>
              <w:left w:val="single" w:color="auto" w:sz="4" w:space="0"/>
              <w:bottom w:val="single" w:color="auto" w:sz="4" w:space="0"/>
              <w:right w:val="single" w:color="auto" w:sz="4" w:space="0"/>
            </w:tcBorders>
            <w:noWrap w:val="0"/>
            <w:vAlign w:val="center"/>
          </w:tcPr>
          <w:p w14:paraId="6048BF7F">
            <w:pPr>
              <w:spacing w:line="360" w:lineRule="auto"/>
              <w:rPr>
                <w:rFonts w:ascii="宋体" w:hAnsi="宋体"/>
                <w:color w:val="000000" w:themeColor="text1"/>
                <w:szCs w:val="21"/>
                <w:highlight w:val="none"/>
                <w14:textFill>
                  <w14:solidFill>
                    <w14:schemeClr w14:val="tx1"/>
                  </w14:solidFill>
                </w14:textFill>
              </w:rPr>
            </w:pPr>
            <w:r>
              <w:rPr>
                <w:rFonts w:ascii="Wingdings 2" w:hAnsi="Wingdings 2"/>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不组织现场考察</w:t>
            </w:r>
          </w:p>
          <w:p w14:paraId="678C1CEF">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□组织现场考察：</w:t>
            </w:r>
          </w:p>
          <w:p w14:paraId="5F9598A4">
            <w:pPr>
              <w:spacing w:line="36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集中时间：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日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时</w:t>
            </w:r>
            <w:r>
              <w:rPr>
                <w:rFonts w:hint="eastAsia" w:ascii="宋体" w:hAnsi="宋体"/>
                <w:color w:val="000000" w:themeColor="text1"/>
                <w:szCs w:val="21"/>
                <w:highlight w:val="none"/>
                <w:u w:val="single"/>
                <w14:textFill>
                  <w14:solidFill>
                    <w14:schemeClr w14:val="tx1"/>
                  </w14:solidFill>
                </w14:textFill>
              </w:rPr>
              <w:t xml:space="preserve">  分</w:t>
            </w:r>
            <w:r>
              <w:rPr>
                <w:rFonts w:hint="eastAsia" w:ascii="宋体" w:hAnsi="宋体"/>
                <w:color w:val="000000" w:themeColor="text1"/>
                <w:szCs w:val="21"/>
                <w:highlight w:val="none"/>
                <w14:textFill>
                  <w14:solidFill>
                    <w14:schemeClr w14:val="tx1"/>
                  </w14:solidFill>
                </w14:textFill>
              </w:rPr>
              <w:t>，逾期后果自负。集中地点：</w:t>
            </w:r>
            <w:r>
              <w:rPr>
                <w:rFonts w:hint="eastAsia"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u w:val="single"/>
                <w14:textFill>
                  <w14:solidFill>
                    <w14:schemeClr w14:val="tx1"/>
                  </w14:solidFill>
                </w14:textFill>
              </w:rPr>
              <w:t xml:space="preserve">             </w:t>
            </w:r>
          </w:p>
          <w:p w14:paraId="73725F2F">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联系人：</w:t>
            </w:r>
            <w:r>
              <w:rPr>
                <w:rFonts w:hint="eastAsia"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；联系电话：</w:t>
            </w:r>
            <w:r>
              <w:rPr>
                <w:rFonts w:ascii="宋体" w:hAnsi="宋体"/>
                <w:color w:val="000000" w:themeColor="text1"/>
                <w:szCs w:val="21"/>
                <w:highlight w:val="none"/>
                <w:u w:val="single"/>
                <w14:textFill>
                  <w14:solidFill>
                    <w14:schemeClr w14:val="tx1"/>
                  </w14:solidFill>
                </w14:textFill>
              </w:rPr>
              <w:t xml:space="preserve">                </w:t>
            </w:r>
          </w:p>
        </w:tc>
      </w:tr>
      <w:tr w14:paraId="294F4F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58" w:hRule="atLeast"/>
        </w:trPr>
        <w:tc>
          <w:tcPr>
            <w:tcW w:w="895" w:type="dxa"/>
            <w:vMerge w:val="continue"/>
            <w:tcBorders>
              <w:left w:val="single" w:color="auto" w:sz="4" w:space="0"/>
              <w:bottom w:val="single" w:color="auto" w:sz="4" w:space="0"/>
              <w:right w:val="single" w:color="auto" w:sz="4" w:space="0"/>
            </w:tcBorders>
            <w:noWrap w:val="0"/>
            <w:vAlign w:val="center"/>
          </w:tcPr>
          <w:p w14:paraId="6C442A23">
            <w:pPr>
              <w:spacing w:line="360" w:lineRule="auto"/>
              <w:jc w:val="center"/>
              <w:rPr>
                <w:rFonts w:ascii="宋体" w:hAnsi="宋体"/>
                <w:color w:val="000000" w:themeColor="text1"/>
                <w:szCs w:val="21"/>
                <w:highlight w:val="none"/>
                <w14:textFill>
                  <w14:solidFill>
                    <w14:schemeClr w14:val="tx1"/>
                  </w14:solidFill>
                </w14:textFill>
              </w:rPr>
            </w:pPr>
          </w:p>
        </w:tc>
        <w:tc>
          <w:tcPr>
            <w:tcW w:w="8711" w:type="dxa"/>
            <w:tcBorders>
              <w:top w:val="single" w:color="auto" w:sz="4" w:space="0"/>
              <w:left w:val="single" w:color="auto" w:sz="4" w:space="0"/>
              <w:bottom w:val="single" w:color="auto" w:sz="4" w:space="0"/>
              <w:right w:val="single" w:color="auto" w:sz="4" w:space="0"/>
            </w:tcBorders>
            <w:noWrap w:val="0"/>
            <w:vAlign w:val="center"/>
          </w:tcPr>
          <w:p w14:paraId="3DCA33A8">
            <w:pPr>
              <w:spacing w:line="360" w:lineRule="auto"/>
              <w:rPr>
                <w:rFonts w:ascii="宋体" w:hAnsi="宋体"/>
                <w:color w:val="000000" w:themeColor="text1"/>
                <w:szCs w:val="21"/>
                <w:highlight w:val="none"/>
                <w14:textFill>
                  <w14:solidFill>
                    <w14:schemeClr w14:val="tx1"/>
                  </w14:solidFill>
                </w14:textFill>
              </w:rPr>
            </w:pPr>
            <w:r>
              <w:rPr>
                <w:rFonts w:ascii="Wingdings 2" w:hAnsi="Wingdings 2"/>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不组织召开开标前答疑会</w:t>
            </w:r>
          </w:p>
          <w:p w14:paraId="367CB2B8">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□组织召开开标前答疑会</w:t>
            </w:r>
          </w:p>
          <w:p w14:paraId="13DC3805">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会议开始时间：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日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时</w:t>
            </w:r>
            <w:r>
              <w:rPr>
                <w:rFonts w:hint="eastAsia" w:ascii="宋体" w:hAnsi="宋体"/>
                <w:color w:val="000000" w:themeColor="text1"/>
                <w:szCs w:val="21"/>
                <w:highlight w:val="none"/>
                <w:u w:val="single"/>
                <w14:textFill>
                  <w14:solidFill>
                    <w14:schemeClr w14:val="tx1"/>
                  </w14:solidFill>
                </w14:textFill>
              </w:rPr>
              <w:t xml:space="preserve">  分</w:t>
            </w:r>
            <w:r>
              <w:rPr>
                <w:rFonts w:hint="eastAsia" w:ascii="宋体" w:hAnsi="宋体"/>
                <w:color w:val="000000" w:themeColor="text1"/>
                <w:szCs w:val="21"/>
                <w:highlight w:val="none"/>
                <w14:textFill>
                  <w14:solidFill>
                    <w14:schemeClr w14:val="tx1"/>
                  </w14:solidFill>
                </w14:textFill>
              </w:rPr>
              <w:t>，逾期后果自负。会议地点：</w:t>
            </w:r>
            <w:r>
              <w:rPr>
                <w:rFonts w:hint="eastAsia"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u w:val="single"/>
                <w14:textFill>
                  <w14:solidFill>
                    <w14:schemeClr w14:val="tx1"/>
                  </w14:solidFill>
                </w14:textFill>
              </w:rPr>
              <w:t xml:space="preserve">             </w:t>
            </w:r>
          </w:p>
        </w:tc>
      </w:tr>
      <w:tr w14:paraId="357DA5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vMerge w:val="restart"/>
            <w:tcBorders>
              <w:top w:val="single" w:color="auto" w:sz="4" w:space="0"/>
              <w:left w:val="single" w:color="auto" w:sz="4" w:space="0"/>
              <w:right w:val="single" w:color="auto" w:sz="4" w:space="0"/>
            </w:tcBorders>
            <w:noWrap w:val="0"/>
            <w:vAlign w:val="center"/>
          </w:tcPr>
          <w:p w14:paraId="304A1A3C">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13</w:t>
            </w:r>
          </w:p>
        </w:tc>
        <w:tc>
          <w:tcPr>
            <w:tcW w:w="8711" w:type="dxa"/>
            <w:tcBorders>
              <w:top w:val="single" w:color="auto" w:sz="4" w:space="0"/>
              <w:left w:val="single" w:color="auto" w:sz="4" w:space="0"/>
              <w:bottom w:val="single" w:color="auto" w:sz="4" w:space="0"/>
              <w:right w:val="single" w:color="auto" w:sz="4" w:space="0"/>
            </w:tcBorders>
            <w:noWrap w:val="0"/>
            <w:vAlign w:val="center"/>
          </w:tcPr>
          <w:p w14:paraId="0D1DA6F5">
            <w:pPr>
              <w:spacing w:line="360" w:lineRule="auto"/>
              <w:jc w:val="left"/>
              <w:rPr>
                <w:rFonts w:ascii="宋体" w:hAnsi="宋体" w:cs="Courier New"/>
                <w:b/>
                <w:color w:val="000000" w:themeColor="text1"/>
                <w:szCs w:val="21"/>
                <w:highlight w:val="none"/>
                <w14:textFill>
                  <w14:solidFill>
                    <w14:schemeClr w14:val="tx1"/>
                  </w14:solidFill>
                </w14:textFill>
              </w:rPr>
            </w:pPr>
            <w:r>
              <w:rPr>
                <w:rFonts w:hint="eastAsia" w:ascii="宋体" w:hAnsi="宋体" w:cs="Courier New"/>
                <w:b/>
                <w:color w:val="000000" w:themeColor="text1"/>
                <w:szCs w:val="21"/>
                <w:highlight w:val="none"/>
                <w14:textFill>
                  <w14:solidFill>
                    <w14:schemeClr w14:val="tx1"/>
                  </w14:solidFill>
                </w14:textFill>
              </w:rPr>
              <w:t>报价文件：</w:t>
            </w:r>
          </w:p>
          <w:p w14:paraId="739C9AB2">
            <w:pPr>
              <w:tabs>
                <w:tab w:val="left" w:pos="459"/>
              </w:tabs>
              <w:spacing w:line="360" w:lineRule="auto"/>
              <w:ind w:left="42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1.投标函（格式后附）；</w:t>
            </w:r>
            <w:r>
              <w:rPr>
                <w:rFonts w:hint="eastAsia" w:ascii="宋体" w:hAnsi="宋体"/>
                <w:b/>
                <w:color w:val="000000" w:themeColor="text1"/>
                <w:szCs w:val="21"/>
                <w:highlight w:val="none"/>
                <w14:textFill>
                  <w14:solidFill>
                    <w14:schemeClr w14:val="tx1"/>
                  </w14:solidFill>
                </w14:textFill>
              </w:rPr>
              <w:t>（必须提供，否则按无效投标处理）</w:t>
            </w:r>
          </w:p>
          <w:p w14:paraId="4E4FB7FA">
            <w:pPr>
              <w:tabs>
                <w:tab w:val="left" w:pos="459"/>
              </w:tabs>
              <w:spacing w:line="360" w:lineRule="auto"/>
              <w:ind w:left="42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2.开标一览表（格式后附）；（</w:t>
            </w:r>
            <w:r>
              <w:rPr>
                <w:rFonts w:hint="eastAsia" w:ascii="宋体" w:hAnsi="宋体"/>
                <w:b/>
                <w:color w:val="000000" w:themeColor="text1"/>
                <w:szCs w:val="21"/>
                <w:highlight w:val="none"/>
                <w14:textFill>
                  <w14:solidFill>
                    <w14:schemeClr w14:val="tx1"/>
                  </w14:solidFill>
                </w14:textFill>
              </w:rPr>
              <w:t>必须提供，否则按无效投标处理</w:t>
            </w:r>
            <w:r>
              <w:rPr>
                <w:rFonts w:hint="eastAsia" w:ascii="宋体" w:hAnsi="宋体"/>
                <w:color w:val="000000" w:themeColor="text1"/>
                <w:szCs w:val="21"/>
                <w:highlight w:val="none"/>
                <w14:textFill>
                  <w14:solidFill>
                    <w14:schemeClr w14:val="tx1"/>
                  </w14:solidFill>
                </w14:textFill>
              </w:rPr>
              <w:t>）</w:t>
            </w:r>
          </w:p>
          <w:p w14:paraId="1EC79418">
            <w:pPr>
              <w:tabs>
                <w:tab w:val="left" w:pos="459"/>
              </w:tabs>
              <w:spacing w:line="360" w:lineRule="auto"/>
              <w:ind w:left="42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3.投标人</w:t>
            </w:r>
            <w:r>
              <w:rPr>
                <w:rFonts w:ascii="宋体" w:hAnsi="宋体"/>
                <w:color w:val="000000" w:themeColor="text1"/>
                <w:szCs w:val="21"/>
                <w:highlight w:val="none"/>
                <w14:textFill>
                  <w14:solidFill>
                    <w14:schemeClr w14:val="tx1"/>
                  </w14:solidFill>
                </w14:textFill>
              </w:rPr>
              <w:t>享受</w:t>
            </w:r>
            <w:r>
              <w:rPr>
                <w:rFonts w:hint="eastAsia" w:ascii="宋体" w:hAnsi="宋体"/>
                <w:color w:val="000000" w:themeColor="text1"/>
                <w:szCs w:val="21"/>
                <w:highlight w:val="none"/>
                <w14:textFill>
                  <w14:solidFill>
                    <w14:schemeClr w14:val="tx1"/>
                  </w14:solidFill>
                </w14:textFill>
              </w:rPr>
              <w:t>中小企业扶持政策的材料（投标人根据自身响应情况，提供以下</w:t>
            </w:r>
            <w:r>
              <w:rPr>
                <w:rFonts w:ascii="宋体" w:hAnsi="宋体"/>
                <w:color w:val="000000" w:themeColor="text1"/>
                <w:szCs w:val="21"/>
                <w:highlight w:val="none"/>
                <w14:textFill>
                  <w14:solidFill>
                    <w14:schemeClr w14:val="tx1"/>
                  </w14:solidFill>
                </w14:textFill>
              </w:rPr>
              <w:t>任意一项材料以证明自身可享受中小企业</w:t>
            </w:r>
            <w:r>
              <w:rPr>
                <w:rFonts w:hint="eastAsia" w:ascii="宋体" w:hAnsi="宋体"/>
                <w:color w:val="000000" w:themeColor="text1"/>
                <w:szCs w:val="21"/>
                <w:highlight w:val="none"/>
                <w14:textFill>
                  <w14:solidFill>
                    <w14:schemeClr w14:val="tx1"/>
                  </w14:solidFill>
                </w14:textFill>
              </w:rPr>
              <w:t>扶持政策）：</w:t>
            </w:r>
          </w:p>
          <w:p w14:paraId="3F30A5E7">
            <w:pPr>
              <w:tabs>
                <w:tab w:val="left" w:pos="459"/>
              </w:tabs>
              <w:spacing w:line="360" w:lineRule="auto"/>
              <w:ind w:left="420"/>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1</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《中小企业声明函》（格式后附）；</w:t>
            </w:r>
          </w:p>
          <w:p w14:paraId="0227BEF8">
            <w:pPr>
              <w:tabs>
                <w:tab w:val="left" w:pos="459"/>
              </w:tabs>
              <w:spacing w:line="360" w:lineRule="auto"/>
              <w:ind w:left="42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（2）《残疾人福利性单位声明函》（格式后附）</w:t>
            </w:r>
          </w:p>
          <w:p w14:paraId="31444B79">
            <w:pPr>
              <w:tabs>
                <w:tab w:val="left" w:pos="459"/>
              </w:tabs>
              <w:spacing w:line="360" w:lineRule="auto"/>
              <w:ind w:left="420"/>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3</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省级以上监狱管理局、戒毒管理局</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含新疆生产建设兵团</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 xml:space="preserve">出具的属于监狱企业的证明文件； </w:t>
            </w:r>
          </w:p>
          <w:p w14:paraId="674766BD">
            <w:pPr>
              <w:tabs>
                <w:tab w:val="left" w:pos="459"/>
              </w:tabs>
              <w:spacing w:line="360" w:lineRule="auto"/>
              <w:ind w:left="630" w:hanging="210"/>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 xml:space="preserve"> 《关于符合本国产品标准的声明函》或者财政部会同有关部门规定的有关证明文件；（供应商根据自身响应情况出具）</w:t>
            </w:r>
          </w:p>
          <w:p w14:paraId="26602A7A">
            <w:pPr>
              <w:tabs>
                <w:tab w:val="left" w:pos="459"/>
              </w:tabs>
              <w:spacing w:line="360" w:lineRule="auto"/>
              <w:ind w:left="420"/>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投标人针对报价需要说明的其他文件和说明（格式自拟）。</w:t>
            </w:r>
          </w:p>
          <w:p w14:paraId="01983C1C">
            <w:pPr>
              <w:spacing w:line="360" w:lineRule="auto"/>
              <w:ind w:firstLine="422"/>
              <w:jc w:val="left"/>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注：</w:t>
            </w:r>
            <w:r>
              <w:rPr>
                <w:rFonts w:hint="eastAsia" w:ascii="宋体" w:hAnsi="宋体"/>
                <w:b/>
                <w:bCs/>
                <w:color w:val="000000" w:themeColor="text1"/>
                <w:szCs w:val="21"/>
                <w:highlight w:val="none"/>
                <w14:textFill>
                  <w14:solidFill>
                    <w14:schemeClr w14:val="tx1"/>
                  </w14:solidFill>
                </w14:textFill>
              </w:rPr>
              <w:t>以上标明“必须提供”的材料，格式</w:t>
            </w:r>
            <w:r>
              <w:rPr>
                <w:rFonts w:hint="eastAsia" w:ascii="宋体" w:hAnsi="宋体" w:cs="宋体"/>
                <w:b/>
                <w:color w:val="000000" w:themeColor="text1"/>
                <w:szCs w:val="21"/>
                <w:highlight w:val="none"/>
                <w14:textFill>
                  <w14:solidFill>
                    <w14:schemeClr w14:val="tx1"/>
                  </w14:solidFill>
                </w14:textFill>
              </w:rPr>
              <w:t>中有要求法定代表人或者委托代理人签字的，必须按要求签字并加盖投标人电子签章</w:t>
            </w:r>
            <w:r>
              <w:rPr>
                <w:rFonts w:hint="eastAsia" w:ascii="宋体" w:hAnsi="宋体"/>
                <w:b/>
                <w:bCs/>
                <w:color w:val="000000" w:themeColor="text1"/>
                <w:szCs w:val="21"/>
                <w:highlight w:val="none"/>
                <w14:textFill>
                  <w14:solidFill>
                    <w14:schemeClr w14:val="tx1"/>
                  </w14:solidFill>
                </w14:textFill>
              </w:rPr>
              <w:t>，否则按无效投标</w:t>
            </w:r>
            <w:r>
              <w:rPr>
                <w:rFonts w:hint="eastAsia" w:ascii="宋体" w:hAnsi="宋体" w:cs="Courier New"/>
                <w:b/>
                <w:color w:val="000000" w:themeColor="text1"/>
                <w:szCs w:val="21"/>
                <w:highlight w:val="none"/>
                <w14:textFill>
                  <w14:solidFill>
                    <w14:schemeClr w14:val="tx1"/>
                  </w14:solidFill>
                </w14:textFill>
              </w:rPr>
              <w:t>处理。</w:t>
            </w:r>
          </w:p>
        </w:tc>
      </w:tr>
      <w:tr w14:paraId="4A1509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vMerge w:val="continue"/>
            <w:tcBorders>
              <w:left w:val="single" w:color="auto" w:sz="4" w:space="0"/>
              <w:right w:val="single" w:color="auto" w:sz="4" w:space="0"/>
            </w:tcBorders>
            <w:noWrap w:val="0"/>
            <w:vAlign w:val="center"/>
          </w:tcPr>
          <w:p w14:paraId="43974A8A">
            <w:pPr>
              <w:spacing w:line="360" w:lineRule="auto"/>
              <w:rPr>
                <w:rFonts w:ascii="宋体" w:hAnsi="宋体"/>
                <w:color w:val="000000" w:themeColor="text1"/>
                <w:szCs w:val="21"/>
                <w:highlight w:val="none"/>
                <w14:textFill>
                  <w14:solidFill>
                    <w14:schemeClr w14:val="tx1"/>
                  </w14:solidFill>
                </w14:textFill>
              </w:rPr>
            </w:pPr>
          </w:p>
        </w:tc>
        <w:tc>
          <w:tcPr>
            <w:tcW w:w="8711" w:type="dxa"/>
            <w:tcBorders>
              <w:top w:val="single" w:color="auto" w:sz="4" w:space="0"/>
              <w:left w:val="single" w:color="auto" w:sz="4" w:space="0"/>
              <w:bottom w:val="single" w:color="auto" w:sz="4" w:space="0"/>
              <w:right w:val="single" w:color="auto" w:sz="4" w:space="0"/>
            </w:tcBorders>
            <w:noWrap w:val="0"/>
            <w:vAlign w:val="center"/>
          </w:tcPr>
          <w:p w14:paraId="76D22CB0">
            <w:pPr>
              <w:spacing w:line="360" w:lineRule="auto"/>
              <w:jc w:val="left"/>
              <w:rPr>
                <w:rFonts w:ascii="宋体" w:hAnsi="宋体" w:cs="Courier New"/>
                <w:b/>
                <w:color w:val="000000" w:themeColor="text1"/>
                <w:szCs w:val="21"/>
                <w:highlight w:val="none"/>
                <w14:textFill>
                  <w14:solidFill>
                    <w14:schemeClr w14:val="tx1"/>
                  </w14:solidFill>
                </w14:textFill>
              </w:rPr>
            </w:pPr>
            <w:r>
              <w:rPr>
                <w:rFonts w:hint="eastAsia" w:ascii="宋体" w:hAnsi="宋体" w:cs="Courier New"/>
                <w:b/>
                <w:color w:val="000000" w:themeColor="text1"/>
                <w:szCs w:val="21"/>
                <w:highlight w:val="none"/>
                <w14:textFill>
                  <w14:solidFill>
                    <w14:schemeClr w14:val="tx1"/>
                  </w14:solidFill>
                </w14:textFill>
              </w:rPr>
              <w:t>资格证明文件</w:t>
            </w:r>
          </w:p>
          <w:p w14:paraId="3317A0B2">
            <w:pPr>
              <w:spacing w:line="360" w:lineRule="auto"/>
              <w:ind w:firstLine="420"/>
              <w:jc w:val="left"/>
              <w:rPr>
                <w:rFonts w:ascii="宋体" w:hAnsi="宋体" w:cs="Courier New"/>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1.投标人为法人或者其他组织的，提供营业执照等证明文件</w:t>
            </w:r>
            <w:r>
              <w:rPr>
                <w:rFonts w:hint="eastAsia" w:ascii="宋体" w:hAnsi="宋体" w:cs="宋体"/>
                <w:color w:val="000000" w:themeColor="text1"/>
                <w:szCs w:val="21"/>
                <w:highlight w:val="none"/>
                <w14:textFill>
                  <w14:solidFill>
                    <w14:schemeClr w14:val="tx1"/>
                  </w14:solidFill>
                </w14:textFill>
              </w:rPr>
              <w:t>（如营业执照或者事业单位法人证书或者</w:t>
            </w:r>
            <w:r>
              <w:rPr>
                <w:rStyle w:val="292"/>
                <w:color w:val="000000" w:themeColor="text1"/>
                <w:sz w:val="21"/>
                <w:szCs w:val="21"/>
                <w:highlight w:val="none"/>
                <w14:textFill>
                  <w14:solidFill>
                    <w14:schemeClr w14:val="tx1"/>
                  </w14:solidFill>
                </w14:textFill>
              </w:rPr>
              <w:t>执业许可证</w:t>
            </w:r>
            <w:r>
              <w:rPr>
                <w:rFonts w:hint="eastAsia" w:ascii="宋体" w:hAnsi="宋体" w:cs="宋体"/>
                <w:color w:val="000000" w:themeColor="text1"/>
                <w:szCs w:val="21"/>
                <w:highlight w:val="none"/>
                <w14:textFill>
                  <w14:solidFill>
                    <w14:schemeClr w14:val="tx1"/>
                  </w14:solidFill>
                </w14:textFill>
              </w:rPr>
              <w:t>或者登记证书等）</w:t>
            </w:r>
            <w:r>
              <w:rPr>
                <w:rFonts w:hint="eastAsia" w:ascii="宋体" w:hAnsi="宋体"/>
                <w:color w:val="000000" w:themeColor="text1"/>
                <w:szCs w:val="21"/>
                <w:highlight w:val="none"/>
                <w14:textFill>
                  <w14:solidFill>
                    <w14:schemeClr w14:val="tx1"/>
                  </w14:solidFill>
                </w14:textFill>
              </w:rPr>
              <w:t>，投标人为自然人的，提供身份证</w:t>
            </w:r>
            <w:r>
              <w:rPr>
                <w:rFonts w:hint="eastAsia" w:ascii="宋体" w:hAnsi="宋体" w:cs="宋体"/>
                <w:color w:val="000000" w:themeColor="text1"/>
                <w:szCs w:val="21"/>
                <w:highlight w:val="none"/>
                <w14:textFill>
                  <w14:solidFill>
                    <w14:schemeClr w14:val="tx1"/>
                  </w14:solidFill>
                </w14:textFill>
              </w:rPr>
              <w:t>复印件</w:t>
            </w:r>
            <w:r>
              <w:rPr>
                <w:rFonts w:hint="eastAsia" w:ascii="宋体" w:hAnsi="宋体"/>
                <w:color w:val="000000" w:themeColor="text1"/>
                <w:szCs w:val="21"/>
                <w:highlight w:val="none"/>
                <w14:textFill>
                  <w14:solidFill>
                    <w14:schemeClr w14:val="tx1"/>
                  </w14:solidFill>
                </w14:textFill>
              </w:rPr>
              <w:t>；（</w:t>
            </w:r>
            <w:r>
              <w:rPr>
                <w:rFonts w:hint="eastAsia" w:ascii="宋体" w:hAnsi="宋体"/>
                <w:b/>
                <w:color w:val="000000" w:themeColor="text1"/>
                <w:szCs w:val="21"/>
                <w:highlight w:val="none"/>
                <w14:textFill>
                  <w14:solidFill>
                    <w14:schemeClr w14:val="tx1"/>
                  </w14:solidFill>
                </w14:textFill>
              </w:rPr>
              <w:t>必须提供，否则按无效投标处理</w:t>
            </w:r>
            <w:r>
              <w:rPr>
                <w:rFonts w:hint="eastAsia" w:ascii="宋体" w:hAnsi="宋体"/>
                <w:color w:val="000000" w:themeColor="text1"/>
                <w:szCs w:val="21"/>
                <w:highlight w:val="none"/>
                <w14:textFill>
                  <w14:solidFill>
                    <w14:schemeClr w14:val="tx1"/>
                  </w14:solidFill>
                </w14:textFill>
              </w:rPr>
              <w:t>）</w:t>
            </w:r>
          </w:p>
          <w:p w14:paraId="09C58B14">
            <w:pPr>
              <w:spacing w:line="360" w:lineRule="auto"/>
              <w:ind w:firstLine="420"/>
              <w:jc w:val="left"/>
              <w:rPr>
                <w:rFonts w:ascii="宋体" w:hAnsi="宋体" w:cs="Courier New"/>
                <w:b/>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2.投标人依法缴纳税收的相关材料（</w:t>
            </w:r>
            <w:r>
              <w:rPr>
                <w:rFonts w:hint="eastAsia" w:ascii="宋体" w:hAnsi="宋体" w:cs="宋体"/>
                <w:color w:val="000000" w:themeColor="text1"/>
                <w:szCs w:val="21"/>
                <w:highlight w:val="none"/>
                <w:u w:val="single"/>
                <w14:textFill>
                  <w14:solidFill>
                    <w14:schemeClr w14:val="tx1"/>
                  </w14:solidFill>
                </w14:textFill>
              </w:rPr>
              <w:t xml:space="preserve"> 202</w:t>
            </w:r>
            <w:r>
              <w:rPr>
                <w:rFonts w:hint="eastAsia" w:ascii="宋体" w:hAnsi="宋体" w:cs="宋体"/>
                <w:color w:val="000000" w:themeColor="text1"/>
                <w:szCs w:val="21"/>
                <w:highlight w:val="none"/>
                <w:u w:val="single"/>
                <w:lang w:val="en-US" w:eastAsia="zh-CN"/>
                <w14:textFill>
                  <w14:solidFill>
                    <w14:schemeClr w14:val="tx1"/>
                  </w14:solidFill>
                </w14:textFill>
              </w:rPr>
              <w:t>6</w:t>
            </w:r>
            <w:r>
              <w:rPr>
                <w:rFonts w:hint="eastAsia" w:ascii="宋体" w:hAnsi="宋体" w:cs="宋体"/>
                <w:color w:val="000000" w:themeColor="text1"/>
                <w:szCs w:val="21"/>
                <w:highlight w:val="none"/>
                <w14:textFill>
                  <w14:solidFill>
                    <w14:schemeClr w14:val="tx1"/>
                  </w14:solidFill>
                </w14:textFill>
              </w:rPr>
              <w:t>年</w:t>
            </w:r>
            <w:r>
              <w:rPr>
                <w:rFonts w:hint="eastAsia" w:ascii="宋体" w:hAnsi="宋体" w:cs="宋体"/>
                <w:color w:val="000000" w:themeColor="text1"/>
                <w:szCs w:val="21"/>
                <w:highlight w:val="none"/>
                <w:u w:val="single"/>
                <w:lang w:val="en-US" w:eastAsia="zh-CN"/>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月至</w:t>
            </w:r>
            <w:r>
              <w:rPr>
                <w:rFonts w:hint="eastAsia" w:ascii="宋体" w:hAnsi="宋体" w:cs="宋体"/>
                <w:color w:val="000000" w:themeColor="text1"/>
                <w:szCs w:val="21"/>
                <w:highlight w:val="none"/>
                <w:u w:val="single"/>
                <w14:textFill>
                  <w14:solidFill>
                    <w14:schemeClr w14:val="tx1"/>
                  </w14:solidFill>
                </w14:textFill>
              </w:rPr>
              <w:t xml:space="preserve"> 2026</w:t>
            </w:r>
            <w:r>
              <w:rPr>
                <w:rFonts w:hint="eastAsia" w:ascii="宋体" w:hAnsi="宋体" w:cs="宋体"/>
                <w:color w:val="000000" w:themeColor="text1"/>
                <w:szCs w:val="21"/>
                <w:highlight w:val="none"/>
                <w14:textFill>
                  <w14:solidFill>
                    <w14:schemeClr w14:val="tx1"/>
                  </w14:solidFill>
                </w14:textFill>
              </w:rPr>
              <w:t>年</w:t>
            </w:r>
            <w:r>
              <w:rPr>
                <w:rFonts w:hint="eastAsia" w:ascii="宋体" w:hAnsi="宋体" w:cs="宋体"/>
                <w:color w:val="000000" w:themeColor="text1"/>
                <w:szCs w:val="21"/>
                <w:highlight w:val="none"/>
                <w:u w:val="single"/>
                <w:lang w:val="en-US" w:eastAsia="zh-CN"/>
                <w14:textFill>
                  <w14:solidFill>
                    <w14:schemeClr w14:val="tx1"/>
                  </w14:solidFill>
                </w14:textFill>
              </w:rPr>
              <w:t>9</w:t>
            </w:r>
            <w:r>
              <w:rPr>
                <w:rFonts w:hint="eastAsia" w:ascii="宋体" w:hAnsi="宋体" w:cs="宋体"/>
                <w:color w:val="000000" w:themeColor="text1"/>
                <w:szCs w:val="21"/>
                <w:highlight w:val="none"/>
                <w14:textFill>
                  <w14:solidFill>
                    <w14:schemeClr w14:val="tx1"/>
                  </w14:solidFill>
                </w14:textFill>
              </w:rPr>
              <w:t>月内</w:t>
            </w:r>
            <w:r>
              <w:rPr>
                <w:rFonts w:hint="eastAsia"/>
                <w:color w:val="000000" w:themeColor="text1"/>
                <w:highlight w:val="none"/>
                <w14:textFill>
                  <w14:solidFill>
                    <w14:schemeClr w14:val="tx1"/>
                  </w14:solidFill>
                </w14:textFill>
              </w:rPr>
              <w:t>任意</w:t>
            </w:r>
            <w:r>
              <w:rPr>
                <w:rFonts w:hint="eastAsia" w:ascii="宋体" w:hAnsi="宋体" w:cs="宋体"/>
                <w:color w:val="000000" w:themeColor="text1"/>
                <w:szCs w:val="21"/>
                <w:highlight w:val="none"/>
                <w14:textFill>
                  <w14:solidFill>
                    <w14:schemeClr w14:val="tx1"/>
                  </w14:solidFill>
                </w14:textFill>
              </w:rPr>
              <w:t>连续</w:t>
            </w:r>
            <w:r>
              <w:rPr>
                <w:rFonts w:hint="eastAsia" w:ascii="宋体" w:hAnsi="宋体" w:cs="宋体"/>
                <w:color w:val="000000" w:themeColor="text1"/>
                <w:szCs w:val="21"/>
                <w:highlight w:val="none"/>
                <w:u w:val="single"/>
                <w14:textFill>
                  <w14:solidFill>
                    <w14:schemeClr w14:val="tx1"/>
                  </w14:solidFill>
                </w14:textFill>
              </w:rPr>
              <w:t xml:space="preserve"> 3 </w:t>
            </w:r>
            <w:r>
              <w:rPr>
                <w:rFonts w:hint="eastAsia" w:ascii="宋体" w:hAnsi="宋体" w:cs="宋体"/>
                <w:color w:val="000000" w:themeColor="text1"/>
                <w:szCs w:val="21"/>
                <w:highlight w:val="none"/>
                <w14:textFill>
                  <w14:solidFill>
                    <w14:schemeClr w14:val="tx1"/>
                  </w14:solidFill>
                </w14:textFill>
              </w:rPr>
              <w:t>个月的依法缴纳税收的</w:t>
            </w:r>
            <w:r>
              <w:rPr>
                <w:rFonts w:hint="eastAsia"/>
                <w:color w:val="000000" w:themeColor="text1"/>
                <w:highlight w:val="none"/>
                <w14:textFill>
                  <w14:solidFill>
                    <w14:schemeClr w14:val="tx1"/>
                  </w14:solidFill>
                </w14:textFill>
              </w:rPr>
              <w:t>证明材料</w:t>
            </w:r>
            <w:r>
              <w:rPr>
                <w:rFonts w:hint="eastAsia" w:ascii="宋体" w:hAnsi="宋体" w:cs="宋体"/>
                <w:color w:val="000000" w:themeColor="text1"/>
                <w:szCs w:val="21"/>
                <w:highlight w:val="none"/>
                <w14:textFill>
                  <w14:solidFill>
                    <w14:schemeClr w14:val="tx1"/>
                  </w14:solidFill>
                </w14:textFill>
              </w:rPr>
              <w:t>复印件；</w:t>
            </w:r>
            <w:r>
              <w:rPr>
                <w:rFonts w:hint="eastAsia" w:ascii="宋体" w:hAnsi="宋体"/>
                <w:color w:val="000000" w:themeColor="text1"/>
                <w:szCs w:val="21"/>
                <w:highlight w:val="none"/>
                <w14:textFill>
                  <w14:solidFill>
                    <w14:schemeClr w14:val="tx1"/>
                  </w14:solidFill>
                </w14:textFill>
              </w:rPr>
              <w:t>依法免税的供应商，</w:t>
            </w:r>
            <w:r>
              <w:rPr>
                <w:rFonts w:hint="eastAsia"/>
                <w:color w:val="000000" w:themeColor="text1"/>
                <w:highlight w:val="none"/>
                <w14:textFill>
                  <w14:solidFill>
                    <w14:schemeClr w14:val="tx1"/>
                  </w14:solidFill>
                </w14:textFill>
              </w:rPr>
              <w:t>必须提供符合免税条件的证明材料</w:t>
            </w:r>
            <w:r>
              <w:rPr>
                <w:rFonts w:hint="eastAsia" w:ascii="宋体" w:hAnsi="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从</w:t>
            </w:r>
            <w:r>
              <w:rPr>
                <w:rFonts w:hint="eastAsia"/>
                <w:color w:val="000000" w:themeColor="text1"/>
                <w:szCs w:val="21"/>
                <w:highlight w:val="none"/>
                <w14:textFill>
                  <w14:solidFill>
                    <w14:schemeClr w14:val="tx1"/>
                  </w14:solidFill>
                </w14:textFill>
              </w:rPr>
              <w:t>成立之日</w:t>
            </w:r>
            <w:r>
              <w:rPr>
                <w:rFonts w:hint="eastAsia" w:ascii="宋体" w:hAnsi="宋体" w:cs="宋体"/>
                <w:color w:val="000000" w:themeColor="text1"/>
                <w:szCs w:val="21"/>
                <w:highlight w:val="none"/>
                <w14:textFill>
                  <w14:solidFill>
                    <w14:schemeClr w14:val="tx1"/>
                  </w14:solidFill>
                </w14:textFill>
              </w:rPr>
              <w:t>起到投标文件提交截止时间止不足要求月数的，只需提供从</w:t>
            </w:r>
            <w:r>
              <w:rPr>
                <w:rFonts w:hint="eastAsia"/>
                <w:color w:val="000000" w:themeColor="text1"/>
                <w:szCs w:val="21"/>
                <w:highlight w:val="none"/>
                <w14:textFill>
                  <w14:solidFill>
                    <w14:schemeClr w14:val="tx1"/>
                  </w14:solidFill>
                </w14:textFill>
              </w:rPr>
              <w:t>成立之日起</w:t>
            </w:r>
            <w:r>
              <w:rPr>
                <w:rFonts w:hint="eastAsia" w:ascii="宋体" w:hAnsi="宋体" w:cs="宋体"/>
                <w:color w:val="000000" w:themeColor="text1"/>
                <w:szCs w:val="21"/>
                <w:highlight w:val="none"/>
                <w14:textFill>
                  <w14:solidFill>
                    <w14:schemeClr w14:val="tx1"/>
                  </w14:solidFill>
                </w14:textFill>
              </w:rPr>
              <w:t>的依法缴纳税收</w:t>
            </w:r>
            <w:r>
              <w:rPr>
                <w:rFonts w:hint="eastAsia" w:ascii="宋体" w:hAnsi="宋体"/>
                <w:color w:val="000000" w:themeColor="text1"/>
                <w:szCs w:val="21"/>
                <w:highlight w:val="none"/>
                <w14:textFill>
                  <w14:solidFill>
                    <w14:schemeClr w14:val="tx1"/>
                  </w14:solidFill>
                </w14:textFill>
              </w:rPr>
              <w:t>相应证明文件</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w:t>
            </w:r>
            <w:r>
              <w:rPr>
                <w:rFonts w:hint="eastAsia" w:ascii="宋体" w:hAnsi="宋体"/>
                <w:b/>
                <w:color w:val="000000" w:themeColor="text1"/>
                <w:szCs w:val="21"/>
                <w:highlight w:val="none"/>
                <w14:textFill>
                  <w14:solidFill>
                    <w14:schemeClr w14:val="tx1"/>
                  </w14:solidFill>
                </w14:textFill>
              </w:rPr>
              <w:t>必须提供，否则按无效投标处理</w:t>
            </w:r>
            <w:r>
              <w:rPr>
                <w:rFonts w:hint="eastAsia" w:ascii="宋体" w:hAnsi="宋体"/>
                <w:color w:val="000000" w:themeColor="text1"/>
                <w:szCs w:val="21"/>
                <w:highlight w:val="none"/>
                <w14:textFill>
                  <w14:solidFill>
                    <w14:schemeClr w14:val="tx1"/>
                  </w14:solidFill>
                </w14:textFill>
              </w:rPr>
              <w:t>）</w:t>
            </w:r>
          </w:p>
          <w:p w14:paraId="38429C21">
            <w:pPr>
              <w:spacing w:line="360" w:lineRule="auto"/>
              <w:ind w:firstLine="420"/>
              <w:jc w:val="left"/>
              <w:rPr>
                <w:rFonts w:ascii="宋体" w:hAnsi="宋体" w:cs="Courier New"/>
                <w:b/>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3.投标人依法缴纳社会保障资金的相关材料[202</w:t>
            </w:r>
            <w:r>
              <w:rPr>
                <w:rFonts w:hint="eastAsia" w:ascii="宋体" w:hAnsi="宋体" w:cs="宋体"/>
                <w:color w:val="000000" w:themeColor="text1"/>
                <w:szCs w:val="21"/>
                <w:highlight w:val="none"/>
                <w:lang w:val="en-US" w:eastAsia="zh-CN"/>
                <w14:textFill>
                  <w14:solidFill>
                    <w14:schemeClr w14:val="tx1"/>
                  </w14:solidFill>
                </w14:textFill>
              </w:rPr>
              <w:t>6</w:t>
            </w:r>
            <w:r>
              <w:rPr>
                <w:rFonts w:hint="eastAsia" w:ascii="宋体" w:hAnsi="宋体" w:cs="宋体"/>
                <w:color w:val="000000" w:themeColor="text1"/>
                <w:szCs w:val="21"/>
                <w:highlight w:val="none"/>
                <w14:textFill>
                  <w14:solidFill>
                    <w14:schemeClr w14:val="tx1"/>
                  </w14:solidFill>
                </w14:textFill>
              </w:rPr>
              <w:t>年</w:t>
            </w:r>
            <w:r>
              <w:rPr>
                <w:rFonts w:hint="eastAsia" w:ascii="宋体" w:hAnsi="宋体" w:cs="宋体"/>
                <w:color w:val="000000" w:themeColor="text1"/>
                <w:szCs w:val="21"/>
                <w:highlight w:val="none"/>
                <w:lang w:val="en-US" w:eastAsia="zh-CN"/>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月至 2026年</w:t>
            </w:r>
            <w:r>
              <w:rPr>
                <w:rFonts w:hint="eastAsia" w:ascii="宋体" w:hAnsi="宋体" w:cs="宋体"/>
                <w:color w:val="000000" w:themeColor="text1"/>
                <w:szCs w:val="21"/>
                <w:highlight w:val="none"/>
                <w:lang w:val="en-US" w:eastAsia="zh-CN"/>
                <w14:textFill>
                  <w14:solidFill>
                    <w14:schemeClr w14:val="tx1"/>
                  </w14:solidFill>
                </w14:textFill>
              </w:rPr>
              <w:t>9</w:t>
            </w:r>
            <w:r>
              <w:rPr>
                <w:rFonts w:hint="eastAsia" w:ascii="宋体" w:hAnsi="宋体" w:cs="宋体"/>
                <w:color w:val="000000" w:themeColor="text1"/>
                <w:szCs w:val="21"/>
                <w:highlight w:val="none"/>
                <w14:textFill>
                  <w14:solidFill>
                    <w14:schemeClr w14:val="tx1"/>
                  </w14:solidFill>
                </w14:textFill>
              </w:rPr>
              <w:t>月内任意连续</w:t>
            </w:r>
            <w:r>
              <w:rPr>
                <w:rFonts w:hint="eastAsia" w:ascii="宋体" w:hAnsi="宋体" w:cs="宋体"/>
                <w:color w:val="000000" w:themeColor="text1"/>
                <w:szCs w:val="21"/>
                <w:highlight w:val="none"/>
                <w:u w:val="single"/>
                <w14:textFill>
                  <w14:solidFill>
                    <w14:schemeClr w14:val="tx1"/>
                  </w14:solidFill>
                </w14:textFill>
              </w:rPr>
              <w:t xml:space="preserve"> 3  </w:t>
            </w:r>
            <w:r>
              <w:rPr>
                <w:rFonts w:hint="eastAsia" w:ascii="宋体" w:hAnsi="宋体" w:cs="宋体"/>
                <w:color w:val="000000" w:themeColor="text1"/>
                <w:szCs w:val="21"/>
                <w:highlight w:val="none"/>
                <w14:textFill>
                  <w14:solidFill>
                    <w14:schemeClr w14:val="tx1"/>
                  </w14:solidFill>
                </w14:textFill>
              </w:rPr>
              <w:t>个月的依法缴纳社会保障资金的缴费</w:t>
            </w:r>
            <w:r>
              <w:rPr>
                <w:rFonts w:hint="eastAsia"/>
                <w:color w:val="000000" w:themeColor="text1"/>
                <w:highlight w:val="none"/>
                <w14:textFill>
                  <w14:solidFill>
                    <w14:schemeClr w14:val="tx1"/>
                  </w14:solidFill>
                </w14:textFill>
              </w:rPr>
              <w:t>证明材料</w:t>
            </w:r>
            <w:r>
              <w:rPr>
                <w:rFonts w:hint="eastAsia" w:ascii="宋体" w:hAnsi="宋体" w:cs="宋体"/>
                <w:color w:val="000000" w:themeColor="text1"/>
                <w:szCs w:val="21"/>
                <w:highlight w:val="none"/>
                <w14:textFill>
                  <w14:solidFill>
                    <w14:schemeClr w14:val="tx1"/>
                  </w14:solidFill>
                </w14:textFill>
              </w:rPr>
              <w:t>（</w:t>
            </w:r>
            <w:r>
              <w:rPr>
                <w:rFonts w:hint="eastAsia"/>
                <w:color w:val="000000" w:themeColor="text1"/>
                <w:highlight w:val="none"/>
                <w14:textFill>
                  <w14:solidFill>
                    <w14:schemeClr w14:val="tx1"/>
                  </w14:solidFill>
                </w14:textFill>
              </w:rPr>
              <w:t>如：</w:t>
            </w:r>
            <w:r>
              <w:rPr>
                <w:rFonts w:hint="eastAsia" w:ascii="宋体" w:hAnsi="宋体" w:cs="宋体"/>
                <w:color w:val="000000" w:themeColor="text1"/>
                <w:szCs w:val="21"/>
                <w:highlight w:val="none"/>
                <w14:textFill>
                  <w14:solidFill>
                    <w14:schemeClr w14:val="tx1"/>
                  </w14:solidFill>
                </w14:textFill>
              </w:rPr>
              <w:t>专用收据、社会保险缴纳清单或者社保部门的证明）复印件；</w:t>
            </w:r>
            <w:r>
              <w:rPr>
                <w:rFonts w:hint="eastAsia" w:ascii="宋体" w:hAnsi="宋体"/>
                <w:color w:val="000000" w:themeColor="text1"/>
                <w:szCs w:val="21"/>
                <w:highlight w:val="none"/>
                <w14:textFill>
                  <w14:solidFill>
                    <w14:schemeClr w14:val="tx1"/>
                  </w14:solidFill>
                </w14:textFill>
              </w:rPr>
              <w:t>依法不需要缴纳社会保障资金的供应商，必须提供相应文件证明不需要缴纳社会保障资金。</w:t>
            </w:r>
            <w:r>
              <w:rPr>
                <w:rFonts w:hint="eastAsia" w:ascii="宋体" w:hAnsi="宋体" w:cs="宋体"/>
                <w:color w:val="000000" w:themeColor="text1"/>
                <w:szCs w:val="21"/>
                <w:highlight w:val="none"/>
                <w14:textFill>
                  <w14:solidFill>
                    <w14:schemeClr w14:val="tx1"/>
                  </w14:solidFill>
                </w14:textFill>
              </w:rPr>
              <w:t>从</w:t>
            </w:r>
            <w:r>
              <w:rPr>
                <w:rFonts w:hint="eastAsia"/>
                <w:color w:val="000000" w:themeColor="text1"/>
                <w:szCs w:val="21"/>
                <w:highlight w:val="none"/>
                <w14:textFill>
                  <w14:solidFill>
                    <w14:schemeClr w14:val="tx1"/>
                  </w14:solidFill>
                </w14:textFill>
              </w:rPr>
              <w:t>成立之日起</w:t>
            </w:r>
            <w:r>
              <w:rPr>
                <w:rFonts w:hint="eastAsia" w:ascii="宋体" w:hAnsi="宋体" w:cs="宋体"/>
                <w:color w:val="000000" w:themeColor="text1"/>
                <w:szCs w:val="21"/>
                <w:highlight w:val="none"/>
                <w14:textFill>
                  <w14:solidFill>
                    <w14:schemeClr w14:val="tx1"/>
                  </w14:solidFill>
                </w14:textFill>
              </w:rPr>
              <w:t>到投标文件提交截止时间止不足要求月数的只需提供从</w:t>
            </w:r>
            <w:r>
              <w:rPr>
                <w:rFonts w:hint="eastAsia"/>
                <w:color w:val="000000" w:themeColor="text1"/>
                <w:szCs w:val="21"/>
                <w:highlight w:val="none"/>
                <w14:textFill>
                  <w14:solidFill>
                    <w14:schemeClr w14:val="tx1"/>
                  </w14:solidFill>
                </w14:textFill>
              </w:rPr>
              <w:t>成立之日起</w:t>
            </w:r>
            <w:r>
              <w:rPr>
                <w:rFonts w:hint="eastAsia" w:ascii="宋体" w:hAnsi="宋体" w:cs="宋体"/>
                <w:color w:val="000000" w:themeColor="text1"/>
                <w:szCs w:val="21"/>
                <w:highlight w:val="none"/>
                <w14:textFill>
                  <w14:solidFill>
                    <w14:schemeClr w14:val="tx1"/>
                  </w14:solidFill>
                </w14:textFill>
              </w:rPr>
              <w:t>的依法缴纳社会保障资金的</w:t>
            </w:r>
            <w:r>
              <w:rPr>
                <w:rFonts w:hint="eastAsia" w:ascii="宋体" w:hAnsi="宋体"/>
                <w:color w:val="000000" w:themeColor="text1"/>
                <w:szCs w:val="21"/>
                <w:highlight w:val="none"/>
                <w14:textFill>
                  <w14:solidFill>
                    <w14:schemeClr w14:val="tx1"/>
                  </w14:solidFill>
                </w14:textFill>
              </w:rPr>
              <w:t>相应证明文件</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w:t>
            </w:r>
            <w:r>
              <w:rPr>
                <w:rFonts w:hint="eastAsia" w:ascii="宋体" w:hAnsi="宋体"/>
                <w:b/>
                <w:color w:val="000000" w:themeColor="text1"/>
                <w:szCs w:val="21"/>
                <w:highlight w:val="none"/>
                <w14:textFill>
                  <w14:solidFill>
                    <w14:schemeClr w14:val="tx1"/>
                  </w14:solidFill>
                </w14:textFill>
              </w:rPr>
              <w:t>必须提供，否则按无效投标处理</w:t>
            </w:r>
            <w:r>
              <w:rPr>
                <w:rFonts w:hint="eastAsia" w:ascii="宋体" w:hAnsi="宋体"/>
                <w:color w:val="000000" w:themeColor="text1"/>
                <w:szCs w:val="21"/>
                <w:highlight w:val="none"/>
                <w14:textFill>
                  <w14:solidFill>
                    <w14:schemeClr w14:val="tx1"/>
                  </w14:solidFill>
                </w14:textFill>
              </w:rPr>
              <w:t>）</w:t>
            </w:r>
          </w:p>
          <w:p w14:paraId="6010A370">
            <w:pPr>
              <w:spacing w:line="360" w:lineRule="auto"/>
              <w:ind w:firstLine="420"/>
              <w:jc w:val="left"/>
              <w:rPr>
                <w:rFonts w:ascii="宋体" w:hAnsi="宋体" w:cs="Courier New"/>
                <w:b/>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4.投标人</w:t>
            </w:r>
            <w:r>
              <w:rPr>
                <w:rFonts w:hint="eastAsia"/>
                <w:color w:val="000000" w:themeColor="text1"/>
                <w:szCs w:val="21"/>
                <w:highlight w:val="none"/>
                <w14:textFill>
                  <w14:solidFill>
                    <w14:schemeClr w14:val="tx1"/>
                  </w14:solidFill>
                </w14:textFill>
              </w:rPr>
              <w:t>财务状况报告</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2025</w:t>
            </w:r>
            <w:r>
              <w:rPr>
                <w:rFonts w:hint="eastAsia" w:ascii="宋体" w:hAnsi="宋体"/>
                <w:color w:val="000000" w:themeColor="text1"/>
                <w:szCs w:val="21"/>
                <w:highlight w:val="none"/>
                <w14:textFill>
                  <w14:solidFill>
                    <w14:schemeClr w14:val="tx1"/>
                  </w14:solidFill>
                </w14:textFill>
              </w:rPr>
              <w:t>年度财务报表复印件，或者银行出具的资信证明，或者中国人民银行征信中心出具的信用报告（企业投标的提供企业信用报告，自然人投标的提供个人信用报告</w:t>
            </w:r>
            <w:r>
              <w:rPr>
                <w:rFonts w:hint="eastAsia" w:ascii="宋体" w:hAnsi="宋体"/>
                <w:color w:val="000000" w:themeColor="text1"/>
                <w:highlight w:val="none"/>
                <w14:textFill>
                  <w14:solidFill>
                    <w14:schemeClr w14:val="tx1"/>
                  </w14:solidFill>
                </w14:textFill>
              </w:rPr>
              <w:t>，投标人</w:t>
            </w:r>
            <w:r>
              <w:rPr>
                <w:rFonts w:ascii="宋体" w:hAnsi="宋体"/>
                <w:color w:val="000000" w:themeColor="text1"/>
                <w:highlight w:val="none"/>
                <w14:textFill>
                  <w14:solidFill>
                    <w14:schemeClr w14:val="tx1"/>
                  </w14:solidFill>
                </w14:textFill>
              </w:rPr>
              <w:t>属于成立时间在规定年度之后的法人或其他组织</w:t>
            </w:r>
            <w:r>
              <w:rPr>
                <w:rFonts w:hint="eastAsia" w:ascii="宋体" w:hAnsi="宋体"/>
                <w:color w:val="000000" w:themeColor="text1"/>
                <w:highlight w:val="none"/>
                <w14:textFill>
                  <w14:solidFill>
                    <w14:schemeClr w14:val="tx1"/>
                  </w14:solidFill>
                </w14:textFill>
              </w:rPr>
              <w:t>，需提供成立之日起至投标截止时间前的月报表</w:t>
            </w:r>
            <w:r>
              <w:rPr>
                <w:rFonts w:hint="eastAsia" w:ascii="宋体" w:hAnsi="宋体"/>
                <w:color w:val="000000" w:themeColor="text1"/>
                <w:szCs w:val="21"/>
                <w:highlight w:val="none"/>
                <w14:textFill>
                  <w14:solidFill>
                    <w14:schemeClr w14:val="tx1"/>
                  </w14:solidFill>
                </w14:textFill>
              </w:rPr>
              <w:t>或银行出具的资信证明或者中国人民银行征信中心出具的企业信用报告；资信证明应在有效期内，未注明有效期的，银行出具时间至投标截止时间不超过一年]</w:t>
            </w:r>
            <w:r>
              <w:rPr>
                <w:rFonts w:hint="eastAsia"/>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w:t>
            </w:r>
            <w:r>
              <w:rPr>
                <w:rFonts w:hint="eastAsia" w:ascii="宋体" w:hAnsi="宋体"/>
                <w:b/>
                <w:color w:val="000000" w:themeColor="text1"/>
                <w:szCs w:val="21"/>
                <w:highlight w:val="none"/>
                <w14:textFill>
                  <w14:solidFill>
                    <w14:schemeClr w14:val="tx1"/>
                  </w14:solidFill>
                </w14:textFill>
              </w:rPr>
              <w:t>必须提供，否则按无效投标处理</w:t>
            </w:r>
            <w:r>
              <w:rPr>
                <w:rFonts w:hint="eastAsia" w:ascii="宋体" w:hAnsi="宋体"/>
                <w:color w:val="000000" w:themeColor="text1"/>
                <w:szCs w:val="21"/>
                <w:highlight w:val="none"/>
                <w14:textFill>
                  <w14:solidFill>
                    <w14:schemeClr w14:val="tx1"/>
                  </w14:solidFill>
                </w14:textFill>
              </w:rPr>
              <w:t>）</w:t>
            </w:r>
          </w:p>
          <w:p w14:paraId="486943A2">
            <w:pPr>
              <w:spacing w:line="360" w:lineRule="auto"/>
              <w:ind w:firstLine="42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5.投标人直接控股股东信息表（格式后附）；（</w:t>
            </w:r>
            <w:r>
              <w:rPr>
                <w:rFonts w:hint="eastAsia" w:ascii="宋体" w:hAnsi="宋体"/>
                <w:b/>
                <w:color w:val="000000" w:themeColor="text1"/>
                <w:szCs w:val="21"/>
                <w:highlight w:val="none"/>
                <w14:textFill>
                  <w14:solidFill>
                    <w14:schemeClr w14:val="tx1"/>
                  </w14:solidFill>
                </w14:textFill>
              </w:rPr>
              <w:t>必须提供，否则按无效投标处理</w:t>
            </w:r>
            <w:r>
              <w:rPr>
                <w:rFonts w:hint="eastAsia" w:ascii="宋体" w:hAnsi="宋体"/>
                <w:color w:val="000000" w:themeColor="text1"/>
                <w:szCs w:val="21"/>
                <w:highlight w:val="none"/>
                <w14:textFill>
                  <w14:solidFill>
                    <w14:schemeClr w14:val="tx1"/>
                  </w14:solidFill>
                </w14:textFill>
              </w:rPr>
              <w:t>）</w:t>
            </w:r>
          </w:p>
          <w:p w14:paraId="5CDAFB48">
            <w:pPr>
              <w:spacing w:line="360" w:lineRule="auto"/>
              <w:ind w:firstLine="42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 投标人直接管理关系信息表（格式后附）；（</w:t>
            </w:r>
            <w:r>
              <w:rPr>
                <w:rFonts w:hint="eastAsia" w:ascii="宋体" w:hAnsi="宋体"/>
                <w:b/>
                <w:color w:val="000000" w:themeColor="text1"/>
                <w:szCs w:val="21"/>
                <w:highlight w:val="none"/>
                <w14:textFill>
                  <w14:solidFill>
                    <w14:schemeClr w14:val="tx1"/>
                  </w14:solidFill>
                </w14:textFill>
              </w:rPr>
              <w:t>必须提供，否则按无效投标处理</w:t>
            </w:r>
            <w:r>
              <w:rPr>
                <w:rFonts w:hint="eastAsia" w:ascii="宋体" w:hAnsi="宋体"/>
                <w:color w:val="000000" w:themeColor="text1"/>
                <w:szCs w:val="21"/>
                <w:highlight w:val="none"/>
                <w14:textFill>
                  <w14:solidFill>
                    <w14:schemeClr w14:val="tx1"/>
                  </w14:solidFill>
                </w14:textFill>
              </w:rPr>
              <w:t>）</w:t>
            </w:r>
          </w:p>
          <w:p w14:paraId="2C66C49F">
            <w:pPr>
              <w:spacing w:line="360" w:lineRule="auto"/>
              <w:ind w:firstLine="420"/>
              <w:jc w:val="left"/>
              <w:rPr>
                <w:rFonts w:ascii="宋体" w:hAnsi="宋体" w:cs="Courier New"/>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7.投标声明（格式后附）；（</w:t>
            </w:r>
            <w:r>
              <w:rPr>
                <w:rFonts w:hint="eastAsia" w:ascii="宋体" w:hAnsi="宋体"/>
                <w:b/>
                <w:color w:val="000000" w:themeColor="text1"/>
                <w:szCs w:val="21"/>
                <w:highlight w:val="none"/>
                <w14:textFill>
                  <w14:solidFill>
                    <w14:schemeClr w14:val="tx1"/>
                  </w14:solidFill>
                </w14:textFill>
              </w:rPr>
              <w:t>必须提供，否则按无效投标处理</w:t>
            </w:r>
            <w:r>
              <w:rPr>
                <w:rFonts w:hint="eastAsia" w:ascii="宋体" w:hAnsi="宋体"/>
                <w:color w:val="000000" w:themeColor="text1"/>
                <w:szCs w:val="21"/>
                <w:highlight w:val="none"/>
                <w14:textFill>
                  <w14:solidFill>
                    <w14:schemeClr w14:val="tx1"/>
                  </w14:solidFill>
                </w14:textFill>
              </w:rPr>
              <w:t>）</w:t>
            </w:r>
          </w:p>
          <w:p w14:paraId="19B9527F">
            <w:pPr>
              <w:spacing w:line="360" w:lineRule="auto"/>
              <w:ind w:firstLine="42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8. </w:t>
            </w:r>
            <w:r>
              <w:rPr>
                <w:rFonts w:hint="eastAsia" w:ascii="宋体" w:hAnsi="宋体"/>
                <w:color w:val="000000" w:themeColor="text1"/>
                <w:szCs w:val="21"/>
                <w:highlight w:val="none"/>
                <w:lang w:val="en-US" w:eastAsia="zh-CN"/>
                <w14:textFill>
                  <w14:solidFill>
                    <w14:schemeClr w14:val="tx1"/>
                  </w14:solidFill>
                </w14:textFill>
              </w:rPr>
              <w:t>1分标、2分标、3分标：</w:t>
            </w:r>
            <w:r>
              <w:rPr>
                <w:rFonts w:hint="eastAsia" w:ascii="宋体" w:hAnsi="宋体"/>
                <w:color w:val="000000" w:themeColor="text1"/>
                <w:szCs w:val="21"/>
                <w:highlight w:val="none"/>
                <w14:textFill>
                  <w14:solidFill>
                    <w14:schemeClr w14:val="tx1"/>
                  </w14:solidFill>
                </w14:textFill>
              </w:rPr>
              <w:t>投标人</w:t>
            </w:r>
            <w:r>
              <w:rPr>
                <w:rFonts w:ascii="宋体" w:hAnsi="宋体"/>
                <w:color w:val="000000" w:themeColor="text1"/>
                <w:szCs w:val="21"/>
                <w:highlight w:val="none"/>
                <w14:textFill>
                  <w14:solidFill>
                    <w14:schemeClr w14:val="tx1"/>
                  </w14:solidFill>
                </w14:textFill>
              </w:rPr>
              <w:t>按以下要求提供医疗器械的有关证明材料复印件：</w:t>
            </w:r>
          </w:p>
          <w:p w14:paraId="3090C19B">
            <w:pPr>
              <w:spacing w:line="360" w:lineRule="auto"/>
              <w:ind w:firstLine="42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w:t>
            </w:r>
            <w:r>
              <w:rPr>
                <w:rFonts w:ascii="宋体" w:hAnsi="宋体"/>
                <w:color w:val="000000" w:themeColor="text1"/>
                <w:szCs w:val="21"/>
                <w:highlight w:val="none"/>
                <w14:textFill>
                  <w14:solidFill>
                    <w14:schemeClr w14:val="tx1"/>
                  </w14:solidFill>
                </w14:textFill>
              </w:rPr>
              <w:t>有第二类医疗器械的，应提供有效的医疗器械经营备案凭证（经营范围包含采购的第二类医疗器械），符合《医疗器械监督管理条例》（国务院令第739号）第四十一条第二款规定的除外；如</w:t>
            </w:r>
            <w:r>
              <w:rPr>
                <w:rFonts w:hint="eastAsia" w:ascii="宋体" w:hAnsi="宋体"/>
                <w:color w:val="000000" w:themeColor="text1"/>
                <w:szCs w:val="21"/>
                <w:highlight w:val="none"/>
                <w14:textFill>
                  <w14:solidFill>
                    <w14:schemeClr w14:val="tx1"/>
                  </w14:solidFill>
                </w14:textFill>
              </w:rPr>
              <w:t>投标人</w:t>
            </w:r>
            <w:r>
              <w:rPr>
                <w:rFonts w:ascii="宋体" w:hAnsi="宋体"/>
                <w:color w:val="000000" w:themeColor="text1"/>
                <w:szCs w:val="21"/>
                <w:highlight w:val="none"/>
                <w14:textFill>
                  <w14:solidFill>
                    <w14:schemeClr w14:val="tx1"/>
                  </w14:solidFill>
                </w14:textFill>
              </w:rPr>
              <w:t>符合《医疗器械监督管理条例》第四十三条“医疗器械注册人、备案人经营其注册、备案的医疗器械，无需办理医疗器械经营许可或者备案，但应当符合本条例规定的经营条件”规定的，仅需提供该医疗器械注册证（另附表格列明所投标对应产品的名称和规格型号，格式自拟）；</w:t>
            </w:r>
          </w:p>
          <w:p w14:paraId="3413F641">
            <w:pPr>
              <w:spacing w:line="360" w:lineRule="auto"/>
              <w:ind w:firstLine="420"/>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（2）有第三类医疗器械的，应提供有效的医疗器械经营许可证（经营范围包含采购的第三类医疗器械）；如</w:t>
            </w:r>
            <w:r>
              <w:rPr>
                <w:rFonts w:hint="eastAsia" w:ascii="宋体" w:hAnsi="宋体"/>
                <w:color w:val="000000" w:themeColor="text1"/>
                <w:szCs w:val="21"/>
                <w:highlight w:val="none"/>
                <w14:textFill>
                  <w14:solidFill>
                    <w14:schemeClr w14:val="tx1"/>
                  </w14:solidFill>
                </w14:textFill>
              </w:rPr>
              <w:t>投标人</w:t>
            </w:r>
            <w:r>
              <w:rPr>
                <w:rFonts w:ascii="宋体" w:hAnsi="宋体"/>
                <w:color w:val="000000" w:themeColor="text1"/>
                <w:szCs w:val="21"/>
                <w:highlight w:val="none"/>
                <w14:textFill>
                  <w14:solidFill>
                    <w14:schemeClr w14:val="tx1"/>
                  </w14:solidFill>
                </w14:textFill>
              </w:rPr>
              <w:t>符合《医疗器械监督管理条例》第四十三条“医疗器械注册人、备案人经营其注册、备案的医疗器械，无需办理医疗器械经营许可或者备案，但应当符合本条例规定的经营条件”规定的，仅需提供该医疗器械注册证（另附表格列明所投标对应产品的名称和规格型号，格式自拟）；</w:t>
            </w:r>
          </w:p>
          <w:p w14:paraId="2738BC35">
            <w:pPr>
              <w:spacing w:line="360" w:lineRule="auto"/>
              <w:ind w:firstLine="420"/>
              <w:jc w:val="left"/>
              <w:rPr>
                <w:rFonts w:hint="eastAsia"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（3）有第二类和第三类医疗器械的，应按上述（1）（2）要求提供。</w:t>
            </w:r>
            <w:r>
              <w:rPr>
                <w:rFonts w:hint="eastAsia" w:ascii="宋体" w:hAnsi="宋体"/>
                <w:color w:val="000000" w:themeColor="text1"/>
                <w:szCs w:val="21"/>
                <w:highlight w:val="none"/>
                <w14:textFill>
                  <w14:solidFill>
                    <w14:schemeClr w14:val="tx1"/>
                  </w14:solidFill>
                </w14:textFill>
              </w:rPr>
              <w:t>（</w:t>
            </w:r>
            <w:r>
              <w:rPr>
                <w:rFonts w:hint="eastAsia" w:ascii="宋体" w:hAnsi="宋体"/>
                <w:b/>
                <w:color w:val="000000" w:themeColor="text1"/>
                <w:szCs w:val="21"/>
                <w:highlight w:val="none"/>
                <w14:textFill>
                  <w14:solidFill>
                    <w14:schemeClr w14:val="tx1"/>
                  </w14:solidFill>
                </w14:textFill>
              </w:rPr>
              <w:t>必须提供，否则按无效投标处理</w:t>
            </w:r>
            <w:r>
              <w:rPr>
                <w:rFonts w:hint="eastAsia" w:ascii="宋体" w:hAnsi="宋体"/>
                <w:color w:val="000000" w:themeColor="text1"/>
                <w:szCs w:val="21"/>
                <w:highlight w:val="none"/>
                <w14:textFill>
                  <w14:solidFill>
                    <w14:schemeClr w14:val="tx1"/>
                  </w14:solidFill>
                </w14:textFill>
              </w:rPr>
              <w:t>）</w:t>
            </w:r>
          </w:p>
          <w:p w14:paraId="729BCC5C">
            <w:pPr>
              <w:spacing w:line="360" w:lineRule="auto"/>
              <w:ind w:firstLine="42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9.</w:t>
            </w:r>
            <w:r>
              <w:rPr>
                <w:rFonts w:hint="eastAsia" w:ascii="宋体" w:hAnsi="宋体"/>
                <w:color w:val="000000" w:themeColor="text1"/>
                <w:szCs w:val="21"/>
                <w:highlight w:val="none"/>
                <w14:textFill>
                  <w14:solidFill>
                    <w14:schemeClr w14:val="tx1"/>
                  </w14:solidFill>
                </w14:textFill>
              </w:rPr>
              <w:t>除招标文件规定必须提供以外，投标人认为需要提供的其他证明材料。</w:t>
            </w:r>
          </w:p>
          <w:p w14:paraId="1F34208A">
            <w:pPr>
              <w:spacing w:line="360" w:lineRule="auto"/>
              <w:contextualSpacing/>
              <w:jc w:val="left"/>
              <w:rPr>
                <w:rFonts w:ascii="宋体" w:hAnsi="宋体" w:cs="宋体"/>
                <w:b/>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注：</w:t>
            </w:r>
            <w:r>
              <w:rPr>
                <w:rFonts w:hint="eastAsia" w:ascii="宋体" w:hAnsi="宋体" w:cs="宋体"/>
                <w:b/>
                <w:color w:val="000000" w:themeColor="text1"/>
                <w:szCs w:val="21"/>
                <w:highlight w:val="none"/>
                <w14:textFill>
                  <w14:solidFill>
                    <w14:schemeClr w14:val="tx1"/>
                  </w14:solidFill>
                </w14:textFill>
              </w:rPr>
              <w:t>1.以上标明“必须提供”的材料必须加盖投标人</w:t>
            </w:r>
            <w:r>
              <w:rPr>
                <w:rFonts w:hint="eastAsia" w:ascii="宋体" w:hAnsi="宋体"/>
                <w:b/>
                <w:color w:val="000000" w:themeColor="text1"/>
                <w:szCs w:val="21"/>
                <w:highlight w:val="none"/>
                <w14:textFill>
                  <w14:solidFill>
                    <w14:schemeClr w14:val="tx1"/>
                  </w14:solidFill>
                </w14:textFill>
              </w:rPr>
              <w:t>电子签章</w:t>
            </w:r>
            <w:r>
              <w:rPr>
                <w:rFonts w:hint="eastAsia" w:ascii="宋体" w:hAnsi="宋体" w:cs="宋体"/>
                <w:b/>
                <w:color w:val="000000" w:themeColor="text1"/>
                <w:szCs w:val="21"/>
                <w:highlight w:val="none"/>
                <w14:textFill>
                  <w14:solidFill>
                    <w14:schemeClr w14:val="tx1"/>
                  </w14:solidFill>
                </w14:textFill>
              </w:rPr>
              <w:t>，必须提供的材料在第五章“投标文件格式”中有要求法定代表人或委托代理人签字的，必须由法定代表人或委托代理人签字（或者电子签名），否则投标文件按无效处理。</w:t>
            </w:r>
          </w:p>
          <w:p w14:paraId="175840E8">
            <w:pPr>
              <w:pStyle w:val="17"/>
              <w:spacing w:line="360" w:lineRule="auto"/>
              <w:rPr>
                <w:rFonts w:ascii="宋体" w:hAnsi="宋体" w:cs="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2.</w:t>
            </w:r>
            <w:r>
              <w:rPr>
                <w:rFonts w:hint="eastAsia" w:ascii="宋体" w:hAnsi="宋体" w:cs="宋体"/>
                <w:b/>
                <w:bCs/>
                <w:color w:val="000000" w:themeColor="text1"/>
                <w:szCs w:val="21"/>
                <w:highlight w:val="none"/>
                <w14:textFill>
                  <w14:solidFill>
                    <w14:schemeClr w14:val="tx1"/>
                  </w14:solidFill>
                </w14:textFill>
              </w:rPr>
              <w:t>投标文件（包含电子备份投标文件），其中电子投标文件中所须加盖公章部分均采用CA签章。若采购文件中有专门标注的某关联点，并要求投标人在电子投标系统中作出投标响应的，如投标人未对关联点进行响应或者在投标文件其它内容进行描述，造成电子评审不能查询的责任由投标人自行承担。</w:t>
            </w:r>
          </w:p>
          <w:p w14:paraId="25F7F998">
            <w:pPr>
              <w:spacing w:line="360" w:lineRule="auto"/>
              <w:jc w:val="left"/>
              <w:rPr>
                <w:rFonts w:ascii="宋体" w:hAnsi="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3.分公司参加投标的，应当取得总公司授权并在投标文件中提供授权书复印件，否则按无效投标处理。</w:t>
            </w:r>
          </w:p>
        </w:tc>
      </w:tr>
      <w:tr w14:paraId="637BA8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vMerge w:val="continue"/>
            <w:tcBorders>
              <w:left w:val="single" w:color="auto" w:sz="4" w:space="0"/>
              <w:right w:val="single" w:color="auto" w:sz="4" w:space="0"/>
            </w:tcBorders>
            <w:noWrap w:val="0"/>
            <w:vAlign w:val="center"/>
          </w:tcPr>
          <w:p w14:paraId="0AA2E215">
            <w:pPr>
              <w:spacing w:line="360" w:lineRule="auto"/>
              <w:rPr>
                <w:rFonts w:ascii="宋体" w:hAnsi="宋体"/>
                <w:color w:val="000000" w:themeColor="text1"/>
                <w:szCs w:val="21"/>
                <w:highlight w:val="none"/>
                <w14:textFill>
                  <w14:solidFill>
                    <w14:schemeClr w14:val="tx1"/>
                  </w14:solidFill>
                </w14:textFill>
              </w:rPr>
            </w:pPr>
          </w:p>
        </w:tc>
        <w:tc>
          <w:tcPr>
            <w:tcW w:w="8711" w:type="dxa"/>
            <w:tcBorders>
              <w:top w:val="single" w:color="auto" w:sz="4" w:space="0"/>
              <w:left w:val="single" w:color="auto" w:sz="4" w:space="0"/>
              <w:bottom w:val="single" w:color="auto" w:sz="4" w:space="0"/>
              <w:right w:val="single" w:color="auto" w:sz="4" w:space="0"/>
            </w:tcBorders>
            <w:noWrap w:val="0"/>
            <w:vAlign w:val="center"/>
          </w:tcPr>
          <w:p w14:paraId="377902B4">
            <w:pPr>
              <w:spacing w:line="360" w:lineRule="auto"/>
              <w:jc w:val="left"/>
              <w:rPr>
                <w:rFonts w:ascii="宋体" w:hAnsi="宋体" w:cs="Courier New"/>
                <w:b/>
                <w:color w:val="000000" w:themeColor="text1"/>
                <w:szCs w:val="21"/>
                <w:highlight w:val="none"/>
                <w14:textFill>
                  <w14:solidFill>
                    <w14:schemeClr w14:val="tx1"/>
                  </w14:solidFill>
                </w14:textFill>
              </w:rPr>
            </w:pPr>
            <w:r>
              <w:rPr>
                <w:rFonts w:hint="eastAsia"/>
                <w:b/>
                <w:color w:val="000000" w:themeColor="text1"/>
                <w:highlight w:val="none"/>
                <w:u w:val="single"/>
                <w14:textFill>
                  <w14:solidFill>
                    <w14:schemeClr w14:val="tx1"/>
                  </w14:solidFill>
                </w14:textFill>
              </w:rPr>
              <w:t>商务及技术文件</w:t>
            </w:r>
            <w:r>
              <w:rPr>
                <w:rFonts w:hint="eastAsia" w:ascii="宋体" w:hAnsi="宋体" w:cs="Courier New"/>
                <w:b/>
                <w:color w:val="000000" w:themeColor="text1"/>
                <w:szCs w:val="21"/>
                <w:highlight w:val="none"/>
                <w14:textFill>
                  <w14:solidFill>
                    <w14:schemeClr w14:val="tx1"/>
                  </w14:solidFill>
                </w14:textFill>
              </w:rPr>
              <w:t>：</w:t>
            </w:r>
          </w:p>
          <w:p w14:paraId="503FDE6F">
            <w:pPr>
              <w:spacing w:line="360" w:lineRule="auto"/>
              <w:ind w:left="413"/>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1.无串通投标行为的承诺函（格式后附）；（</w:t>
            </w:r>
            <w:r>
              <w:rPr>
                <w:rFonts w:hint="eastAsia" w:ascii="宋体" w:hAnsi="宋体"/>
                <w:b/>
                <w:color w:val="000000" w:themeColor="text1"/>
                <w:szCs w:val="21"/>
                <w:highlight w:val="none"/>
                <w14:textFill>
                  <w14:solidFill>
                    <w14:schemeClr w14:val="tx1"/>
                  </w14:solidFill>
                </w14:textFill>
              </w:rPr>
              <w:t>必须提供，否则按无效投标处理</w:t>
            </w:r>
            <w:r>
              <w:rPr>
                <w:rFonts w:hint="eastAsia" w:ascii="宋体" w:hAnsi="宋体"/>
                <w:color w:val="000000" w:themeColor="text1"/>
                <w:szCs w:val="21"/>
                <w:highlight w:val="none"/>
                <w14:textFill>
                  <w14:solidFill>
                    <w14:schemeClr w14:val="tx1"/>
                  </w14:solidFill>
                </w14:textFill>
              </w:rPr>
              <w:t>）</w:t>
            </w:r>
          </w:p>
          <w:p w14:paraId="21B30E3E">
            <w:pPr>
              <w:spacing w:line="360" w:lineRule="auto"/>
              <w:ind w:left="413"/>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2.投标保证金提交凭证；（</w:t>
            </w:r>
            <w:r>
              <w:rPr>
                <w:rFonts w:hint="eastAsia"/>
                <w:b/>
                <w:bCs/>
                <w:color w:val="000000" w:themeColor="text1"/>
                <w:highlight w:val="none"/>
                <w14:textFill>
                  <w14:solidFill>
                    <w14:schemeClr w14:val="tx1"/>
                  </w14:solidFill>
                </w14:textFill>
              </w:rPr>
              <w:t>如要求提交投标保证金的则必须提供</w:t>
            </w:r>
            <w:r>
              <w:rPr>
                <w:rFonts w:hint="eastAsia" w:ascii="宋体" w:hAnsi="宋体"/>
                <w:b/>
                <w:color w:val="000000" w:themeColor="text1"/>
                <w:szCs w:val="21"/>
                <w:highlight w:val="none"/>
                <w14:textFill>
                  <w14:solidFill>
                    <w14:schemeClr w14:val="tx1"/>
                  </w14:solidFill>
                </w14:textFill>
              </w:rPr>
              <w:t>，否则按无效投标处理</w:t>
            </w:r>
            <w:r>
              <w:rPr>
                <w:rFonts w:hint="eastAsia" w:ascii="宋体" w:hAnsi="宋体"/>
                <w:color w:val="000000" w:themeColor="text1"/>
                <w:szCs w:val="21"/>
                <w:highlight w:val="none"/>
                <w14:textFill>
                  <w14:solidFill>
                    <w14:schemeClr w14:val="tx1"/>
                  </w14:solidFill>
                </w14:textFill>
              </w:rPr>
              <w:t>）</w:t>
            </w:r>
          </w:p>
          <w:p w14:paraId="1607473D">
            <w:pPr>
              <w:spacing w:line="360" w:lineRule="auto"/>
              <w:ind w:left="413"/>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3.法定代表人身份证明及法定代表人有效身份证正反面复印件（格式后附）；（</w:t>
            </w:r>
            <w:r>
              <w:rPr>
                <w:rFonts w:hint="eastAsia" w:ascii="宋体" w:hAnsi="宋体" w:cs="宋体"/>
                <w:b/>
                <w:bCs/>
                <w:color w:val="000000" w:themeColor="text1"/>
                <w:szCs w:val="21"/>
                <w:highlight w:val="none"/>
                <w14:textFill>
                  <w14:solidFill>
                    <w14:schemeClr w14:val="tx1"/>
                  </w14:solidFill>
                </w14:textFill>
              </w:rPr>
              <w:t>除自然人投标外</w:t>
            </w:r>
            <w:r>
              <w:rPr>
                <w:rFonts w:hint="eastAsia" w:ascii="宋体" w:hAnsi="宋体"/>
                <w:b/>
                <w:color w:val="000000" w:themeColor="text1"/>
                <w:szCs w:val="21"/>
                <w:highlight w:val="none"/>
                <w14:textFill>
                  <w14:solidFill>
                    <w14:schemeClr w14:val="tx1"/>
                  </w14:solidFill>
                </w14:textFill>
              </w:rPr>
              <w:t>必须提供，否则按无效投标处理</w:t>
            </w:r>
            <w:r>
              <w:rPr>
                <w:rFonts w:hint="eastAsia" w:ascii="宋体" w:hAnsi="宋体"/>
                <w:color w:val="000000" w:themeColor="text1"/>
                <w:szCs w:val="21"/>
                <w:highlight w:val="none"/>
                <w14:textFill>
                  <w14:solidFill>
                    <w14:schemeClr w14:val="tx1"/>
                  </w14:solidFill>
                </w14:textFill>
              </w:rPr>
              <w:t>）</w:t>
            </w:r>
          </w:p>
          <w:p w14:paraId="1BBB78E9">
            <w:pPr>
              <w:spacing w:line="360" w:lineRule="auto"/>
              <w:ind w:left="413"/>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4.授权委托书及委托代理人有效身份证正反面复印件（格式后附）；（</w:t>
            </w:r>
            <w:r>
              <w:rPr>
                <w:rFonts w:hint="eastAsia" w:ascii="宋体" w:hAnsi="宋体"/>
                <w:b/>
                <w:color w:val="000000" w:themeColor="text1"/>
                <w:szCs w:val="21"/>
                <w:highlight w:val="none"/>
                <w14:textFill>
                  <w14:solidFill>
                    <w14:schemeClr w14:val="tx1"/>
                  </w14:solidFill>
                </w14:textFill>
              </w:rPr>
              <w:t>委托时必须提供，否则按无效投标处理</w:t>
            </w:r>
            <w:r>
              <w:rPr>
                <w:rFonts w:hint="eastAsia" w:ascii="宋体" w:hAnsi="宋体"/>
                <w:color w:val="000000" w:themeColor="text1"/>
                <w:szCs w:val="21"/>
                <w:highlight w:val="none"/>
                <w14:textFill>
                  <w14:solidFill>
                    <w14:schemeClr w14:val="tx1"/>
                  </w14:solidFill>
                </w14:textFill>
              </w:rPr>
              <w:t>）</w:t>
            </w:r>
          </w:p>
          <w:p w14:paraId="26D25DA0">
            <w:pPr>
              <w:spacing w:line="360" w:lineRule="auto"/>
              <w:ind w:left="413"/>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商务要求偏离表（格式后附）；（</w:t>
            </w:r>
            <w:r>
              <w:rPr>
                <w:rFonts w:hint="eastAsia" w:ascii="宋体" w:hAnsi="宋体"/>
                <w:b/>
                <w:color w:val="000000" w:themeColor="text1"/>
                <w:szCs w:val="21"/>
                <w:highlight w:val="none"/>
                <w14:textFill>
                  <w14:solidFill>
                    <w14:schemeClr w14:val="tx1"/>
                  </w14:solidFill>
                </w14:textFill>
              </w:rPr>
              <w:t>必须提供，否则按无效投标处理</w:t>
            </w:r>
            <w:r>
              <w:rPr>
                <w:rFonts w:hint="eastAsia" w:ascii="宋体" w:hAnsi="宋体"/>
                <w:color w:val="000000" w:themeColor="text1"/>
                <w:szCs w:val="21"/>
                <w:highlight w:val="none"/>
                <w14:textFill>
                  <w14:solidFill>
                    <w14:schemeClr w14:val="tx1"/>
                  </w14:solidFill>
                </w14:textFill>
              </w:rPr>
              <w:t>）</w:t>
            </w:r>
          </w:p>
          <w:p w14:paraId="208B1083">
            <w:pPr>
              <w:spacing w:line="360" w:lineRule="auto"/>
              <w:ind w:left="413"/>
              <w:jc w:val="left"/>
              <w:rPr>
                <w:color w:val="000000" w:themeColor="text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.售后服务方案（格式自拟）；（</w:t>
            </w:r>
            <w:r>
              <w:rPr>
                <w:rFonts w:hint="eastAsia" w:ascii="宋体" w:hAnsi="宋体"/>
                <w:b/>
                <w:color w:val="000000" w:themeColor="text1"/>
                <w:szCs w:val="21"/>
                <w:highlight w:val="none"/>
                <w14:textFill>
                  <w14:solidFill>
                    <w14:schemeClr w14:val="tx1"/>
                  </w14:solidFill>
                </w14:textFill>
              </w:rPr>
              <w:t>必须提供，否则按无效投标处理</w:t>
            </w:r>
            <w:r>
              <w:rPr>
                <w:rFonts w:hint="eastAsia" w:ascii="宋体" w:hAnsi="宋体"/>
                <w:color w:val="000000" w:themeColor="text1"/>
                <w:szCs w:val="21"/>
                <w:highlight w:val="none"/>
                <w14:textFill>
                  <w14:solidFill>
                    <w14:schemeClr w14:val="tx1"/>
                  </w14:solidFill>
                </w14:textFill>
              </w:rPr>
              <w:t>）</w:t>
            </w:r>
          </w:p>
          <w:p w14:paraId="6B287296">
            <w:pPr>
              <w:spacing w:line="360" w:lineRule="auto"/>
              <w:ind w:left="413"/>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7.代理服务费承诺书（格式后附）； </w:t>
            </w:r>
          </w:p>
          <w:p w14:paraId="32783218">
            <w:pPr>
              <w:spacing w:line="360" w:lineRule="auto"/>
              <w:ind w:left="42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8.设备性能配置清单（格式后附）；（</w:t>
            </w:r>
            <w:r>
              <w:rPr>
                <w:rFonts w:hint="eastAsia" w:ascii="宋体" w:hAnsi="宋体"/>
                <w:b/>
                <w:color w:val="000000" w:themeColor="text1"/>
                <w:szCs w:val="21"/>
                <w:highlight w:val="none"/>
                <w14:textFill>
                  <w14:solidFill>
                    <w14:schemeClr w14:val="tx1"/>
                  </w14:solidFill>
                </w14:textFill>
              </w:rPr>
              <w:t>必须提供，否则按无效投标处理</w:t>
            </w:r>
            <w:r>
              <w:rPr>
                <w:rFonts w:hint="eastAsia" w:ascii="宋体" w:hAnsi="宋体"/>
                <w:color w:val="000000" w:themeColor="text1"/>
                <w:szCs w:val="21"/>
                <w:highlight w:val="none"/>
                <w14:textFill>
                  <w14:solidFill>
                    <w14:schemeClr w14:val="tx1"/>
                  </w14:solidFill>
                </w14:textFill>
              </w:rPr>
              <w:t>）</w:t>
            </w:r>
          </w:p>
          <w:p w14:paraId="71150ACF">
            <w:pPr>
              <w:spacing w:line="360" w:lineRule="auto"/>
              <w:ind w:left="42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9.技术要求偏离表（格式后附）；（</w:t>
            </w:r>
            <w:r>
              <w:rPr>
                <w:rFonts w:hint="eastAsia" w:ascii="宋体" w:hAnsi="宋体"/>
                <w:b/>
                <w:color w:val="000000" w:themeColor="text1"/>
                <w:szCs w:val="21"/>
                <w:highlight w:val="none"/>
                <w14:textFill>
                  <w14:solidFill>
                    <w14:schemeClr w14:val="tx1"/>
                  </w14:solidFill>
                </w14:textFill>
              </w:rPr>
              <w:t>必须提供，否则按无效投标处理</w:t>
            </w:r>
            <w:r>
              <w:rPr>
                <w:rFonts w:hint="eastAsia" w:ascii="宋体" w:hAnsi="宋体"/>
                <w:color w:val="000000" w:themeColor="text1"/>
                <w:szCs w:val="21"/>
                <w:highlight w:val="none"/>
                <w14:textFill>
                  <w14:solidFill>
                    <w14:schemeClr w14:val="tx1"/>
                  </w14:solidFill>
                </w14:textFill>
              </w:rPr>
              <w:t>）</w:t>
            </w:r>
          </w:p>
          <w:p w14:paraId="514D583F">
            <w:pPr>
              <w:spacing w:line="360" w:lineRule="auto"/>
              <w:ind w:left="42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10.项目实施方案及质量保证措施（格式自拟）；</w:t>
            </w:r>
            <w:r>
              <w:rPr>
                <w:rFonts w:hint="eastAsia" w:ascii="宋体" w:hAnsi="宋体"/>
                <w:i/>
                <w:color w:val="000000" w:themeColor="text1"/>
                <w:szCs w:val="21"/>
                <w:highlight w:val="none"/>
                <w14:textFill>
                  <w14:solidFill>
                    <w14:schemeClr w14:val="tx1"/>
                  </w14:solidFill>
                </w14:textFill>
              </w:rPr>
              <w:t>（</w:t>
            </w:r>
            <w:r>
              <w:rPr>
                <w:rFonts w:hint="eastAsia" w:ascii="宋体" w:hAnsi="宋体"/>
                <w:b/>
                <w:color w:val="000000" w:themeColor="text1"/>
                <w:szCs w:val="21"/>
                <w:highlight w:val="none"/>
                <w14:textFill>
                  <w14:solidFill>
                    <w14:schemeClr w14:val="tx1"/>
                  </w14:solidFill>
                </w14:textFill>
              </w:rPr>
              <w:t>必须提供，否则按无效投标处理</w:t>
            </w:r>
            <w:r>
              <w:rPr>
                <w:rFonts w:hint="eastAsia" w:ascii="宋体" w:hAnsi="宋体"/>
                <w:i/>
                <w:color w:val="000000" w:themeColor="text1"/>
                <w:szCs w:val="21"/>
                <w:highlight w:val="none"/>
                <w14:textFill>
                  <w14:solidFill>
                    <w14:schemeClr w14:val="tx1"/>
                  </w14:solidFill>
                </w14:textFill>
              </w:rPr>
              <w:t>）</w:t>
            </w:r>
          </w:p>
          <w:p w14:paraId="7BDEB823">
            <w:pPr>
              <w:spacing w:line="360" w:lineRule="auto"/>
              <w:ind w:left="42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11.对本项目系统总体要求的理解。包括：功能说明、性能指标及设备选型说明（质量、性能、价格、外观、体积等方面进行比较和选择的理由及过程，格式自拟）；</w:t>
            </w:r>
          </w:p>
          <w:p w14:paraId="032072AA">
            <w:pPr>
              <w:spacing w:line="360" w:lineRule="auto"/>
              <w:ind w:left="42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12.产品出厂标准、质量检测报告【其中有精度要求的仪器设备类政府采购项目，应当要求投标人提供精度数据（</w:t>
            </w:r>
            <w:r>
              <w:rPr>
                <w:color w:val="000000" w:themeColor="text1"/>
                <w:highlight w:val="none"/>
                <w14:textFill>
                  <w14:solidFill>
                    <w14:schemeClr w14:val="tx1"/>
                  </w14:solidFill>
                </w14:textFill>
              </w:rPr>
              <w:t>国家认可具有资质的有资质的第三方检测机构出具的检测报告复印件</w:t>
            </w:r>
            <w:r>
              <w:rPr>
                <w:rFonts w:hint="eastAsia" w:ascii="宋体" w:hAnsi="宋体"/>
                <w:color w:val="000000" w:themeColor="text1"/>
                <w:szCs w:val="21"/>
                <w:highlight w:val="none"/>
                <w14:textFill>
                  <w14:solidFill>
                    <w14:schemeClr w14:val="tx1"/>
                  </w14:solidFill>
                </w14:textFill>
              </w:rPr>
              <w:t>或者由采购人在投标前组织的实测获得）】</w:t>
            </w:r>
          </w:p>
          <w:p w14:paraId="0957EC52">
            <w:pPr>
              <w:spacing w:line="360" w:lineRule="auto"/>
              <w:ind w:left="42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13.优惠条件：投标人承诺给予采购人的各种优惠条件，包括售后服务、备品备件、专用耗材等方面的优惠；投标人不得给予赠品或者与采购无关的其他商品、服务；</w:t>
            </w:r>
          </w:p>
          <w:p w14:paraId="31309D63">
            <w:pPr>
              <w:spacing w:line="360" w:lineRule="auto"/>
              <w:ind w:left="42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14.投标人对本项目的合理化建议和改进措施（格式自拟）；</w:t>
            </w:r>
          </w:p>
          <w:p w14:paraId="3FCF1718">
            <w:pPr>
              <w:spacing w:line="360" w:lineRule="auto"/>
              <w:ind w:left="420"/>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15.除招标文件规定必须提供以外，投标人认为需要提供的其他证明材料（格式自拟）。</w:t>
            </w:r>
          </w:p>
          <w:p w14:paraId="4D7BD9C3">
            <w:pPr>
              <w:spacing w:line="360" w:lineRule="auto"/>
              <w:ind w:left="413"/>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（投标人根据“第二章 采购需求”及“第四章 评标方法及评标标准”提供有关证明材料）。</w:t>
            </w:r>
          </w:p>
          <w:p w14:paraId="46A8B431">
            <w:pPr>
              <w:spacing w:line="360" w:lineRule="auto"/>
              <w:contextualSpacing/>
              <w:jc w:val="left"/>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1.以上标明“必须提供”的材料必须加盖投标人</w:t>
            </w:r>
            <w:r>
              <w:rPr>
                <w:rFonts w:hint="eastAsia" w:ascii="宋体" w:hAnsi="宋体"/>
                <w:b/>
                <w:color w:val="000000" w:themeColor="text1"/>
                <w:szCs w:val="21"/>
                <w:highlight w:val="none"/>
                <w14:textFill>
                  <w14:solidFill>
                    <w14:schemeClr w14:val="tx1"/>
                  </w14:solidFill>
                </w14:textFill>
              </w:rPr>
              <w:t>电子签章</w:t>
            </w:r>
            <w:r>
              <w:rPr>
                <w:rFonts w:hint="eastAsia" w:ascii="宋体" w:hAnsi="宋体" w:cs="宋体"/>
                <w:b/>
                <w:color w:val="000000" w:themeColor="text1"/>
                <w:szCs w:val="21"/>
                <w:highlight w:val="none"/>
                <w14:textFill>
                  <w14:solidFill>
                    <w14:schemeClr w14:val="tx1"/>
                  </w14:solidFill>
                </w14:textFill>
              </w:rPr>
              <w:t>，必须提供的材料在第五章“投标文件格式”中有要求法定代表人或委托代理人签字的，必须由法定代表人或委托代理人签字（或者电子签名），否则投标文件按无效处理。</w:t>
            </w:r>
          </w:p>
          <w:p w14:paraId="6BC3F11C">
            <w:pPr>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2.</w:t>
            </w:r>
            <w:r>
              <w:rPr>
                <w:rFonts w:hint="eastAsia" w:ascii="宋体" w:hAnsi="宋体" w:cs="宋体"/>
                <w:b/>
                <w:bCs/>
                <w:color w:val="000000" w:themeColor="text1"/>
                <w:szCs w:val="21"/>
                <w:highlight w:val="none"/>
                <w14:textFill>
                  <w14:solidFill>
                    <w14:schemeClr w14:val="tx1"/>
                  </w14:solidFill>
                </w14:textFill>
              </w:rPr>
              <w:t>投标文件（包含电子备份投标文件），其中电子投标文件中所须加盖公章部分均采用CA签章。若采购文件中有专门标注的某关联点，并要求投标人在电子投标系统中作出投标响应的，如投标人未对关联点进行响应或者在投标文件其它内容进行描述，造成电子评审不能查询的责任由供应商自行承担。</w:t>
            </w:r>
          </w:p>
        </w:tc>
      </w:tr>
      <w:tr w14:paraId="085FC3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2D6B39C1">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16.2</w:t>
            </w:r>
          </w:p>
        </w:tc>
        <w:tc>
          <w:tcPr>
            <w:tcW w:w="8711" w:type="dxa"/>
            <w:tcBorders>
              <w:top w:val="single" w:color="auto" w:sz="4" w:space="0"/>
              <w:left w:val="single" w:color="auto" w:sz="4" w:space="0"/>
              <w:bottom w:val="single" w:color="auto" w:sz="4" w:space="0"/>
              <w:right w:val="single" w:color="auto" w:sz="4" w:space="0"/>
            </w:tcBorders>
            <w:noWrap w:val="0"/>
            <w:vAlign w:val="center"/>
          </w:tcPr>
          <w:p w14:paraId="369A0169">
            <w:pPr>
              <w:spacing w:line="440" w:lineRule="exact"/>
              <w:rPr>
                <w:rFonts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投标报价是履行合同的最终价格，</w:t>
            </w:r>
            <w:r>
              <w:rPr>
                <w:rFonts w:hint="eastAsia"/>
                <w:color w:val="000000" w:themeColor="text1"/>
                <w:szCs w:val="21"/>
                <w:highlight w:val="none"/>
                <w14:textFill>
                  <w14:solidFill>
                    <w14:schemeClr w14:val="tx1"/>
                  </w14:solidFill>
                </w14:textFill>
              </w:rPr>
              <w:t>包括但不限于货款、标准附件、备品备件、专用工具、包装、运输、装卸、保险、税金、货到就位以及安装、调试、培训、保修、验收等一切税金和费用。投标人在固定总价中必须考虑各种风险费用。在合同履行过程中，采购人不予支付合同以外的其他费用。投标人负责工人人身、设备安全责任，验收前，设备丢失自行负责。</w:t>
            </w:r>
          </w:p>
        </w:tc>
      </w:tr>
      <w:tr w14:paraId="462B9A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7053DA11">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17.</w:t>
            </w:r>
            <w:r>
              <w:rPr>
                <w:rFonts w:ascii="宋体" w:hAnsi="宋体"/>
                <w:color w:val="000000" w:themeColor="text1"/>
                <w:szCs w:val="21"/>
                <w:highlight w:val="none"/>
                <w14:textFill>
                  <w14:solidFill>
                    <w14:schemeClr w14:val="tx1"/>
                  </w14:solidFill>
                </w14:textFill>
              </w:rPr>
              <w:t>2</w:t>
            </w:r>
          </w:p>
        </w:tc>
        <w:tc>
          <w:tcPr>
            <w:tcW w:w="8711" w:type="dxa"/>
            <w:tcBorders>
              <w:top w:val="single" w:color="auto" w:sz="4" w:space="0"/>
              <w:left w:val="single" w:color="auto" w:sz="4" w:space="0"/>
              <w:bottom w:val="single" w:color="auto" w:sz="4" w:space="0"/>
              <w:right w:val="single" w:color="auto" w:sz="4" w:space="0"/>
            </w:tcBorders>
            <w:noWrap w:val="0"/>
            <w:vAlign w:val="center"/>
          </w:tcPr>
          <w:p w14:paraId="327AD36F">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投标有效期：自投标截止之日起</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60</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tc>
      </w:tr>
      <w:tr w14:paraId="77A287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24D2B3FE">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18</w:t>
            </w:r>
            <w:r>
              <w:rPr>
                <w:rFonts w:ascii="宋体" w:hAnsi="宋体"/>
                <w:color w:val="000000" w:themeColor="text1"/>
                <w:szCs w:val="21"/>
                <w:highlight w:val="none"/>
                <w14:textFill>
                  <w14:solidFill>
                    <w14:schemeClr w14:val="tx1"/>
                  </w14:solidFill>
                </w14:textFill>
              </w:rPr>
              <w:t>.1</w:t>
            </w:r>
          </w:p>
        </w:tc>
        <w:tc>
          <w:tcPr>
            <w:tcW w:w="8711" w:type="dxa"/>
            <w:tcBorders>
              <w:top w:val="single" w:color="auto" w:sz="4" w:space="0"/>
              <w:left w:val="single" w:color="auto" w:sz="4" w:space="0"/>
              <w:bottom w:val="single" w:color="auto" w:sz="4" w:space="0"/>
              <w:right w:val="single" w:color="auto" w:sz="4" w:space="0"/>
            </w:tcBorders>
            <w:noWrap w:val="0"/>
            <w:vAlign w:val="center"/>
          </w:tcPr>
          <w:p w14:paraId="4484F648">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□本项目不收取投标保证金。</w:t>
            </w:r>
          </w:p>
          <w:p w14:paraId="0638CA6F">
            <w:pPr>
              <w:spacing w:line="360" w:lineRule="auto"/>
              <w:rPr>
                <w:rFonts w:ascii="宋体" w:hAnsi="宋体"/>
                <w:color w:val="000000" w:themeColor="text1"/>
                <w:szCs w:val="21"/>
                <w:highlight w:val="none"/>
                <w14:textFill>
                  <w14:solidFill>
                    <w14:schemeClr w14:val="tx1"/>
                  </w14:solidFill>
                </w14:textFill>
              </w:rPr>
            </w:pPr>
            <w:r>
              <w:rPr>
                <w:rFonts w:ascii="Wingdings 2" w:hAnsi="Wingdings 2"/>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本项目收取投标保证金，具体规定如下</w:t>
            </w:r>
            <w:r>
              <w:rPr>
                <w:rFonts w:hint="eastAsia" w:ascii="宋体" w:hAnsi="宋体" w:eastAsia="宋体" w:cs="宋体"/>
                <w:b/>
                <w:bCs/>
                <w:color w:val="000000" w:themeColor="text1"/>
                <w:szCs w:val="21"/>
                <w:highlight w:val="none"/>
                <w:u w:val="single"/>
                <w:lang w:val="en-US" w:eastAsia="zh-CN"/>
                <w14:textFill>
                  <w14:solidFill>
                    <w14:schemeClr w14:val="tx1"/>
                  </w14:solidFill>
                </w14:textFill>
              </w:rPr>
              <w:t>：1分标：壹万元整（</w:t>
            </w:r>
            <w:r>
              <w:rPr>
                <w:rFonts w:hint="eastAsia" w:ascii="Malgun Gothic" w:hAnsi="Malgun Gothic" w:eastAsia="Malgun Gothic" w:cs="Malgun Gothic"/>
                <w:b/>
                <w:bCs/>
                <w:color w:val="000000" w:themeColor="text1"/>
                <w:szCs w:val="21"/>
                <w:highlight w:val="none"/>
                <w:u w:val="single"/>
                <w14:textFill>
                  <w14:solidFill>
                    <w14:schemeClr w14:val="tx1"/>
                  </w14:solidFill>
                </w14:textFill>
              </w:rPr>
              <w:t>￥</w:t>
            </w:r>
            <w:r>
              <w:rPr>
                <w:rFonts w:hint="eastAsia" w:ascii="宋体" w:hAnsi="宋体" w:eastAsia="宋体" w:cs="宋体"/>
                <w:b/>
                <w:bCs/>
                <w:color w:val="000000" w:themeColor="text1"/>
                <w:szCs w:val="21"/>
                <w:highlight w:val="none"/>
                <w:u w:val="single"/>
                <w:lang w:val="en-US" w:eastAsia="zh-CN"/>
                <w14:textFill>
                  <w14:solidFill>
                    <w14:schemeClr w14:val="tx1"/>
                  </w14:solidFill>
                </w14:textFill>
              </w:rPr>
              <w:t>10000.00）；2分标：壹万叁仟元整（</w:t>
            </w:r>
            <w:r>
              <w:rPr>
                <w:rFonts w:hint="eastAsia" w:ascii="Malgun Gothic" w:hAnsi="Malgun Gothic" w:eastAsia="Malgun Gothic" w:cs="Malgun Gothic"/>
                <w:b/>
                <w:bCs/>
                <w:color w:val="000000" w:themeColor="text1"/>
                <w:szCs w:val="21"/>
                <w:highlight w:val="none"/>
                <w:u w:val="single"/>
                <w14:textFill>
                  <w14:solidFill>
                    <w14:schemeClr w14:val="tx1"/>
                  </w14:solidFill>
                </w14:textFill>
              </w:rPr>
              <w:t>￥</w:t>
            </w:r>
            <w:r>
              <w:rPr>
                <w:rFonts w:hint="eastAsia" w:ascii="宋体" w:hAnsi="宋体" w:eastAsia="宋体" w:cs="宋体"/>
                <w:b/>
                <w:bCs/>
                <w:color w:val="000000" w:themeColor="text1"/>
                <w:szCs w:val="21"/>
                <w:highlight w:val="none"/>
                <w:u w:val="single"/>
                <w:lang w:val="en-US" w:eastAsia="zh-CN"/>
                <w14:textFill>
                  <w14:solidFill>
                    <w14:schemeClr w14:val="tx1"/>
                  </w14:solidFill>
                </w14:textFill>
              </w:rPr>
              <w:t>13000.00）；3分标：贰万元整（</w:t>
            </w:r>
            <w:r>
              <w:rPr>
                <w:rFonts w:hint="eastAsia" w:ascii="Malgun Gothic" w:hAnsi="Malgun Gothic" w:eastAsia="Malgun Gothic" w:cs="Malgun Gothic"/>
                <w:b/>
                <w:bCs/>
                <w:color w:val="000000" w:themeColor="text1"/>
                <w:szCs w:val="21"/>
                <w:highlight w:val="none"/>
                <w:u w:val="single"/>
                <w14:textFill>
                  <w14:solidFill>
                    <w14:schemeClr w14:val="tx1"/>
                  </w14:solidFill>
                </w14:textFill>
              </w:rPr>
              <w:t>￥</w:t>
            </w:r>
            <w:r>
              <w:rPr>
                <w:rFonts w:hint="eastAsia" w:ascii="宋体" w:hAnsi="宋体" w:eastAsia="宋体" w:cs="宋体"/>
                <w:b/>
                <w:bCs/>
                <w:color w:val="000000" w:themeColor="text1"/>
                <w:szCs w:val="21"/>
                <w:highlight w:val="none"/>
                <w:u w:val="single"/>
                <w:lang w:val="en-US" w:eastAsia="zh-CN"/>
                <w14:textFill>
                  <w14:solidFill>
                    <w14:schemeClr w14:val="tx1"/>
                  </w14:solidFill>
                </w14:textFill>
              </w:rPr>
              <w:t>20000.00）；</w:t>
            </w:r>
            <w:r>
              <w:rPr>
                <w:rFonts w:hint="eastAsia" w:ascii="宋体" w:hAnsi="宋体" w:cs="宋体"/>
                <w:color w:val="000000" w:themeColor="text1"/>
                <w:szCs w:val="21"/>
                <w:highlight w:val="none"/>
                <w14:textFill>
                  <w14:solidFill>
                    <w14:schemeClr w14:val="tx1"/>
                  </w14:solidFill>
                </w14:textFill>
              </w:rPr>
              <w:t>。</w:t>
            </w:r>
          </w:p>
          <w:p w14:paraId="435FB1AD">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投标保证金的交纳方式：银行转账、支票、汇票、本票或者银行、保险机构出具的保函（包含电子保函），禁止采用现钞方式。采用银行转账方式的，在投标截止时间前</w:t>
            </w:r>
            <w:r>
              <w:rPr>
                <w:rFonts w:hint="eastAsia"/>
                <w:color w:val="000000" w:themeColor="text1"/>
                <w:highlight w:val="none"/>
                <w14:textFill>
                  <w14:solidFill>
                    <w14:schemeClr w14:val="tx1"/>
                  </w14:solidFill>
                </w14:textFill>
              </w:rPr>
              <w:t>从投标人账户</w:t>
            </w:r>
            <w:r>
              <w:rPr>
                <w:rFonts w:hint="eastAsia" w:ascii="宋体" w:hAnsi="宋体" w:cs="宋体"/>
                <w:color w:val="000000" w:themeColor="text1"/>
                <w:szCs w:val="21"/>
                <w:highlight w:val="none"/>
                <w14:textFill>
                  <w14:solidFill>
                    <w14:schemeClr w14:val="tx1"/>
                  </w14:solidFill>
                </w14:textFill>
              </w:rPr>
              <w:t>交至指定账户并且到账（</w:t>
            </w:r>
            <w:r>
              <w:rPr>
                <w:rFonts w:hint="eastAsia" w:ascii="宋体" w:hAnsi="宋体" w:cs="宋体"/>
                <w:color w:val="000000" w:themeColor="text1"/>
                <w:szCs w:val="21"/>
                <w:highlight w:val="none"/>
                <w:lang w:val="en-US" w:eastAsia="zh-CN"/>
                <w14:textFill>
                  <w14:solidFill>
                    <w14:schemeClr w14:val="tx1"/>
                  </w14:solidFill>
                </w14:textFill>
              </w:rPr>
              <w:t>1分标：</w:t>
            </w:r>
            <w:r>
              <w:rPr>
                <w:rFonts w:hint="eastAsia" w:ascii="宋体" w:hAnsi="宋体"/>
                <w:color w:val="000000" w:themeColor="text1"/>
                <w:szCs w:val="21"/>
                <w:highlight w:val="none"/>
                <w:u w:val="single"/>
                <w14:textFill>
                  <w14:solidFill>
                    <w14:schemeClr w14:val="tx1"/>
                  </w14:solidFill>
                </w14:textFill>
              </w:rPr>
              <w:t>开户银行：钦州市区农村信用合作联社政务服务中心分社，开户名称：钦州市公共资源交易中心，银行账号800821600001006 ;</w:t>
            </w:r>
            <w:r>
              <w:rPr>
                <w:rFonts w:hint="eastAsia" w:ascii="宋体" w:hAnsi="宋体" w:cs="宋体"/>
                <w:color w:val="000000" w:themeColor="text1"/>
                <w:szCs w:val="21"/>
                <w:highlight w:val="none"/>
                <w:lang w:val="en-US" w:eastAsia="zh-CN"/>
                <w14:textFill>
                  <w14:solidFill>
                    <w14:schemeClr w14:val="tx1"/>
                  </w14:solidFill>
                </w14:textFill>
              </w:rPr>
              <w:t>2分标：</w:t>
            </w:r>
            <w:r>
              <w:rPr>
                <w:rFonts w:hint="eastAsia" w:ascii="宋体" w:hAnsi="宋体"/>
                <w:color w:val="000000" w:themeColor="text1"/>
                <w:szCs w:val="21"/>
                <w:highlight w:val="none"/>
                <w:u w:val="single"/>
                <w14:textFill>
                  <w14:solidFill>
                    <w14:schemeClr w14:val="tx1"/>
                  </w14:solidFill>
                </w14:textFill>
              </w:rPr>
              <w:t>开户银行：钦州市区农村信用合作联社政务服务中心分社，开户名称：钦州市公共资源交易中心，银行账号：800821600000980 ;</w:t>
            </w:r>
            <w:r>
              <w:rPr>
                <w:rFonts w:hint="eastAsia" w:ascii="宋体" w:hAnsi="宋体" w:cs="宋体"/>
                <w:color w:val="000000" w:themeColor="text1"/>
                <w:szCs w:val="21"/>
                <w:highlight w:val="none"/>
                <w:lang w:val="en-US" w:eastAsia="zh-CN"/>
                <w14:textFill>
                  <w14:solidFill>
                    <w14:schemeClr w14:val="tx1"/>
                  </w14:solidFill>
                </w14:textFill>
              </w:rPr>
              <w:t>3分标：</w:t>
            </w:r>
            <w:r>
              <w:rPr>
                <w:rFonts w:hint="eastAsia" w:ascii="宋体" w:hAnsi="宋体"/>
                <w:color w:val="000000" w:themeColor="text1"/>
                <w:szCs w:val="21"/>
                <w:highlight w:val="none"/>
                <w:u w:val="single"/>
                <w14:textFill>
                  <w14:solidFill>
                    <w14:schemeClr w14:val="tx1"/>
                  </w14:solidFill>
                </w14:textFill>
              </w:rPr>
              <w:t>开户银行：钦州市区农村信用合作联社政务服务中心分社，开户名称：钦州市公共资源交易中心，银行账号：800821600000999 ;</w:t>
            </w:r>
            <w:r>
              <w:rPr>
                <w:rFonts w:hint="eastAsia" w:ascii="宋体" w:hAnsi="宋体" w:cs="宋体"/>
                <w:color w:val="000000" w:themeColor="text1"/>
                <w:szCs w:val="21"/>
                <w:highlight w:val="none"/>
                <w14:textFill>
                  <w14:solidFill>
                    <w14:schemeClr w14:val="tx1"/>
                  </w14:solidFill>
                </w14:textFill>
              </w:rPr>
              <w:t>）；采用支票、汇票、本票或者保函等方式的，在投标截止时间前，投标人必须递交单独密封的支票、汇票、本票或者保函原件（电子保函除外）。</w:t>
            </w:r>
            <w:r>
              <w:rPr>
                <w:rFonts w:hint="eastAsia" w:ascii="宋体" w:hAnsi="宋体" w:cs="宋体"/>
                <w:b/>
                <w:color w:val="000000" w:themeColor="text1"/>
                <w:szCs w:val="21"/>
                <w:highlight w:val="none"/>
                <w14:textFill>
                  <w14:solidFill>
                    <w14:schemeClr w14:val="tx1"/>
                  </w14:solidFill>
                </w14:textFill>
              </w:rPr>
              <w:t>否则视为无效投标保证金。</w:t>
            </w:r>
          </w:p>
          <w:p w14:paraId="2F9392CA">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相关要求：</w:t>
            </w:r>
          </w:p>
          <w:p w14:paraId="171FB5D1">
            <w:pPr>
              <w:pStyle w:val="17"/>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1.投标保证金采用银行转账交纳方式，在投标截止时间前交至指定账户并且到账，投标人应将银行转账底单的复印件作为投标保证金提交凭证，放置于商务及技术文件中，</w:t>
            </w:r>
            <w:r>
              <w:rPr>
                <w:rFonts w:hint="eastAsia" w:ascii="宋体" w:hAnsi="宋体"/>
                <w:b/>
                <w:color w:val="000000" w:themeColor="text1"/>
                <w:szCs w:val="21"/>
                <w:highlight w:val="none"/>
                <w14:textFill>
                  <w14:solidFill>
                    <w14:schemeClr w14:val="tx1"/>
                  </w14:solidFill>
                </w14:textFill>
              </w:rPr>
              <w:t>否则投标无效</w:t>
            </w:r>
            <w:r>
              <w:rPr>
                <w:rFonts w:hint="eastAsia" w:ascii="宋体" w:hAnsi="宋体"/>
                <w:color w:val="000000" w:themeColor="text1"/>
                <w:szCs w:val="21"/>
                <w:highlight w:val="none"/>
                <w14:textFill>
                  <w14:solidFill>
                    <w14:schemeClr w14:val="tx1"/>
                  </w14:solidFill>
                </w14:textFill>
              </w:rPr>
              <w:t>。</w:t>
            </w:r>
          </w:p>
          <w:p w14:paraId="2253A62C">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2.投标保证金采用支票、汇票、本票或者银行、保险机构出具的保函</w:t>
            </w:r>
            <w:r>
              <w:rPr>
                <w:rFonts w:hint="eastAsia"/>
                <w:color w:val="000000" w:themeColor="text1"/>
                <w:highlight w:val="none"/>
                <w14:textFill>
                  <w14:solidFill>
                    <w14:schemeClr w14:val="tx1"/>
                  </w14:solidFill>
                </w14:textFill>
              </w:rPr>
              <w:t>（包含电子保函）</w:t>
            </w:r>
            <w:r>
              <w:rPr>
                <w:rFonts w:hint="eastAsia" w:ascii="宋体" w:hAnsi="宋体"/>
                <w:color w:val="000000" w:themeColor="text1"/>
                <w:szCs w:val="21"/>
                <w:highlight w:val="none"/>
                <w14:textFill>
                  <w14:solidFill>
                    <w14:schemeClr w14:val="tx1"/>
                  </w14:solidFill>
                </w14:textFill>
              </w:rPr>
              <w:t>交纳方式的，投标人应将支票、汇票、本票或者银行、保险机构出具的保函</w:t>
            </w:r>
            <w:r>
              <w:rPr>
                <w:rFonts w:hint="eastAsia"/>
                <w:color w:val="000000" w:themeColor="text1"/>
                <w:highlight w:val="none"/>
                <w14:textFill>
                  <w14:solidFill>
                    <w14:schemeClr w14:val="tx1"/>
                  </w14:solidFill>
                </w14:textFill>
              </w:rPr>
              <w:t>（包含电子保函）</w:t>
            </w:r>
            <w:r>
              <w:rPr>
                <w:rFonts w:hint="eastAsia" w:ascii="宋体" w:hAnsi="宋体"/>
                <w:color w:val="000000" w:themeColor="text1"/>
                <w:szCs w:val="21"/>
                <w:highlight w:val="none"/>
                <w14:textFill>
                  <w14:solidFill>
                    <w14:schemeClr w14:val="tx1"/>
                  </w14:solidFill>
                </w14:textFill>
              </w:rPr>
              <w:t>的复印件作为投标保证金提交凭证，放置于商务及技术文件中，</w:t>
            </w:r>
            <w:r>
              <w:rPr>
                <w:rFonts w:hint="eastAsia" w:ascii="宋体" w:hAnsi="宋体"/>
                <w:b/>
                <w:color w:val="000000" w:themeColor="text1"/>
                <w:szCs w:val="21"/>
                <w:highlight w:val="none"/>
                <w14:textFill>
                  <w14:solidFill>
                    <w14:schemeClr w14:val="tx1"/>
                  </w14:solidFill>
                </w14:textFill>
              </w:rPr>
              <w:t>否则投标无效</w:t>
            </w:r>
            <w:r>
              <w:rPr>
                <w:rFonts w:hint="eastAsia" w:ascii="宋体" w:hAnsi="宋体"/>
                <w:color w:val="000000" w:themeColor="text1"/>
                <w:szCs w:val="21"/>
                <w:highlight w:val="none"/>
                <w14:textFill>
                  <w14:solidFill>
                    <w14:schemeClr w14:val="tx1"/>
                  </w14:solidFill>
                </w14:textFill>
              </w:rPr>
              <w:t>。投标人必须</w:t>
            </w:r>
            <w:r>
              <w:rPr>
                <w:rFonts w:hint="eastAsia"/>
                <w:color w:val="000000" w:themeColor="text1"/>
                <w:highlight w:val="none"/>
                <w14:textFill>
                  <w14:solidFill>
                    <w14:schemeClr w14:val="tx1"/>
                  </w14:solidFill>
                </w14:textFill>
              </w:rPr>
              <w:t>在投标截止时间前采用现场或邮寄方式（</w:t>
            </w:r>
            <w:r>
              <w:rPr>
                <w:rFonts w:hint="eastAsia" w:ascii="宋体" w:hAnsi="宋体"/>
                <w:color w:val="000000" w:themeColor="text1"/>
                <w:szCs w:val="21"/>
                <w:highlight w:val="none"/>
                <w14:textFill>
                  <w14:solidFill>
                    <w14:schemeClr w14:val="tx1"/>
                  </w14:solidFill>
                </w14:textFill>
              </w:rPr>
              <w:t>现场提交地址：</w:t>
            </w:r>
            <w:r>
              <w:rPr>
                <w:rFonts w:hint="eastAsia" w:ascii="宋体" w:hAnsi="宋体"/>
                <w:color w:val="000000" w:themeColor="text1"/>
                <w:szCs w:val="21"/>
                <w:highlight w:val="none"/>
                <w:u w:val="single"/>
                <w14:textFill>
                  <w14:solidFill>
                    <w14:schemeClr w14:val="tx1"/>
                  </w14:solidFill>
                </w14:textFill>
              </w:rPr>
              <w:t>钦州市公共资源交易中心电子显示屏所安排的开标室</w:t>
            </w:r>
            <w:r>
              <w:rPr>
                <w:rFonts w:hint="eastAsia" w:ascii="宋体" w:hAnsi="宋体"/>
                <w:color w:val="000000" w:themeColor="text1"/>
                <w:szCs w:val="21"/>
                <w:highlight w:val="none"/>
                <w14:textFill>
                  <w14:solidFill>
                    <w14:schemeClr w14:val="tx1"/>
                  </w14:solidFill>
                </w14:textFill>
              </w:rPr>
              <w:t>；邮寄地址：</w:t>
            </w:r>
            <w:r>
              <w:rPr>
                <w:rFonts w:hint="eastAsia" w:ascii="宋体" w:hAnsi="宋体"/>
                <w:color w:val="000000" w:themeColor="text1"/>
                <w:szCs w:val="21"/>
                <w:highlight w:val="none"/>
                <w:u w:val="single"/>
                <w14:textFill>
                  <w14:solidFill>
                    <w14:schemeClr w14:val="tx1"/>
                  </w14:solidFill>
                </w14:textFill>
              </w:rPr>
              <w:t>广西钦州市子材东大街19号奥林名城8号楼8层云之龙咨询集团有限公司，联系人：秦绍袁，电话：0777-5619399。</w:t>
            </w:r>
            <w:r>
              <w:rPr>
                <w:rFonts w:hint="eastAsia"/>
                <w:color w:val="000000" w:themeColor="text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将</w:t>
            </w:r>
            <w:r>
              <w:rPr>
                <w:rFonts w:hint="eastAsia" w:ascii="宋体" w:hAnsi="宋体" w:cs="宋体"/>
                <w:color w:val="000000" w:themeColor="text1"/>
                <w:szCs w:val="21"/>
                <w:highlight w:val="none"/>
                <w14:textFill>
                  <w14:solidFill>
                    <w14:schemeClr w14:val="tx1"/>
                  </w14:solidFill>
                </w14:textFill>
              </w:rPr>
              <w:t>单独密封的</w:t>
            </w:r>
            <w:r>
              <w:rPr>
                <w:rFonts w:hint="eastAsia" w:ascii="宋体" w:hAnsi="宋体"/>
                <w:color w:val="000000" w:themeColor="text1"/>
                <w:szCs w:val="21"/>
                <w:highlight w:val="none"/>
                <w14:textFill>
                  <w14:solidFill>
                    <w14:schemeClr w14:val="tx1"/>
                  </w14:solidFill>
                </w14:textFill>
              </w:rPr>
              <w:t>支票、汇票、本票或者银行、保险机构出具的保函原件</w:t>
            </w:r>
            <w:r>
              <w:rPr>
                <w:rFonts w:hint="eastAsia" w:ascii="宋体" w:hAnsi="宋体" w:cs="宋体"/>
                <w:color w:val="000000" w:themeColor="text1"/>
                <w:szCs w:val="21"/>
                <w:highlight w:val="none"/>
                <w14:textFill>
                  <w14:solidFill>
                    <w14:schemeClr w14:val="tx1"/>
                  </w14:solidFill>
                </w14:textFill>
              </w:rPr>
              <w:t>（电子保函除外）</w:t>
            </w:r>
            <w:r>
              <w:rPr>
                <w:rFonts w:hint="eastAsia" w:ascii="宋体" w:hAnsi="宋体"/>
                <w:color w:val="000000" w:themeColor="text1"/>
                <w:szCs w:val="21"/>
                <w:highlight w:val="none"/>
                <w14:textFill>
                  <w14:solidFill>
                    <w14:schemeClr w14:val="tx1"/>
                  </w14:solidFill>
                </w14:textFill>
              </w:rPr>
              <w:t>提交给采购人或者采购代理机构，未按时提交的</w:t>
            </w:r>
            <w:r>
              <w:rPr>
                <w:rFonts w:hint="eastAsia" w:ascii="宋体" w:hAnsi="宋体"/>
                <w:b/>
                <w:color w:val="000000" w:themeColor="text1"/>
                <w:szCs w:val="21"/>
                <w:highlight w:val="none"/>
                <w14:textFill>
                  <w14:solidFill>
                    <w14:schemeClr w14:val="tx1"/>
                  </w14:solidFill>
                </w14:textFill>
              </w:rPr>
              <w:t>，投标无效</w:t>
            </w:r>
            <w:r>
              <w:rPr>
                <w:rFonts w:hint="eastAsia" w:ascii="宋体" w:hAnsi="宋体"/>
                <w:color w:val="000000" w:themeColor="text1"/>
                <w:szCs w:val="21"/>
                <w:highlight w:val="none"/>
                <w14:textFill>
                  <w14:solidFill>
                    <w14:schemeClr w14:val="tx1"/>
                  </w14:solidFill>
                </w14:textFill>
              </w:rPr>
              <w:t>，由采购人或者采购代理机构向投标人出具回执（邮寄方式的除外），并妥善保管。</w:t>
            </w:r>
          </w:p>
          <w:p w14:paraId="013761D3">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.投标人为联合体的，可以由联合体中的一方或者多方共同交纳投标保证金，其交纳的保证金对联合体各方均具有约束力。</w:t>
            </w:r>
          </w:p>
          <w:p w14:paraId="1E53B038">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 xml:space="preserve">备注： </w:t>
            </w:r>
          </w:p>
          <w:p w14:paraId="1E5DC862">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1. 投标保证金在投标截止时间后提交的，或者不按规定交纳方式交纳的，或者未足额交纳的（包含保函额度不足的），视为无效投标保证金。</w:t>
            </w:r>
          </w:p>
          <w:p w14:paraId="0288E41D">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2.投标人采用现钞方式或者从个人账户（自然人投标除外）转出的投标保证金，视为无效投标保证金。</w:t>
            </w:r>
          </w:p>
          <w:p w14:paraId="03D1BA47">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3.支票、汇票或者本票出现无效或者背书情形的，视为无效投标保证金。</w:t>
            </w:r>
          </w:p>
          <w:p w14:paraId="071A8A7D">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4.保函有效期低于投标有效期的，视为无效投标保证金。</w:t>
            </w:r>
          </w:p>
          <w:p w14:paraId="1E13139B">
            <w:pPr>
              <w:spacing w:line="360" w:lineRule="auto"/>
              <w:rPr>
                <w:color w:val="000000" w:themeColor="text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5.采用银行、保险机构出具保函的，必须为无条件保函，否则视为无效投标保证金。</w:t>
            </w:r>
          </w:p>
        </w:tc>
      </w:tr>
      <w:tr w14:paraId="19E77A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4908B416">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20</w:t>
            </w:r>
          </w:p>
        </w:tc>
        <w:tc>
          <w:tcPr>
            <w:tcW w:w="8711" w:type="dxa"/>
            <w:tcBorders>
              <w:top w:val="single" w:color="auto" w:sz="4" w:space="0"/>
              <w:left w:val="single" w:color="auto" w:sz="4" w:space="0"/>
              <w:bottom w:val="single" w:color="auto" w:sz="4" w:space="0"/>
              <w:right w:val="single" w:color="auto" w:sz="4" w:space="0"/>
            </w:tcBorders>
            <w:noWrap w:val="0"/>
            <w:vAlign w:val="center"/>
          </w:tcPr>
          <w:p w14:paraId="2529B559">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本项目不接受</w:t>
            </w:r>
            <w:r>
              <w:rPr>
                <w:rFonts w:hint="eastAsia"/>
                <w:color w:val="000000" w:themeColor="text1"/>
                <w:highlight w:val="none"/>
                <w14:textFill>
                  <w14:solidFill>
                    <w14:schemeClr w14:val="tx1"/>
                  </w14:solidFill>
                </w14:textFill>
              </w:rPr>
              <w:t>电子</w:t>
            </w:r>
            <w:r>
              <w:rPr>
                <w:rFonts w:hint="eastAsia" w:ascii="宋体" w:hAnsi="宋体"/>
                <w:color w:val="000000" w:themeColor="text1"/>
                <w:szCs w:val="21"/>
                <w:highlight w:val="none"/>
                <w14:textFill>
                  <w14:solidFill>
                    <w14:schemeClr w14:val="tx1"/>
                  </w14:solidFill>
                </w14:textFill>
              </w:rPr>
              <w:t>备份投标文件；</w:t>
            </w:r>
          </w:p>
        </w:tc>
      </w:tr>
      <w:tr w14:paraId="0C9FCB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895" w:type="dxa"/>
            <w:tcBorders>
              <w:top w:val="single" w:color="auto" w:sz="4" w:space="0"/>
              <w:left w:val="single" w:color="auto" w:sz="4" w:space="0"/>
              <w:bottom w:val="single" w:color="auto" w:sz="4" w:space="0"/>
              <w:right w:val="single" w:color="auto" w:sz="4" w:space="0"/>
            </w:tcBorders>
            <w:noWrap w:val="0"/>
            <w:vAlign w:val="center"/>
          </w:tcPr>
          <w:p w14:paraId="5F3B4BA5">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21.1</w:t>
            </w:r>
          </w:p>
        </w:tc>
        <w:tc>
          <w:tcPr>
            <w:tcW w:w="8711" w:type="dxa"/>
            <w:tcBorders>
              <w:top w:val="single" w:color="auto" w:sz="4" w:space="0"/>
              <w:left w:val="single" w:color="auto" w:sz="4" w:space="0"/>
              <w:bottom w:val="single" w:color="auto" w:sz="4" w:space="0"/>
              <w:right w:val="single" w:color="auto" w:sz="4" w:space="0"/>
            </w:tcBorders>
            <w:noWrap w:val="0"/>
            <w:vAlign w:val="center"/>
          </w:tcPr>
          <w:p w14:paraId="3F45411D">
            <w:pPr>
              <w:spacing w:line="36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 提交投标文件截止时间：详见招标公告</w:t>
            </w:r>
          </w:p>
          <w:p w14:paraId="12759DD4">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2.投标地点：详见招标公告</w:t>
            </w:r>
          </w:p>
        </w:tc>
      </w:tr>
      <w:tr w14:paraId="32DAF6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29CAD62A">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23</w:t>
            </w:r>
          </w:p>
        </w:tc>
        <w:tc>
          <w:tcPr>
            <w:tcW w:w="8711" w:type="dxa"/>
            <w:tcBorders>
              <w:top w:val="single" w:color="auto" w:sz="4" w:space="0"/>
              <w:left w:val="single" w:color="auto" w:sz="4" w:space="0"/>
              <w:bottom w:val="single" w:color="auto" w:sz="4" w:space="0"/>
              <w:right w:val="single" w:color="auto" w:sz="4" w:space="0"/>
            </w:tcBorders>
            <w:noWrap w:val="0"/>
            <w:vAlign w:val="center"/>
          </w:tcPr>
          <w:p w14:paraId="52780EA4">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1.开标时间：详见招标公告</w:t>
            </w:r>
          </w:p>
          <w:p w14:paraId="6F961797">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2.开标地点：详见招标公告</w:t>
            </w:r>
          </w:p>
        </w:tc>
      </w:tr>
      <w:tr w14:paraId="47C3B0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27A3203E">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24.3（1）</w:t>
            </w:r>
          </w:p>
        </w:tc>
        <w:tc>
          <w:tcPr>
            <w:tcW w:w="8711" w:type="dxa"/>
            <w:tcBorders>
              <w:top w:val="single" w:color="auto" w:sz="4" w:space="0"/>
              <w:left w:val="single" w:color="auto" w:sz="4" w:space="0"/>
              <w:bottom w:val="single" w:color="auto" w:sz="4" w:space="0"/>
              <w:right w:val="single" w:color="auto" w:sz="4" w:space="0"/>
            </w:tcBorders>
            <w:noWrap w:val="0"/>
            <w:vAlign w:val="center"/>
          </w:tcPr>
          <w:p w14:paraId="19350B95">
            <w:pPr>
              <w:spacing w:line="360" w:lineRule="auto"/>
              <w:rPr>
                <w:rFonts w:hAnsi="宋体"/>
                <w:color w:val="000000" w:themeColor="text1"/>
                <w:highlight w:val="none"/>
                <w:u w:val="single"/>
                <w14:textFill>
                  <w14:solidFill>
                    <w14:schemeClr w14:val="tx1"/>
                  </w14:solidFill>
                </w14:textFill>
              </w:rPr>
            </w:pPr>
            <w:r>
              <w:rPr>
                <w:rFonts w:hint="eastAsia" w:hAnsi="宋体"/>
                <w:color w:val="000000" w:themeColor="text1"/>
                <w:highlight w:val="none"/>
                <w14:textFill>
                  <w14:solidFill>
                    <w14:schemeClr w14:val="tx1"/>
                  </w14:solidFill>
                </w14:textFill>
              </w:rPr>
              <w:t>电子投标文件解密时间：</w:t>
            </w:r>
            <w:r>
              <w:rPr>
                <w:rFonts w:hint="eastAsia" w:hAnsi="宋体"/>
                <w:color w:val="000000" w:themeColor="text1"/>
                <w:highlight w:val="none"/>
                <w:u w:val="single"/>
                <w14:textFill>
                  <w14:solidFill>
                    <w14:schemeClr w14:val="tx1"/>
                  </w14:solidFill>
                </w14:textFill>
              </w:rPr>
              <w:t xml:space="preserve">  30   </w:t>
            </w:r>
            <w:r>
              <w:rPr>
                <w:rFonts w:hint="eastAsia" w:hAnsi="宋体"/>
                <w:color w:val="000000" w:themeColor="text1"/>
                <w:highlight w:val="none"/>
                <w14:textFill>
                  <w14:solidFill>
                    <w14:schemeClr w14:val="tx1"/>
                  </w14:solidFill>
                </w14:textFill>
              </w:rPr>
              <w:t>分钟</w:t>
            </w:r>
          </w:p>
        </w:tc>
      </w:tr>
      <w:tr w14:paraId="34E070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0CE46419">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24</w:t>
            </w:r>
            <w:r>
              <w:rPr>
                <w:rFonts w:ascii="宋体" w:hAnsi="宋体"/>
                <w:color w:val="000000" w:themeColor="text1"/>
                <w:szCs w:val="21"/>
                <w:highlight w:val="none"/>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w:t>
            </w:r>
          </w:p>
        </w:tc>
        <w:tc>
          <w:tcPr>
            <w:tcW w:w="8711" w:type="dxa"/>
            <w:tcBorders>
              <w:top w:val="single" w:color="auto" w:sz="4" w:space="0"/>
              <w:left w:val="single" w:color="auto" w:sz="4" w:space="0"/>
              <w:bottom w:val="single" w:color="auto" w:sz="4" w:space="0"/>
              <w:right w:val="single" w:color="auto" w:sz="4" w:space="0"/>
            </w:tcBorders>
            <w:noWrap w:val="0"/>
            <w:vAlign w:val="center"/>
          </w:tcPr>
          <w:p w14:paraId="08F6E1AC">
            <w:pPr>
              <w:spacing w:line="360" w:lineRule="auto"/>
              <w:rPr>
                <w:rFonts w:ascii="宋体" w:hAnsi="宋体"/>
                <w:color w:val="000000" w:themeColor="text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宣布的内容</w:t>
            </w:r>
            <w:r>
              <w:rPr>
                <w:rFonts w:hint="eastAsia" w:hAnsi="宋体"/>
                <w:color w:val="000000" w:themeColor="text1"/>
                <w:highlight w:val="none"/>
                <w14:textFill>
                  <w14:solidFill>
                    <w14:schemeClr w14:val="tx1"/>
                  </w14:solidFill>
                </w14:textFill>
              </w:rPr>
              <w:t>：投标人名称、投标价格、</w:t>
            </w:r>
            <w:r>
              <w:rPr>
                <w:rFonts w:hAnsi="宋体"/>
                <w:color w:val="000000" w:themeColor="text1"/>
                <w:highlight w:val="none"/>
                <w:u w:val="single"/>
                <w14:textFill>
                  <w14:solidFill>
                    <w14:schemeClr w14:val="tx1"/>
                  </w14:solidFill>
                </w14:textFill>
              </w:rPr>
              <w:t xml:space="preserve"> </w:t>
            </w:r>
            <w:r>
              <w:rPr>
                <w:rFonts w:hint="eastAsia" w:hAnsi="宋体"/>
                <w:color w:val="000000" w:themeColor="text1"/>
                <w:highlight w:val="none"/>
                <w:u w:val="single"/>
                <w14:textFill>
                  <w14:solidFill>
                    <w14:schemeClr w14:val="tx1"/>
                  </w14:solidFill>
                </w14:textFill>
              </w:rPr>
              <w:t>合同履行期限</w:t>
            </w:r>
            <w:r>
              <w:rPr>
                <w:rFonts w:hAnsi="宋体"/>
                <w:color w:val="000000" w:themeColor="text1"/>
                <w:highlight w:val="none"/>
                <w:u w:val="single"/>
                <w14:textFill>
                  <w14:solidFill>
                    <w14:schemeClr w14:val="tx1"/>
                  </w14:solidFill>
                </w14:textFill>
              </w:rPr>
              <w:t xml:space="preserve"> </w:t>
            </w:r>
            <w:r>
              <w:rPr>
                <w:rFonts w:hint="eastAsia" w:hAnsi="宋体"/>
                <w:color w:val="000000" w:themeColor="text1"/>
                <w:highlight w:val="none"/>
                <w:u w:val="single"/>
                <w14:textFill>
                  <w14:solidFill>
                    <w14:schemeClr w14:val="tx1"/>
                  </w14:solidFill>
                </w14:textFill>
              </w:rPr>
              <w:t>。</w:t>
            </w:r>
          </w:p>
        </w:tc>
      </w:tr>
      <w:tr w14:paraId="66CC7A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157317C0">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25.3（</w:t>
            </w:r>
            <w:r>
              <w:rPr>
                <w:rFonts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w:t>
            </w:r>
          </w:p>
        </w:tc>
        <w:tc>
          <w:tcPr>
            <w:tcW w:w="8711" w:type="dxa"/>
            <w:tcBorders>
              <w:top w:val="single" w:color="auto" w:sz="4" w:space="0"/>
              <w:left w:val="single" w:color="auto" w:sz="4" w:space="0"/>
              <w:bottom w:val="single" w:color="auto" w:sz="4" w:space="0"/>
              <w:right w:val="single" w:color="auto" w:sz="4" w:space="0"/>
            </w:tcBorders>
            <w:noWrap w:val="0"/>
            <w:vAlign w:val="center"/>
          </w:tcPr>
          <w:p w14:paraId="274D111E">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采购人或者采购代理机构在资格审查结束前，对投标人进行信用查询。</w:t>
            </w:r>
          </w:p>
          <w:p w14:paraId="35D6692F">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查询渠道：“信用中国”网站（https://www.creditchina.gov.cn） 、中国政府采购网（https://www.ccgp.gov.cn）。</w:t>
            </w:r>
          </w:p>
          <w:p w14:paraId="3F084F4D">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信用查询截止时点：资格审查结束前</w:t>
            </w:r>
          </w:p>
          <w:p w14:paraId="3CB0557B">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查询记录和证据留存方式：在查询网站中直接打印查询记录，打印材料作为评审资料保存。</w:t>
            </w:r>
          </w:p>
          <w:p w14:paraId="320CF23F">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信用信息使用规则：对在“信用中国”网站（https://www.creditchina.gov.cn） 、中国政府采购网（https://www.ccgp.gov.cn）被列入失信被执行人、重大税收违法失信主体、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p>
        </w:tc>
      </w:tr>
      <w:tr w14:paraId="7A4412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2FBFA82C">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w:t>
            </w:r>
            <w:r>
              <w:rPr>
                <w:rFonts w:ascii="宋体" w:hAnsi="宋体"/>
                <w:color w:val="000000" w:themeColor="text1"/>
                <w:szCs w:val="21"/>
                <w:highlight w:val="none"/>
                <w14:textFill>
                  <w14:solidFill>
                    <w14:schemeClr w14:val="tx1"/>
                  </w14:solidFill>
                </w14:textFill>
              </w:rPr>
              <w:t>.1</w:t>
            </w:r>
          </w:p>
        </w:tc>
        <w:tc>
          <w:tcPr>
            <w:tcW w:w="8711" w:type="dxa"/>
            <w:tcBorders>
              <w:top w:val="single" w:color="auto" w:sz="4" w:space="0"/>
              <w:left w:val="single" w:color="auto" w:sz="4" w:space="0"/>
              <w:bottom w:val="single" w:color="auto" w:sz="4" w:space="0"/>
              <w:right w:val="single" w:color="auto" w:sz="4" w:space="0"/>
            </w:tcBorders>
            <w:noWrap w:val="0"/>
            <w:vAlign w:val="center"/>
          </w:tcPr>
          <w:p w14:paraId="10C5E527">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评标委员会的人数：</w:t>
            </w:r>
            <w:r>
              <w:rPr>
                <w:rFonts w:hint="eastAsia" w:ascii="宋体" w:hAnsi="宋体"/>
                <w:color w:val="000000" w:themeColor="text1"/>
                <w:szCs w:val="21"/>
                <w:highlight w:val="none"/>
                <w:u w:val="single"/>
                <w14:textFill>
                  <w14:solidFill>
                    <w14:schemeClr w14:val="tx1"/>
                  </w14:solidFill>
                </w14:textFill>
              </w:rPr>
              <w:t xml:space="preserve">  5  </w:t>
            </w:r>
            <w:r>
              <w:rPr>
                <w:rFonts w:hint="eastAsia" w:ascii="宋体" w:hAnsi="宋体"/>
                <w:color w:val="000000" w:themeColor="text1"/>
                <w:szCs w:val="21"/>
                <w:highlight w:val="none"/>
                <w14:textFill>
                  <w14:solidFill>
                    <w14:schemeClr w14:val="tx1"/>
                  </w14:solidFill>
                </w14:textFill>
              </w:rPr>
              <w:t>人</w:t>
            </w:r>
          </w:p>
        </w:tc>
      </w:tr>
      <w:tr w14:paraId="40E24A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505DEEB5">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w:t>
            </w:r>
            <w:r>
              <w:rPr>
                <w:rFonts w:ascii="宋体" w:hAnsi="宋体"/>
                <w:color w:val="000000" w:themeColor="text1"/>
                <w:szCs w:val="21"/>
                <w:highlight w:val="none"/>
                <w14:textFill>
                  <w14:solidFill>
                    <w14:schemeClr w14:val="tx1"/>
                  </w14:solidFill>
                </w14:textFill>
              </w:rPr>
              <w:t>7</w:t>
            </w:r>
          </w:p>
        </w:tc>
        <w:tc>
          <w:tcPr>
            <w:tcW w:w="8711" w:type="dxa"/>
            <w:tcBorders>
              <w:top w:val="single" w:color="auto" w:sz="4" w:space="0"/>
              <w:left w:val="single" w:color="auto" w:sz="4" w:space="0"/>
              <w:bottom w:val="single" w:color="auto" w:sz="4" w:space="0"/>
              <w:right w:val="single" w:color="auto" w:sz="4" w:space="0"/>
            </w:tcBorders>
            <w:noWrap w:val="0"/>
            <w:vAlign w:val="center"/>
          </w:tcPr>
          <w:p w14:paraId="24D4202A">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如供应商系统平台报价与电子投标文件中报价不一致的，以投标文件开标一览表报价为准。</w:t>
            </w:r>
          </w:p>
        </w:tc>
      </w:tr>
      <w:tr w14:paraId="11CD9D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01F948D7">
            <w:pPr>
              <w:spacing w:line="360" w:lineRule="auto"/>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29.1</w:t>
            </w:r>
          </w:p>
        </w:tc>
        <w:tc>
          <w:tcPr>
            <w:tcW w:w="8711" w:type="dxa"/>
            <w:tcBorders>
              <w:top w:val="single" w:color="auto" w:sz="4" w:space="0"/>
              <w:left w:val="single" w:color="auto" w:sz="4" w:space="0"/>
              <w:bottom w:val="single" w:color="auto" w:sz="4" w:space="0"/>
              <w:right w:val="single" w:color="auto" w:sz="4" w:space="0"/>
            </w:tcBorders>
            <w:noWrap w:val="0"/>
            <w:vAlign w:val="center"/>
          </w:tcPr>
          <w:p w14:paraId="50FFE54E">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评标方法：综合评分法</w:t>
            </w:r>
          </w:p>
        </w:tc>
      </w:tr>
      <w:tr w14:paraId="7CBB25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95" w:type="dxa"/>
            <w:tcBorders>
              <w:top w:val="single" w:color="auto" w:sz="4" w:space="0"/>
              <w:left w:val="single" w:color="auto" w:sz="4" w:space="0"/>
              <w:bottom w:val="single" w:color="auto" w:sz="4" w:space="0"/>
              <w:right w:val="single" w:color="auto" w:sz="4" w:space="0"/>
            </w:tcBorders>
            <w:noWrap w:val="0"/>
            <w:vAlign w:val="center"/>
          </w:tcPr>
          <w:p w14:paraId="361EC35A">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w:t>
            </w:r>
            <w:r>
              <w:rPr>
                <w:rFonts w:ascii="宋体" w:hAnsi="宋体"/>
                <w:color w:val="000000" w:themeColor="text1"/>
                <w:szCs w:val="21"/>
                <w:highlight w:val="none"/>
                <w14:textFill>
                  <w14:solidFill>
                    <w14:schemeClr w14:val="tx1"/>
                  </w14:solidFill>
                </w14:textFill>
              </w:rPr>
              <w:t>9.2</w:t>
            </w:r>
          </w:p>
        </w:tc>
        <w:tc>
          <w:tcPr>
            <w:tcW w:w="8711" w:type="dxa"/>
            <w:tcBorders>
              <w:top w:val="single" w:color="auto" w:sz="4" w:space="0"/>
              <w:left w:val="single" w:color="auto" w:sz="4" w:space="0"/>
              <w:right w:val="single" w:color="auto" w:sz="4" w:space="0"/>
            </w:tcBorders>
            <w:noWrap w:val="0"/>
            <w:vAlign w:val="center"/>
          </w:tcPr>
          <w:p w14:paraId="3DE35760">
            <w:pPr>
              <w:spacing w:line="360" w:lineRule="auto"/>
              <w:rPr>
                <w:rFonts w:ascii="宋体" w:hAnsi="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商务要求</w:t>
            </w:r>
            <w:r>
              <w:rPr>
                <w:rFonts w:hint="eastAsia" w:ascii="宋体" w:hAnsi="宋体"/>
                <w:b/>
                <w:bCs/>
                <w:color w:val="000000" w:themeColor="text1"/>
                <w:szCs w:val="21"/>
                <w:highlight w:val="none"/>
                <w14:textFill>
                  <w14:solidFill>
                    <w14:schemeClr w14:val="tx1"/>
                  </w14:solidFill>
                </w14:textFill>
              </w:rPr>
              <w:t>评审中允许负偏离的条款数为</w:t>
            </w:r>
            <w:r>
              <w:rPr>
                <w:rFonts w:hint="eastAsia" w:ascii="宋体" w:hAnsi="宋体"/>
                <w:b/>
                <w:bCs/>
                <w:color w:val="000000" w:themeColor="text1"/>
                <w:szCs w:val="21"/>
                <w:highlight w:val="none"/>
                <w:u w:val="single"/>
                <w14:textFill>
                  <w14:solidFill>
                    <w14:schemeClr w14:val="tx1"/>
                  </w14:solidFill>
                </w14:textFill>
              </w:rPr>
              <w:t xml:space="preserve">  0 </w:t>
            </w:r>
            <w:r>
              <w:rPr>
                <w:rFonts w:hint="eastAsia" w:ascii="宋体" w:hAnsi="宋体"/>
                <w:b/>
                <w:bCs/>
                <w:color w:val="000000" w:themeColor="text1"/>
                <w:szCs w:val="21"/>
                <w:highlight w:val="none"/>
                <w14:textFill>
                  <w14:solidFill>
                    <w14:schemeClr w14:val="tx1"/>
                  </w14:solidFill>
                </w14:textFill>
              </w:rPr>
              <w:t>项。</w:t>
            </w:r>
          </w:p>
          <w:p w14:paraId="4471E86E">
            <w:pPr>
              <w:pStyle w:val="17"/>
              <w:rPr>
                <w:rFonts w:ascii="宋体" w:hAnsi="宋体"/>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技术要求</w:t>
            </w:r>
            <w:r>
              <w:rPr>
                <w:rFonts w:hint="eastAsia" w:ascii="宋体" w:hAnsi="宋体"/>
                <w:b/>
                <w:bCs/>
                <w:color w:val="000000" w:themeColor="text1"/>
                <w:szCs w:val="21"/>
                <w:highlight w:val="none"/>
                <w14:textFill>
                  <w14:solidFill>
                    <w14:schemeClr w14:val="tx1"/>
                  </w14:solidFill>
                </w14:textFill>
              </w:rPr>
              <w:t>评审中允许负偏离的条款数为</w:t>
            </w:r>
            <w:r>
              <w:rPr>
                <w:rFonts w:hint="eastAsia" w:ascii="宋体" w:hAnsi="宋体"/>
                <w:b/>
                <w:bCs/>
                <w:color w:val="000000" w:themeColor="text1"/>
                <w:szCs w:val="21"/>
                <w:highlight w:val="none"/>
                <w:u w:val="single"/>
                <w14:textFill>
                  <w14:solidFill>
                    <w14:schemeClr w14:val="tx1"/>
                  </w14:solidFill>
                </w14:textFill>
              </w:rPr>
              <w:t xml:space="preserve"> 3 </w:t>
            </w:r>
            <w:r>
              <w:rPr>
                <w:rFonts w:hint="eastAsia" w:ascii="宋体" w:hAnsi="宋体"/>
                <w:b/>
                <w:bCs/>
                <w:color w:val="000000" w:themeColor="text1"/>
                <w:szCs w:val="21"/>
                <w:highlight w:val="none"/>
                <w14:textFill>
                  <w14:solidFill>
                    <w14:schemeClr w14:val="tx1"/>
                  </w14:solidFill>
                </w14:textFill>
              </w:rPr>
              <w:t>项</w:t>
            </w:r>
            <w:r>
              <w:rPr>
                <w:rFonts w:hint="eastAsia"/>
                <w:b/>
                <w:bCs/>
                <w:color w:val="000000" w:themeColor="text1"/>
                <w:highlight w:val="none"/>
                <w14:textFill>
                  <w14:solidFill>
                    <w14:schemeClr w14:val="tx1"/>
                  </w14:solidFill>
                </w14:textFill>
              </w:rPr>
              <w:t>（</w:t>
            </w:r>
            <w:r>
              <w:rPr>
                <w:rFonts w:hint="eastAsia" w:ascii="宋体" w:hAnsi="宋体"/>
                <w:b/>
                <w:bCs/>
                <w:color w:val="000000" w:themeColor="text1"/>
                <w:szCs w:val="21"/>
                <w:highlight w:val="none"/>
                <w14:textFill>
                  <w14:solidFill>
                    <w14:schemeClr w14:val="tx1"/>
                  </w14:solidFill>
                </w14:textFill>
              </w:rPr>
              <w:t>标记</w:t>
            </w:r>
            <w:r>
              <w:rPr>
                <w:rFonts w:hint="eastAsia" w:ascii="宋体" w:hAnsi="宋体" w:cs="宋体"/>
                <w:b/>
                <w:bCs/>
                <w:color w:val="000000" w:themeColor="text1"/>
                <w:szCs w:val="21"/>
                <w:highlight w:val="none"/>
                <w14:textFill>
                  <w14:solidFill>
                    <w14:schemeClr w14:val="tx1"/>
                  </w14:solidFill>
                </w14:textFill>
              </w:rPr>
              <w:t>▲的参数除外</w:t>
            </w:r>
            <w:r>
              <w:rPr>
                <w:rFonts w:hint="eastAsia"/>
                <w:b/>
                <w:bCs/>
                <w:color w:val="000000" w:themeColor="text1"/>
                <w:highlight w:val="none"/>
                <w14:textFill>
                  <w14:solidFill>
                    <w14:schemeClr w14:val="tx1"/>
                  </w14:solidFill>
                </w14:textFill>
              </w:rPr>
              <w:t>）</w:t>
            </w:r>
            <w:r>
              <w:rPr>
                <w:rFonts w:hint="eastAsia" w:ascii="宋体" w:hAnsi="宋体"/>
                <w:b/>
                <w:bCs/>
                <w:color w:val="000000" w:themeColor="text1"/>
                <w:szCs w:val="21"/>
                <w:highlight w:val="none"/>
                <w14:textFill>
                  <w14:solidFill>
                    <w14:schemeClr w14:val="tx1"/>
                  </w14:solidFill>
                </w14:textFill>
              </w:rPr>
              <w:t>。</w:t>
            </w:r>
          </w:p>
        </w:tc>
      </w:tr>
      <w:tr w14:paraId="3C9B1F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95" w:type="dxa"/>
            <w:tcBorders>
              <w:top w:val="single" w:color="auto" w:sz="4" w:space="0"/>
              <w:left w:val="single" w:color="auto" w:sz="4" w:space="0"/>
              <w:bottom w:val="single" w:color="auto" w:sz="4" w:space="0"/>
              <w:right w:val="single" w:color="auto" w:sz="4" w:space="0"/>
            </w:tcBorders>
            <w:noWrap w:val="0"/>
            <w:vAlign w:val="center"/>
          </w:tcPr>
          <w:p w14:paraId="7B95C2B3">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w:t>
            </w:r>
            <w:r>
              <w:rPr>
                <w:rFonts w:ascii="宋体" w:hAnsi="宋体"/>
                <w:color w:val="000000" w:themeColor="text1"/>
                <w:szCs w:val="21"/>
                <w:highlight w:val="none"/>
                <w14:textFill>
                  <w14:solidFill>
                    <w14:schemeClr w14:val="tx1"/>
                  </w14:solidFill>
                </w14:textFill>
              </w:rPr>
              <w:t>9.3</w:t>
            </w:r>
          </w:p>
        </w:tc>
        <w:tc>
          <w:tcPr>
            <w:tcW w:w="8711" w:type="dxa"/>
            <w:tcBorders>
              <w:top w:val="single" w:color="auto" w:sz="4" w:space="0"/>
              <w:left w:val="single" w:color="auto" w:sz="4" w:space="0"/>
              <w:right w:val="single" w:color="auto" w:sz="4" w:space="0"/>
            </w:tcBorders>
            <w:noWrap w:val="0"/>
            <w:vAlign w:val="center"/>
          </w:tcPr>
          <w:p w14:paraId="7325FA06">
            <w:pPr>
              <w:spacing w:line="360" w:lineRule="auto"/>
              <w:rPr>
                <w:rFonts w:ascii="宋体" w:hAnsi="宋体" w:cs="宋体"/>
                <w:color w:val="000000" w:themeColor="text1"/>
                <w:szCs w:val="21"/>
                <w:highlight w:val="none"/>
                <w:u w:val="single"/>
                <w14:textFill>
                  <w14:solidFill>
                    <w14:schemeClr w14:val="tx1"/>
                  </w14:solidFill>
                </w14:textFill>
              </w:rPr>
            </w:pPr>
            <w:r>
              <w:rPr>
                <w:rFonts w:hAnsi="宋体"/>
                <w:color w:val="000000" w:themeColor="text1"/>
                <w:highlight w:val="none"/>
                <w14:textFill>
                  <w14:solidFill>
                    <w14:schemeClr w14:val="tx1"/>
                  </w14:solidFill>
                </w14:textFill>
              </w:rPr>
              <w:t>中标候选人推荐数量</w:t>
            </w:r>
            <w:r>
              <w:rPr>
                <w:rFonts w:hint="eastAsia" w:hAnsi="宋体"/>
                <w:color w:val="000000" w:themeColor="text1"/>
                <w:highlight w:val="none"/>
                <w14:textFill>
                  <w14:solidFill>
                    <w14:schemeClr w14:val="tx1"/>
                  </w14:solidFill>
                </w14:textFill>
              </w:rPr>
              <w:t>：</w:t>
            </w:r>
            <w:r>
              <w:rPr>
                <w:rFonts w:hint="eastAsia" w:hAnsi="宋体"/>
                <w:color w:val="000000" w:themeColor="text1"/>
                <w:highlight w:val="none"/>
                <w:u w:val="single"/>
                <w14:textFill>
                  <w14:solidFill>
                    <w14:schemeClr w14:val="tx1"/>
                  </w14:solidFill>
                </w14:textFill>
              </w:rPr>
              <w:t xml:space="preserve"> </w:t>
            </w:r>
            <w:r>
              <w:rPr>
                <w:rFonts w:hAnsi="宋体"/>
                <w:color w:val="000000" w:themeColor="text1"/>
                <w:highlight w:val="none"/>
                <w:u w:val="single"/>
                <w14:textFill>
                  <w14:solidFill>
                    <w14:schemeClr w14:val="tx1"/>
                  </w14:solidFill>
                </w14:textFill>
              </w:rPr>
              <w:t xml:space="preserve"> </w:t>
            </w:r>
            <w:r>
              <w:rPr>
                <w:rFonts w:hint="eastAsia" w:hAnsi="宋体"/>
                <w:color w:val="000000" w:themeColor="text1"/>
                <w:highlight w:val="none"/>
                <w:u w:val="single"/>
                <w14:textFill>
                  <w14:solidFill>
                    <w14:schemeClr w14:val="tx1"/>
                  </w14:solidFill>
                </w14:textFill>
              </w:rPr>
              <w:t>3</w:t>
            </w:r>
            <w:r>
              <w:rPr>
                <w:rFonts w:hAnsi="宋体"/>
                <w:color w:val="000000" w:themeColor="text1"/>
                <w:highlight w:val="none"/>
                <w:u w:val="single"/>
                <w14:textFill>
                  <w14:solidFill>
                    <w14:schemeClr w14:val="tx1"/>
                  </w14:solidFill>
                </w14:textFill>
              </w:rPr>
              <w:t xml:space="preserve">  </w:t>
            </w:r>
            <w:r>
              <w:rPr>
                <w:rFonts w:hAnsi="宋体"/>
                <w:color w:val="000000" w:themeColor="text1"/>
                <w:highlight w:val="none"/>
                <w14:textFill>
                  <w14:solidFill>
                    <w14:schemeClr w14:val="tx1"/>
                  </w14:solidFill>
                </w14:textFill>
              </w:rPr>
              <w:t>名</w:t>
            </w:r>
          </w:p>
        </w:tc>
      </w:tr>
      <w:tr w14:paraId="14A74C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1A7E26AA">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30</w:t>
            </w:r>
            <w:r>
              <w:rPr>
                <w:rFonts w:ascii="宋体" w:hAnsi="宋体"/>
                <w:color w:val="000000" w:themeColor="text1"/>
                <w:szCs w:val="21"/>
                <w:highlight w:val="none"/>
                <w14:textFill>
                  <w14:solidFill>
                    <w14:schemeClr w14:val="tx1"/>
                  </w14:solidFill>
                </w14:textFill>
              </w:rPr>
              <w:t>.1</w:t>
            </w:r>
          </w:p>
        </w:tc>
        <w:tc>
          <w:tcPr>
            <w:tcW w:w="8711" w:type="dxa"/>
            <w:tcBorders>
              <w:top w:val="single" w:color="auto" w:sz="4" w:space="0"/>
              <w:left w:val="single" w:color="auto" w:sz="4" w:space="0"/>
              <w:bottom w:val="single" w:color="auto" w:sz="4" w:space="0"/>
              <w:right w:val="single" w:color="auto" w:sz="4" w:space="0"/>
            </w:tcBorders>
            <w:noWrap w:val="0"/>
            <w:vAlign w:val="center"/>
          </w:tcPr>
          <w:p w14:paraId="190A649B">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采用综合评分法的采购项目，采购人确定中标人时，出现中标候选人并列的情形，采购人按以下的方式确定中标人：</w:t>
            </w:r>
          </w:p>
          <w:p w14:paraId="739BBED4">
            <w:pPr>
              <w:spacing w:line="360" w:lineRule="auto"/>
              <w:rPr>
                <w:rFonts w:ascii="宋体" w:hAnsi="宋体"/>
                <w:color w:val="000000" w:themeColor="text1"/>
                <w:szCs w:val="21"/>
                <w:highlight w:val="none"/>
                <w14:textFill>
                  <w14:solidFill>
                    <w14:schemeClr w14:val="tx1"/>
                  </w14:solidFill>
                </w14:textFill>
              </w:rPr>
            </w:pPr>
            <w:r>
              <w:rPr>
                <w:rFonts w:ascii="Wingdings 2" w:hAnsi="Wingdings 2"/>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依次按投标报价低的优先、政策分得分高的优先、技术评分高的优先、商务评分高的优先、质保期长优先、故障响应时间短优先的顺序确定；</w:t>
            </w:r>
          </w:p>
          <w:p w14:paraId="77774BE4">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□随机抽取；</w:t>
            </w:r>
          </w:p>
        </w:tc>
      </w:tr>
      <w:tr w14:paraId="468704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95" w:type="dxa"/>
            <w:tcBorders>
              <w:top w:val="single" w:color="auto" w:sz="4" w:space="0"/>
              <w:left w:val="single" w:color="auto" w:sz="4" w:space="0"/>
              <w:bottom w:val="single" w:color="auto" w:sz="4" w:space="0"/>
              <w:right w:val="single" w:color="auto" w:sz="4" w:space="0"/>
            </w:tcBorders>
            <w:noWrap w:val="0"/>
            <w:vAlign w:val="center"/>
          </w:tcPr>
          <w:p w14:paraId="298478E6">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35</w:t>
            </w:r>
            <w:r>
              <w:rPr>
                <w:rFonts w:ascii="宋体" w:hAnsi="宋体"/>
                <w:color w:val="000000" w:themeColor="text1"/>
                <w:szCs w:val="21"/>
                <w:highlight w:val="none"/>
                <w14:textFill>
                  <w14:solidFill>
                    <w14:schemeClr w14:val="tx1"/>
                  </w14:solidFill>
                </w14:textFill>
              </w:rPr>
              <w:t>.1</w:t>
            </w:r>
          </w:p>
        </w:tc>
        <w:tc>
          <w:tcPr>
            <w:tcW w:w="8711" w:type="dxa"/>
            <w:tcBorders>
              <w:top w:val="single" w:color="auto" w:sz="4" w:space="0"/>
              <w:left w:val="single" w:color="auto" w:sz="4" w:space="0"/>
              <w:bottom w:val="single" w:color="auto" w:sz="4" w:space="0"/>
              <w:right w:val="single" w:color="auto" w:sz="4" w:space="0"/>
            </w:tcBorders>
            <w:noWrap w:val="0"/>
            <w:vAlign w:val="center"/>
          </w:tcPr>
          <w:p w14:paraId="5B0EAE97">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本项目不收取履约保证金。</w:t>
            </w:r>
          </w:p>
        </w:tc>
      </w:tr>
      <w:tr w14:paraId="4EA71B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02E50A5E">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36.1</w:t>
            </w:r>
          </w:p>
        </w:tc>
        <w:tc>
          <w:tcPr>
            <w:tcW w:w="8711" w:type="dxa"/>
            <w:tcBorders>
              <w:top w:val="single" w:color="auto" w:sz="4" w:space="0"/>
              <w:left w:val="single" w:color="auto" w:sz="4" w:space="0"/>
              <w:bottom w:val="single" w:color="auto" w:sz="4" w:space="0"/>
              <w:right w:val="single" w:color="auto" w:sz="4" w:space="0"/>
            </w:tcBorders>
            <w:noWrap w:val="0"/>
            <w:vAlign w:val="center"/>
          </w:tcPr>
          <w:p w14:paraId="4E8D1DDB">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签订合同携带的证明材料： </w:t>
            </w:r>
          </w:p>
          <w:p w14:paraId="4F106178">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委托代理人负责签订合同的，须携带授权委托书及委托代理人身份证原件等其他资格证件。</w:t>
            </w:r>
          </w:p>
          <w:p w14:paraId="73DC4F7F">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法定代表人负责签订合同的，须携带法定代表人</w:t>
            </w:r>
            <w:r>
              <w:rPr>
                <w:rFonts w:ascii="宋体" w:hAnsi="宋体"/>
                <w:color w:val="000000" w:themeColor="text1"/>
                <w:szCs w:val="21"/>
                <w:highlight w:val="none"/>
                <w14:textFill>
                  <w14:solidFill>
                    <w14:schemeClr w14:val="tx1"/>
                  </w14:solidFill>
                </w14:textFill>
              </w:rPr>
              <w:t>身份证明原件</w:t>
            </w:r>
            <w:r>
              <w:rPr>
                <w:rFonts w:hint="eastAsia" w:ascii="宋体" w:hAnsi="宋体"/>
                <w:color w:val="000000" w:themeColor="text1"/>
                <w:szCs w:val="21"/>
                <w:highlight w:val="none"/>
                <w14:textFill>
                  <w14:solidFill>
                    <w14:schemeClr w14:val="tx1"/>
                  </w14:solidFill>
                </w14:textFill>
              </w:rPr>
              <w:t>及</w:t>
            </w:r>
            <w:r>
              <w:rPr>
                <w:rFonts w:ascii="宋体" w:hAnsi="宋体"/>
                <w:color w:val="000000" w:themeColor="text1"/>
                <w:szCs w:val="21"/>
                <w:highlight w:val="none"/>
                <w14:textFill>
                  <w14:solidFill>
                    <w14:schemeClr w14:val="tx1"/>
                  </w14:solidFill>
                </w14:textFill>
              </w:rPr>
              <w:t>身份证原件</w:t>
            </w:r>
            <w:r>
              <w:rPr>
                <w:rFonts w:hint="eastAsia" w:ascii="宋体" w:hAnsi="宋体"/>
                <w:color w:val="000000" w:themeColor="text1"/>
                <w:szCs w:val="21"/>
                <w:highlight w:val="none"/>
                <w14:textFill>
                  <w14:solidFill>
                    <w14:schemeClr w14:val="tx1"/>
                  </w14:solidFill>
                </w14:textFill>
              </w:rPr>
              <w:t>等其他证明材料。</w:t>
            </w:r>
          </w:p>
        </w:tc>
      </w:tr>
      <w:tr w14:paraId="465D02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3C94768F">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w:t>
            </w:r>
            <w:r>
              <w:rPr>
                <w:rFonts w:ascii="宋体" w:hAnsi="宋体"/>
                <w:color w:val="000000" w:themeColor="text1"/>
                <w:szCs w:val="21"/>
                <w:highlight w:val="none"/>
                <w14:textFill>
                  <w14:solidFill>
                    <w14:schemeClr w14:val="tx1"/>
                  </w14:solidFill>
                </w14:textFill>
              </w:rPr>
              <w:t>8.2</w:t>
            </w:r>
          </w:p>
        </w:tc>
        <w:tc>
          <w:tcPr>
            <w:tcW w:w="8711" w:type="dxa"/>
            <w:tcBorders>
              <w:top w:val="single" w:color="auto" w:sz="4" w:space="0"/>
              <w:left w:val="single" w:color="auto" w:sz="4" w:space="0"/>
              <w:bottom w:val="single" w:color="auto" w:sz="4" w:space="0"/>
              <w:right w:val="single" w:color="auto" w:sz="4" w:space="0"/>
            </w:tcBorders>
            <w:noWrap w:val="0"/>
            <w:vAlign w:val="center"/>
          </w:tcPr>
          <w:p w14:paraId="2ECDC336">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接收质疑函方式：以书面形式</w:t>
            </w:r>
          </w:p>
          <w:p w14:paraId="236CE693">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质疑联系部门及联系方式：云之龙咨询集团有限公司钦州分公司咨询部</w:t>
            </w:r>
          </w:p>
          <w:p w14:paraId="1AEDDF0E">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联系电话：0777-5619366</w:t>
            </w:r>
          </w:p>
          <w:p w14:paraId="6D5BAD9D">
            <w:pPr>
              <w:spacing w:line="36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通讯地址：云之龙咨询集团有限公司钦州分公司（广西钦州市子材东大街19号奥林名城8号楼8层）</w:t>
            </w:r>
          </w:p>
          <w:p w14:paraId="7891B750">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现场提交质疑办理业务时间：工作日8时00分到12时00分，15时00分到18时 00分，业务时间以外、双休日和法定节假日不办理业务。</w:t>
            </w:r>
          </w:p>
        </w:tc>
      </w:tr>
      <w:tr w14:paraId="422EC9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135FFD86">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w:t>
            </w:r>
            <w:r>
              <w:rPr>
                <w:rFonts w:ascii="宋体" w:hAnsi="宋体"/>
                <w:color w:val="000000" w:themeColor="text1"/>
                <w:szCs w:val="21"/>
                <w:highlight w:val="none"/>
                <w14:textFill>
                  <w14:solidFill>
                    <w14:schemeClr w14:val="tx1"/>
                  </w14:solidFill>
                </w14:textFill>
              </w:rPr>
              <w:t>9.1</w:t>
            </w:r>
          </w:p>
        </w:tc>
        <w:tc>
          <w:tcPr>
            <w:tcW w:w="8711" w:type="dxa"/>
            <w:tcBorders>
              <w:top w:val="single" w:color="auto" w:sz="4" w:space="0"/>
              <w:left w:val="single" w:color="auto" w:sz="4" w:space="0"/>
              <w:bottom w:val="single" w:color="auto" w:sz="4" w:space="0"/>
              <w:right w:val="single" w:color="auto" w:sz="4" w:space="0"/>
            </w:tcBorders>
            <w:noWrap w:val="0"/>
            <w:vAlign w:val="center"/>
          </w:tcPr>
          <w:p w14:paraId="24E11F46">
            <w:pPr>
              <w:pStyle w:val="25"/>
              <w:spacing w:line="360" w:lineRule="auto"/>
              <w:rPr>
                <w:rFonts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1.采购代理费支付方式：</w:t>
            </w:r>
          </w:p>
          <w:p w14:paraId="6AEDB444">
            <w:pPr>
              <w:pStyle w:val="25"/>
              <w:spacing w:line="360" w:lineRule="auto"/>
              <w:rPr>
                <w:rFonts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本项目代理服务费由各</w:t>
            </w:r>
            <w:r>
              <w:rPr>
                <w:rFonts w:hint="eastAsia" w:hAnsi="宋体" w:cs="宋体"/>
                <w:color w:val="000000" w:themeColor="text1"/>
                <w:sz w:val="21"/>
                <w:highlight w:val="none"/>
                <w:lang w:val="en-US" w:eastAsia="zh-CN"/>
                <w14:textFill>
                  <w14:solidFill>
                    <w14:schemeClr w14:val="tx1"/>
                  </w14:solidFill>
                </w14:textFill>
              </w:rPr>
              <w:t>分标</w:t>
            </w:r>
            <w:r>
              <w:rPr>
                <w:rFonts w:hint="eastAsia" w:hAnsi="宋体" w:cs="宋体"/>
                <w:color w:val="000000" w:themeColor="text1"/>
                <w:sz w:val="21"/>
                <w:highlight w:val="none"/>
                <w:u w:val="single"/>
                <w14:textFill>
                  <w14:solidFill>
                    <w14:schemeClr w14:val="tx1"/>
                  </w14:solidFill>
                </w14:textFill>
              </w:rPr>
              <w:t>中标人</w:t>
            </w:r>
            <w:r>
              <w:rPr>
                <w:rFonts w:hint="eastAsia" w:hAnsi="宋体" w:cs="宋体"/>
                <w:color w:val="000000" w:themeColor="text1"/>
                <w:sz w:val="21"/>
                <w:highlight w:val="none"/>
                <w14:textFill>
                  <w14:solidFill>
                    <w14:schemeClr w14:val="tx1"/>
                  </w14:solidFill>
                </w14:textFill>
              </w:rPr>
              <w:t>一次性向采购代理机构支付。</w:t>
            </w:r>
          </w:p>
          <w:p w14:paraId="1FCB79DF">
            <w:pPr>
              <w:pStyle w:val="25"/>
              <w:spacing w:line="360" w:lineRule="auto"/>
              <w:rPr>
                <w:rFonts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2.采购代理费收取标准：</w:t>
            </w:r>
          </w:p>
          <w:p w14:paraId="0998090B">
            <w:pPr>
              <w:pStyle w:val="25"/>
              <w:spacing w:line="360" w:lineRule="auto"/>
              <w:rPr>
                <w:rFonts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以</w:t>
            </w:r>
            <w:r>
              <w:rPr>
                <w:rFonts w:hint="eastAsia" w:hAnsi="宋体" w:cs="宋体"/>
                <w:color w:val="000000" w:themeColor="text1"/>
                <w:sz w:val="21"/>
                <w:highlight w:val="none"/>
                <w:lang w:val="en-US" w:eastAsia="zh-CN"/>
                <w14:textFill>
                  <w14:solidFill>
                    <w14:schemeClr w14:val="tx1"/>
                  </w14:solidFill>
                </w14:textFill>
              </w:rPr>
              <w:t>各分标</w:t>
            </w:r>
            <w:r>
              <w:rPr>
                <w:rFonts w:hint="eastAsia" w:hAnsi="宋体" w:cs="宋体"/>
                <w:color w:val="000000" w:themeColor="text1"/>
                <w:sz w:val="21"/>
                <w:highlight w:val="none"/>
                <w14:textFill>
                  <w14:solidFill>
                    <w14:schemeClr w14:val="tx1"/>
                  </w14:solidFill>
                </w14:textFill>
              </w:rPr>
              <w:t>预算金额为计费额，按本须知正文第</w:t>
            </w:r>
            <w:r>
              <w:rPr>
                <w:rFonts w:hAnsi="宋体" w:cs="宋体"/>
                <w:color w:val="000000" w:themeColor="text1"/>
                <w:sz w:val="21"/>
                <w:highlight w:val="none"/>
                <w14:textFill>
                  <w14:solidFill>
                    <w14:schemeClr w14:val="tx1"/>
                  </w14:solidFill>
                </w14:textFill>
              </w:rPr>
              <w:t>39</w:t>
            </w:r>
            <w:r>
              <w:rPr>
                <w:rFonts w:hint="eastAsia" w:hAnsi="宋体" w:cs="宋体"/>
                <w:color w:val="000000" w:themeColor="text1"/>
                <w:sz w:val="21"/>
                <w:highlight w:val="none"/>
                <w14:textFill>
                  <w14:solidFill>
                    <w14:schemeClr w14:val="tx1"/>
                  </w14:solidFill>
                </w14:textFill>
              </w:rPr>
              <w:t>.</w:t>
            </w:r>
            <w:r>
              <w:rPr>
                <w:rFonts w:hAnsi="宋体" w:cs="宋体"/>
                <w:color w:val="000000" w:themeColor="text1"/>
                <w:sz w:val="21"/>
                <w:highlight w:val="none"/>
                <w14:textFill>
                  <w14:solidFill>
                    <w14:schemeClr w14:val="tx1"/>
                  </w14:solidFill>
                </w14:textFill>
              </w:rPr>
              <w:t>2</w:t>
            </w:r>
            <w:r>
              <w:rPr>
                <w:rFonts w:hint="eastAsia" w:hAnsi="宋体" w:cs="宋体"/>
                <w:color w:val="000000" w:themeColor="text1"/>
                <w:sz w:val="21"/>
                <w:highlight w:val="none"/>
                <w14:textFill>
                  <w14:solidFill>
                    <w14:schemeClr w14:val="tx1"/>
                  </w14:solidFill>
                </w14:textFill>
              </w:rPr>
              <w:t>条规定的收费计算标准货物招标类，采用差额定率累进法计算出收费基准价格，采购代理收费以收费基准价格</w:t>
            </w:r>
            <w:r>
              <w:rPr>
                <w:rFonts w:hint="eastAsia" w:hAnsi="宋体" w:cs="宋体"/>
                <w:color w:val="000000" w:themeColor="text1"/>
                <w:sz w:val="21"/>
                <w:highlight w:val="none"/>
                <w:lang w:val="en-US" w:eastAsia="zh-CN"/>
                <w14:textFill>
                  <w14:solidFill>
                    <w14:schemeClr w14:val="tx1"/>
                  </w14:solidFill>
                </w14:textFill>
              </w:rPr>
              <w:t>下浮20%</w:t>
            </w:r>
            <w:r>
              <w:rPr>
                <w:rFonts w:hint="eastAsia" w:hAnsi="宋体" w:cs="宋体"/>
                <w:color w:val="000000" w:themeColor="text1"/>
                <w:sz w:val="21"/>
                <w:highlight w:val="none"/>
                <w14:textFill>
                  <w14:solidFill>
                    <w14:schemeClr w14:val="tx1"/>
                  </w14:solidFill>
                </w14:textFill>
              </w:rPr>
              <w:t>收取。</w:t>
            </w:r>
          </w:p>
          <w:p w14:paraId="63F92D15">
            <w:pPr>
              <w:pStyle w:val="25"/>
              <w:spacing w:line="360" w:lineRule="auto"/>
              <w:rPr>
                <w:rFonts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3</w:t>
            </w:r>
            <w:r>
              <w:rPr>
                <w:rFonts w:hAnsi="宋体" w:cs="宋体"/>
                <w:color w:val="000000" w:themeColor="text1"/>
                <w:sz w:val="21"/>
                <w:highlight w:val="none"/>
                <w14:textFill>
                  <w14:solidFill>
                    <w14:schemeClr w14:val="tx1"/>
                  </w14:solidFill>
                </w14:textFill>
              </w:rPr>
              <w:t>.</w:t>
            </w:r>
            <w:r>
              <w:rPr>
                <w:rFonts w:hint="eastAsia" w:hAnsi="宋体" w:cs="宋体"/>
                <w:color w:val="000000" w:themeColor="text1"/>
                <w:sz w:val="21"/>
                <w:highlight w:val="none"/>
                <w14:textFill>
                  <w14:solidFill>
                    <w14:schemeClr w14:val="tx1"/>
                  </w14:solidFill>
                </w14:textFill>
              </w:rPr>
              <w:t xml:space="preserve"> 账户名称：云之龙咨询集团有限公司钦州分公司</w:t>
            </w:r>
          </w:p>
          <w:p w14:paraId="44A1A99A">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  开户银行：中信银行南宁园湖支行；</w:t>
            </w:r>
          </w:p>
          <w:p w14:paraId="0F872423">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  银行账号：8113 0010 1330 0157 979；</w:t>
            </w:r>
          </w:p>
          <w:p w14:paraId="4EE961C8">
            <w:pPr>
              <w:pStyle w:val="25"/>
              <w:spacing w:line="360" w:lineRule="auto"/>
              <w:ind w:firstLine="105"/>
              <w:rPr>
                <w:rFonts w:hAnsi="宋体" w:cs="宋体"/>
                <w:color w:val="000000" w:themeColor="text1"/>
                <w:sz w:val="21"/>
                <w:highlight w:val="none"/>
                <w14:textFill>
                  <w14:solidFill>
                    <w14:schemeClr w14:val="tx1"/>
                  </w14:solidFill>
                </w14:textFill>
              </w:rPr>
            </w:pPr>
            <w:r>
              <w:rPr>
                <w:rFonts w:hint="eastAsia" w:ascii="Times New Roman" w:hAnsi="宋体" w:cs="宋体"/>
                <w:color w:val="000000" w:themeColor="text1"/>
                <w:sz w:val="21"/>
                <w:szCs w:val="24"/>
                <w:highlight w:val="none"/>
                <w14:textFill>
                  <w14:solidFill>
                    <w14:schemeClr w14:val="tx1"/>
                  </w14:solidFill>
                </w14:textFill>
              </w:rPr>
              <w:t>行号：3026 1102 9137</w:t>
            </w:r>
          </w:p>
        </w:tc>
      </w:tr>
      <w:tr w14:paraId="766698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2E26E870">
            <w:pPr>
              <w:spacing w:line="360" w:lineRule="auto"/>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40.1</w:t>
            </w:r>
          </w:p>
        </w:tc>
        <w:tc>
          <w:tcPr>
            <w:tcW w:w="8711" w:type="dxa"/>
            <w:tcBorders>
              <w:top w:val="single" w:color="auto" w:sz="4" w:space="0"/>
              <w:left w:val="single" w:color="auto" w:sz="4" w:space="0"/>
              <w:bottom w:val="single" w:color="auto" w:sz="4" w:space="0"/>
              <w:right w:val="single" w:color="auto" w:sz="4" w:space="0"/>
            </w:tcBorders>
            <w:noWrap w:val="0"/>
            <w:vAlign w:val="center"/>
          </w:tcPr>
          <w:p w14:paraId="5B6A9576">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解释：</w:t>
            </w:r>
            <w:r>
              <w:rPr>
                <w:rFonts w:ascii="宋体" w:hAnsi="宋体"/>
                <w:color w:val="000000" w:themeColor="text1"/>
                <w:szCs w:val="21"/>
                <w:highlight w:val="none"/>
                <w14:textFill>
                  <w14:solidFill>
                    <w14:schemeClr w14:val="tx1"/>
                  </w14:solidFill>
                </w14:textFill>
              </w:rPr>
              <w:t>构成本招标文件的各个组成文件应互为解释，互为说明；除招标文件中有特别规定外，仅适用于招标投标阶段的规定，按</w:t>
            </w:r>
            <w:r>
              <w:rPr>
                <w:rFonts w:hint="eastAsia" w:ascii="宋体" w:hAnsi="宋体"/>
                <w:color w:val="000000" w:themeColor="text1"/>
                <w:szCs w:val="21"/>
                <w:highlight w:val="none"/>
                <w14:textFill>
                  <w14:solidFill>
                    <w14:schemeClr w14:val="tx1"/>
                  </w14:solidFill>
                </w14:textFill>
              </w:rPr>
              <w:t>更正公告（澄清公告）</w:t>
            </w:r>
            <w:r>
              <w:rPr>
                <w:rFonts w:ascii="宋体" w:hAnsi="宋体"/>
                <w:color w:val="000000" w:themeColor="text1"/>
                <w:szCs w:val="21"/>
                <w:highlight w:val="none"/>
                <w14:textFill>
                  <w14:solidFill>
                    <w14:schemeClr w14:val="tx1"/>
                  </w14:solidFill>
                </w14:textFill>
              </w:rPr>
              <w:t>、招标公告、</w:t>
            </w:r>
            <w:r>
              <w:rPr>
                <w:rFonts w:hint="eastAsia" w:ascii="宋体" w:hAnsi="宋体"/>
                <w:color w:val="000000" w:themeColor="text1"/>
                <w:szCs w:val="21"/>
                <w:highlight w:val="none"/>
                <w14:textFill>
                  <w14:solidFill>
                    <w14:schemeClr w14:val="tx1"/>
                  </w14:solidFill>
                </w14:textFill>
              </w:rPr>
              <w:t>采购需求、</w:t>
            </w:r>
            <w:r>
              <w:rPr>
                <w:rFonts w:ascii="宋体" w:hAnsi="宋体"/>
                <w:color w:val="000000" w:themeColor="text1"/>
                <w:szCs w:val="21"/>
                <w:highlight w:val="none"/>
                <w14:textFill>
                  <w14:solidFill>
                    <w14:schemeClr w14:val="tx1"/>
                  </w14:solidFill>
                </w14:textFill>
              </w:rPr>
              <w:t>投标人须知、</w:t>
            </w:r>
            <w:r>
              <w:rPr>
                <w:rFonts w:hint="eastAsia" w:ascii="宋体" w:hAnsi="宋体"/>
                <w:color w:val="000000" w:themeColor="text1"/>
                <w:szCs w:val="21"/>
                <w:highlight w:val="none"/>
                <w14:textFill>
                  <w14:solidFill>
                    <w14:schemeClr w14:val="tx1"/>
                  </w14:solidFill>
                </w14:textFill>
              </w:rPr>
              <w:t>评标方法及评标标准</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拟签订的合同文本、</w:t>
            </w:r>
            <w:r>
              <w:rPr>
                <w:rFonts w:ascii="宋体" w:hAnsi="宋体"/>
                <w:color w:val="000000" w:themeColor="text1"/>
                <w:szCs w:val="21"/>
                <w:highlight w:val="none"/>
                <w14:textFill>
                  <w14:solidFill>
                    <w14:schemeClr w14:val="tx1"/>
                  </w14:solidFill>
                </w14:textFill>
              </w:rPr>
              <w:t>投标文件格式的先后顺序解释；同一组成文件中就同一事项的规定或者约定不一致的，以编排顺序在后者为准；同一组成文件不同版本之间有不一致的，以形成时间在后者为准；</w:t>
            </w:r>
            <w:r>
              <w:rPr>
                <w:rFonts w:hint="eastAsia" w:ascii="宋体" w:hAnsi="宋体"/>
                <w:color w:val="000000" w:themeColor="text1"/>
                <w:szCs w:val="21"/>
                <w:highlight w:val="none"/>
                <w14:textFill>
                  <w14:solidFill>
                    <w14:schemeClr w14:val="tx1"/>
                  </w14:solidFill>
                </w14:textFill>
              </w:rPr>
              <w:t>更正公告（澄清公告）</w:t>
            </w:r>
            <w:r>
              <w:rPr>
                <w:rFonts w:ascii="宋体" w:hAnsi="宋体"/>
                <w:color w:val="000000" w:themeColor="text1"/>
                <w:szCs w:val="21"/>
                <w:highlight w:val="none"/>
                <w14:textFill>
                  <w14:solidFill>
                    <w14:schemeClr w14:val="tx1"/>
                  </w14:solidFill>
                </w14:textFill>
              </w:rPr>
              <w:t>与同步更新的招标文件不一致时以</w:t>
            </w:r>
            <w:r>
              <w:rPr>
                <w:rFonts w:hint="eastAsia" w:ascii="宋体" w:hAnsi="宋体"/>
                <w:color w:val="000000" w:themeColor="text1"/>
                <w:szCs w:val="21"/>
                <w:highlight w:val="none"/>
                <w14:textFill>
                  <w14:solidFill>
                    <w14:schemeClr w14:val="tx1"/>
                  </w14:solidFill>
                </w14:textFill>
              </w:rPr>
              <w:t>更正公告（澄清公告）</w:t>
            </w:r>
            <w:r>
              <w:rPr>
                <w:rFonts w:ascii="宋体" w:hAnsi="宋体"/>
                <w:color w:val="000000" w:themeColor="text1"/>
                <w:szCs w:val="21"/>
                <w:highlight w:val="none"/>
                <w14:textFill>
                  <w14:solidFill>
                    <w14:schemeClr w14:val="tx1"/>
                  </w14:solidFill>
                </w14:textFill>
              </w:rPr>
              <w:t>为准。按本款前述规定仍不能形成结论的，由</w:t>
            </w:r>
            <w:r>
              <w:rPr>
                <w:rFonts w:hint="eastAsia" w:ascii="宋体" w:hAnsi="宋体"/>
                <w:color w:val="000000" w:themeColor="text1"/>
                <w:szCs w:val="21"/>
                <w:highlight w:val="none"/>
                <w14:textFill>
                  <w14:solidFill>
                    <w14:schemeClr w14:val="tx1"/>
                  </w14:solidFill>
                </w14:textFill>
              </w:rPr>
              <w:t>采购</w:t>
            </w:r>
            <w:r>
              <w:rPr>
                <w:rFonts w:ascii="宋体" w:hAnsi="宋体"/>
                <w:color w:val="000000" w:themeColor="text1"/>
                <w:szCs w:val="21"/>
                <w:highlight w:val="none"/>
                <w14:textFill>
                  <w14:solidFill>
                    <w14:schemeClr w14:val="tx1"/>
                  </w14:solidFill>
                </w14:textFill>
              </w:rPr>
              <w:t>人</w:t>
            </w:r>
            <w:r>
              <w:rPr>
                <w:rFonts w:hint="eastAsia" w:ascii="宋体" w:hAnsi="宋体"/>
                <w:color w:val="000000" w:themeColor="text1"/>
                <w:szCs w:val="21"/>
                <w:highlight w:val="none"/>
                <w14:textFill>
                  <w14:solidFill>
                    <w14:schemeClr w14:val="tx1"/>
                  </w14:solidFill>
                </w14:textFill>
              </w:rPr>
              <w:t>或者采购代理机构</w:t>
            </w:r>
            <w:r>
              <w:rPr>
                <w:rFonts w:ascii="宋体" w:hAnsi="宋体"/>
                <w:color w:val="000000" w:themeColor="text1"/>
                <w:szCs w:val="21"/>
                <w:highlight w:val="none"/>
                <w14:textFill>
                  <w14:solidFill>
                    <w14:schemeClr w14:val="tx1"/>
                  </w14:solidFill>
                </w14:textFill>
              </w:rPr>
              <w:t>负责解释。</w:t>
            </w:r>
          </w:p>
        </w:tc>
      </w:tr>
      <w:tr w14:paraId="140C47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02A7435E">
            <w:pPr>
              <w:spacing w:line="360" w:lineRule="auto"/>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40.2</w:t>
            </w:r>
          </w:p>
        </w:tc>
        <w:tc>
          <w:tcPr>
            <w:tcW w:w="8711" w:type="dxa"/>
            <w:tcBorders>
              <w:top w:val="single" w:color="auto" w:sz="4" w:space="0"/>
              <w:left w:val="single" w:color="auto" w:sz="4" w:space="0"/>
              <w:bottom w:val="single" w:color="auto" w:sz="4" w:space="0"/>
              <w:right w:val="single" w:color="auto" w:sz="4" w:space="0"/>
            </w:tcBorders>
            <w:noWrap w:val="0"/>
            <w:vAlign w:val="center"/>
          </w:tcPr>
          <w:p w14:paraId="1CA24880">
            <w:pPr>
              <w:pStyle w:val="25"/>
              <w:spacing w:line="360" w:lineRule="auto"/>
              <w:rPr>
                <w:rFonts w:hAnsi="宋体" w:cs="宋体"/>
                <w:bCs/>
                <w:color w:val="000000" w:themeColor="text1"/>
                <w:sz w:val="21"/>
                <w:highlight w:val="none"/>
                <w14:textFill>
                  <w14:solidFill>
                    <w14:schemeClr w14:val="tx1"/>
                  </w14:solidFill>
                </w14:textFill>
              </w:rPr>
            </w:pPr>
            <w:r>
              <w:rPr>
                <w:rFonts w:hint="eastAsia" w:hAnsi="宋体" w:cs="宋体"/>
                <w:bCs/>
                <w:color w:val="000000" w:themeColor="text1"/>
                <w:sz w:val="21"/>
                <w:highlight w:val="none"/>
                <w14:textFill>
                  <w14:solidFill>
                    <w14:schemeClr w14:val="tx1"/>
                  </w14:solidFill>
                </w14:textFill>
              </w:rPr>
              <w:t>1.本招标文件中描述投标人的“公章”是指根据我国对公章的管理规定，使用投标人法定主体行为名称制作的印章，除本招标文件有特殊规定外，投标人的财务章、部门章、分公司章、工会章、合同章、投标专用章、业务专用章及银行的转账章、现金收讫章、现金付讫章等其他形式印章均不能代替公章。</w:t>
            </w:r>
          </w:p>
          <w:p w14:paraId="09DA215B">
            <w:pPr>
              <w:pStyle w:val="25"/>
              <w:spacing w:line="360" w:lineRule="auto"/>
              <w:rPr>
                <w:rFonts w:hAnsi="宋体" w:cs="宋体"/>
                <w:bCs/>
                <w:color w:val="000000" w:themeColor="text1"/>
                <w:sz w:val="21"/>
                <w:highlight w:val="none"/>
                <w14:textFill>
                  <w14:solidFill>
                    <w14:schemeClr w14:val="tx1"/>
                  </w14:solidFill>
                </w14:textFill>
              </w:rPr>
            </w:pPr>
            <w:r>
              <w:rPr>
                <w:rFonts w:hint="eastAsia" w:hAnsi="宋体" w:cs="宋体"/>
                <w:bCs/>
                <w:color w:val="000000" w:themeColor="text1"/>
                <w:sz w:val="21"/>
                <w:highlight w:val="none"/>
                <w14:textFill>
                  <w14:solidFill>
                    <w14:schemeClr w14:val="tx1"/>
                  </w14:solidFill>
                </w14:textFill>
              </w:rPr>
              <w:t>2.本招标文件所称的“</w:t>
            </w:r>
            <w:r>
              <w:rPr>
                <w:rFonts w:hint="eastAsia" w:hAnsi="宋体"/>
                <w:color w:val="000000" w:themeColor="text1"/>
                <w:sz w:val="21"/>
                <w:highlight w:val="none"/>
                <w14:textFill>
                  <w14:solidFill>
                    <w14:schemeClr w14:val="tx1"/>
                  </w14:solidFill>
                </w14:textFill>
              </w:rPr>
              <w:t>电子签章</w:t>
            </w:r>
            <w:r>
              <w:rPr>
                <w:rFonts w:hint="eastAsia" w:hAnsi="宋体" w:cs="宋体"/>
                <w:bCs/>
                <w:color w:val="000000" w:themeColor="text1"/>
                <w:sz w:val="21"/>
                <w:highlight w:val="none"/>
                <w14:textFill>
                  <w14:solidFill>
                    <w14:schemeClr w14:val="tx1"/>
                  </w14:solidFill>
                </w14:textFill>
              </w:rPr>
              <w:t>”、“电子签名”</w:t>
            </w:r>
            <w:r>
              <w:rPr>
                <w:rFonts w:hint="eastAsia" w:hAnsi="宋体"/>
                <w:color w:val="000000" w:themeColor="text1"/>
                <w:sz w:val="21"/>
                <w:highlight w:val="none"/>
                <w14:textFill>
                  <w14:solidFill>
                    <w14:schemeClr w14:val="tx1"/>
                  </w14:solidFill>
                </w14:textFill>
              </w:rPr>
              <w:t>，是指经广西政府采购云平台认可的CA认证的电子签名数据为表现形式的印章，可用于签署电子投标文件，电子印章与实物印章具有同等法律效力，不因其采用电子化表现形式而否定其法律效力。</w:t>
            </w:r>
          </w:p>
          <w:p w14:paraId="3C770BE1">
            <w:pPr>
              <w:pStyle w:val="25"/>
              <w:spacing w:line="360" w:lineRule="auto"/>
              <w:rPr>
                <w:rFonts w:hAnsi="宋体" w:cs="宋体"/>
                <w:bCs/>
                <w:color w:val="000000" w:themeColor="text1"/>
                <w:sz w:val="21"/>
                <w:highlight w:val="none"/>
                <w14:textFill>
                  <w14:solidFill>
                    <w14:schemeClr w14:val="tx1"/>
                  </w14:solidFill>
                </w14:textFill>
              </w:rPr>
            </w:pPr>
            <w:r>
              <w:rPr>
                <w:rFonts w:hint="eastAsia" w:hAnsi="宋体" w:cs="宋体"/>
                <w:bCs/>
                <w:color w:val="000000" w:themeColor="text1"/>
                <w:sz w:val="21"/>
                <w:highlight w:val="none"/>
                <w14:textFill>
                  <w14:solidFill>
                    <w14:schemeClr w14:val="tx1"/>
                  </w14:solidFill>
                </w14:textFill>
              </w:rPr>
              <w:t>3.投标人为其他组织或者自然人时，本招标文件规定的法定代表人指负责人或者自然人。本招标文件所称负责人是指参加投标的其他组织营业执照或者执业许可证等证照上的负责人，本招标文件所称自然人指参与投标的自然人本人，且应具备独立承担民事责任能力，自然人应当为年满18岁以上成年人（十六周岁以上的未成年人，以自己的劳动收入为主要生活来源的，视为完全民事行为能力人）。</w:t>
            </w:r>
          </w:p>
          <w:p w14:paraId="62CBF736">
            <w:pPr>
              <w:pStyle w:val="25"/>
              <w:spacing w:line="360" w:lineRule="auto"/>
              <w:rPr>
                <w:rFonts w:hAnsi="宋体" w:cs="宋体"/>
                <w:bCs/>
                <w:color w:val="000000" w:themeColor="text1"/>
                <w:sz w:val="21"/>
                <w:highlight w:val="none"/>
                <w14:textFill>
                  <w14:solidFill>
                    <w14:schemeClr w14:val="tx1"/>
                  </w14:solidFill>
                </w14:textFill>
              </w:rPr>
            </w:pPr>
            <w:r>
              <w:rPr>
                <w:rFonts w:hint="eastAsia" w:hAnsi="宋体" w:cs="宋体"/>
                <w:bCs/>
                <w:color w:val="000000" w:themeColor="text1"/>
                <w:sz w:val="21"/>
                <w:highlight w:val="none"/>
                <w14:textFill>
                  <w14:solidFill>
                    <w14:schemeClr w14:val="tx1"/>
                  </w14:solidFill>
                </w14:textFill>
              </w:rPr>
              <w:t>4.本招标文件中描述投标人的“签字”是指投标人的法定代表人或者委托代理人亲自在文件规定签字处亲笔写上个人的名字的行为，私章、签字章、印鉴、影印等其他形式均不能代替亲笔签字。</w:t>
            </w:r>
          </w:p>
          <w:p w14:paraId="158E813E">
            <w:pPr>
              <w:pStyle w:val="25"/>
              <w:spacing w:line="360" w:lineRule="auto"/>
              <w:rPr>
                <w:color w:val="000000" w:themeColor="text1"/>
                <w:sz w:val="21"/>
                <w:highlight w:val="none"/>
                <w14:textFill>
                  <w14:solidFill>
                    <w14:schemeClr w14:val="tx1"/>
                  </w14:solidFill>
                </w14:textFill>
              </w:rPr>
            </w:pPr>
            <w:r>
              <w:rPr>
                <w:rFonts w:hint="eastAsia" w:hAnsi="宋体" w:cs="宋体"/>
                <w:bCs/>
                <w:color w:val="000000" w:themeColor="text1"/>
                <w:sz w:val="21"/>
                <w:highlight w:val="none"/>
                <w14:textFill>
                  <w14:solidFill>
                    <w14:schemeClr w14:val="tx1"/>
                  </w14:solidFill>
                </w14:textFill>
              </w:rPr>
              <w:t>5.本招标文件所称的“以上”“以下”“以内”“届满”，包括本数；所称的“不满”“超过”“以外”，不包括本数。</w:t>
            </w:r>
          </w:p>
        </w:tc>
      </w:tr>
    </w:tbl>
    <w:p w14:paraId="1EBFBC2C">
      <w:pPr>
        <w:rPr>
          <w:rFonts w:ascii="宋体" w:hAnsi="宋体"/>
          <w:color w:val="000000" w:themeColor="text1"/>
          <w:sz w:val="24"/>
          <w:szCs w:val="20"/>
          <w:highlight w:val="none"/>
          <w14:textFill>
            <w14:solidFill>
              <w14:schemeClr w14:val="tx1"/>
            </w14:solidFill>
          </w14:textFill>
        </w:rPr>
      </w:pPr>
    </w:p>
    <w:p w14:paraId="10949D59">
      <w:pPr>
        <w:rPr>
          <w:rFonts w:ascii="宋体" w:hAnsi="宋体"/>
          <w:color w:val="000000" w:themeColor="text1"/>
          <w:sz w:val="24"/>
          <w:szCs w:val="20"/>
          <w:highlight w:val="none"/>
          <w14:textFill>
            <w14:solidFill>
              <w14:schemeClr w14:val="tx1"/>
            </w14:solidFill>
          </w14:textFill>
        </w:rPr>
      </w:pPr>
    </w:p>
    <w:p w14:paraId="2E3C52E2">
      <w:pPr>
        <w:pStyle w:val="4"/>
        <w:keepNext w:val="0"/>
        <w:keepLines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clear="all"/>
      </w:r>
      <w:r>
        <w:rPr>
          <w:rFonts w:hint="eastAsia"/>
          <w:color w:val="000000" w:themeColor="text1"/>
          <w:highlight w:val="none"/>
          <w14:textFill>
            <w14:solidFill>
              <w14:schemeClr w14:val="tx1"/>
            </w14:solidFill>
          </w14:textFill>
        </w:rPr>
        <w:t>投标人须知正文</w:t>
      </w:r>
    </w:p>
    <w:p w14:paraId="272C3AE3">
      <w:pPr>
        <w:pStyle w:val="4"/>
        <w:keepNext w:val="0"/>
        <w:keepLines w:val="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一、总  则</w:t>
      </w:r>
    </w:p>
    <w:p w14:paraId="11E6557B">
      <w:pPr>
        <w:pStyle w:val="6"/>
        <w:keepNext w:val="0"/>
        <w:keepLines w:val="0"/>
        <w:spacing w:before="0" w:after="0" w:line="360" w:lineRule="auto"/>
        <w:ind w:left="42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1.适用范围</w:t>
      </w:r>
    </w:p>
    <w:p w14:paraId="221A26E2">
      <w:pPr>
        <w:spacing w:line="360" w:lineRule="auto"/>
        <w:ind w:firstLine="42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1.1适用法律：本项目采购人、采购代理机构、投标人、评标委员会的相关行为均受《中华人民共和国政府采购法》《中华人民共和国政府采购法实施条例》《政府采购货物和服务招标投标管理办法》及本项目本级和上级财政部门政府采购有关规定的约束和保护。</w:t>
      </w:r>
    </w:p>
    <w:p w14:paraId="4EABA41B">
      <w:pPr>
        <w:spacing w:line="360" w:lineRule="auto"/>
        <w:ind w:firstLine="420"/>
        <w:jc w:val="left"/>
        <w:rPr>
          <w:rFonts w:ascii="宋体" w:hAnsi="宋体" w:cs="宋体"/>
          <w:color w:val="000000" w:themeColor="text1"/>
          <w:spacing w:val="-6"/>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1.2本招标文件</w:t>
      </w:r>
      <w:r>
        <w:rPr>
          <w:rFonts w:hint="eastAsia" w:ascii="宋体" w:hAnsi="宋体" w:cs="宋体"/>
          <w:color w:val="000000" w:themeColor="text1"/>
          <w:spacing w:val="-6"/>
          <w:szCs w:val="21"/>
          <w:highlight w:val="none"/>
          <w14:textFill>
            <w14:solidFill>
              <w14:schemeClr w14:val="tx1"/>
            </w14:solidFill>
          </w14:textFill>
        </w:rPr>
        <w:t>适用于本项目的所有采购程序和环节（法律、法规另有规定的，从其规定）。</w:t>
      </w:r>
    </w:p>
    <w:p w14:paraId="5D0FED19">
      <w:pPr>
        <w:pStyle w:val="6"/>
        <w:keepNext w:val="0"/>
        <w:keepLines w:val="0"/>
        <w:spacing w:before="0" w:after="0" w:line="360" w:lineRule="auto"/>
        <w:ind w:left="42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2.定义</w:t>
      </w:r>
    </w:p>
    <w:p w14:paraId="2AEB04DE">
      <w:pPr>
        <w:pStyle w:val="6"/>
        <w:keepNext w:val="0"/>
        <w:keepLines w:val="0"/>
        <w:spacing w:before="0" w:after="0" w:line="360" w:lineRule="auto"/>
        <w:ind w:left="420"/>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2.1“采购人”是指依法进行政府采购的国家机关、事业单位、团体组织。</w:t>
      </w:r>
    </w:p>
    <w:p w14:paraId="263B673F">
      <w:pPr>
        <w:pStyle w:val="6"/>
        <w:keepNext w:val="0"/>
        <w:keepLines w:val="0"/>
        <w:spacing w:before="0" w:after="0" w:line="360" w:lineRule="auto"/>
        <w:ind w:left="420"/>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2.2“采购代理机构”是指政府采购集中采购机构和集中采购机构以外的采购代理机构。</w:t>
      </w:r>
    </w:p>
    <w:p w14:paraId="7415B79D">
      <w:pPr>
        <w:pStyle w:val="6"/>
        <w:keepNext w:val="0"/>
        <w:keepLines w:val="0"/>
        <w:spacing w:before="0" w:after="0" w:line="360" w:lineRule="auto"/>
        <w:ind w:left="420"/>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2.3“供应商”是指向采购人提供货物、工程或者服务的法人、其他组织或者自然人。</w:t>
      </w:r>
    </w:p>
    <w:p w14:paraId="53C9C00C">
      <w:pPr>
        <w:pStyle w:val="7"/>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2.4“投标人”是指响应招标、参加投标竞争的法人、其他组织或者自然人。</w:t>
      </w:r>
    </w:p>
    <w:p w14:paraId="1D2B7848">
      <w:pPr>
        <w:pStyle w:val="6"/>
        <w:keepNext w:val="0"/>
        <w:keepLines w:val="0"/>
        <w:spacing w:before="0" w:after="0" w:line="360" w:lineRule="auto"/>
        <w:ind w:firstLine="420"/>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2.5“货物”是指各种形态和种类的物品，包括原材料、燃料、设备、产品等。</w:t>
      </w:r>
    </w:p>
    <w:p w14:paraId="10757EB2">
      <w:pPr>
        <w:pStyle w:val="6"/>
        <w:keepNext w:val="0"/>
        <w:keepLines w:val="0"/>
        <w:spacing w:before="0" w:after="0" w:line="360" w:lineRule="auto"/>
        <w:ind w:firstLine="420"/>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2.6“售后服务” 是指商品出售以后所提供的各种服务，包含但不限于投标人须承担的备品备件、包装、运输、装卸、保险、货到就位以及安装、调试、培训、质保以及其他各种服务。</w:t>
      </w:r>
    </w:p>
    <w:p w14:paraId="2210928E">
      <w:pPr>
        <w:pStyle w:val="6"/>
        <w:keepNext w:val="0"/>
        <w:keepLines w:val="0"/>
        <w:spacing w:before="0" w:after="0" w:line="360" w:lineRule="auto"/>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 xml:space="preserve">    2.7“书面形式”是指合同书、信件和数据电文（包括电报、电传、传真、电子数据交换和电子邮件）等可以有形地表现所载内容的形式。</w:t>
      </w:r>
    </w:p>
    <w:p w14:paraId="4C95D9B2">
      <w:pPr>
        <w:pStyle w:val="6"/>
        <w:keepNext w:val="0"/>
        <w:keepLines w:val="0"/>
        <w:spacing w:before="0" w:after="0" w:line="360" w:lineRule="auto"/>
        <w:ind w:firstLine="420"/>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2.8“实质性要求”是指招标文件中已经指明不满足则投标无效的条款，或者不能负偏离的条款，或者采购需求中带“▲”的条款。</w:t>
      </w:r>
    </w:p>
    <w:p w14:paraId="6C155B21">
      <w:pPr>
        <w:spacing w:line="360" w:lineRule="auto"/>
        <w:ind w:firstLine="420"/>
        <w:jc w:val="left"/>
        <w:rPr>
          <w:rFonts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2.9 </w:t>
      </w:r>
      <w:r>
        <w:rPr>
          <w:rFonts w:hint="eastAsia" w:ascii="宋体" w:hAnsi="宋体" w:cs="宋体"/>
          <w:color w:val="000000" w:themeColor="text1"/>
          <w:szCs w:val="21"/>
          <w:highlight w:val="none"/>
          <w14:textFill>
            <w14:solidFill>
              <w14:schemeClr w14:val="tx1"/>
            </w14:solidFill>
          </w14:textFill>
        </w:rPr>
        <w:t>“正偏离”，是指投标文件对招标文件“采购需求”中有关条款作出的响应优于条款要求并有利于采购人的情形。</w:t>
      </w:r>
    </w:p>
    <w:p w14:paraId="457A425C">
      <w:pPr>
        <w:spacing w:line="360" w:lineRule="auto"/>
        <w:ind w:firstLine="420"/>
        <w:jc w:val="left"/>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2.10</w:t>
      </w:r>
      <w:r>
        <w:rPr>
          <w:rFonts w:hint="eastAsia" w:ascii="宋体" w:hAnsi="宋体" w:cs="宋体"/>
          <w:color w:val="000000" w:themeColor="text1"/>
          <w:szCs w:val="21"/>
          <w:highlight w:val="none"/>
          <w14:textFill>
            <w14:solidFill>
              <w14:schemeClr w14:val="tx1"/>
            </w14:solidFill>
          </w14:textFill>
        </w:rPr>
        <w:t>“负偏离”，是指投标文件对招标文件“采购需求”中有关条款作出的响应不满足条款要求，导致采购人要求不能得到满足的情形。</w:t>
      </w:r>
    </w:p>
    <w:p w14:paraId="2DFAEBC3">
      <w:pPr>
        <w:spacing w:line="360" w:lineRule="auto"/>
        <w:ind w:firstLine="420"/>
        <w:jc w:val="left"/>
        <w:rPr>
          <w:rFonts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2.1</w:t>
      </w:r>
      <w:r>
        <w:rPr>
          <w:rFonts w:ascii="宋体" w:hAnsi="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“允许负偏离的条款”是指采购需求中的不属于“实质性要求”的条款。</w:t>
      </w:r>
    </w:p>
    <w:p w14:paraId="74B149BF">
      <w:pPr>
        <w:pStyle w:val="6"/>
        <w:keepNext w:val="0"/>
        <w:keepLines w:val="0"/>
        <w:spacing w:before="0" w:after="0" w:line="360" w:lineRule="auto"/>
        <w:ind w:left="42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3.投标人的资格要求</w:t>
      </w:r>
    </w:p>
    <w:p w14:paraId="148FB493">
      <w:pPr>
        <w:spacing w:line="360" w:lineRule="auto"/>
        <w:ind w:firstLine="42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投标人的资格要求详见“投标人须知前附表”。</w:t>
      </w:r>
    </w:p>
    <w:p w14:paraId="4773FBB1">
      <w:pPr>
        <w:pStyle w:val="6"/>
        <w:keepNext w:val="0"/>
        <w:keepLines w:val="0"/>
        <w:spacing w:before="0" w:after="0" w:line="360" w:lineRule="auto"/>
        <w:ind w:left="42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4.投标委托</w:t>
      </w:r>
    </w:p>
    <w:p w14:paraId="6531CDB3">
      <w:pPr>
        <w:spacing w:line="360" w:lineRule="auto"/>
        <w:ind w:firstLine="42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投标人代表参加投标活动过程中必须携带个人有效身份证件。如投标人代表不是法定代表人，须持有授权委托书（按第六章要求格式填写）。</w:t>
      </w:r>
    </w:p>
    <w:p w14:paraId="568724D8">
      <w:pPr>
        <w:pStyle w:val="6"/>
        <w:keepNext w:val="0"/>
        <w:keepLines w:val="0"/>
        <w:spacing w:before="0" w:after="0" w:line="360" w:lineRule="auto"/>
        <w:ind w:left="42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5.投标费用</w:t>
      </w:r>
    </w:p>
    <w:p w14:paraId="002370DC">
      <w:pPr>
        <w:spacing w:line="360" w:lineRule="auto"/>
        <w:ind w:firstLine="420"/>
        <w:jc w:val="left"/>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投标费用：投标人应承担参与本次采购活动有关的所有费用，包括但不限于获取招标文件、勘查现场、编制和提交投标文件、参加澄清说明、签订合同等，不论投标结果如何，均应自行承担。</w:t>
      </w:r>
    </w:p>
    <w:p w14:paraId="2735C689">
      <w:pPr>
        <w:pStyle w:val="6"/>
        <w:keepNext w:val="0"/>
        <w:keepLines w:val="0"/>
        <w:spacing w:before="0" w:after="0" w:line="360" w:lineRule="auto"/>
        <w:ind w:left="42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6.联合体投标</w:t>
      </w:r>
    </w:p>
    <w:p w14:paraId="0EC3D73C">
      <w:pPr>
        <w:spacing w:line="360" w:lineRule="auto"/>
        <w:ind w:firstLine="42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6.1本项目是否接受联合体投标，详见“投标人须知前附表”。</w:t>
      </w:r>
    </w:p>
    <w:p w14:paraId="74E07E7B">
      <w:pPr>
        <w:spacing w:line="360" w:lineRule="auto"/>
        <w:ind w:firstLine="420"/>
        <w:jc w:val="left"/>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6.2如接受联合体投标，联合体投标要求详见“投标人须知前附表”。</w:t>
      </w:r>
    </w:p>
    <w:p w14:paraId="47E900B5">
      <w:pPr>
        <w:pStyle w:val="6"/>
        <w:keepNext w:val="0"/>
        <w:keepLines w:val="0"/>
        <w:spacing w:before="0" w:after="0" w:line="360" w:lineRule="auto"/>
        <w:ind w:left="42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 xml:space="preserve">7.转包与分包             </w:t>
      </w:r>
    </w:p>
    <w:p w14:paraId="4543F669">
      <w:pPr>
        <w:pStyle w:val="6"/>
        <w:keepNext w:val="0"/>
        <w:keepLines w:val="0"/>
        <w:spacing w:before="0" w:after="0" w:line="360" w:lineRule="auto"/>
        <w:ind w:left="420"/>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7.1本项目不允许转包。</w:t>
      </w:r>
    </w:p>
    <w:p w14:paraId="4CE6CA11">
      <w:pPr>
        <w:pStyle w:val="6"/>
        <w:keepNext w:val="0"/>
        <w:keepLines w:val="0"/>
        <w:spacing w:before="0" w:after="0" w:line="360" w:lineRule="auto"/>
        <w:ind w:firstLine="315"/>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 xml:space="preserve"> 7.2本项目是否允许分包详见“投标人须知前附表”，本项目不允许违法分包。允许分包的非主体、非关键性工作，根据法律法规规定承担该工作需要行政许可的，如该工作由投标人自行承担，投标人应具备相应的行政许可，如投标人不具备相应的行政许可必须采用分包的方式，但分包投标人应具备相应行政许可。</w:t>
      </w:r>
    </w:p>
    <w:p w14:paraId="37DDC940">
      <w:pPr>
        <w:pStyle w:val="6"/>
        <w:keepNext w:val="0"/>
        <w:keepLines w:val="0"/>
        <w:spacing w:before="0" w:after="0" w:line="360" w:lineRule="auto"/>
        <w:ind w:firstLine="315"/>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 xml:space="preserve"> 7.3投标人根据招标文件的规定和采购项目的实际情况，拟在中标后将中标项目的非主体、非关键性工作分包的，应当在投标文件中载明分包承担主体，分包承担主体应当具备相应资质条件且不得再次分包。</w:t>
      </w:r>
    </w:p>
    <w:p w14:paraId="22AA4038">
      <w:pPr>
        <w:pStyle w:val="6"/>
        <w:keepNext w:val="0"/>
        <w:keepLines w:val="0"/>
        <w:spacing w:before="0" w:after="0" w:line="360" w:lineRule="auto"/>
        <w:ind w:left="42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8.特别说明</w:t>
      </w:r>
    </w:p>
    <w:p w14:paraId="1BE8DA33">
      <w:pPr>
        <w:pStyle w:val="6"/>
        <w:keepNext w:val="0"/>
        <w:keepLines w:val="0"/>
        <w:spacing w:before="0" w:after="0" w:line="360" w:lineRule="auto"/>
        <w:ind w:firstLine="562"/>
        <w:rPr>
          <w:rFonts w:ascii="宋体" w:hAnsi="宋体"/>
          <w:b w:val="0"/>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"_8.1" </w:instrText>
      </w:r>
      <w:r>
        <w:rPr>
          <w:color w:val="000000" w:themeColor="text1"/>
          <w:highlight w:val="none"/>
          <w14:textFill>
            <w14:solidFill>
              <w14:schemeClr w14:val="tx1"/>
            </w14:solidFill>
          </w14:textFill>
        </w:rPr>
        <w:fldChar w:fldCharType="separate"/>
      </w:r>
      <w:r>
        <w:rPr>
          <w:rFonts w:hint="eastAsia" w:ascii="宋体" w:hAnsi="宋体"/>
          <w:b w:val="0"/>
          <w:color w:val="000000" w:themeColor="text1"/>
          <w:sz w:val="21"/>
          <w:szCs w:val="21"/>
          <w:highlight w:val="none"/>
          <w14:textFill>
            <w14:solidFill>
              <w14:schemeClr w14:val="tx1"/>
            </w14:solidFill>
          </w14:textFill>
        </w:rPr>
        <w:t>8.1</w:t>
      </w:r>
      <w:r>
        <w:rPr>
          <w:rFonts w:hint="eastAsia" w:ascii="宋体" w:hAnsi="宋体"/>
          <w:b w:val="0"/>
          <w:color w:val="000000" w:themeColor="text1"/>
          <w:sz w:val="21"/>
          <w:szCs w:val="21"/>
          <w:highlight w:val="none"/>
          <w14:textFill>
            <w14:solidFill>
              <w14:schemeClr w14:val="tx1"/>
            </w14:solidFill>
          </w14:textFill>
        </w:rPr>
        <w:fldChar w:fldCharType="end"/>
      </w:r>
      <w:r>
        <w:rPr>
          <w:rFonts w:hint="eastAsia" w:ascii="宋体" w:hAnsi="宋体"/>
          <w:b w:val="0"/>
          <w:color w:val="000000" w:themeColor="text1"/>
          <w:sz w:val="21"/>
          <w:szCs w:val="21"/>
          <w:highlight w:val="none"/>
          <w14:textFill>
            <w14:solidFill>
              <w14:schemeClr w14:val="tx1"/>
            </w14:solidFill>
          </w14:textFill>
        </w:rPr>
        <w:t>采用最低评标价法的采购项目，提供相同品牌产品的不同投标人参加同一合同项下投标的，以其中通过资格审查、符合性审查且报价最低的参加评标；报价相同的，由采购人或者采购人委托评标委员会按照“投标人须知前附表”规定的方式确定一个参加评标的投标人，</w:t>
      </w:r>
      <w:r>
        <w:rPr>
          <w:rFonts w:hint="eastAsia" w:ascii="宋体" w:hAnsi="宋体"/>
          <w:color w:val="000000" w:themeColor="text1"/>
          <w:sz w:val="22"/>
          <w:szCs w:val="22"/>
          <w:highlight w:val="none"/>
          <w14:textFill>
            <w14:solidFill>
              <w14:schemeClr w14:val="tx1"/>
            </w14:solidFill>
          </w14:textFill>
        </w:rPr>
        <w:t>其他投标无效。</w:t>
      </w:r>
    </w:p>
    <w:p w14:paraId="3548CAEE">
      <w:pPr>
        <w:pStyle w:val="6"/>
        <w:keepNext w:val="0"/>
        <w:keepLines w:val="0"/>
        <w:spacing w:before="0" w:after="0" w:line="360" w:lineRule="auto"/>
        <w:ind w:firstLine="420"/>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投标人须知前附表”规定的方式确定一个投标人获得中标人推荐资格，其他同品牌投标人不作为中标候选人。</w:t>
      </w:r>
    </w:p>
    <w:p w14:paraId="1602AD11">
      <w:pPr>
        <w:pStyle w:val="25"/>
        <w:spacing w:line="360" w:lineRule="auto"/>
        <w:ind w:left="2" w:firstLine="42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非单一产品采购项目，多家投标人提供的核心产品品牌相同的，</w:t>
      </w:r>
      <w:r>
        <w:rPr>
          <w:rFonts w:hint="eastAsia" w:hAnsi="宋体"/>
          <w:color w:val="000000" w:themeColor="text1"/>
          <w:sz w:val="22"/>
          <w:szCs w:val="22"/>
          <w:highlight w:val="none"/>
          <w14:textFill>
            <w14:solidFill>
              <w14:schemeClr w14:val="tx1"/>
            </w14:solidFill>
          </w14:textFill>
        </w:rPr>
        <w:t>按前两款规定处理</w:t>
      </w:r>
      <w:r>
        <w:rPr>
          <w:rFonts w:hint="eastAsia" w:hAnsi="宋体"/>
          <w:color w:val="000000" w:themeColor="text1"/>
          <w:sz w:val="21"/>
          <w:highlight w:val="none"/>
          <w14:textFill>
            <w14:solidFill>
              <w14:schemeClr w14:val="tx1"/>
            </w14:solidFill>
          </w14:textFill>
        </w:rPr>
        <w:t>。</w:t>
      </w:r>
    </w:p>
    <w:p w14:paraId="4B75637F">
      <w:pPr>
        <w:pStyle w:val="6"/>
        <w:keepNext w:val="0"/>
        <w:keepLines w:val="0"/>
        <w:spacing w:before="0" w:after="0" w:line="360" w:lineRule="auto"/>
        <w:ind w:firstLine="367"/>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 xml:space="preserve"> 8.2如果本招标文件要求提供投标人或制造商的资格、信誉、荣誉、业绩与企业认证等材料的，资格、信誉、荣誉、业绩与企业认证等必须为投标人或者制造商所拥有或自身获得 。</w:t>
      </w:r>
    </w:p>
    <w:p w14:paraId="616B60FE">
      <w:pPr>
        <w:pStyle w:val="6"/>
        <w:keepNext w:val="0"/>
        <w:keepLines w:val="0"/>
        <w:spacing w:before="0" w:after="0" w:line="360" w:lineRule="auto"/>
        <w:ind w:firstLine="367"/>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 xml:space="preserve"> 8.3投标人应仔细阅读招标文件的所有内容，按照招标文件的要求提交投标文件，并对所提供的全部资料的真实性承担法律责任。</w:t>
      </w:r>
    </w:p>
    <w:p w14:paraId="328A7B09">
      <w:pPr>
        <w:pStyle w:val="6"/>
        <w:keepNext w:val="0"/>
        <w:keepLines w:val="0"/>
        <w:spacing w:before="0" w:after="0" w:line="360" w:lineRule="auto"/>
        <w:ind w:firstLine="367"/>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 xml:space="preserve"> 8.4投标人在投标活动中提供任何虚假材料，将报监管部门查处；中标后发现的，中标人须依照《中华人民共和国消费者权益保护法》规定赔偿采购人，且民事赔偿并不免除违法投标人的行政与刑事责任。</w:t>
      </w:r>
    </w:p>
    <w:p w14:paraId="0F13D5D3">
      <w:pPr>
        <w:pStyle w:val="7"/>
        <w:spacing w:line="360" w:lineRule="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8.5</w:t>
      </w:r>
      <w:r>
        <w:rPr>
          <w:rFonts w:hint="eastAsia"/>
          <w:color w:val="000000" w:themeColor="text1"/>
          <w:highlight w:val="none"/>
          <w14:textFill>
            <w14:solidFill>
              <w14:schemeClr w14:val="tx1"/>
            </w14:solidFill>
          </w14:textFill>
        </w:rPr>
        <w:t>根据《国务院办公厅关于在政府采购中实施本国产品标准及相关政策的通知》（国办发〔2025〕34号）的规定，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C4B7AB2">
      <w:pPr>
        <w:pStyle w:val="7"/>
        <w:spacing w:line="360" w:lineRule="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产品在中国境内生产的组件成本占比应当达到规定比例，计算公式为：</w:t>
      </w:r>
    </w:p>
    <w:p w14:paraId="6A03C5C5">
      <w:pPr>
        <w:widowControl/>
        <w:shd w:val="clear" w:color="auto" w:fill="FFFFFF"/>
        <w:spacing w:before="30" w:after="30" w:line="360" w:lineRule="auto"/>
        <w:jc w:val="center"/>
        <w:rPr>
          <w:rFonts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fldChar w:fldCharType="begin"/>
      </w:r>
      <w:r>
        <w:rPr>
          <w:rFonts w:ascii="宋体" w:hAnsi="宋体" w:cs="宋体"/>
          <w:color w:val="000000" w:themeColor="text1"/>
          <w:sz w:val="24"/>
          <w:highlight w:val="none"/>
          <w14:textFill>
            <w14:solidFill>
              <w14:schemeClr w14:val="tx1"/>
            </w14:solidFill>
          </w14:textFill>
        </w:rPr>
        <w:instrText xml:space="preserve"> INCLUDEPICTURE "https://www.gov.cn/zhengce/content/202509/W020250930645245947614.png" \* MERGEFORMATINET </w:instrText>
      </w:r>
      <w:r>
        <w:rPr>
          <w:rFonts w:ascii="宋体" w:hAnsi="宋体" w:cs="宋体"/>
          <w:color w:val="000000" w:themeColor="text1"/>
          <w:sz w:val="24"/>
          <w:highlight w:val="none"/>
          <w14:textFill>
            <w14:solidFill>
              <w14:schemeClr w14:val="tx1"/>
            </w14:solidFill>
          </w14:textFill>
        </w:rPr>
        <w:fldChar w:fldCharType="separate"/>
      </w:r>
      <w:r>
        <w:rPr>
          <w:rFonts w:ascii="宋体" w:hAnsi="宋体" w:cs="宋体"/>
          <w:color w:val="000000" w:themeColor="text1"/>
          <w:sz w:val="24"/>
          <w:highlight w:val="none"/>
          <w14:textFill>
            <w14:solidFill>
              <w14:schemeClr w14:val="tx1"/>
            </w14:solidFill>
          </w14:textFill>
        </w:rPr>
        <w:drawing>
          <wp:inline distT="0" distB="0" distL="0" distR="0">
            <wp:extent cx="4827905" cy="762635"/>
            <wp:effectExtent l="0" t="0" r="3175" b="14604"/>
            <wp:docPr id="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pic:cNvPicPr>
                      <a:picLocks noChangeAspect="1"/>
                    </pic:cNvPicPr>
                  </pic:nvPicPr>
                  <pic:blipFill>
                    <a:blip r:embed="rId12"/>
                    <a:stretch>
                      <a:fillRect/>
                    </a:stretch>
                  </pic:blipFill>
                  <pic:spPr>
                    <a:xfrm>
                      <a:off x="0" y="0"/>
                      <a:ext cx="4827905" cy="762635"/>
                    </a:xfrm>
                    <a:prstGeom prst="rect">
                      <a:avLst/>
                    </a:prstGeom>
                    <a:noFill/>
                    <a:ln>
                      <a:noFill/>
                    </a:ln>
                  </pic:spPr>
                </pic:pic>
              </a:graphicData>
            </a:graphic>
          </wp:inline>
        </w:drawing>
      </w:r>
      <w:r>
        <w:rPr>
          <w:rFonts w:ascii="宋体" w:hAnsi="宋体" w:cs="宋体"/>
          <w:color w:val="000000" w:themeColor="text1"/>
          <w:sz w:val="24"/>
          <w:highlight w:val="none"/>
          <w14:textFill>
            <w14:solidFill>
              <w14:schemeClr w14:val="tx1"/>
            </w14:solidFill>
          </w14:textFill>
        </w:rPr>
        <w:fldChar w:fldCharType="end"/>
      </w:r>
    </w:p>
    <w:p w14:paraId="27ACF180">
      <w:pPr>
        <w:pStyle w:val="7"/>
        <w:spacing w:line="360" w:lineRule="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财政部会同有关行业主管部门，分产品确定在中国境内生产的组件成本占比应当达到的规定比例。在分产品的中国境内生产的组件成本占比相关要求实施前，符合《国务院办公厅关于在政府采购中实施本国产品标准及相关政策的通知》第一条第（一）项条件的产品在政府采购活动中视同本国产品。</w:t>
      </w:r>
    </w:p>
    <w:p w14:paraId="63E0919C">
      <w:pPr>
        <w:pStyle w:val="7"/>
        <w:spacing w:line="360" w:lineRule="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政府采购活动中既有本国产品又有非本国产品参与竞争的，依法对本国产品给予价格评审优惠，对本国产品的报价给予20%的价格扣除，用扣除后的价格参与评审。</w:t>
      </w:r>
    </w:p>
    <w:p w14:paraId="2644FB31">
      <w:pPr>
        <w:pStyle w:val="7"/>
        <w:spacing w:line="360" w:lineRule="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3D58BE5">
      <w:pPr>
        <w:pStyle w:val="7"/>
        <w:rPr>
          <w:color w:val="000000" w:themeColor="text1"/>
          <w:highlight w:val="none"/>
          <w14:textFill>
            <w14:solidFill>
              <w14:schemeClr w14:val="tx1"/>
            </w14:solidFill>
          </w14:textFill>
        </w:rPr>
      </w:pPr>
    </w:p>
    <w:p w14:paraId="6AF30EEF">
      <w:pPr>
        <w:pStyle w:val="6"/>
        <w:keepNext w:val="0"/>
        <w:keepLines w:val="0"/>
        <w:spacing w:before="0" w:after="0" w:line="360" w:lineRule="auto"/>
        <w:ind w:left="420"/>
        <w:rPr>
          <w:rFonts w:ascii="黑体" w:hAnsi="黑体" w:eastAsia="黑体"/>
          <w:color w:val="000000" w:themeColor="text1"/>
          <w:sz w:val="24"/>
          <w:highlight w:val="none"/>
          <w14:textFill>
            <w14:solidFill>
              <w14:schemeClr w14:val="tx1"/>
            </w14:solidFill>
          </w14:textFill>
        </w:rPr>
      </w:pPr>
      <w:r>
        <w:rPr>
          <w:rFonts w:ascii="黑体" w:hAnsi="黑体" w:eastAsia="黑体"/>
          <w:color w:val="000000" w:themeColor="text1"/>
          <w:sz w:val="24"/>
          <w:highlight w:val="none"/>
          <w14:textFill>
            <w14:solidFill>
              <w14:schemeClr w14:val="tx1"/>
            </w14:solidFill>
          </w14:textFill>
        </w:rPr>
        <w:t>9.</w:t>
      </w:r>
      <w:r>
        <w:rPr>
          <w:rFonts w:hint="eastAsia" w:ascii="黑体" w:hAnsi="黑体" w:eastAsia="黑体"/>
          <w:color w:val="000000" w:themeColor="text1"/>
          <w:sz w:val="24"/>
          <w:highlight w:val="none"/>
          <w14:textFill>
            <w14:solidFill>
              <w14:schemeClr w14:val="tx1"/>
            </w14:solidFill>
          </w14:textFill>
        </w:rPr>
        <w:t>回避与串通投标</w:t>
      </w:r>
    </w:p>
    <w:p w14:paraId="4026984D">
      <w:pPr>
        <w:pStyle w:val="6"/>
        <w:keepNext w:val="0"/>
        <w:keepLines w:val="0"/>
        <w:spacing w:before="0" w:after="0" w:line="360" w:lineRule="auto"/>
        <w:ind w:firstLine="367"/>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9</w:t>
      </w:r>
      <w:r>
        <w:rPr>
          <w:rFonts w:ascii="宋体" w:hAnsi="宋体"/>
          <w:b w:val="0"/>
          <w:color w:val="000000" w:themeColor="text1"/>
          <w:sz w:val="21"/>
          <w:szCs w:val="21"/>
          <w:highlight w:val="none"/>
          <w14:textFill>
            <w14:solidFill>
              <w14:schemeClr w14:val="tx1"/>
            </w14:solidFill>
          </w14:textFill>
        </w:rPr>
        <w:t>.1在政府采购活动中，采购人员及相关人员与</w:t>
      </w:r>
      <w:r>
        <w:rPr>
          <w:rFonts w:hint="eastAsia" w:ascii="宋体" w:hAnsi="宋体"/>
          <w:b w:val="0"/>
          <w:color w:val="000000" w:themeColor="text1"/>
          <w:sz w:val="21"/>
          <w:szCs w:val="21"/>
          <w:highlight w:val="none"/>
          <w14:textFill>
            <w14:solidFill>
              <w14:schemeClr w14:val="tx1"/>
            </w14:solidFill>
          </w14:textFill>
        </w:rPr>
        <w:t>供应商</w:t>
      </w:r>
      <w:r>
        <w:rPr>
          <w:rFonts w:ascii="宋体" w:hAnsi="宋体"/>
          <w:b w:val="0"/>
          <w:color w:val="000000" w:themeColor="text1"/>
          <w:sz w:val="21"/>
          <w:szCs w:val="21"/>
          <w:highlight w:val="none"/>
          <w14:textFill>
            <w14:solidFill>
              <w14:schemeClr w14:val="tx1"/>
            </w14:solidFill>
          </w14:textFill>
        </w:rPr>
        <w:t>有下列利害关系之一的，应当回避：</w:t>
      </w:r>
    </w:p>
    <w:p w14:paraId="537B31B9">
      <w:pPr>
        <w:pStyle w:val="25"/>
        <w:spacing w:line="360" w:lineRule="auto"/>
        <w:ind w:left="2" w:firstLine="420"/>
        <w:rPr>
          <w:rFonts w:hAnsi="宋体"/>
          <w:color w:val="000000" w:themeColor="text1"/>
          <w:sz w:val="21"/>
          <w:highlight w:val="none"/>
          <w14:textFill>
            <w14:solidFill>
              <w14:schemeClr w14:val="tx1"/>
            </w14:solidFill>
          </w14:textFill>
        </w:rPr>
      </w:pPr>
      <w:r>
        <w:rPr>
          <w:rFonts w:hAnsi="宋体"/>
          <w:color w:val="000000" w:themeColor="text1"/>
          <w:sz w:val="21"/>
          <w:highlight w:val="none"/>
          <w14:textFill>
            <w14:solidFill>
              <w14:schemeClr w14:val="tx1"/>
            </w14:solidFill>
          </w14:textFill>
        </w:rPr>
        <w:t>（</w:t>
      </w:r>
      <w:r>
        <w:rPr>
          <w:rFonts w:hint="eastAsia" w:hAnsi="宋体"/>
          <w:color w:val="000000" w:themeColor="text1"/>
          <w:sz w:val="21"/>
          <w:highlight w:val="none"/>
          <w14:textFill>
            <w14:solidFill>
              <w14:schemeClr w14:val="tx1"/>
            </w14:solidFill>
          </w14:textFill>
        </w:rPr>
        <w:t>1</w:t>
      </w:r>
      <w:r>
        <w:rPr>
          <w:rFonts w:hAnsi="宋体"/>
          <w:color w:val="000000" w:themeColor="text1"/>
          <w:sz w:val="21"/>
          <w:highlight w:val="none"/>
          <w14:textFill>
            <w14:solidFill>
              <w14:schemeClr w14:val="tx1"/>
            </w14:solidFill>
          </w14:textFill>
        </w:rPr>
        <w:t>）参加采购活动前3年内与</w:t>
      </w:r>
      <w:r>
        <w:rPr>
          <w:rFonts w:hint="eastAsia" w:hAnsi="宋体"/>
          <w:color w:val="000000" w:themeColor="text1"/>
          <w:sz w:val="21"/>
          <w:highlight w:val="none"/>
          <w14:textFill>
            <w14:solidFill>
              <w14:schemeClr w14:val="tx1"/>
            </w14:solidFill>
          </w14:textFill>
        </w:rPr>
        <w:t>供应商</w:t>
      </w:r>
      <w:r>
        <w:rPr>
          <w:rFonts w:hAnsi="宋体"/>
          <w:color w:val="000000" w:themeColor="text1"/>
          <w:sz w:val="21"/>
          <w:highlight w:val="none"/>
          <w14:textFill>
            <w14:solidFill>
              <w14:schemeClr w14:val="tx1"/>
            </w14:solidFill>
          </w14:textFill>
        </w:rPr>
        <w:t>存在劳动关系；</w:t>
      </w:r>
    </w:p>
    <w:p w14:paraId="180D8935">
      <w:pPr>
        <w:pStyle w:val="25"/>
        <w:spacing w:line="360" w:lineRule="auto"/>
        <w:ind w:left="2" w:firstLine="420"/>
        <w:rPr>
          <w:rFonts w:hAnsi="宋体"/>
          <w:color w:val="000000" w:themeColor="text1"/>
          <w:sz w:val="21"/>
          <w:highlight w:val="none"/>
          <w14:textFill>
            <w14:solidFill>
              <w14:schemeClr w14:val="tx1"/>
            </w14:solidFill>
          </w14:textFill>
        </w:rPr>
      </w:pPr>
      <w:r>
        <w:rPr>
          <w:rFonts w:hAnsi="宋体"/>
          <w:color w:val="000000" w:themeColor="text1"/>
          <w:sz w:val="21"/>
          <w:highlight w:val="none"/>
          <w14:textFill>
            <w14:solidFill>
              <w14:schemeClr w14:val="tx1"/>
            </w14:solidFill>
          </w14:textFill>
        </w:rPr>
        <w:t>（</w:t>
      </w:r>
      <w:r>
        <w:rPr>
          <w:rFonts w:hint="eastAsia" w:hAnsi="宋体"/>
          <w:color w:val="000000" w:themeColor="text1"/>
          <w:sz w:val="21"/>
          <w:highlight w:val="none"/>
          <w14:textFill>
            <w14:solidFill>
              <w14:schemeClr w14:val="tx1"/>
            </w14:solidFill>
          </w14:textFill>
        </w:rPr>
        <w:t>2</w:t>
      </w:r>
      <w:r>
        <w:rPr>
          <w:rFonts w:hAnsi="宋体"/>
          <w:color w:val="000000" w:themeColor="text1"/>
          <w:sz w:val="21"/>
          <w:highlight w:val="none"/>
          <w14:textFill>
            <w14:solidFill>
              <w14:schemeClr w14:val="tx1"/>
            </w14:solidFill>
          </w14:textFill>
        </w:rPr>
        <w:t>）参加采购活动前3年内担任</w:t>
      </w:r>
      <w:r>
        <w:rPr>
          <w:rFonts w:hint="eastAsia" w:hAnsi="宋体"/>
          <w:color w:val="000000" w:themeColor="text1"/>
          <w:sz w:val="21"/>
          <w:highlight w:val="none"/>
          <w14:textFill>
            <w14:solidFill>
              <w14:schemeClr w14:val="tx1"/>
            </w14:solidFill>
          </w14:textFill>
        </w:rPr>
        <w:t>供应商</w:t>
      </w:r>
      <w:r>
        <w:rPr>
          <w:rFonts w:hAnsi="宋体"/>
          <w:color w:val="000000" w:themeColor="text1"/>
          <w:sz w:val="21"/>
          <w:highlight w:val="none"/>
          <w14:textFill>
            <w14:solidFill>
              <w14:schemeClr w14:val="tx1"/>
            </w14:solidFill>
          </w14:textFill>
        </w:rPr>
        <w:t>的董事、监事；</w:t>
      </w:r>
    </w:p>
    <w:p w14:paraId="5BCE23AC">
      <w:pPr>
        <w:pStyle w:val="25"/>
        <w:spacing w:line="360" w:lineRule="auto"/>
        <w:ind w:left="2" w:firstLine="420"/>
        <w:rPr>
          <w:rFonts w:hAnsi="宋体"/>
          <w:color w:val="000000" w:themeColor="text1"/>
          <w:sz w:val="21"/>
          <w:highlight w:val="none"/>
          <w14:textFill>
            <w14:solidFill>
              <w14:schemeClr w14:val="tx1"/>
            </w14:solidFill>
          </w14:textFill>
        </w:rPr>
      </w:pPr>
      <w:r>
        <w:rPr>
          <w:rFonts w:hAnsi="宋体"/>
          <w:color w:val="000000" w:themeColor="text1"/>
          <w:sz w:val="21"/>
          <w:highlight w:val="none"/>
          <w14:textFill>
            <w14:solidFill>
              <w14:schemeClr w14:val="tx1"/>
            </w14:solidFill>
          </w14:textFill>
        </w:rPr>
        <w:t>（</w:t>
      </w:r>
      <w:r>
        <w:rPr>
          <w:rFonts w:hint="eastAsia" w:hAnsi="宋体"/>
          <w:color w:val="000000" w:themeColor="text1"/>
          <w:sz w:val="21"/>
          <w:highlight w:val="none"/>
          <w14:textFill>
            <w14:solidFill>
              <w14:schemeClr w14:val="tx1"/>
            </w14:solidFill>
          </w14:textFill>
        </w:rPr>
        <w:t>3</w:t>
      </w:r>
      <w:r>
        <w:rPr>
          <w:rFonts w:hAnsi="宋体"/>
          <w:color w:val="000000" w:themeColor="text1"/>
          <w:sz w:val="21"/>
          <w:highlight w:val="none"/>
          <w14:textFill>
            <w14:solidFill>
              <w14:schemeClr w14:val="tx1"/>
            </w14:solidFill>
          </w14:textFill>
        </w:rPr>
        <w:t>）参加采购活动前3年内是</w:t>
      </w:r>
      <w:r>
        <w:rPr>
          <w:rFonts w:hint="eastAsia" w:hAnsi="宋体"/>
          <w:color w:val="000000" w:themeColor="text1"/>
          <w:sz w:val="21"/>
          <w:highlight w:val="none"/>
          <w14:textFill>
            <w14:solidFill>
              <w14:schemeClr w14:val="tx1"/>
            </w14:solidFill>
          </w14:textFill>
        </w:rPr>
        <w:t>供应商</w:t>
      </w:r>
      <w:r>
        <w:rPr>
          <w:rFonts w:hAnsi="宋体"/>
          <w:color w:val="000000" w:themeColor="text1"/>
          <w:sz w:val="21"/>
          <w:highlight w:val="none"/>
          <w14:textFill>
            <w14:solidFill>
              <w14:schemeClr w14:val="tx1"/>
            </w14:solidFill>
          </w14:textFill>
        </w:rPr>
        <w:t>的控股股东或者实际控制人；</w:t>
      </w:r>
    </w:p>
    <w:p w14:paraId="65AF0660">
      <w:pPr>
        <w:pStyle w:val="25"/>
        <w:spacing w:line="360" w:lineRule="auto"/>
        <w:ind w:left="2" w:firstLine="420"/>
        <w:rPr>
          <w:rFonts w:hAnsi="宋体"/>
          <w:color w:val="000000" w:themeColor="text1"/>
          <w:sz w:val="21"/>
          <w:highlight w:val="none"/>
          <w14:textFill>
            <w14:solidFill>
              <w14:schemeClr w14:val="tx1"/>
            </w14:solidFill>
          </w14:textFill>
        </w:rPr>
      </w:pPr>
      <w:r>
        <w:rPr>
          <w:rFonts w:hAnsi="宋体"/>
          <w:color w:val="000000" w:themeColor="text1"/>
          <w:sz w:val="21"/>
          <w:highlight w:val="none"/>
          <w14:textFill>
            <w14:solidFill>
              <w14:schemeClr w14:val="tx1"/>
            </w14:solidFill>
          </w14:textFill>
        </w:rPr>
        <w:t>（</w:t>
      </w:r>
      <w:r>
        <w:rPr>
          <w:rFonts w:hint="eastAsia" w:hAnsi="宋体"/>
          <w:color w:val="000000" w:themeColor="text1"/>
          <w:sz w:val="21"/>
          <w:highlight w:val="none"/>
          <w14:textFill>
            <w14:solidFill>
              <w14:schemeClr w14:val="tx1"/>
            </w14:solidFill>
          </w14:textFill>
        </w:rPr>
        <w:t>4</w:t>
      </w:r>
      <w:r>
        <w:rPr>
          <w:rFonts w:hAnsi="宋体"/>
          <w:color w:val="000000" w:themeColor="text1"/>
          <w:sz w:val="21"/>
          <w:highlight w:val="none"/>
          <w14:textFill>
            <w14:solidFill>
              <w14:schemeClr w14:val="tx1"/>
            </w14:solidFill>
          </w14:textFill>
        </w:rPr>
        <w:t>）与</w:t>
      </w:r>
      <w:r>
        <w:rPr>
          <w:rFonts w:hint="eastAsia" w:hAnsi="宋体"/>
          <w:color w:val="000000" w:themeColor="text1"/>
          <w:sz w:val="21"/>
          <w:highlight w:val="none"/>
          <w14:textFill>
            <w14:solidFill>
              <w14:schemeClr w14:val="tx1"/>
            </w14:solidFill>
          </w14:textFill>
        </w:rPr>
        <w:t>供应商</w:t>
      </w:r>
      <w:r>
        <w:rPr>
          <w:rFonts w:hAnsi="宋体"/>
          <w:color w:val="000000" w:themeColor="text1"/>
          <w:sz w:val="21"/>
          <w:highlight w:val="none"/>
          <w14:textFill>
            <w14:solidFill>
              <w14:schemeClr w14:val="tx1"/>
            </w14:solidFill>
          </w14:textFill>
        </w:rPr>
        <w:t>的法定代表人或者负责人有夫妻、直系血亲、三代以内旁系血亲或者近姻亲关系；</w:t>
      </w:r>
    </w:p>
    <w:p w14:paraId="0465EBFB">
      <w:pPr>
        <w:pStyle w:val="25"/>
        <w:spacing w:line="360" w:lineRule="auto"/>
        <w:ind w:left="2" w:firstLine="420"/>
        <w:rPr>
          <w:rFonts w:hAnsi="宋体"/>
          <w:color w:val="000000" w:themeColor="text1"/>
          <w:sz w:val="21"/>
          <w:highlight w:val="none"/>
          <w14:textFill>
            <w14:solidFill>
              <w14:schemeClr w14:val="tx1"/>
            </w14:solidFill>
          </w14:textFill>
        </w:rPr>
      </w:pPr>
      <w:r>
        <w:rPr>
          <w:rFonts w:hAnsi="宋体"/>
          <w:color w:val="000000" w:themeColor="text1"/>
          <w:sz w:val="21"/>
          <w:highlight w:val="none"/>
          <w14:textFill>
            <w14:solidFill>
              <w14:schemeClr w14:val="tx1"/>
            </w14:solidFill>
          </w14:textFill>
        </w:rPr>
        <w:t>（</w:t>
      </w:r>
      <w:r>
        <w:rPr>
          <w:rFonts w:hint="eastAsia" w:hAnsi="宋体"/>
          <w:color w:val="000000" w:themeColor="text1"/>
          <w:sz w:val="21"/>
          <w:highlight w:val="none"/>
          <w14:textFill>
            <w14:solidFill>
              <w14:schemeClr w14:val="tx1"/>
            </w14:solidFill>
          </w14:textFill>
        </w:rPr>
        <w:t>5</w:t>
      </w:r>
      <w:r>
        <w:rPr>
          <w:rFonts w:hAnsi="宋体"/>
          <w:color w:val="000000" w:themeColor="text1"/>
          <w:sz w:val="21"/>
          <w:highlight w:val="none"/>
          <w14:textFill>
            <w14:solidFill>
              <w14:schemeClr w14:val="tx1"/>
            </w14:solidFill>
          </w14:textFill>
        </w:rPr>
        <w:t>）与</w:t>
      </w:r>
      <w:r>
        <w:rPr>
          <w:rFonts w:hint="eastAsia" w:hAnsi="宋体"/>
          <w:color w:val="000000" w:themeColor="text1"/>
          <w:sz w:val="21"/>
          <w:highlight w:val="none"/>
          <w14:textFill>
            <w14:solidFill>
              <w14:schemeClr w14:val="tx1"/>
            </w14:solidFill>
          </w14:textFill>
        </w:rPr>
        <w:t>供应商</w:t>
      </w:r>
      <w:r>
        <w:rPr>
          <w:rFonts w:hAnsi="宋体"/>
          <w:color w:val="000000" w:themeColor="text1"/>
          <w:sz w:val="21"/>
          <w:highlight w:val="none"/>
          <w14:textFill>
            <w14:solidFill>
              <w14:schemeClr w14:val="tx1"/>
            </w14:solidFill>
          </w14:textFill>
        </w:rPr>
        <w:t>有其他可能影响政府采购活动公平、公正进行的关系。</w:t>
      </w:r>
    </w:p>
    <w:p w14:paraId="607B20A9">
      <w:pPr>
        <w:pStyle w:val="25"/>
        <w:spacing w:line="360" w:lineRule="auto"/>
        <w:ind w:left="2" w:firstLine="42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供应商</w:t>
      </w:r>
      <w:r>
        <w:rPr>
          <w:rFonts w:hAnsi="宋体"/>
          <w:color w:val="000000" w:themeColor="text1"/>
          <w:sz w:val="21"/>
          <w:highlight w:val="none"/>
          <w14:textFill>
            <w14:solidFill>
              <w14:schemeClr w14:val="tx1"/>
            </w14:solidFill>
          </w14:textFill>
        </w:rPr>
        <w:t>认为采购人员及相关人员与其他</w:t>
      </w:r>
      <w:r>
        <w:rPr>
          <w:rFonts w:hint="eastAsia" w:hAnsi="宋体"/>
          <w:color w:val="000000" w:themeColor="text1"/>
          <w:sz w:val="21"/>
          <w:highlight w:val="none"/>
          <w14:textFill>
            <w14:solidFill>
              <w14:schemeClr w14:val="tx1"/>
            </w14:solidFill>
          </w14:textFill>
        </w:rPr>
        <w:t>供应商</w:t>
      </w:r>
      <w:r>
        <w:rPr>
          <w:rFonts w:hAnsi="宋体"/>
          <w:color w:val="000000" w:themeColor="text1"/>
          <w:sz w:val="21"/>
          <w:highlight w:val="none"/>
          <w14:textFill>
            <w14:solidFill>
              <w14:schemeClr w14:val="tx1"/>
            </w14:solidFill>
          </w14:textFill>
        </w:rPr>
        <w:t>有利害关系的，可以向采购人或者采购代理机构书面提出回避申请，并说明理由。采购人或者采购代理机构应当及时询问被申请回避人员，有利害关系的被申请回避人员应当回避。</w:t>
      </w:r>
    </w:p>
    <w:p w14:paraId="47734854">
      <w:pPr>
        <w:pStyle w:val="6"/>
        <w:keepNext w:val="0"/>
        <w:keepLines w:val="0"/>
        <w:spacing w:before="0" w:after="0" w:line="360" w:lineRule="auto"/>
        <w:ind w:left="420"/>
        <w:rPr>
          <w:rFonts w:ascii="宋体" w:hAnsi="宋体"/>
          <w:color w:val="000000" w:themeColor="text1"/>
          <w:sz w:val="21"/>
          <w:szCs w:val="21"/>
          <w:highlight w:val="none"/>
          <w14:textFill>
            <w14:solidFill>
              <w14:schemeClr w14:val="tx1"/>
            </w14:solidFill>
          </w14:textFill>
        </w:rPr>
      </w:pPr>
      <w:r>
        <w:rPr>
          <w:rFonts w:ascii="宋体" w:hAnsi="宋体"/>
          <w:color w:val="000000" w:themeColor="text1"/>
          <w:sz w:val="21"/>
          <w:szCs w:val="21"/>
          <w:highlight w:val="none"/>
          <w14:textFill>
            <w14:solidFill>
              <w14:schemeClr w14:val="tx1"/>
            </w14:solidFill>
          </w14:textFill>
        </w:rPr>
        <w:t>9.2</w:t>
      </w:r>
      <w:r>
        <w:rPr>
          <w:rFonts w:hint="eastAsia" w:ascii="宋体" w:hAnsi="宋体"/>
          <w:color w:val="000000" w:themeColor="text1"/>
          <w:sz w:val="21"/>
          <w:szCs w:val="21"/>
          <w:highlight w:val="none"/>
          <w14:textFill>
            <w14:solidFill>
              <w14:schemeClr w14:val="tx1"/>
            </w14:solidFill>
          </w14:textFill>
        </w:rPr>
        <w:t>有下列情形之一的视为投标人相互串通投标，投标文件将被视为无效：</w:t>
      </w:r>
    </w:p>
    <w:p w14:paraId="64E6F278">
      <w:pPr>
        <w:pStyle w:val="25"/>
        <w:spacing w:line="360" w:lineRule="auto"/>
        <w:ind w:left="2" w:firstLine="422"/>
        <w:rPr>
          <w:rFonts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 xml:space="preserve">（1）不同投标人的投标文件由同一单位或者个人编制；或不同投标人报名的IP地址一致的； </w:t>
      </w:r>
    </w:p>
    <w:p w14:paraId="565FDA85">
      <w:pPr>
        <w:pStyle w:val="25"/>
        <w:spacing w:line="360" w:lineRule="auto"/>
        <w:ind w:left="2" w:firstLine="422"/>
        <w:rPr>
          <w:rFonts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（2）不同投标人委托同一单位或者个人办理投标事宜；</w:t>
      </w:r>
    </w:p>
    <w:p w14:paraId="6484F5E2">
      <w:pPr>
        <w:pStyle w:val="25"/>
        <w:spacing w:line="360" w:lineRule="auto"/>
        <w:ind w:left="2" w:firstLine="422"/>
        <w:rPr>
          <w:rFonts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（3）不同的投标人的投标文件载明的项目管理员为同一个人；</w:t>
      </w:r>
    </w:p>
    <w:p w14:paraId="5C2FC348">
      <w:pPr>
        <w:pStyle w:val="25"/>
        <w:spacing w:line="360" w:lineRule="auto"/>
        <w:ind w:left="2" w:firstLine="422"/>
        <w:rPr>
          <w:rFonts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（4）不同投标人的投标文件异常一致或者投标报价呈规律性差异；</w:t>
      </w:r>
    </w:p>
    <w:p w14:paraId="72C9FB58">
      <w:pPr>
        <w:pStyle w:val="25"/>
        <w:spacing w:line="360" w:lineRule="auto"/>
        <w:ind w:left="2" w:firstLine="422"/>
        <w:rPr>
          <w:rFonts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（5）不同投标人的投标文件相互混装；</w:t>
      </w:r>
    </w:p>
    <w:p w14:paraId="431E2BA9">
      <w:pPr>
        <w:pStyle w:val="25"/>
        <w:spacing w:line="360" w:lineRule="auto"/>
        <w:ind w:left="2" w:firstLine="422"/>
        <w:rPr>
          <w:rFonts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（6）不同投标人的投标保证金从同一单位或者个人账户转出。</w:t>
      </w:r>
    </w:p>
    <w:p w14:paraId="3994AB79">
      <w:pPr>
        <w:pStyle w:val="6"/>
        <w:keepNext w:val="0"/>
        <w:keepLines w:val="0"/>
        <w:spacing w:before="0" w:after="0" w:line="360" w:lineRule="auto"/>
        <w:ind w:left="420"/>
        <w:rPr>
          <w:rFonts w:ascii="宋体" w:hAnsi="宋体"/>
          <w:b w:val="0"/>
          <w:color w:val="000000" w:themeColor="text1"/>
          <w:sz w:val="21"/>
          <w:szCs w:val="21"/>
          <w:highlight w:val="none"/>
          <w14:textFill>
            <w14:solidFill>
              <w14:schemeClr w14:val="tx1"/>
            </w14:solidFill>
          </w14:textFill>
        </w:rPr>
      </w:pPr>
      <w:r>
        <w:rPr>
          <w:rFonts w:ascii="宋体" w:hAnsi="宋体"/>
          <w:b w:val="0"/>
          <w:color w:val="000000" w:themeColor="text1"/>
          <w:sz w:val="21"/>
          <w:szCs w:val="21"/>
          <w:highlight w:val="none"/>
          <w14:textFill>
            <w14:solidFill>
              <w14:schemeClr w14:val="tx1"/>
            </w14:solidFill>
          </w14:textFill>
        </w:rPr>
        <w:t>9.3</w:t>
      </w:r>
      <w:r>
        <w:rPr>
          <w:rFonts w:hint="eastAsia" w:ascii="宋体" w:hAnsi="宋体"/>
          <w:b w:val="0"/>
          <w:color w:val="000000" w:themeColor="text1"/>
          <w:sz w:val="21"/>
          <w:szCs w:val="21"/>
          <w:highlight w:val="none"/>
          <w14:textFill>
            <w14:solidFill>
              <w14:schemeClr w14:val="tx1"/>
            </w14:solidFill>
          </w14:textFill>
        </w:rPr>
        <w:t>供应商有下列情形之一的，属于恶意串通行为，将报同级监督管理部门：</w:t>
      </w:r>
    </w:p>
    <w:p w14:paraId="68E77E7A">
      <w:pPr>
        <w:pStyle w:val="25"/>
        <w:spacing w:line="360" w:lineRule="auto"/>
        <w:ind w:left="2" w:firstLine="42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（1）供应商直接或者间接从采购人或者采购代理机构处获得其他供应商的相关信息并修改其投标文件或者投标文件；</w:t>
      </w:r>
    </w:p>
    <w:p w14:paraId="29989A85">
      <w:pPr>
        <w:pStyle w:val="25"/>
        <w:spacing w:line="360" w:lineRule="auto"/>
        <w:ind w:left="2" w:firstLine="42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（2）供应商按照采购人或者采购代理机构的授意撤换、修改投标文件或者投标文件；</w:t>
      </w:r>
    </w:p>
    <w:p w14:paraId="218B4C13">
      <w:pPr>
        <w:pStyle w:val="25"/>
        <w:spacing w:line="360" w:lineRule="auto"/>
        <w:ind w:left="2" w:firstLine="42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（3）供应商之间协商报价、技术方案等投标文件或者投标文件的实质性内容；</w:t>
      </w:r>
    </w:p>
    <w:p w14:paraId="7FFD201F">
      <w:pPr>
        <w:pStyle w:val="25"/>
        <w:spacing w:line="360" w:lineRule="auto"/>
        <w:ind w:left="2" w:firstLine="42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（4）属于同一集团、协会、商会等组织成员的供应商按照该组织要求协同参加政府采购活动；</w:t>
      </w:r>
    </w:p>
    <w:p w14:paraId="04B79203">
      <w:pPr>
        <w:pStyle w:val="25"/>
        <w:spacing w:line="360" w:lineRule="auto"/>
        <w:ind w:left="2" w:firstLine="42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（5）供应商之间事先约定一致抬高或者压低投标报价，或者在招标项目中事先约定轮流以高价位或者低价位中标，或者事先约定由某一特定供应商中标，然后再参加投标；</w:t>
      </w:r>
    </w:p>
    <w:p w14:paraId="399F8897">
      <w:pPr>
        <w:pStyle w:val="25"/>
        <w:spacing w:line="360" w:lineRule="auto"/>
        <w:ind w:left="2" w:firstLine="42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（6）供应商之间商定部分供应商放弃参加政府采购活动或者放弃中标；</w:t>
      </w:r>
    </w:p>
    <w:p w14:paraId="7B98BAB2">
      <w:pPr>
        <w:pStyle w:val="25"/>
        <w:spacing w:line="360" w:lineRule="auto"/>
        <w:ind w:left="2" w:firstLine="42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（7）供应商与采购人或者采购代理机构之间、供应商相互之间，为谋求特定供应商中标或者排斥其他供应商的其他串通行为。</w:t>
      </w:r>
    </w:p>
    <w:p w14:paraId="7DF7B367">
      <w:pPr>
        <w:pStyle w:val="25"/>
        <w:spacing w:line="360" w:lineRule="auto"/>
        <w:ind w:left="2" w:firstLine="422"/>
        <w:rPr>
          <w:rFonts w:hAnsi="宋体"/>
          <w:b/>
          <w:color w:val="000000" w:themeColor="text1"/>
          <w:sz w:val="21"/>
          <w:highlight w:val="none"/>
          <w14:textFill>
            <w14:solidFill>
              <w14:schemeClr w14:val="tx1"/>
            </w14:solidFill>
          </w14:textFill>
        </w:rPr>
      </w:pPr>
    </w:p>
    <w:p w14:paraId="54289B7B">
      <w:pPr>
        <w:pStyle w:val="4"/>
        <w:keepNext w:val="0"/>
        <w:keepLines w:val="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二、招标文件</w:t>
      </w:r>
    </w:p>
    <w:p w14:paraId="5263C40E">
      <w:pPr>
        <w:pStyle w:val="6"/>
        <w:keepNext w:val="0"/>
        <w:keepLines w:val="0"/>
        <w:spacing w:before="0" w:after="0" w:line="360" w:lineRule="auto"/>
        <w:ind w:left="42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10.招标文件的组成</w:t>
      </w:r>
    </w:p>
    <w:p w14:paraId="5A479725">
      <w:pPr>
        <w:spacing w:line="360" w:lineRule="auto"/>
        <w:ind w:firstLine="42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（1）招标公告；</w:t>
      </w:r>
    </w:p>
    <w:p w14:paraId="1BEEEEB1">
      <w:pPr>
        <w:spacing w:line="360" w:lineRule="auto"/>
        <w:ind w:firstLine="42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（2）采购需求； </w:t>
      </w:r>
    </w:p>
    <w:p w14:paraId="47960D18">
      <w:pPr>
        <w:spacing w:line="360" w:lineRule="auto"/>
        <w:ind w:firstLine="42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（3）投标人须知；</w:t>
      </w:r>
    </w:p>
    <w:p w14:paraId="231C10E0">
      <w:pPr>
        <w:spacing w:line="360" w:lineRule="auto"/>
        <w:ind w:firstLine="42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（4）评标方法及评标标准；</w:t>
      </w:r>
    </w:p>
    <w:p w14:paraId="0F38A849">
      <w:pPr>
        <w:spacing w:line="360" w:lineRule="auto"/>
        <w:ind w:firstLine="42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（5）拟签订的合同文本；</w:t>
      </w:r>
    </w:p>
    <w:p w14:paraId="427B40E3">
      <w:pPr>
        <w:spacing w:line="360" w:lineRule="auto"/>
        <w:ind w:firstLine="42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（6）投标文件格式。</w:t>
      </w:r>
    </w:p>
    <w:p w14:paraId="533908BC">
      <w:pPr>
        <w:pStyle w:val="6"/>
        <w:keepNext w:val="0"/>
        <w:keepLines w:val="0"/>
        <w:spacing w:before="0" w:after="0" w:line="360" w:lineRule="auto"/>
        <w:ind w:left="42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11.招标文件的澄清、修改 、现场考察和答疑会</w:t>
      </w:r>
    </w:p>
    <w:p w14:paraId="17E3A4D9">
      <w:pPr>
        <w:pStyle w:val="6"/>
        <w:keepNext w:val="0"/>
        <w:keepLines w:val="0"/>
        <w:spacing w:before="0" w:after="0" w:line="360" w:lineRule="auto"/>
        <w:ind w:firstLine="315"/>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 xml:space="preserve"> 11.1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14:paraId="068980FE">
      <w:pPr>
        <w:pStyle w:val="25"/>
        <w:spacing w:line="360" w:lineRule="auto"/>
        <w:ind w:firstLine="42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澄清或者修改的内容可能影响投标文件编制的，采购人或者采购代理机构应当在投标截止时间至少15日前，以书面形式通知所有获取招标文件的潜在投标人；不足15日的，采购人或者采购代理机构应当顺延提交投标文件的截止时间。</w:t>
      </w:r>
    </w:p>
    <w:p w14:paraId="4E73D1EA">
      <w:pPr>
        <w:pStyle w:val="25"/>
        <w:spacing w:line="360" w:lineRule="auto"/>
        <w:ind w:firstLine="42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w:t>
      </w:r>
      <w:r>
        <w:rPr>
          <w:rFonts w:hAnsi="宋体"/>
          <w:color w:val="000000" w:themeColor="text1"/>
          <w:sz w:val="21"/>
          <w:highlight w:val="none"/>
          <w14:textFill>
            <w14:solidFill>
              <w14:schemeClr w14:val="tx1"/>
            </w14:solidFill>
          </w14:textFill>
        </w:rPr>
        <w:t>1.2</w:t>
      </w:r>
      <w:r>
        <w:rPr>
          <w:rFonts w:hint="eastAsia" w:hAnsi="宋体"/>
          <w:color w:val="000000" w:themeColor="text1"/>
          <w:sz w:val="21"/>
          <w:highlight w:val="none"/>
          <w14:textFill>
            <w14:solidFill>
              <w14:schemeClr w14:val="tx1"/>
            </w14:solidFill>
          </w14:textFill>
        </w:rPr>
        <w:t>采购人或者采购代理机构可以在招标文件提供期限截止后，组织已获取招标文件的潜在投标人现场考察或者召开开标前答疑会，具体详见“投标人须知前附表”。</w:t>
      </w:r>
    </w:p>
    <w:p w14:paraId="54CC9761">
      <w:pPr>
        <w:pStyle w:val="4"/>
        <w:keepNext w:val="0"/>
        <w:keepLines w:val="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三、投标文件的编制</w:t>
      </w:r>
    </w:p>
    <w:p w14:paraId="432DAE8B">
      <w:pPr>
        <w:pStyle w:val="6"/>
        <w:keepNext w:val="0"/>
        <w:keepLines w:val="0"/>
        <w:spacing w:before="0" w:after="0" w:line="360" w:lineRule="auto"/>
        <w:ind w:left="42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12.投标文件的编制原则</w:t>
      </w:r>
    </w:p>
    <w:p w14:paraId="73B0E822">
      <w:pPr>
        <w:spacing w:line="360" w:lineRule="auto"/>
        <w:ind w:firstLine="420"/>
        <w:jc w:val="left"/>
        <w:rPr>
          <w:rFonts w:ascii="宋体" w:hAnsi="宋体" w:cs="Courier New"/>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投标人必须按照招标文件的要求编制投标文件。投标文件必须对招标文件提出的要求和条件作出明确响应。</w:t>
      </w:r>
    </w:p>
    <w:p w14:paraId="38DE561B">
      <w:pPr>
        <w:pStyle w:val="6"/>
        <w:keepNext w:val="0"/>
        <w:keepLines w:val="0"/>
        <w:spacing w:before="0" w:after="0" w:line="360" w:lineRule="auto"/>
        <w:ind w:left="42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13.投标文件的组成</w:t>
      </w:r>
    </w:p>
    <w:p w14:paraId="27061198">
      <w:pPr>
        <w:spacing w:line="360" w:lineRule="auto"/>
        <w:ind w:firstLine="42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投标文件由报价文件、资格证明文件、商务及技术文件三部分组成。</w:t>
      </w:r>
    </w:p>
    <w:p w14:paraId="0B9BC39E">
      <w:pPr>
        <w:pStyle w:val="6"/>
        <w:keepNext w:val="0"/>
        <w:keepLines w:val="0"/>
        <w:spacing w:before="0" w:after="0" w:line="360" w:lineRule="auto"/>
        <w:ind w:left="420"/>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（1）报价文件：</w:t>
      </w:r>
      <w:r>
        <w:rPr>
          <w:rFonts w:ascii="宋体" w:hAnsi="宋体"/>
          <w:b w:val="0"/>
          <w:color w:val="000000" w:themeColor="text1"/>
          <w:sz w:val="21"/>
          <w:szCs w:val="21"/>
          <w:highlight w:val="none"/>
          <w14:textFill>
            <w14:solidFill>
              <w14:schemeClr w14:val="tx1"/>
            </w14:solidFill>
          </w14:textFill>
        </w:rPr>
        <w:t>具体材料见“投标人须知前附表”</w:t>
      </w:r>
      <w:r>
        <w:rPr>
          <w:rFonts w:hint="eastAsia" w:ascii="宋体" w:hAnsi="宋体"/>
          <w:b w:val="0"/>
          <w:color w:val="000000" w:themeColor="text1"/>
          <w:sz w:val="21"/>
          <w:szCs w:val="21"/>
          <w:highlight w:val="none"/>
          <w14:textFill>
            <w14:solidFill>
              <w14:schemeClr w14:val="tx1"/>
            </w14:solidFill>
          </w14:textFill>
        </w:rPr>
        <w:t>。</w:t>
      </w:r>
    </w:p>
    <w:p w14:paraId="17AFAA8E">
      <w:pPr>
        <w:pStyle w:val="6"/>
        <w:keepNext w:val="0"/>
        <w:keepLines w:val="0"/>
        <w:spacing w:before="0" w:after="0" w:line="360" w:lineRule="auto"/>
        <w:ind w:left="420"/>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w:t>
      </w:r>
      <w:r>
        <w:rPr>
          <w:rFonts w:ascii="宋体" w:hAnsi="宋体"/>
          <w:b w:val="0"/>
          <w:color w:val="000000" w:themeColor="text1"/>
          <w:sz w:val="21"/>
          <w:szCs w:val="21"/>
          <w:highlight w:val="none"/>
          <w14:textFill>
            <w14:solidFill>
              <w14:schemeClr w14:val="tx1"/>
            </w14:solidFill>
          </w14:textFill>
        </w:rPr>
        <w:t>2</w:t>
      </w:r>
      <w:r>
        <w:rPr>
          <w:rFonts w:hint="eastAsia" w:ascii="宋体" w:hAnsi="宋体"/>
          <w:b w:val="0"/>
          <w:color w:val="000000" w:themeColor="text1"/>
          <w:sz w:val="21"/>
          <w:szCs w:val="21"/>
          <w:highlight w:val="none"/>
          <w14:textFill>
            <w14:solidFill>
              <w14:schemeClr w14:val="tx1"/>
            </w14:solidFill>
          </w14:textFill>
        </w:rPr>
        <w:t>）资格证明文件：</w:t>
      </w:r>
      <w:r>
        <w:rPr>
          <w:rFonts w:ascii="宋体" w:hAnsi="宋体"/>
          <w:b w:val="0"/>
          <w:color w:val="000000" w:themeColor="text1"/>
          <w:sz w:val="21"/>
          <w:szCs w:val="21"/>
          <w:highlight w:val="none"/>
          <w14:textFill>
            <w14:solidFill>
              <w14:schemeClr w14:val="tx1"/>
            </w14:solidFill>
          </w14:textFill>
        </w:rPr>
        <w:t>具体材料见“投标人须知前附表”</w:t>
      </w:r>
      <w:r>
        <w:rPr>
          <w:rFonts w:hint="eastAsia" w:ascii="宋体" w:hAnsi="宋体"/>
          <w:b w:val="0"/>
          <w:color w:val="000000" w:themeColor="text1"/>
          <w:sz w:val="21"/>
          <w:szCs w:val="21"/>
          <w:highlight w:val="none"/>
          <w14:textFill>
            <w14:solidFill>
              <w14:schemeClr w14:val="tx1"/>
            </w14:solidFill>
          </w14:textFill>
        </w:rPr>
        <w:t>。</w:t>
      </w:r>
    </w:p>
    <w:p w14:paraId="3631D56F">
      <w:pPr>
        <w:pStyle w:val="6"/>
        <w:keepNext w:val="0"/>
        <w:keepLines w:val="0"/>
        <w:spacing w:before="0" w:after="0" w:line="360" w:lineRule="auto"/>
        <w:ind w:left="420"/>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w:t>
      </w:r>
      <w:r>
        <w:rPr>
          <w:rFonts w:ascii="宋体" w:hAnsi="宋体"/>
          <w:b w:val="0"/>
          <w:color w:val="000000" w:themeColor="text1"/>
          <w:sz w:val="21"/>
          <w:szCs w:val="21"/>
          <w:highlight w:val="none"/>
          <w14:textFill>
            <w14:solidFill>
              <w14:schemeClr w14:val="tx1"/>
            </w14:solidFill>
          </w14:textFill>
        </w:rPr>
        <w:t>3</w:t>
      </w:r>
      <w:r>
        <w:rPr>
          <w:rFonts w:hint="eastAsia" w:ascii="宋体" w:hAnsi="宋体"/>
          <w:b w:val="0"/>
          <w:color w:val="000000" w:themeColor="text1"/>
          <w:sz w:val="21"/>
          <w:szCs w:val="21"/>
          <w:highlight w:val="none"/>
          <w14:textFill>
            <w14:solidFill>
              <w14:schemeClr w14:val="tx1"/>
            </w14:solidFill>
          </w14:textFill>
        </w:rPr>
        <w:t>）商务及技术文件：</w:t>
      </w:r>
      <w:r>
        <w:rPr>
          <w:rFonts w:ascii="宋体" w:hAnsi="宋体"/>
          <w:b w:val="0"/>
          <w:color w:val="000000" w:themeColor="text1"/>
          <w:sz w:val="21"/>
          <w:szCs w:val="21"/>
          <w:highlight w:val="none"/>
          <w14:textFill>
            <w14:solidFill>
              <w14:schemeClr w14:val="tx1"/>
            </w14:solidFill>
          </w14:textFill>
        </w:rPr>
        <w:t>具体材料见“投标人须知前附表”</w:t>
      </w:r>
      <w:r>
        <w:rPr>
          <w:rFonts w:hint="eastAsia" w:ascii="宋体" w:hAnsi="宋体"/>
          <w:b w:val="0"/>
          <w:color w:val="000000" w:themeColor="text1"/>
          <w:sz w:val="21"/>
          <w:szCs w:val="21"/>
          <w:highlight w:val="none"/>
          <w14:textFill>
            <w14:solidFill>
              <w14:schemeClr w14:val="tx1"/>
            </w14:solidFill>
          </w14:textFill>
        </w:rPr>
        <w:t>。</w:t>
      </w:r>
    </w:p>
    <w:p w14:paraId="5EC9969D">
      <w:pPr>
        <w:pStyle w:val="6"/>
        <w:keepNext w:val="0"/>
        <w:keepLines w:val="0"/>
        <w:spacing w:before="0" w:after="0" w:line="360" w:lineRule="auto"/>
        <w:ind w:left="42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14.投标文件的语言及计量</w:t>
      </w:r>
    </w:p>
    <w:p w14:paraId="5106F01E">
      <w:pPr>
        <w:pStyle w:val="6"/>
        <w:keepNext w:val="0"/>
        <w:keepLines w:val="0"/>
        <w:spacing w:before="0" w:after="0" w:line="360" w:lineRule="auto"/>
        <w:ind w:left="420"/>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14.1语言文字</w:t>
      </w:r>
    </w:p>
    <w:p w14:paraId="4FD884E5">
      <w:pPr>
        <w:pStyle w:val="6"/>
        <w:keepNext w:val="0"/>
        <w:keepLines w:val="0"/>
        <w:spacing w:before="0" w:after="0" w:line="360" w:lineRule="auto"/>
        <w:ind w:firstLine="420"/>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32D4C1CE">
      <w:pPr>
        <w:pStyle w:val="6"/>
        <w:keepNext w:val="0"/>
        <w:keepLines w:val="0"/>
        <w:spacing w:before="0" w:after="0" w:line="360" w:lineRule="auto"/>
        <w:ind w:firstLine="420"/>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14.2投标计量单位</w:t>
      </w:r>
    </w:p>
    <w:p w14:paraId="31DFC001">
      <w:pPr>
        <w:pStyle w:val="6"/>
        <w:keepNext w:val="0"/>
        <w:keepLines w:val="0"/>
        <w:spacing w:before="0" w:after="0" w:line="360" w:lineRule="auto"/>
        <w:ind w:firstLine="420"/>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招标文件已有明确规定的，使用招标文件规定的计量单位；招标文件没有规定的，应采用中华人民共和国法定计量单位，货币种类为人民币，</w:t>
      </w:r>
      <w:r>
        <w:rPr>
          <w:rFonts w:hint="eastAsia" w:ascii="宋体" w:hAnsi="宋体"/>
          <w:color w:val="000000" w:themeColor="text1"/>
          <w:sz w:val="21"/>
          <w:szCs w:val="21"/>
          <w:highlight w:val="none"/>
          <w14:textFill>
            <w14:solidFill>
              <w14:schemeClr w14:val="tx1"/>
            </w14:solidFill>
          </w14:textFill>
        </w:rPr>
        <w:t>否则视同未响应。</w:t>
      </w:r>
    </w:p>
    <w:p w14:paraId="25EA5DCE">
      <w:pPr>
        <w:pStyle w:val="6"/>
        <w:keepNext w:val="0"/>
        <w:keepLines w:val="0"/>
        <w:spacing w:before="0" w:after="0" w:line="360" w:lineRule="auto"/>
        <w:ind w:left="42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15.投标的风险</w:t>
      </w:r>
    </w:p>
    <w:p w14:paraId="7C24AAFE">
      <w:pPr>
        <w:pStyle w:val="25"/>
        <w:spacing w:line="360" w:lineRule="auto"/>
        <w:ind w:firstLine="420"/>
        <w:jc w:val="left"/>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投标人没有按照招标文件要求提供全部资料，或者投标人没有对招标文件作出实质性响应是投标人的风险，并可能导致其投标被拒绝。</w:t>
      </w:r>
    </w:p>
    <w:p w14:paraId="25C775E0">
      <w:pPr>
        <w:pStyle w:val="6"/>
        <w:keepNext w:val="0"/>
        <w:keepLines w:val="0"/>
        <w:spacing w:before="0" w:after="0" w:line="360" w:lineRule="auto"/>
        <w:ind w:left="42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16.投标报价</w:t>
      </w:r>
    </w:p>
    <w:p w14:paraId="40E88378">
      <w:pPr>
        <w:pStyle w:val="6"/>
        <w:keepNext w:val="0"/>
        <w:keepLines w:val="0"/>
        <w:spacing w:before="0" w:after="0" w:line="360" w:lineRule="auto"/>
        <w:ind w:left="420"/>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16.1投标报价应按“第六章　投标文件格式”中“开标一览表”格式填写。</w:t>
      </w:r>
    </w:p>
    <w:p w14:paraId="204E057F">
      <w:pPr>
        <w:pStyle w:val="6"/>
        <w:keepNext w:val="0"/>
        <w:keepLines w:val="0"/>
        <w:spacing w:before="0" w:after="0" w:line="360" w:lineRule="auto"/>
        <w:ind w:left="420"/>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16.2投标报价具体包括内容详见“投标人须知前附表”。</w:t>
      </w:r>
    </w:p>
    <w:p w14:paraId="34BF9283">
      <w:pPr>
        <w:pStyle w:val="6"/>
        <w:keepNext w:val="0"/>
        <w:keepLines w:val="0"/>
        <w:spacing w:before="0" w:after="0" w:line="360" w:lineRule="auto"/>
        <w:ind w:firstLine="420"/>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16.3投标人必须就所投每个分标的全部内容分别作完整唯一总价报价，不得存在漏项报价；投标人必须就所投分标的单项内容作唯一报价。</w:t>
      </w:r>
    </w:p>
    <w:p w14:paraId="34D55DCF">
      <w:pPr>
        <w:pStyle w:val="6"/>
        <w:keepNext w:val="0"/>
        <w:keepLines w:val="0"/>
        <w:spacing w:before="0" w:after="0" w:line="360" w:lineRule="auto"/>
        <w:ind w:left="42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17.投标有效期</w:t>
      </w:r>
    </w:p>
    <w:p w14:paraId="420CCC7F">
      <w:pPr>
        <w:pStyle w:val="6"/>
        <w:keepNext w:val="0"/>
        <w:keepLines w:val="0"/>
        <w:spacing w:before="0" w:after="0" w:line="360" w:lineRule="auto"/>
        <w:ind w:firstLine="420"/>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17.1投标有效期是指为保证采购人有足够的时间在开标后完成评标、定标、合同签订等工作而要求投标人提交的投标文件在一定时间内保持有效的期限。</w:t>
      </w:r>
    </w:p>
    <w:p w14:paraId="2CA7F3A6">
      <w:pPr>
        <w:pStyle w:val="6"/>
        <w:keepNext w:val="0"/>
        <w:keepLines w:val="0"/>
        <w:spacing w:before="0" w:after="0" w:line="360" w:lineRule="auto"/>
        <w:ind w:firstLine="424"/>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17.2 投标有效期应按招标文件规定的期限作出承诺，具体详见“投标人须知前附表”。</w:t>
      </w:r>
      <w:r>
        <w:rPr>
          <w:rFonts w:hint="eastAsia" w:ascii="宋体" w:hAnsi="宋体"/>
          <w:color w:val="000000" w:themeColor="text1"/>
          <w:sz w:val="21"/>
          <w:szCs w:val="21"/>
          <w:highlight w:val="none"/>
          <w14:textFill>
            <w14:solidFill>
              <w14:schemeClr w14:val="tx1"/>
            </w14:solidFill>
          </w14:textFill>
        </w:rPr>
        <w:t>承诺的投标有效期低于招标文件规定期限的，按无效投标处理</w:t>
      </w:r>
      <w:r>
        <w:rPr>
          <w:rFonts w:hint="eastAsia" w:ascii="宋体" w:hAnsi="宋体"/>
          <w:b w:val="0"/>
          <w:color w:val="000000" w:themeColor="text1"/>
          <w:sz w:val="21"/>
          <w:szCs w:val="21"/>
          <w:highlight w:val="none"/>
          <w14:textFill>
            <w14:solidFill>
              <w14:schemeClr w14:val="tx1"/>
            </w14:solidFill>
          </w14:textFill>
        </w:rPr>
        <w:t>。</w:t>
      </w:r>
    </w:p>
    <w:p w14:paraId="22F6D5CA">
      <w:pPr>
        <w:pStyle w:val="6"/>
        <w:keepNext w:val="0"/>
        <w:keepLines w:val="0"/>
        <w:spacing w:before="0" w:after="0" w:line="360" w:lineRule="auto"/>
        <w:ind w:left="420"/>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17.3投标人的投标文件在投标有效期内均保持有效。</w:t>
      </w:r>
    </w:p>
    <w:p w14:paraId="226044C9">
      <w:pPr>
        <w:pStyle w:val="6"/>
        <w:keepNext w:val="0"/>
        <w:keepLines w:val="0"/>
        <w:spacing w:before="0" w:after="0" w:line="360" w:lineRule="auto"/>
        <w:ind w:left="420"/>
        <w:rPr>
          <w:rFonts w:ascii="宋体" w:hAnsi="宋体"/>
          <w:b w:val="0"/>
          <w:color w:val="000000" w:themeColor="text1"/>
          <w:sz w:val="21"/>
          <w:szCs w:val="21"/>
          <w:highlight w:val="none"/>
          <w14:textFill>
            <w14:solidFill>
              <w14:schemeClr w14:val="tx1"/>
            </w14:solidFill>
          </w14:textFill>
        </w:rPr>
      </w:pPr>
    </w:p>
    <w:p w14:paraId="288F75B5">
      <w:pPr>
        <w:pStyle w:val="6"/>
        <w:keepNext w:val="0"/>
        <w:keepLines w:val="0"/>
        <w:spacing w:before="0" w:after="0" w:line="360" w:lineRule="auto"/>
        <w:ind w:left="42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18.投标保证金</w:t>
      </w:r>
    </w:p>
    <w:p w14:paraId="5240E20C">
      <w:pPr>
        <w:pStyle w:val="6"/>
        <w:keepNext w:val="0"/>
        <w:keepLines w:val="0"/>
        <w:spacing w:before="0" w:after="0" w:line="360" w:lineRule="auto"/>
        <w:ind w:left="420"/>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18.1投标人须按“投标人须知前附表” 的规定提交投标保证金。</w:t>
      </w:r>
    </w:p>
    <w:p w14:paraId="7E14598F">
      <w:pPr>
        <w:pStyle w:val="6"/>
        <w:keepNext w:val="0"/>
        <w:keepLines w:val="0"/>
        <w:spacing w:before="0" w:after="0" w:line="360" w:lineRule="auto"/>
        <w:ind w:firstLine="420"/>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18.2投标保证金的退还</w:t>
      </w:r>
    </w:p>
    <w:p w14:paraId="6B0F1988">
      <w:pPr>
        <w:pStyle w:val="6"/>
        <w:keepNext w:val="0"/>
        <w:keepLines w:val="0"/>
        <w:spacing w:before="0" w:after="0" w:line="360" w:lineRule="auto"/>
        <w:ind w:firstLine="420"/>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 xml:space="preserve">未中标人的投标保证金自中标通知书发出之日起5个工作日内退还；中标人的投标保证金自政府采购合同签订之日起5个工作日内退还。 </w:t>
      </w:r>
    </w:p>
    <w:p w14:paraId="0248A853">
      <w:pPr>
        <w:pStyle w:val="6"/>
        <w:keepNext w:val="0"/>
        <w:keepLines w:val="0"/>
        <w:spacing w:before="0" w:after="0" w:line="360" w:lineRule="auto"/>
        <w:ind w:left="420"/>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18.3除逾期退还投标保证金和终止招标的情形以外，投标保证金不计息。</w:t>
      </w:r>
    </w:p>
    <w:p w14:paraId="0E497DA9">
      <w:pPr>
        <w:pStyle w:val="6"/>
        <w:keepNext w:val="0"/>
        <w:keepLines w:val="0"/>
        <w:spacing w:before="0" w:after="0" w:line="360" w:lineRule="auto"/>
        <w:ind w:left="420"/>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 xml:space="preserve">18.4投标人有下列情形之一的，投标保证金将不予退还： </w:t>
      </w:r>
    </w:p>
    <w:p w14:paraId="738F3B20">
      <w:pPr>
        <w:spacing w:line="360" w:lineRule="auto"/>
        <w:ind w:firstLine="411"/>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（1）投标人在投标有效期内撤销投标文件的；</w:t>
      </w:r>
    </w:p>
    <w:p w14:paraId="31DEF5B7">
      <w:pPr>
        <w:spacing w:line="360" w:lineRule="auto"/>
        <w:ind w:firstLine="411"/>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（2）未按规定提交履约保证金的；</w:t>
      </w:r>
    </w:p>
    <w:p w14:paraId="03FFA60C">
      <w:pPr>
        <w:spacing w:line="360" w:lineRule="auto"/>
        <w:ind w:firstLine="411"/>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（3）投标人在投标过程中弄虚作假，提供虚假材料的；</w:t>
      </w:r>
    </w:p>
    <w:p w14:paraId="31917066">
      <w:pPr>
        <w:spacing w:line="360" w:lineRule="auto"/>
        <w:ind w:firstLine="411"/>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（4）中标人无正当理由不与采购人签订合同的；</w:t>
      </w:r>
    </w:p>
    <w:p w14:paraId="2FADC01F">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（5）投标人出现本章第9.2、9.3情形的；</w:t>
      </w:r>
    </w:p>
    <w:p w14:paraId="3C3CF194">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w:t>
      </w:r>
      <w:r>
        <w:rPr>
          <w:rFonts w:hint="eastAsia" w:ascii="宋体" w:hAnsi="宋体" w:cs="宋体"/>
          <w:color w:val="000000" w:themeColor="text1"/>
          <w:szCs w:val="21"/>
          <w:highlight w:val="none"/>
          <w14:textFill>
            <w14:solidFill>
              <w14:schemeClr w14:val="tx1"/>
            </w14:solidFill>
          </w14:textFill>
        </w:rPr>
        <w:t>法律法规规定的其他情形</w:t>
      </w:r>
      <w:r>
        <w:rPr>
          <w:rFonts w:hint="eastAsia" w:ascii="宋体" w:hAnsi="宋体"/>
          <w:color w:val="000000" w:themeColor="text1"/>
          <w:szCs w:val="21"/>
          <w:highlight w:val="none"/>
          <w14:textFill>
            <w14:solidFill>
              <w14:schemeClr w14:val="tx1"/>
            </w14:solidFill>
          </w14:textFill>
        </w:rPr>
        <w:t>。</w:t>
      </w:r>
    </w:p>
    <w:p w14:paraId="5409E5E0">
      <w:pPr>
        <w:pStyle w:val="6"/>
        <w:keepNext w:val="0"/>
        <w:keepLines w:val="0"/>
        <w:spacing w:before="0" w:after="0" w:line="360" w:lineRule="auto"/>
        <w:ind w:left="42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19.投标文件的编制</w:t>
      </w:r>
    </w:p>
    <w:p w14:paraId="705D02EB">
      <w:pPr>
        <w:pStyle w:val="6"/>
        <w:keepNext w:val="0"/>
        <w:keepLines w:val="0"/>
        <w:numPr>
          <w:ilvl w:val="4"/>
          <w:numId w:val="3"/>
        </w:numPr>
        <w:spacing w:before="0" w:after="0" w:line="360" w:lineRule="auto"/>
        <w:ind w:firstLine="315"/>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 xml:space="preserve">  19.1投标人应按照本项目招标文件规定的格式和顺序和广西政府采购云平台的要求编制投标文件并加密。投标文件内容不完整、编排混乱导致投标文件被误读、漏读或者查找不到相关内容的，由此引发的后果由投标人承担。</w:t>
      </w:r>
    </w:p>
    <w:p w14:paraId="1C441E3F">
      <w:pPr>
        <w:pStyle w:val="6"/>
        <w:keepNext w:val="0"/>
        <w:keepLines w:val="0"/>
        <w:numPr>
          <w:ilvl w:val="4"/>
          <w:numId w:val="3"/>
        </w:numPr>
        <w:spacing w:before="0" w:after="0" w:line="360" w:lineRule="auto"/>
        <w:ind w:firstLine="315"/>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 xml:space="preserve"> 19.2为确保网上操作合法、有效和安全，投标人应当在投标截止时间前完成在广西政府采购云平台的身份认证，确保在电子投标过程中能够对相关数据电文进行加密和使用电子签章。</w:t>
      </w:r>
    </w:p>
    <w:p w14:paraId="42EEACA9">
      <w:pPr>
        <w:pStyle w:val="6"/>
        <w:keepNext w:val="0"/>
        <w:keepLines w:val="0"/>
        <w:numPr>
          <w:ilvl w:val="4"/>
          <w:numId w:val="3"/>
        </w:numPr>
        <w:spacing w:before="0" w:after="0" w:line="360" w:lineRule="auto"/>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 xml:space="preserve">    19.3投标文件须由投标人在规定位置签字（或者电子签名）、盖章（具体以投标人须知前附表或投标文件格式规定为准），</w:t>
      </w:r>
      <w:r>
        <w:rPr>
          <w:rFonts w:hint="eastAsia" w:ascii="宋体" w:hAnsi="宋体"/>
          <w:bCs/>
          <w:color w:val="000000" w:themeColor="text1"/>
          <w:sz w:val="21"/>
          <w:szCs w:val="21"/>
          <w:highlight w:val="none"/>
          <w14:textFill>
            <w14:solidFill>
              <w14:schemeClr w14:val="tx1"/>
            </w14:solidFill>
          </w14:textFill>
        </w:rPr>
        <w:t>否则按无效投标处理</w:t>
      </w:r>
      <w:r>
        <w:rPr>
          <w:rFonts w:hint="eastAsia" w:ascii="宋体" w:hAnsi="宋体"/>
          <w:b w:val="0"/>
          <w:color w:val="000000" w:themeColor="text1"/>
          <w:sz w:val="21"/>
          <w:szCs w:val="21"/>
          <w:highlight w:val="none"/>
          <w14:textFill>
            <w14:solidFill>
              <w14:schemeClr w14:val="tx1"/>
            </w14:solidFill>
          </w14:textFill>
        </w:rPr>
        <w:t>。</w:t>
      </w:r>
    </w:p>
    <w:p w14:paraId="13F3FFC0">
      <w:pPr>
        <w:pStyle w:val="6"/>
        <w:keepNext w:val="0"/>
        <w:keepLines w:val="0"/>
        <w:numPr>
          <w:ilvl w:val="4"/>
          <w:numId w:val="3"/>
        </w:numPr>
        <w:spacing w:before="0" w:after="0" w:line="360" w:lineRule="auto"/>
        <w:ind w:firstLine="315"/>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 xml:space="preserve"> 19.4投标文件中标注的投标人名称应与主体资格证明（如营业执照或者事业单位法人证书或者执业许可证或者登记证书等）及公章一致，并与广西政府采购云平台中获取招标文件的投标人名称一致，投标人为自然人的，标注的投标人名称应与身份证姓名及签名一致，</w:t>
      </w:r>
      <w:r>
        <w:rPr>
          <w:rFonts w:hint="eastAsia" w:ascii="宋体" w:hAnsi="宋体"/>
          <w:color w:val="000000" w:themeColor="text1"/>
          <w:sz w:val="21"/>
          <w:szCs w:val="21"/>
          <w:highlight w:val="none"/>
          <w14:textFill>
            <w14:solidFill>
              <w14:schemeClr w14:val="tx1"/>
            </w14:solidFill>
          </w14:textFill>
        </w:rPr>
        <w:t>否则按无效投标处理</w:t>
      </w:r>
      <w:r>
        <w:rPr>
          <w:rFonts w:hint="eastAsia" w:ascii="宋体" w:hAnsi="宋体"/>
          <w:b w:val="0"/>
          <w:color w:val="000000" w:themeColor="text1"/>
          <w:sz w:val="21"/>
          <w:szCs w:val="21"/>
          <w:highlight w:val="none"/>
          <w14:textFill>
            <w14:solidFill>
              <w14:schemeClr w14:val="tx1"/>
            </w14:solidFill>
          </w14:textFill>
        </w:rPr>
        <w:t>。</w:t>
      </w:r>
    </w:p>
    <w:p w14:paraId="771BD30E">
      <w:pPr>
        <w:pStyle w:val="6"/>
        <w:keepNext w:val="0"/>
        <w:keepLines w:val="0"/>
        <w:numPr>
          <w:ilvl w:val="4"/>
          <w:numId w:val="3"/>
        </w:numPr>
        <w:spacing w:before="0" w:after="0" w:line="360" w:lineRule="auto"/>
        <w:ind w:firstLine="315"/>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 xml:space="preserve"> 19.5投标文件应尽量避免涂改、行间插字或者删除。如果出现上述情况，改动之处应由投标人的法定代表人或者其委托代理人签字（或者电子签名）或者加盖公章或者加盖电子签章。投标文件因字迹潦草或者表达不清所引起的后果由投标人承担。</w:t>
      </w:r>
    </w:p>
    <w:p w14:paraId="149F0702">
      <w:pPr>
        <w:spacing w:line="360" w:lineRule="auto"/>
        <w:ind w:firstLine="48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20.电子备份投标文件</w:t>
      </w:r>
    </w:p>
    <w:p w14:paraId="6F4AE946">
      <w:pPr>
        <w:spacing w:line="360" w:lineRule="auto"/>
        <w:ind w:firstLine="420"/>
        <w:rPr>
          <w:rFonts w:ascii="黑体" w:hAnsi="黑体" w:eastAsia="黑体"/>
          <w:color w:val="000000" w:themeColor="text1"/>
          <w:sz w:val="24"/>
          <w:highlight w:val="none"/>
          <w14:textFill>
            <w14:solidFill>
              <w14:schemeClr w14:val="tx1"/>
            </w14:solidFill>
          </w14:textFill>
        </w:rPr>
      </w:pPr>
      <w:r>
        <w:rPr>
          <w:rFonts w:hint="eastAsia"/>
          <w:color w:val="000000" w:themeColor="text1"/>
          <w:highlight w:val="none"/>
          <w14:textFill>
            <w14:solidFill>
              <w14:schemeClr w14:val="tx1"/>
            </w14:solidFill>
          </w14:textFill>
        </w:rPr>
        <w:t>电子备份投标文件是指通过在线编制生成且后缀名为“</w:t>
      </w:r>
      <w:r>
        <w:rPr>
          <w:color w:val="000000" w:themeColor="text1"/>
          <w:highlight w:val="none"/>
          <w14:textFill>
            <w14:solidFill>
              <w14:schemeClr w14:val="tx1"/>
            </w14:solidFill>
          </w14:textFill>
        </w:rPr>
        <w:t>bfbs</w:t>
      </w:r>
      <w:r>
        <w:rPr>
          <w:rFonts w:hint="eastAsia"/>
          <w:color w:val="000000" w:themeColor="text1"/>
          <w:highlight w:val="none"/>
          <w14:textFill>
            <w14:solidFill>
              <w14:schemeClr w14:val="tx1"/>
            </w14:solidFill>
          </w14:textFill>
        </w:rPr>
        <w:t>”的文件，是否接受电子备份投标文件</w:t>
      </w:r>
      <w:r>
        <w:rPr>
          <w:rFonts w:hint="eastAsia" w:hAnsi="宋体"/>
          <w:bCs/>
          <w:color w:val="000000" w:themeColor="text1"/>
          <w:szCs w:val="21"/>
          <w:highlight w:val="none"/>
          <w14:textFill>
            <w14:solidFill>
              <w14:schemeClr w14:val="tx1"/>
            </w14:solidFill>
          </w14:textFill>
        </w:rPr>
        <w:t>详见“投标人须知前附表”。</w:t>
      </w:r>
    </w:p>
    <w:p w14:paraId="7F4A1B9C">
      <w:pPr>
        <w:pStyle w:val="6"/>
        <w:keepNext w:val="0"/>
        <w:keepLines w:val="0"/>
        <w:numPr>
          <w:ilvl w:val="4"/>
          <w:numId w:val="3"/>
        </w:numPr>
        <w:spacing w:before="0" w:after="0" w:line="360" w:lineRule="auto"/>
        <w:ind w:left="42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21.投标文件的提交</w:t>
      </w:r>
    </w:p>
    <w:p w14:paraId="44CFCA5F">
      <w:pPr>
        <w:spacing w:line="360" w:lineRule="auto"/>
        <w:ind w:firstLine="420"/>
        <w:rPr>
          <w:rFonts w:hAnsi="宋体"/>
          <w:b/>
          <w:color w:val="000000" w:themeColor="text1"/>
          <w:highlight w:val="none"/>
          <w14:textFill>
            <w14:solidFill>
              <w14:schemeClr w14:val="tx1"/>
            </w14:solidFill>
          </w14:textFill>
        </w:rPr>
      </w:pPr>
      <w:r>
        <w:rPr>
          <w:rFonts w:hAnsi="宋体"/>
          <w:bCs/>
          <w:color w:val="000000" w:themeColor="text1"/>
          <w:szCs w:val="21"/>
          <w:highlight w:val="none"/>
          <w14:textFill>
            <w14:solidFill>
              <w14:schemeClr w14:val="tx1"/>
            </w14:solidFill>
          </w14:textFill>
        </w:rPr>
        <w:t>21.1</w:t>
      </w:r>
      <w:r>
        <w:rPr>
          <w:rFonts w:hint="eastAsia" w:hAnsi="宋体"/>
          <w:bCs/>
          <w:color w:val="000000" w:themeColor="text1"/>
          <w:szCs w:val="21"/>
          <w:highlight w:val="none"/>
          <w14:textFill>
            <w14:solidFill>
              <w14:schemeClr w14:val="tx1"/>
            </w14:solidFill>
          </w14:textFill>
        </w:rPr>
        <w:t>投标人必须在“投标人须知前附表”规定的</w:t>
      </w:r>
      <w:r>
        <w:rPr>
          <w:rFonts w:hint="eastAsia" w:ascii="宋体" w:hAnsi="宋体"/>
          <w:color w:val="000000" w:themeColor="text1"/>
          <w:szCs w:val="21"/>
          <w:highlight w:val="none"/>
          <w14:textFill>
            <w14:solidFill>
              <w14:schemeClr w14:val="tx1"/>
            </w14:solidFill>
          </w14:textFill>
        </w:rPr>
        <w:t>提交投标文件截止时间前将</w:t>
      </w:r>
      <w:r>
        <w:rPr>
          <w:rFonts w:hint="eastAsia" w:hAnsi="宋体"/>
          <w:bCs/>
          <w:color w:val="000000" w:themeColor="text1"/>
          <w:szCs w:val="21"/>
          <w:highlight w:val="none"/>
          <w14:textFill>
            <w14:solidFill>
              <w14:schemeClr w14:val="tx1"/>
            </w14:solidFill>
          </w14:textFill>
        </w:rPr>
        <w:t>电子投标文件提交至投标地点。电子投标文件应在制作完成后，在投标截止时间前通过有效数字证书（</w:t>
      </w:r>
      <w:r>
        <w:rPr>
          <w:rFonts w:hAnsi="宋体"/>
          <w:bCs/>
          <w:color w:val="000000" w:themeColor="text1"/>
          <w:szCs w:val="21"/>
          <w:highlight w:val="none"/>
          <w14:textFill>
            <w14:solidFill>
              <w14:schemeClr w14:val="tx1"/>
            </w14:solidFill>
          </w14:textFill>
        </w:rPr>
        <w:t>CA</w:t>
      </w:r>
      <w:r>
        <w:rPr>
          <w:rFonts w:hint="eastAsia" w:hAnsi="宋体"/>
          <w:bCs/>
          <w:color w:val="000000" w:themeColor="text1"/>
          <w:szCs w:val="21"/>
          <w:highlight w:val="none"/>
          <w14:textFill>
            <w14:solidFill>
              <w14:schemeClr w14:val="tx1"/>
            </w14:solidFill>
          </w14:textFill>
        </w:rPr>
        <w:t>认证锁）进行电子签章、加密，然后通过网络将加密的电子投标文件递交至</w:t>
      </w:r>
      <w:r>
        <w:rPr>
          <w:rFonts w:hint="eastAsia" w:ascii="宋体" w:hAnsi="宋体"/>
          <w:b/>
          <w:color w:val="000000" w:themeColor="text1"/>
          <w:szCs w:val="21"/>
          <w:highlight w:val="none"/>
          <w14:textFill>
            <w14:solidFill>
              <w14:schemeClr w14:val="tx1"/>
            </w14:solidFill>
          </w14:textFill>
        </w:rPr>
        <w:t>广西政府采购云平台</w:t>
      </w:r>
      <w:r>
        <w:rPr>
          <w:rFonts w:hint="eastAsia" w:hAnsi="宋体"/>
          <w:bCs/>
          <w:color w:val="000000" w:themeColor="text1"/>
          <w:szCs w:val="21"/>
          <w:highlight w:val="none"/>
          <w14:textFill>
            <w14:solidFill>
              <w14:schemeClr w14:val="tx1"/>
            </w14:solidFill>
          </w14:textFill>
        </w:rPr>
        <w:t>。</w:t>
      </w:r>
      <w:r>
        <w:rPr>
          <w:rFonts w:hAnsi="宋体"/>
          <w:bCs/>
          <w:color w:val="000000" w:themeColor="text1"/>
          <w:szCs w:val="21"/>
          <w:highlight w:val="none"/>
          <w14:textFill>
            <w14:solidFill>
              <w14:schemeClr w14:val="tx1"/>
            </w14:solidFill>
          </w14:textFill>
        </w:rPr>
        <w:t xml:space="preserve"> </w:t>
      </w:r>
      <w:r>
        <w:rPr>
          <w:rFonts w:hAnsi="宋体"/>
          <w:b/>
          <w:color w:val="000000" w:themeColor="text1"/>
          <w:highlight w:val="none"/>
          <w14:textFill>
            <w14:solidFill>
              <w14:schemeClr w14:val="tx1"/>
            </w14:solidFill>
          </w14:textFill>
        </w:rPr>
        <w:t xml:space="preserve"> </w:t>
      </w:r>
    </w:p>
    <w:p w14:paraId="77FC5C27">
      <w:pPr>
        <w:spacing w:line="360" w:lineRule="auto"/>
        <w:ind w:firstLine="422"/>
        <w:rPr>
          <w:rFonts w:ascii="宋体" w:hAnsi="宋体"/>
          <w:b/>
          <w:color w:val="000000" w:themeColor="text1"/>
          <w:szCs w:val="20"/>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21.2未在规定时间内提交或者未按照招标文件要求加密的电子投标文件，广西政府采购云平台将拒收。</w:t>
      </w:r>
    </w:p>
    <w:p w14:paraId="5221F2EE">
      <w:pPr>
        <w:pStyle w:val="6"/>
        <w:keepNext w:val="0"/>
        <w:keepLines w:val="0"/>
        <w:numPr>
          <w:ilvl w:val="4"/>
          <w:numId w:val="3"/>
        </w:numPr>
        <w:spacing w:before="0" w:after="0" w:line="360" w:lineRule="auto"/>
        <w:ind w:left="42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22. 投标文件的补充、修改、撤回与退回</w:t>
      </w:r>
    </w:p>
    <w:p w14:paraId="6FBF757F">
      <w:pPr>
        <w:spacing w:line="360" w:lineRule="auto"/>
        <w:ind w:firstLine="420"/>
        <w:jc w:val="left"/>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22.1</w:t>
      </w:r>
      <w:r>
        <w:rPr>
          <w:rFonts w:hint="eastAsia" w:ascii="宋体" w:hAnsi="宋体"/>
          <w:bCs/>
          <w:color w:val="000000" w:themeColor="text1"/>
          <w:szCs w:val="21"/>
          <w:highlight w:val="none"/>
          <w14:textFill>
            <w14:solidFill>
              <w14:schemeClr w14:val="tx1"/>
            </w14:solidFill>
          </w14:textFill>
        </w:rPr>
        <w:t>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广西政府采购云平台将予以拒收。</w:t>
      </w:r>
      <w:r>
        <w:rPr>
          <w:rFonts w:hint="eastAsia" w:ascii="宋体" w:hAnsi="宋体" w:cs="宋体"/>
          <w:color w:val="000000" w:themeColor="text1"/>
          <w:szCs w:val="21"/>
          <w:highlight w:val="none"/>
          <w14:textFill>
            <w14:solidFill>
              <w14:schemeClr w14:val="tx1"/>
            </w14:solidFill>
          </w14:textFill>
        </w:rPr>
        <w:t>（补充、修改或者撤回方式可</w:t>
      </w:r>
      <w:r>
        <w:rPr>
          <w:rFonts w:hint="eastAsia" w:ascii="宋体" w:hAnsi="宋体"/>
          <w:color w:val="000000" w:themeColor="text1"/>
          <w:szCs w:val="21"/>
          <w:highlight w:val="none"/>
          <w14:textFill>
            <w14:solidFill>
              <w14:schemeClr w14:val="tx1"/>
            </w14:solidFill>
          </w14:textFill>
        </w:rPr>
        <w:t>登录</w:t>
      </w:r>
      <w:r>
        <w:rPr>
          <w:rFonts w:hint="eastAsia" w:ascii="宋体" w:hAnsi="宋体" w:cs="宋体"/>
          <w:color w:val="000000" w:themeColor="text1"/>
          <w:szCs w:val="21"/>
          <w:highlight w:val="none"/>
          <w14:textFill>
            <w14:solidFill>
              <w14:schemeClr w14:val="tx1"/>
            </w14:solidFill>
          </w14:textFill>
        </w:rPr>
        <w:t>广西政府采购云平台，</w:t>
      </w:r>
      <w:r>
        <w:rPr>
          <w:rFonts w:hint="eastAsia" w:ascii="宋体" w:hAnsi="宋体"/>
          <w:color w:val="000000" w:themeColor="text1"/>
          <w:szCs w:val="21"/>
          <w:highlight w:val="none"/>
          <w14:textFill>
            <w14:solidFill>
              <w14:schemeClr w14:val="tx1"/>
            </w14:solidFill>
          </w14:textFill>
        </w:rPr>
        <w:t>依次进入“服务中心”中查看</w:t>
      </w:r>
      <w:r>
        <w:rPr>
          <w:rFonts w:hint="eastAsia" w:ascii="宋体" w:hAnsi="宋体" w:cs="宋体"/>
          <w:color w:val="000000" w:themeColor="text1"/>
          <w:szCs w:val="21"/>
          <w:highlight w:val="none"/>
          <w14:textFill>
            <w14:solidFill>
              <w14:schemeClr w14:val="tx1"/>
            </w14:solidFill>
          </w14:textFill>
        </w:rPr>
        <w:t xml:space="preserve"> “电子投标文件制作与投送教程”）</w:t>
      </w:r>
    </w:p>
    <w:p w14:paraId="6F8F7E50">
      <w:pPr>
        <w:pStyle w:val="311"/>
        <w:spacing w:before="0"/>
        <w:ind w:firstLine="42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22.2“广西政府采购云平台收到投标文件后向供应商发出确认回执通知。在投标截止时间前，除供应商补充、修改或者撤回投标文件外，任何单位和个人不得解密或提取投标文件。</w:t>
      </w:r>
    </w:p>
    <w:p w14:paraId="130BCDD2">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22.3在投标截止时间后，采购人和采购代理机构对已提交的投标文件概不退回。</w:t>
      </w:r>
    </w:p>
    <w:p w14:paraId="4E05EBC3">
      <w:pPr>
        <w:pStyle w:val="4"/>
        <w:keepNext w:val="0"/>
        <w:keepLines w:val="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四、开    标</w:t>
      </w:r>
    </w:p>
    <w:p w14:paraId="1813C40D">
      <w:pPr>
        <w:pStyle w:val="6"/>
        <w:keepNext w:val="0"/>
        <w:keepLines w:val="0"/>
        <w:spacing w:before="0" w:after="0" w:line="360" w:lineRule="auto"/>
        <w:ind w:left="42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23.开标时间和地点</w:t>
      </w:r>
    </w:p>
    <w:p w14:paraId="14E61021">
      <w:pPr>
        <w:spacing w:line="360" w:lineRule="auto"/>
        <w:ind w:firstLine="420"/>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开标时间及地点详见“投标人须知前附表”</w:t>
      </w:r>
    </w:p>
    <w:p w14:paraId="5C7CEA2F">
      <w:pPr>
        <w:pStyle w:val="6"/>
        <w:keepNext w:val="0"/>
        <w:keepLines w:val="0"/>
        <w:spacing w:before="0" w:after="0" w:line="360" w:lineRule="auto"/>
        <w:ind w:left="42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24.开标程序</w:t>
      </w:r>
    </w:p>
    <w:p w14:paraId="1063314D">
      <w:pPr>
        <w:pStyle w:val="7"/>
        <w:spacing w:line="360" w:lineRule="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24.1</w:t>
      </w:r>
      <w:r>
        <w:rPr>
          <w:rFonts w:hint="eastAsia"/>
          <w:color w:val="000000" w:themeColor="text1"/>
          <w:highlight w:val="none"/>
          <w14:textFill>
            <w14:solidFill>
              <w14:schemeClr w14:val="tx1"/>
            </w14:solidFill>
          </w14:textFill>
        </w:rPr>
        <w:t>提交投标文件截止时间止，投标人不足</w:t>
      </w: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家的，不得开标。</w:t>
      </w:r>
    </w:p>
    <w:p w14:paraId="1ABD84C0">
      <w:pPr>
        <w:pStyle w:val="7"/>
        <w:spacing w:line="360" w:lineRule="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24.2</w:t>
      </w:r>
      <w:r>
        <w:rPr>
          <w:rFonts w:hint="eastAsia"/>
          <w:color w:val="000000" w:themeColor="text1"/>
          <w:highlight w:val="none"/>
          <w14:textFill>
            <w14:solidFill>
              <w14:schemeClr w14:val="tx1"/>
            </w14:solidFill>
          </w14:textFill>
        </w:rPr>
        <w:t>采购代理机构将按照招标文件规定的时间通过广西政府采购云平台组织线上开标活动，所有供应商均应当准时在线参加，投标人因未在线参加开标而导致投标文件无法按时解密等一切后果由投标人自己承担。</w:t>
      </w:r>
    </w:p>
    <w:p w14:paraId="4BC50D3C">
      <w:pPr>
        <w:pStyle w:val="7"/>
        <w:spacing w:line="360" w:lineRule="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24.3</w:t>
      </w:r>
      <w:r>
        <w:rPr>
          <w:rFonts w:hint="eastAsia"/>
          <w:color w:val="000000" w:themeColor="text1"/>
          <w:highlight w:val="none"/>
          <w14:textFill>
            <w14:solidFill>
              <w14:schemeClr w14:val="tx1"/>
            </w14:solidFill>
          </w14:textFill>
        </w:rPr>
        <w:t>开标程序</w:t>
      </w:r>
    </w:p>
    <w:p w14:paraId="54E53C14">
      <w:pPr>
        <w:pStyle w:val="7"/>
        <w:spacing w:line="360" w:lineRule="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）解密电子投标文件。“广西政府采购云平台按开标时间自动提取所有投标文件。采购代理机构依托广西政府采购云平台向各投标人发出电子加密投标文件【开始解密】通知，由投标人按</w:t>
      </w:r>
      <w:r>
        <w:rPr>
          <w:rFonts w:hint="eastAsia" w:hAnsi="宋体"/>
          <w:bCs/>
          <w:color w:val="000000" w:themeColor="text1"/>
          <w:szCs w:val="21"/>
          <w:highlight w:val="none"/>
          <w14:textFill>
            <w14:solidFill>
              <w14:schemeClr w14:val="tx1"/>
            </w14:solidFill>
          </w14:textFill>
        </w:rPr>
        <w:t>“投标人须知前附表”</w:t>
      </w:r>
      <w:r>
        <w:rPr>
          <w:rFonts w:hint="eastAsia"/>
          <w:color w:val="000000" w:themeColor="text1"/>
          <w:highlight w:val="none"/>
          <w14:textFill>
            <w14:solidFill>
              <w14:schemeClr w14:val="tx1"/>
            </w14:solidFill>
          </w14:textFill>
        </w:rPr>
        <w:t>规定的时间内自行进行投标文件解密。投标人的法定代表人或其委托代理人须凭加密时所用的</w:t>
      </w:r>
      <w:r>
        <w:rPr>
          <w:color w:val="000000" w:themeColor="text1"/>
          <w:highlight w:val="none"/>
          <w14:textFill>
            <w14:solidFill>
              <w14:schemeClr w14:val="tx1"/>
            </w14:solidFill>
          </w14:textFill>
        </w:rPr>
        <w:t>CA</w:t>
      </w:r>
      <w:r>
        <w:rPr>
          <w:rFonts w:hint="eastAsia"/>
          <w:color w:val="000000" w:themeColor="text1"/>
          <w:highlight w:val="none"/>
          <w14:textFill>
            <w14:solidFill>
              <w14:schemeClr w14:val="tx1"/>
            </w14:solidFill>
          </w14:textFill>
        </w:rPr>
        <w:t>锁准时登录到广西政府采购云平台电子开标大厅签到并对电子投标文件解密。</w:t>
      </w:r>
      <w:r>
        <w:rPr>
          <w:rFonts w:hint="eastAsia"/>
          <w:b/>
          <w:color w:val="000000" w:themeColor="text1"/>
          <w:highlight w:val="none"/>
          <w14:textFill>
            <w14:solidFill>
              <w14:schemeClr w14:val="tx1"/>
            </w14:solidFill>
          </w14:textFill>
        </w:rPr>
        <w:t>投标人未在规定的时间内解密投标文件或者解密失败的，</w:t>
      </w:r>
      <w:r>
        <w:rPr>
          <w:rFonts w:hint="eastAsia" w:ascii="宋体" w:hAnsi="宋体"/>
          <w:b/>
          <w:color w:val="000000" w:themeColor="text1"/>
          <w:szCs w:val="21"/>
          <w:highlight w:val="none"/>
          <w14:textFill>
            <w14:solidFill>
              <w14:schemeClr w14:val="tx1"/>
            </w14:solidFill>
          </w14:textFill>
        </w:rPr>
        <w:t>投标人的投标文件作无效处理</w:t>
      </w:r>
      <w:r>
        <w:rPr>
          <w:rFonts w:hint="eastAsia"/>
          <w:b/>
          <w:color w:val="000000" w:themeColor="text1"/>
          <w:highlight w:val="none"/>
          <w14:textFill>
            <w14:solidFill>
              <w14:schemeClr w14:val="tx1"/>
            </w14:solidFill>
          </w14:textFill>
        </w:rPr>
        <w:t>。</w:t>
      </w:r>
    </w:p>
    <w:p w14:paraId="6C1EC150">
      <w:pPr>
        <w:pStyle w:val="7"/>
        <w:spacing w:line="360" w:lineRule="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）电子唱标。投标文件解密结束，宣布的内容均在广西政府采购云平台远程开标大厅展示，具体详见</w:t>
      </w:r>
      <w:r>
        <w:rPr>
          <w:rFonts w:hint="eastAsia" w:hAnsi="宋体"/>
          <w:bCs/>
          <w:color w:val="000000" w:themeColor="text1"/>
          <w:highlight w:val="none"/>
          <w14:textFill>
            <w14:solidFill>
              <w14:schemeClr w14:val="tx1"/>
            </w14:solidFill>
          </w14:textFill>
        </w:rPr>
        <w:t>“投标人须知前附表”</w:t>
      </w:r>
      <w:r>
        <w:rPr>
          <w:rFonts w:hint="eastAsia"/>
          <w:color w:val="000000" w:themeColor="text1"/>
          <w:highlight w:val="none"/>
          <w14:textFill>
            <w14:solidFill>
              <w14:schemeClr w14:val="tx1"/>
            </w14:solidFill>
          </w14:textFill>
        </w:rPr>
        <w:t>；</w:t>
      </w:r>
    </w:p>
    <w:p w14:paraId="37853C03">
      <w:pPr>
        <w:pStyle w:val="7"/>
        <w:spacing w:line="360" w:lineRule="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）开标过程由采购代理机构如实记录，并电子留痕，由参加电子开标的各投标人代表对电子开标记录在开标记录公布后</w:t>
      </w:r>
      <w:r>
        <w:rPr>
          <w:color w:val="000000" w:themeColor="text1"/>
          <w:highlight w:val="none"/>
          <w14:textFill>
            <w14:solidFill>
              <w14:schemeClr w14:val="tx1"/>
            </w14:solidFill>
          </w14:textFill>
        </w:rPr>
        <w:t>15</w:t>
      </w:r>
      <w:r>
        <w:rPr>
          <w:rFonts w:hint="eastAsia"/>
          <w:color w:val="000000" w:themeColor="text1"/>
          <w:highlight w:val="none"/>
          <w14:textFill>
            <w14:solidFill>
              <w14:schemeClr w14:val="tx1"/>
            </w14:solidFill>
          </w14:textFill>
        </w:rPr>
        <w:t>分钟内进行当场校核及勘误，并线上确认是否有异议，未确认的视同认可开标结果。</w:t>
      </w:r>
    </w:p>
    <w:p w14:paraId="0D015E1F">
      <w:pPr>
        <w:pStyle w:val="7"/>
        <w:spacing w:line="360" w:lineRule="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14:paraId="7BEE0822">
      <w:pPr>
        <w:pStyle w:val="7"/>
        <w:spacing w:line="360" w:lineRule="auto"/>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5</w:t>
      </w:r>
      <w:r>
        <w:rPr>
          <w:rFonts w:hint="eastAsia"/>
          <w:color w:val="000000" w:themeColor="text1"/>
          <w:szCs w:val="21"/>
          <w:highlight w:val="none"/>
          <w14:textFill>
            <w14:solidFill>
              <w14:schemeClr w14:val="tx1"/>
            </w14:solidFill>
          </w14:textFill>
        </w:rPr>
        <w:t>）开标结束。</w:t>
      </w:r>
    </w:p>
    <w:p w14:paraId="138DB03B">
      <w:pPr>
        <w:pStyle w:val="25"/>
        <w:spacing w:line="360" w:lineRule="auto"/>
        <w:ind w:firstLine="420"/>
        <w:rPr>
          <w:rFonts w:hAnsi="宋体"/>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特别说明：如遇广西政府采购云平台电子化开标或评审程序调整的，按调整后执行。</w:t>
      </w:r>
    </w:p>
    <w:p w14:paraId="16CCE2D7">
      <w:pPr>
        <w:pStyle w:val="25"/>
        <w:spacing w:line="360" w:lineRule="auto"/>
        <w:ind w:left="689" w:hanging="210"/>
        <w:rPr>
          <w:rFonts w:hAnsi="宋体"/>
          <w:color w:val="000000" w:themeColor="text1"/>
          <w:sz w:val="21"/>
          <w:highlight w:val="none"/>
          <w14:textFill>
            <w14:solidFill>
              <w14:schemeClr w14:val="tx1"/>
            </w14:solidFill>
          </w14:textFill>
        </w:rPr>
      </w:pPr>
    </w:p>
    <w:p w14:paraId="2AFB4CFB">
      <w:pPr>
        <w:pStyle w:val="4"/>
        <w:keepNext w:val="0"/>
        <w:keepLines w:val="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五、资格审查</w:t>
      </w:r>
    </w:p>
    <w:p w14:paraId="0C625C82">
      <w:pPr>
        <w:pStyle w:val="6"/>
        <w:keepNext w:val="0"/>
        <w:keepLines w:val="0"/>
        <w:spacing w:before="0" w:after="0" w:line="360" w:lineRule="auto"/>
        <w:ind w:left="42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25.资格审查</w:t>
      </w:r>
    </w:p>
    <w:p w14:paraId="347DCB57">
      <w:pPr>
        <w:pStyle w:val="6"/>
        <w:keepNext w:val="0"/>
        <w:keepLines w:val="0"/>
        <w:spacing w:before="0" w:after="0" w:line="360" w:lineRule="auto"/>
        <w:ind w:firstLine="315"/>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 xml:space="preserve"> 25.1</w:t>
      </w:r>
      <w:r>
        <w:rPr>
          <w:rFonts w:ascii="宋体" w:hAnsi="宋体"/>
          <w:b w:val="0"/>
          <w:color w:val="000000" w:themeColor="text1"/>
          <w:sz w:val="21"/>
          <w:szCs w:val="21"/>
          <w:highlight w:val="none"/>
          <w14:textFill>
            <w14:solidFill>
              <w14:schemeClr w14:val="tx1"/>
            </w14:solidFill>
          </w14:textFill>
        </w:rPr>
        <w:t>开标结束后，</w:t>
      </w:r>
      <w:r>
        <w:rPr>
          <w:rFonts w:hint="eastAsia" w:ascii="宋体" w:hAnsi="宋体"/>
          <w:b w:val="0"/>
          <w:color w:val="000000" w:themeColor="text1"/>
          <w:sz w:val="21"/>
          <w:szCs w:val="21"/>
          <w:highlight w:val="none"/>
          <w14:textFill>
            <w14:solidFill>
              <w14:schemeClr w14:val="tx1"/>
            </w14:solidFill>
          </w14:textFill>
        </w:rPr>
        <w:t>采购人或者采购代理机构通过电子开评标系统依据招标文件对电子投标文件进行线上资格审查</w:t>
      </w:r>
      <w:r>
        <w:rPr>
          <w:rFonts w:ascii="宋体" w:hAnsi="宋体"/>
          <w:b w:val="0"/>
          <w:color w:val="000000" w:themeColor="text1"/>
          <w:sz w:val="21"/>
          <w:szCs w:val="21"/>
          <w:highlight w:val="none"/>
          <w14:textFill>
            <w14:solidFill>
              <w14:schemeClr w14:val="tx1"/>
            </w14:solidFill>
          </w14:textFill>
        </w:rPr>
        <w:t>。</w:t>
      </w:r>
    </w:p>
    <w:p w14:paraId="024DA5DE">
      <w:pPr>
        <w:pStyle w:val="6"/>
        <w:keepNext w:val="0"/>
        <w:keepLines w:val="0"/>
        <w:spacing w:before="0" w:after="0" w:line="360" w:lineRule="auto"/>
        <w:ind w:firstLine="315"/>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 xml:space="preserve"> 25.2资格审查标准为本招标文件中载明对投标人资格要求的条件。本项目资格审查采用合格制，凡符合招标文件规定的投标人资格要求的投标人均通过资格审查。</w:t>
      </w:r>
    </w:p>
    <w:p w14:paraId="1E93F370">
      <w:pPr>
        <w:pStyle w:val="6"/>
        <w:keepNext w:val="0"/>
        <w:keepLines w:val="0"/>
        <w:numPr>
          <w:ilvl w:val="0"/>
          <w:numId w:val="0"/>
        </w:numPr>
        <w:spacing w:before="0" w:after="0" w:line="360" w:lineRule="auto"/>
        <w:ind w:firstLine="422"/>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25.3 投标人有下列情形之一的，资格审查不通过，作无效投标处理：</w:t>
      </w:r>
    </w:p>
    <w:p w14:paraId="6FCE9B0B">
      <w:pPr>
        <w:pStyle w:val="25"/>
        <w:spacing w:line="360" w:lineRule="auto"/>
        <w:ind w:firstLine="422"/>
        <w:rPr>
          <w:rFonts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（1）不具备招标文件中规定的资格要求的；</w:t>
      </w:r>
    </w:p>
    <w:p w14:paraId="05EEC378">
      <w:pPr>
        <w:pStyle w:val="25"/>
        <w:spacing w:line="360" w:lineRule="auto"/>
        <w:ind w:firstLine="422"/>
        <w:rPr>
          <w:rFonts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2）在“信用中国”网站（https://www.creditchina.gov.cn）、中国政府采购网（https://www.ccgp.gov.cn）被列入失信被执行人、重大税收违法失信主体、政府采购严重违法失信行为记录名单及其他不符合《中华人民共和国政府采购法》第二十二条规定条件的；（注：其中信用查询规则见“投标人须知前附表”）</w:t>
      </w:r>
    </w:p>
    <w:p w14:paraId="3F646F0A">
      <w:pPr>
        <w:pStyle w:val="25"/>
        <w:spacing w:line="360" w:lineRule="auto"/>
        <w:ind w:firstLine="422"/>
        <w:rPr>
          <w:rFonts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（3）同一合同项下的不同投标人，单位负责人为同一人或者存在直接控股、管理关系的；为本项目提供过整体设计、规范编制或者项目管理、监理、检测等服务的供应商，再参加该采购项目的其他采购活动的；</w:t>
      </w:r>
    </w:p>
    <w:p w14:paraId="47A14A02">
      <w:pPr>
        <w:pStyle w:val="25"/>
        <w:spacing w:line="360" w:lineRule="auto"/>
        <w:ind w:firstLine="422"/>
        <w:rPr>
          <w:rFonts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（4）投标文件中的资格证明文件缺少任一项“投标人须知前附表”资格证明文件规定“必须提供”的文件资料的；</w:t>
      </w:r>
    </w:p>
    <w:p w14:paraId="3C3AB7A6">
      <w:pPr>
        <w:pStyle w:val="25"/>
        <w:spacing w:line="360" w:lineRule="auto"/>
        <w:ind w:firstLine="422"/>
        <w:rPr>
          <w:rFonts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（5）投标文件中的资格证明文件出现任一项不符合“投标人须知前附表”资格证明文件规定“必须提供”的文件资料要求或者无效的。</w:t>
      </w:r>
    </w:p>
    <w:p w14:paraId="62A20078">
      <w:pPr>
        <w:pStyle w:val="6"/>
        <w:keepNext w:val="0"/>
        <w:keepLines w:val="0"/>
        <w:spacing w:before="0" w:after="0" w:line="360" w:lineRule="auto"/>
        <w:ind w:left="420"/>
        <w:rPr>
          <w:rFonts w:ascii="宋体" w:hAnsi="宋体"/>
          <w:b w:val="0"/>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25.4</w:t>
      </w:r>
      <w:r>
        <w:rPr>
          <w:rFonts w:ascii="宋体" w:hAnsi="宋体"/>
          <w:color w:val="000000" w:themeColor="text1"/>
          <w:sz w:val="21"/>
          <w:szCs w:val="21"/>
          <w:highlight w:val="none"/>
          <w14:textFill>
            <w14:solidFill>
              <w14:schemeClr w14:val="tx1"/>
            </w14:solidFill>
          </w14:textFill>
        </w:rPr>
        <w:t>合格投标人不足3家的，不得评标。</w:t>
      </w:r>
    </w:p>
    <w:p w14:paraId="594C7C9E">
      <w:pPr>
        <w:pStyle w:val="25"/>
        <w:spacing w:line="360" w:lineRule="auto"/>
        <w:ind w:left="689" w:hanging="210"/>
        <w:rPr>
          <w:rFonts w:hAnsi="宋体"/>
          <w:color w:val="000000" w:themeColor="text1"/>
          <w:sz w:val="21"/>
          <w:highlight w:val="none"/>
          <w14:textFill>
            <w14:solidFill>
              <w14:schemeClr w14:val="tx1"/>
            </w14:solidFill>
          </w14:textFill>
        </w:rPr>
      </w:pPr>
    </w:p>
    <w:p w14:paraId="273175ED">
      <w:pPr>
        <w:pStyle w:val="4"/>
        <w:keepNext w:val="0"/>
        <w:keepLines w:val="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六、评   标</w:t>
      </w:r>
    </w:p>
    <w:p w14:paraId="7C877758">
      <w:pPr>
        <w:pStyle w:val="6"/>
        <w:keepNext w:val="0"/>
        <w:keepLines w:val="0"/>
        <w:spacing w:before="0" w:after="0" w:line="360" w:lineRule="auto"/>
        <w:ind w:left="42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26.组建评标委员会</w:t>
      </w:r>
    </w:p>
    <w:p w14:paraId="2A51828D">
      <w:pPr>
        <w:pStyle w:val="25"/>
        <w:spacing w:line="360" w:lineRule="auto"/>
        <w:ind w:firstLine="42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26.1评标委员会由采购人代表和评审专家组成，具体人数详见“投标人须知前附表”，其中评审专家不得少于成员总数的三分之二。</w:t>
      </w:r>
    </w:p>
    <w:p w14:paraId="5EA3FF6F">
      <w:pPr>
        <w:pStyle w:val="25"/>
        <w:spacing w:line="360" w:lineRule="auto"/>
        <w:ind w:left="2" w:firstLine="42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26.2参加过采购项目前期咨询论证的专家，不得参加该采购项目的评审活动。</w:t>
      </w:r>
    </w:p>
    <w:p w14:paraId="28CAA3F3">
      <w:pPr>
        <w:pStyle w:val="25"/>
        <w:spacing w:line="360" w:lineRule="auto"/>
        <w:ind w:left="2" w:firstLine="42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26.3</w:t>
      </w:r>
      <w:r>
        <w:rPr>
          <w:rFonts w:hint="eastAsia" w:hAnsi="宋体"/>
          <w:bCs/>
          <w:color w:val="000000" w:themeColor="text1"/>
          <w:sz w:val="21"/>
          <w:highlight w:val="none"/>
          <w14:textFill>
            <w14:solidFill>
              <w14:schemeClr w14:val="tx1"/>
            </w14:solidFill>
          </w14:textFill>
        </w:rPr>
        <w:t>采购代理机构应当基于广西政府采购云平台抽（选）取评审专家。</w:t>
      </w:r>
    </w:p>
    <w:p w14:paraId="4928B8C7">
      <w:pPr>
        <w:pStyle w:val="6"/>
        <w:keepNext w:val="0"/>
        <w:keepLines w:val="0"/>
        <w:spacing w:before="0" w:after="0" w:line="360" w:lineRule="auto"/>
        <w:ind w:left="42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27.评标的依据</w:t>
      </w:r>
    </w:p>
    <w:p w14:paraId="315F053B">
      <w:pPr>
        <w:pStyle w:val="25"/>
        <w:spacing w:line="360" w:lineRule="auto"/>
        <w:ind w:firstLine="42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评标委员会以</w:t>
      </w:r>
      <w:r>
        <w:rPr>
          <w:rFonts w:hint="eastAsia" w:hAnsi="宋体" w:cs="宋体"/>
          <w:color w:val="000000" w:themeColor="text1"/>
          <w:sz w:val="21"/>
          <w:highlight w:val="none"/>
          <w14:textFill>
            <w14:solidFill>
              <w14:schemeClr w14:val="tx1"/>
            </w14:solidFill>
          </w14:textFill>
        </w:rPr>
        <w:t>“第四章 评标方法和评标标准”</w:t>
      </w:r>
      <w:r>
        <w:rPr>
          <w:rFonts w:hint="eastAsia" w:hAnsi="宋体"/>
          <w:color w:val="000000" w:themeColor="text1"/>
          <w:sz w:val="21"/>
          <w:highlight w:val="none"/>
          <w14:textFill>
            <w14:solidFill>
              <w14:schemeClr w14:val="tx1"/>
            </w14:solidFill>
          </w14:textFill>
        </w:rPr>
        <w:t>为依据对投标文件进行评审，</w:t>
      </w:r>
      <w:r>
        <w:rPr>
          <w:rFonts w:hAnsi="宋体"/>
          <w:color w:val="000000" w:themeColor="text1"/>
          <w:sz w:val="21"/>
          <w:highlight w:val="none"/>
          <w14:textFill>
            <w14:solidFill>
              <w14:schemeClr w14:val="tx1"/>
            </w14:solidFill>
          </w14:textFill>
        </w:rPr>
        <w:t>没有规定的方法、评审因素和标准，不作为评标依据。</w:t>
      </w:r>
    </w:p>
    <w:p w14:paraId="41CA8EE4">
      <w:pPr>
        <w:pStyle w:val="6"/>
        <w:keepNext w:val="0"/>
        <w:keepLines w:val="0"/>
        <w:spacing w:before="0" w:after="0" w:line="360" w:lineRule="auto"/>
        <w:ind w:left="42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28.评标原则</w:t>
      </w:r>
    </w:p>
    <w:p w14:paraId="1DB9F989">
      <w:pPr>
        <w:pStyle w:val="25"/>
        <w:spacing w:line="360" w:lineRule="auto"/>
        <w:ind w:firstLine="42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28.1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7FE82E65">
      <w:pPr>
        <w:pStyle w:val="25"/>
        <w:spacing w:line="360" w:lineRule="auto"/>
        <w:ind w:firstLine="42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28.2评委表决。评标委员会成员对需要共同认定的事项存在争议的，应当按照少数服从多数的原则作出结论。</w:t>
      </w:r>
    </w:p>
    <w:p w14:paraId="388736E1">
      <w:pPr>
        <w:pStyle w:val="25"/>
        <w:spacing w:line="360" w:lineRule="auto"/>
        <w:ind w:firstLine="42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28.</w:t>
      </w:r>
      <w:r>
        <w:rPr>
          <w:rFonts w:hAnsi="宋体"/>
          <w:color w:val="000000" w:themeColor="text1"/>
          <w:sz w:val="21"/>
          <w:highlight w:val="none"/>
          <w14:textFill>
            <w14:solidFill>
              <w14:schemeClr w14:val="tx1"/>
            </w14:solidFill>
          </w14:textFill>
        </w:rPr>
        <w:t>3</w:t>
      </w:r>
      <w:r>
        <w:rPr>
          <w:rFonts w:hint="eastAsia" w:hAnsi="宋体"/>
          <w:color w:val="000000" w:themeColor="text1"/>
          <w:sz w:val="21"/>
          <w:highlight w:val="none"/>
          <w14:textFill>
            <w14:solidFill>
              <w14:schemeClr w14:val="tx1"/>
            </w14:solidFill>
          </w14:textFill>
        </w:rPr>
        <w:t>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5CD65EED">
      <w:pPr>
        <w:pStyle w:val="25"/>
        <w:spacing w:line="360" w:lineRule="auto"/>
        <w:ind w:firstLine="42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w:t>
      </w:r>
      <w:r>
        <w:rPr>
          <w:rFonts w:hAnsi="宋体"/>
          <w:color w:val="000000" w:themeColor="text1"/>
          <w:sz w:val="21"/>
          <w:highlight w:val="none"/>
          <w14:textFill>
            <w14:solidFill>
              <w14:schemeClr w14:val="tx1"/>
            </w14:solidFill>
          </w14:textFill>
        </w:rPr>
        <w:t>8.4</w:t>
      </w:r>
      <w:r>
        <w:rPr>
          <w:rFonts w:hint="eastAsia" w:hAnsi="宋体"/>
          <w:color w:val="000000" w:themeColor="text1"/>
          <w:sz w:val="21"/>
          <w:highlight w:val="none"/>
          <w14:textFill>
            <w14:solidFill>
              <w14:schemeClr w14:val="tx1"/>
            </w14:solidFill>
          </w14:textFill>
        </w:rPr>
        <w:t>评标过程的监控。本项目电子评标过程实行网上留痕、全程录音、录像监控，</w:t>
      </w:r>
      <w:r>
        <w:rPr>
          <w:rFonts w:hint="eastAsia" w:hAnsi="宋体"/>
          <w:b/>
          <w:color w:val="000000" w:themeColor="text1"/>
          <w:sz w:val="21"/>
          <w:highlight w:val="none"/>
          <w14:textFill>
            <w14:solidFill>
              <w14:schemeClr w14:val="tx1"/>
            </w14:solidFill>
          </w14:textFill>
        </w:rPr>
        <w:t>投标人在评标过程中所进行的试图影响评标结果的不公正活动，可能导致其投标按无效处理。</w:t>
      </w:r>
    </w:p>
    <w:p w14:paraId="5F5D3EC0">
      <w:pPr>
        <w:pStyle w:val="6"/>
        <w:keepNext w:val="0"/>
        <w:keepLines w:val="0"/>
        <w:spacing w:before="0" w:after="0" w:line="360" w:lineRule="auto"/>
        <w:ind w:left="420"/>
        <w:rPr>
          <w:rFonts w:ascii="黑体" w:hAnsi="黑体" w:eastAsia="黑体"/>
          <w:color w:val="000000" w:themeColor="text1"/>
          <w:sz w:val="21"/>
          <w:szCs w:val="21"/>
          <w:highlight w:val="none"/>
          <w14:textFill>
            <w14:solidFill>
              <w14:schemeClr w14:val="tx1"/>
            </w14:solidFill>
          </w14:textFill>
        </w:rPr>
      </w:pPr>
      <w:r>
        <w:rPr>
          <w:rFonts w:hint="eastAsia" w:ascii="黑体" w:hAnsi="黑体" w:eastAsia="黑体"/>
          <w:color w:val="000000" w:themeColor="text1"/>
          <w:sz w:val="21"/>
          <w:szCs w:val="21"/>
          <w:highlight w:val="none"/>
          <w14:textFill>
            <w14:solidFill>
              <w14:schemeClr w14:val="tx1"/>
            </w14:solidFill>
          </w14:textFill>
        </w:rPr>
        <w:t>29.评标方法及中标候选人推荐</w:t>
      </w:r>
    </w:p>
    <w:p w14:paraId="7E88955E">
      <w:pPr>
        <w:pStyle w:val="25"/>
        <w:spacing w:line="360" w:lineRule="auto"/>
        <w:ind w:firstLine="42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w:t>
      </w:r>
      <w:r>
        <w:rPr>
          <w:rFonts w:hAnsi="宋体"/>
          <w:color w:val="000000" w:themeColor="text1"/>
          <w:sz w:val="21"/>
          <w:highlight w:val="none"/>
          <w14:textFill>
            <w14:solidFill>
              <w14:schemeClr w14:val="tx1"/>
            </w14:solidFill>
          </w14:textFill>
        </w:rPr>
        <w:t>9.1</w:t>
      </w:r>
      <w:r>
        <w:rPr>
          <w:rFonts w:hint="eastAsia" w:hAnsi="宋体"/>
          <w:color w:val="000000" w:themeColor="text1"/>
          <w:sz w:val="21"/>
          <w:highlight w:val="none"/>
          <w14:textFill>
            <w14:solidFill>
              <w14:schemeClr w14:val="tx1"/>
            </w14:solidFill>
          </w14:textFill>
        </w:rPr>
        <w:t>本项目的评标方法详见“投标人须知前附表”。</w:t>
      </w:r>
    </w:p>
    <w:p w14:paraId="4BDD9750">
      <w:pPr>
        <w:pStyle w:val="25"/>
        <w:spacing w:line="360" w:lineRule="auto"/>
        <w:ind w:firstLine="42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w:t>
      </w:r>
      <w:r>
        <w:rPr>
          <w:rFonts w:hAnsi="宋体"/>
          <w:color w:val="000000" w:themeColor="text1"/>
          <w:sz w:val="21"/>
          <w:highlight w:val="none"/>
          <w14:textFill>
            <w14:solidFill>
              <w14:schemeClr w14:val="tx1"/>
            </w14:solidFill>
          </w14:textFill>
        </w:rPr>
        <w:t>9.2</w:t>
      </w:r>
      <w:r>
        <w:rPr>
          <w:rFonts w:hAnsi="宋体" w:cs="宋体"/>
          <w:color w:val="000000" w:themeColor="text1"/>
          <w:sz w:val="21"/>
          <w:highlight w:val="none"/>
          <w14:textFill>
            <w14:solidFill>
              <w14:schemeClr w14:val="tx1"/>
            </w14:solidFill>
          </w14:textFill>
        </w:rPr>
        <w:t xml:space="preserve"> </w:t>
      </w:r>
      <w:r>
        <w:rPr>
          <w:rFonts w:hint="eastAsia" w:hAnsi="宋体" w:cs="宋体"/>
          <w:color w:val="000000" w:themeColor="text1"/>
          <w:sz w:val="21"/>
          <w:highlight w:val="none"/>
          <w14:textFill>
            <w14:solidFill>
              <w14:schemeClr w14:val="tx1"/>
            </w14:solidFill>
          </w14:textFill>
        </w:rPr>
        <w:t>商务/技术要求</w:t>
      </w:r>
      <w:r>
        <w:rPr>
          <w:rFonts w:hint="eastAsia" w:hAnsi="宋体"/>
          <w:color w:val="000000" w:themeColor="text1"/>
          <w:sz w:val="21"/>
          <w:highlight w:val="none"/>
          <w14:textFill>
            <w14:solidFill>
              <w14:schemeClr w14:val="tx1"/>
            </w14:solidFill>
          </w14:textFill>
        </w:rPr>
        <w:t>允许负偏离的条款数</w:t>
      </w:r>
      <w:r>
        <w:rPr>
          <w:rFonts w:hAnsi="宋体"/>
          <w:color w:val="000000" w:themeColor="text1"/>
          <w:sz w:val="21"/>
          <w:highlight w:val="none"/>
          <w14:textFill>
            <w14:solidFill>
              <w14:schemeClr w14:val="tx1"/>
            </w14:solidFill>
          </w14:textFill>
        </w:rPr>
        <w:t>详见</w:t>
      </w:r>
      <w:r>
        <w:rPr>
          <w:rFonts w:hint="eastAsia" w:hAnsi="宋体"/>
          <w:color w:val="000000" w:themeColor="text1"/>
          <w:sz w:val="21"/>
          <w:highlight w:val="none"/>
          <w14:textFill>
            <w14:solidFill>
              <w14:schemeClr w14:val="tx1"/>
            </w14:solidFill>
          </w14:textFill>
        </w:rPr>
        <w:t>“投标人须知前附表”。</w:t>
      </w:r>
    </w:p>
    <w:p w14:paraId="0F8771FD">
      <w:pPr>
        <w:pStyle w:val="25"/>
        <w:spacing w:line="360" w:lineRule="auto"/>
        <w:ind w:firstLine="420"/>
        <w:rPr>
          <w:rFonts w:hAnsi="宋体" w:cs="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w:t>
      </w:r>
      <w:r>
        <w:rPr>
          <w:rFonts w:hAnsi="宋体"/>
          <w:color w:val="000000" w:themeColor="text1"/>
          <w:sz w:val="21"/>
          <w:highlight w:val="none"/>
          <w14:textFill>
            <w14:solidFill>
              <w14:schemeClr w14:val="tx1"/>
            </w14:solidFill>
          </w14:textFill>
        </w:rPr>
        <w:t>9.3</w:t>
      </w:r>
      <w:r>
        <w:rPr>
          <w:rFonts w:hAnsi="宋体" w:cs="宋体"/>
          <w:color w:val="000000" w:themeColor="text1"/>
          <w:sz w:val="21"/>
          <w:highlight w:val="none"/>
          <w14:textFill>
            <w14:solidFill>
              <w14:schemeClr w14:val="tx1"/>
            </w14:solidFill>
          </w14:textFill>
        </w:rPr>
        <w:t xml:space="preserve"> </w:t>
      </w:r>
      <w:r>
        <w:rPr>
          <w:rFonts w:hAnsi="宋体"/>
          <w:color w:val="000000" w:themeColor="text1"/>
          <w:sz w:val="21"/>
          <w:highlight w:val="none"/>
          <w14:textFill>
            <w14:solidFill>
              <w14:schemeClr w14:val="tx1"/>
            </w14:solidFill>
          </w14:textFill>
        </w:rPr>
        <w:t>中标候选人推荐数量详见</w:t>
      </w:r>
      <w:r>
        <w:rPr>
          <w:rFonts w:hint="eastAsia" w:hAnsi="宋体"/>
          <w:color w:val="000000" w:themeColor="text1"/>
          <w:sz w:val="21"/>
          <w:highlight w:val="none"/>
          <w14:textFill>
            <w14:solidFill>
              <w14:schemeClr w14:val="tx1"/>
            </w14:solidFill>
          </w14:textFill>
        </w:rPr>
        <w:t>“投标人须知前附表”。</w:t>
      </w:r>
    </w:p>
    <w:p w14:paraId="604F13A9">
      <w:pPr>
        <w:spacing w:line="360" w:lineRule="auto"/>
        <w:ind w:firstLine="420"/>
        <w:rPr>
          <w:rFonts w:hAnsi="宋体"/>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29.</w:t>
      </w:r>
      <w:r>
        <w:rPr>
          <w:rFonts w:hAnsi="宋体"/>
          <w:color w:val="000000" w:themeColor="text1"/>
          <w:szCs w:val="21"/>
          <w:highlight w:val="none"/>
          <w14:textFill>
            <w14:solidFill>
              <w14:schemeClr w14:val="tx1"/>
            </w14:solidFill>
          </w14:textFill>
        </w:rPr>
        <w:t>4</w:t>
      </w:r>
      <w:r>
        <w:rPr>
          <w:rFonts w:hint="eastAsia" w:hAnsi="宋体"/>
          <w:color w:val="000000" w:themeColor="text1"/>
          <w:szCs w:val="21"/>
          <w:highlight w:val="none"/>
          <w14:textFill>
            <w14:solidFill>
              <w14:schemeClr w14:val="tx1"/>
            </w14:solidFill>
          </w14:textFill>
        </w:rPr>
        <w:t xml:space="preserve"> 电子交易活动的中止。采购过程中出现以下情形，导致电子交易平台无法正常运行，或者无法保证电子交易的公平、公正和安全时，采购代理机构可以中止电子交易活动：</w:t>
      </w:r>
    </w:p>
    <w:p w14:paraId="49842D2B">
      <w:pPr>
        <w:spacing w:line="360" w:lineRule="auto"/>
        <w:ind w:firstLine="420"/>
        <w:rPr>
          <w:rFonts w:hAnsi="宋体"/>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 xml:space="preserve">（1）电子交易平台发生故障而无法登录访问的； </w:t>
      </w:r>
    </w:p>
    <w:p w14:paraId="7E58F35B">
      <w:pPr>
        <w:spacing w:line="360" w:lineRule="auto"/>
        <w:ind w:firstLine="420"/>
        <w:rPr>
          <w:rFonts w:hAnsi="宋体"/>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（2）电子交易平台应用或数据库出现错误，不能进行正常操作的；</w:t>
      </w:r>
    </w:p>
    <w:p w14:paraId="3F65951A">
      <w:pPr>
        <w:spacing w:line="360" w:lineRule="auto"/>
        <w:ind w:firstLine="420"/>
        <w:rPr>
          <w:rFonts w:hAnsi="宋体"/>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（3）电子交易平台发现严重安全漏洞，有潜在泄密危险的；</w:t>
      </w:r>
    </w:p>
    <w:p w14:paraId="088D823F">
      <w:pPr>
        <w:spacing w:line="360" w:lineRule="auto"/>
        <w:ind w:firstLine="420"/>
        <w:rPr>
          <w:rFonts w:hAnsi="宋体"/>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 xml:space="preserve">（4）病毒发作导致不能进行正常操作的； </w:t>
      </w:r>
    </w:p>
    <w:p w14:paraId="5203C947">
      <w:pPr>
        <w:spacing w:line="360" w:lineRule="auto"/>
        <w:ind w:firstLine="420"/>
        <w:rPr>
          <w:rFonts w:hAnsi="宋体"/>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（5）其他无法保证电子交易的公平、公正和安全的情况。</w:t>
      </w:r>
    </w:p>
    <w:p w14:paraId="756A37E2">
      <w:pPr>
        <w:spacing w:line="360" w:lineRule="auto"/>
        <w:ind w:firstLine="420"/>
        <w:rPr>
          <w:rFonts w:hAnsi="宋体"/>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出现以上情形，不影响采购公平、公正性的，采购代理机构可以待上述情形消除后继续组织电子交易活动；影响或可能影响采购公平、公正性的，经采购代理机构确认、报采购人同意后，终止电子采购活动，应当重新采购。采购代理机构必须对原有的资料及信息作出妥善保密处理，并报财政部门备案。</w:t>
      </w:r>
    </w:p>
    <w:p w14:paraId="3D7D81AD">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29.5出现下列情形之一的，应予废标：</w:t>
      </w:r>
    </w:p>
    <w:p w14:paraId="32C35C7D">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（1）符合专业条件的供应商或者对招标文件作实质响应的供应商不足三家的；</w:t>
      </w:r>
    </w:p>
    <w:p w14:paraId="21BBF865">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（2）出现影响采购公正的违法、违规行为的；</w:t>
      </w:r>
    </w:p>
    <w:p w14:paraId="3FB99083">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（3）投标人的报价均超过了采购预算，采购人不能支付的；</w:t>
      </w:r>
    </w:p>
    <w:p w14:paraId="0547459B">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（4）因重大变故，采购任务取消的。</w:t>
      </w:r>
    </w:p>
    <w:p w14:paraId="599CD648">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废标后，采购人应当将废标理由通知所有投标人。</w:t>
      </w:r>
    </w:p>
    <w:p w14:paraId="4F7FCA41">
      <w:pPr>
        <w:pStyle w:val="25"/>
        <w:spacing w:line="360" w:lineRule="auto"/>
        <w:rPr>
          <w:rFonts w:hAnsi="宋体"/>
          <w:color w:val="000000" w:themeColor="text1"/>
          <w:sz w:val="21"/>
          <w:highlight w:val="none"/>
          <w14:textFill>
            <w14:solidFill>
              <w14:schemeClr w14:val="tx1"/>
            </w14:solidFill>
          </w14:textFill>
        </w:rPr>
      </w:pPr>
    </w:p>
    <w:p w14:paraId="68EB4E15">
      <w:pPr>
        <w:pStyle w:val="4"/>
        <w:keepNext w:val="0"/>
        <w:keepLines w:val="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七、中标和合同</w:t>
      </w:r>
    </w:p>
    <w:p w14:paraId="54A7826A">
      <w:pPr>
        <w:pStyle w:val="6"/>
        <w:keepNext w:val="0"/>
        <w:keepLines w:val="0"/>
        <w:spacing w:before="0" w:after="0" w:line="360" w:lineRule="auto"/>
        <w:ind w:left="42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30</w:t>
      </w:r>
      <w:r>
        <w:rPr>
          <w:rFonts w:ascii="黑体" w:hAnsi="黑体" w:eastAsia="黑体"/>
          <w:color w:val="000000" w:themeColor="text1"/>
          <w:sz w:val="24"/>
          <w:highlight w:val="none"/>
          <w14:textFill>
            <w14:solidFill>
              <w14:schemeClr w14:val="tx1"/>
            </w14:solidFill>
          </w14:textFill>
        </w:rPr>
        <w:t xml:space="preserve"> </w:t>
      </w:r>
      <w:r>
        <w:rPr>
          <w:rFonts w:hint="eastAsia" w:ascii="黑体" w:hAnsi="黑体" w:eastAsia="黑体"/>
          <w:color w:val="000000" w:themeColor="text1"/>
          <w:sz w:val="24"/>
          <w:highlight w:val="none"/>
          <w14:textFill>
            <w14:solidFill>
              <w14:schemeClr w14:val="tx1"/>
            </w14:solidFill>
          </w14:textFill>
        </w:rPr>
        <w:t>.确定中标人</w:t>
      </w:r>
    </w:p>
    <w:p w14:paraId="7A822FF7">
      <w:pPr>
        <w:pStyle w:val="6"/>
        <w:keepNext w:val="0"/>
        <w:keepLines w:val="0"/>
        <w:spacing w:before="0" w:after="0" w:line="360" w:lineRule="auto"/>
        <w:ind w:firstLine="420"/>
        <w:rPr>
          <w:rFonts w:ascii="宋体" w:hAnsi="宋体"/>
          <w:b w:val="0"/>
          <w:color w:val="000000" w:themeColor="text1"/>
          <w:sz w:val="21"/>
          <w:szCs w:val="21"/>
          <w:highlight w:val="none"/>
          <w14:textFill>
            <w14:solidFill>
              <w14:schemeClr w14:val="tx1"/>
            </w14:solidFill>
          </w14:textFill>
        </w:rPr>
      </w:pPr>
      <w:r>
        <w:rPr>
          <w:rFonts w:ascii="宋体" w:hAnsi="宋体"/>
          <w:b w:val="0"/>
          <w:color w:val="000000" w:themeColor="text1"/>
          <w:sz w:val="21"/>
          <w:szCs w:val="21"/>
          <w:highlight w:val="none"/>
          <w14:textFill>
            <w14:solidFill>
              <w14:schemeClr w14:val="tx1"/>
            </w14:solidFill>
          </w14:textFill>
        </w:rPr>
        <w:t>30.1</w:t>
      </w:r>
      <w:r>
        <w:rPr>
          <w:rFonts w:hint="eastAsia" w:ascii="宋体" w:hAnsi="宋体"/>
          <w:b w:val="0"/>
          <w:color w:val="000000" w:themeColor="text1"/>
          <w:sz w:val="21"/>
          <w:szCs w:val="21"/>
          <w:highlight w:val="none"/>
          <w14:textFill>
            <w14:solidFill>
              <w14:schemeClr w14:val="tx1"/>
            </w14:solidFill>
          </w14:textFill>
        </w:rPr>
        <w:t>采购代理机构在评标结束之日起2个工作日内将评标报告送采购人，采购人在收到评标报告之日起5个工作日内，在评标报告确定的中标候选人名单中按顺序确定中标人。中标候选人并列的，按照“投标人须知前附表”规定的方式确定中标人。采购人也可以事先授权评标委员会直接确定中标人。</w:t>
      </w:r>
    </w:p>
    <w:p w14:paraId="78BAB92F">
      <w:pPr>
        <w:spacing w:line="360" w:lineRule="auto"/>
        <w:ind w:firstLine="420"/>
        <w:rPr>
          <w:rFonts w:ascii="宋体" w:hAnsi="宋体" w:cs="Courier New"/>
          <w:color w:val="000000" w:themeColor="text1"/>
          <w:szCs w:val="21"/>
          <w:highlight w:val="none"/>
          <w14:textFill>
            <w14:solidFill>
              <w14:schemeClr w14:val="tx1"/>
            </w14:solidFill>
          </w14:textFill>
        </w:rPr>
      </w:pPr>
      <w:r>
        <w:rPr>
          <w:rFonts w:ascii="宋体" w:hAnsi="宋体" w:cs="Courier New"/>
          <w:color w:val="000000" w:themeColor="text1"/>
          <w:szCs w:val="21"/>
          <w:highlight w:val="none"/>
          <w14:textFill>
            <w14:solidFill>
              <w14:schemeClr w14:val="tx1"/>
            </w14:solidFill>
          </w14:textFill>
        </w:rPr>
        <w:t>30.2</w:t>
      </w:r>
      <w:r>
        <w:rPr>
          <w:rFonts w:hint="eastAsia" w:ascii="宋体" w:hAnsi="宋体" w:cs="Courier New"/>
          <w:color w:val="000000" w:themeColor="text1"/>
          <w:szCs w:val="21"/>
          <w:highlight w:val="none"/>
          <w14:textFill>
            <w14:solidFill>
              <w14:schemeClr w14:val="tx1"/>
            </w14:solidFill>
          </w14:textFill>
        </w:rPr>
        <w:t>采购人在收到评标报告5个工作日内未按评标报告推荐的中标候选人顺序确定中标人，又不能说明合法理由的，视同按评标报告推荐的顺序确定排名第一的中标候选人为中标人。</w:t>
      </w:r>
    </w:p>
    <w:p w14:paraId="6B6227B0">
      <w:pPr>
        <w:pStyle w:val="6"/>
        <w:keepNext w:val="0"/>
        <w:keepLines w:val="0"/>
        <w:spacing w:before="0" w:after="0" w:line="360" w:lineRule="auto"/>
        <w:ind w:left="42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31. 结果公告</w:t>
      </w:r>
    </w:p>
    <w:p w14:paraId="7DF7B0E6">
      <w:pPr>
        <w:pStyle w:val="6"/>
        <w:keepNext w:val="0"/>
        <w:keepLines w:val="0"/>
        <w:spacing w:before="0" w:after="0" w:line="360" w:lineRule="auto"/>
        <w:ind w:firstLine="420"/>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3</w:t>
      </w:r>
      <w:r>
        <w:rPr>
          <w:rFonts w:ascii="宋体" w:hAnsi="宋体"/>
          <w:b w:val="0"/>
          <w:color w:val="000000" w:themeColor="text1"/>
          <w:sz w:val="21"/>
          <w:szCs w:val="21"/>
          <w:highlight w:val="none"/>
          <w14:textFill>
            <w14:solidFill>
              <w14:schemeClr w14:val="tx1"/>
            </w14:solidFill>
          </w14:textFill>
        </w:rPr>
        <w:t>1.1</w:t>
      </w:r>
      <w:r>
        <w:rPr>
          <w:rFonts w:hint="eastAsia" w:ascii="宋体" w:hAnsi="宋体"/>
          <w:b w:val="0"/>
          <w:color w:val="000000" w:themeColor="text1"/>
          <w:sz w:val="21"/>
          <w:szCs w:val="21"/>
          <w:highlight w:val="none"/>
          <w14:textFill>
            <w14:solidFill>
              <w14:schemeClr w14:val="tx1"/>
            </w14:solidFill>
          </w14:textFill>
        </w:rPr>
        <w:t>采购人或者采购代理机构应当自中标人确定之日起2个工作日内，在省级以上财政部门指定的媒体上公告中标结果，招标文件应当随中标结果同时公告。采购人或者采购代理发出中标通知书前，应当对中标人信用进行查询，对列入失信被执行人、重大税收违法失信主体、政府采购严重违法失信行为记录名单及其他不符合《中华人民共和国政府采购法》第二十二条规定条件的投标人，取消其中标资格，并确定排名第二的中标候选人为中标人。排名第二的中标候选人因前款规定的同样原因被取消中标资格的，采购人可以确定排名第三的中标候选人为中标人，以此类推。</w:t>
      </w:r>
    </w:p>
    <w:p w14:paraId="4820C54D">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以上信息查询记录及相关证据与招标文件一并保存。</w:t>
      </w:r>
    </w:p>
    <w:p w14:paraId="095F30FB">
      <w:pPr>
        <w:pStyle w:val="6"/>
        <w:keepNext w:val="0"/>
        <w:keepLines w:val="0"/>
        <w:spacing w:before="0" w:after="0" w:line="360" w:lineRule="auto"/>
        <w:ind w:firstLine="420"/>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31.2中标人享受《政府采购促进中小企业发展管理办法》（财库〔2020〕46号）规定的中小企业扶持政策的，采购人、采购代理机构应当随中标结果公开中标人的《中小企业声明函》。</w:t>
      </w:r>
    </w:p>
    <w:p w14:paraId="40C39AF3">
      <w:pPr>
        <w:pStyle w:val="6"/>
        <w:keepNext w:val="0"/>
        <w:keepLines w:val="0"/>
        <w:spacing w:before="0" w:after="0" w:line="360" w:lineRule="auto"/>
        <w:ind w:firstLine="420"/>
        <w:rPr>
          <w:color w:val="000000" w:themeColor="text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3</w:t>
      </w:r>
      <w:r>
        <w:rPr>
          <w:rFonts w:ascii="宋体" w:hAnsi="宋体"/>
          <w:b w:val="0"/>
          <w:color w:val="000000" w:themeColor="text1"/>
          <w:sz w:val="21"/>
          <w:szCs w:val="21"/>
          <w:highlight w:val="none"/>
          <w14:textFill>
            <w14:solidFill>
              <w14:schemeClr w14:val="tx1"/>
            </w14:solidFill>
          </w14:textFill>
        </w:rPr>
        <w:t>1.3</w:t>
      </w:r>
      <w:r>
        <w:rPr>
          <w:rFonts w:hint="eastAsia" w:ascii="宋体" w:hAnsi="宋体"/>
          <w:b w:val="0"/>
          <w:color w:val="000000" w:themeColor="text1"/>
          <w:sz w:val="21"/>
          <w:szCs w:val="21"/>
          <w:highlight w:val="none"/>
          <w14:textFill>
            <w14:solidFill>
              <w14:schemeClr w14:val="tx1"/>
            </w14:solidFill>
          </w14:textFill>
        </w:rPr>
        <w:t>采购人、采购代理机构应当随中标结果公开中标供应商的《关于符合本国产品标准的声明函》或有关证明文件。</w:t>
      </w:r>
    </w:p>
    <w:p w14:paraId="4489C359">
      <w:pPr>
        <w:pStyle w:val="6"/>
        <w:keepNext w:val="0"/>
        <w:keepLines w:val="0"/>
        <w:spacing w:before="0" w:after="0" w:line="360" w:lineRule="auto"/>
        <w:ind w:left="42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32.发出中标通知书</w:t>
      </w:r>
    </w:p>
    <w:p w14:paraId="459FBE28">
      <w:pPr>
        <w:pStyle w:val="6"/>
        <w:keepNext w:val="0"/>
        <w:keepLines w:val="0"/>
        <w:spacing w:before="0" w:after="0" w:line="360" w:lineRule="auto"/>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 xml:space="preserve"> </w:t>
      </w:r>
      <w:r>
        <w:rPr>
          <w:rFonts w:ascii="宋体" w:hAnsi="宋体"/>
          <w:b w:val="0"/>
          <w:color w:val="000000" w:themeColor="text1"/>
          <w:sz w:val="21"/>
          <w:szCs w:val="21"/>
          <w:highlight w:val="none"/>
          <w14:textFill>
            <w14:solidFill>
              <w14:schemeClr w14:val="tx1"/>
            </w14:solidFill>
          </w14:textFill>
        </w:rPr>
        <w:t xml:space="preserve">   </w:t>
      </w:r>
      <w:r>
        <w:rPr>
          <w:rFonts w:hint="eastAsia" w:ascii="宋体" w:hAnsi="宋体"/>
          <w:b w:val="0"/>
          <w:color w:val="000000" w:themeColor="text1"/>
          <w:sz w:val="21"/>
          <w:szCs w:val="21"/>
          <w:highlight w:val="none"/>
          <w14:textFill>
            <w14:solidFill>
              <w14:schemeClr w14:val="tx1"/>
            </w14:solidFill>
          </w14:textFill>
        </w:rPr>
        <w:t>在发布中标公告的同时，采购代理机构向中标人通过广西政府采购云平台发出电子中标通知书。对未通过资格审查的投标人，应当告知其未通过的原因；采用综合评分办法评审的，还应当告知未中标人本人的评审得分与排序。</w:t>
      </w:r>
    </w:p>
    <w:p w14:paraId="6483A753">
      <w:pPr>
        <w:pStyle w:val="6"/>
        <w:keepNext w:val="0"/>
        <w:keepLines w:val="0"/>
        <w:spacing w:before="0" w:after="0" w:line="360" w:lineRule="auto"/>
        <w:ind w:left="42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33. 无义务解释未中标原因</w:t>
      </w:r>
    </w:p>
    <w:p w14:paraId="60FDE2B6">
      <w:pPr>
        <w:pStyle w:val="6"/>
        <w:keepNext w:val="0"/>
        <w:keepLines w:val="0"/>
        <w:spacing w:before="0" w:after="0" w:line="360" w:lineRule="auto"/>
        <w:ind w:left="420"/>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采购代理机构无义务向未中标的投标人解释未中标原因。</w:t>
      </w:r>
    </w:p>
    <w:p w14:paraId="15E23192">
      <w:pPr>
        <w:pStyle w:val="6"/>
        <w:keepNext w:val="0"/>
        <w:keepLines w:val="0"/>
        <w:spacing w:before="0" w:after="0" w:line="360" w:lineRule="auto"/>
        <w:ind w:left="42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34.合同授予标准</w:t>
      </w:r>
    </w:p>
    <w:p w14:paraId="24A4EC22">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s="Courier New"/>
          <w:color w:val="000000" w:themeColor="text1"/>
          <w:szCs w:val="21"/>
          <w:highlight w:val="none"/>
          <w14:textFill>
            <w14:solidFill>
              <w14:schemeClr w14:val="tx1"/>
            </w14:solidFill>
          </w14:textFill>
        </w:rPr>
        <w:t>合同将授予被确定实质上响应招标文件要求，具备履行合同能力的中标人。</w:t>
      </w:r>
    </w:p>
    <w:p w14:paraId="35C7A330">
      <w:pPr>
        <w:pStyle w:val="6"/>
        <w:keepNext w:val="0"/>
        <w:keepLines w:val="0"/>
        <w:spacing w:before="0" w:after="0" w:line="360" w:lineRule="auto"/>
        <w:ind w:left="42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35.履约保证金</w:t>
      </w:r>
    </w:p>
    <w:p w14:paraId="38A83DBD">
      <w:pPr>
        <w:pStyle w:val="6"/>
        <w:keepNext w:val="0"/>
        <w:keepLines w:val="0"/>
        <w:spacing w:before="0" w:after="0" w:line="360" w:lineRule="auto"/>
        <w:ind w:firstLine="315"/>
        <w:rPr>
          <w:rFonts w:ascii="宋体" w:hAnsi="宋体"/>
          <w:b w:val="0"/>
          <w:color w:val="000000" w:themeColor="text1"/>
          <w:sz w:val="21"/>
          <w:szCs w:val="21"/>
          <w:highlight w:val="none"/>
          <w14:textFill>
            <w14:solidFill>
              <w14:schemeClr w14:val="tx1"/>
            </w14:solidFill>
          </w14:textFill>
        </w:rPr>
      </w:pPr>
      <w:r>
        <w:rPr>
          <w:rFonts w:ascii="宋体" w:hAnsi="宋体"/>
          <w:b w:val="0"/>
          <w:color w:val="000000" w:themeColor="text1"/>
          <w:sz w:val="21"/>
          <w:szCs w:val="21"/>
          <w:highlight w:val="none"/>
          <w14:textFill>
            <w14:solidFill>
              <w14:schemeClr w14:val="tx1"/>
            </w14:solidFill>
          </w14:textFill>
        </w:rPr>
        <w:t xml:space="preserve"> </w:t>
      </w:r>
      <w:r>
        <w:rPr>
          <w:rFonts w:hint="eastAsia" w:ascii="宋体" w:hAnsi="宋体"/>
          <w:b w:val="0"/>
          <w:color w:val="000000" w:themeColor="text1"/>
          <w:sz w:val="21"/>
          <w:szCs w:val="21"/>
          <w:highlight w:val="none"/>
          <w14:textFill>
            <w14:solidFill>
              <w14:schemeClr w14:val="tx1"/>
            </w14:solidFill>
          </w14:textFill>
        </w:rPr>
        <w:t>3</w:t>
      </w:r>
      <w:r>
        <w:rPr>
          <w:rFonts w:ascii="宋体" w:hAnsi="宋体"/>
          <w:b w:val="0"/>
          <w:color w:val="000000" w:themeColor="text1"/>
          <w:sz w:val="21"/>
          <w:szCs w:val="21"/>
          <w:highlight w:val="none"/>
          <w14:textFill>
            <w14:solidFill>
              <w14:schemeClr w14:val="tx1"/>
            </w14:solidFill>
          </w14:textFill>
        </w:rPr>
        <w:t>5</w:t>
      </w:r>
      <w:r>
        <w:rPr>
          <w:rFonts w:hint="eastAsia" w:ascii="宋体" w:hAnsi="宋体"/>
          <w:b w:val="0"/>
          <w:color w:val="000000" w:themeColor="text1"/>
          <w:sz w:val="21"/>
          <w:szCs w:val="21"/>
          <w:highlight w:val="none"/>
          <w14:textFill>
            <w14:solidFill>
              <w14:schemeClr w14:val="tx1"/>
            </w14:solidFill>
          </w14:textFill>
        </w:rPr>
        <w:t>.1 履约保证金的金额、提交方式、缴纳期限、退付的时间和条件详见 “投标人须知前附表”。中标人未按规定提交履约保证金的，视为拒绝与采购人签订合同。</w:t>
      </w:r>
    </w:p>
    <w:p w14:paraId="5219AD70">
      <w:pPr>
        <w:pStyle w:val="6"/>
        <w:keepNext w:val="0"/>
        <w:keepLines w:val="0"/>
        <w:spacing w:before="0" w:after="0" w:line="360" w:lineRule="auto"/>
        <w:ind w:firstLine="316"/>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 xml:space="preserve"> </w:t>
      </w:r>
      <w:r>
        <w:rPr>
          <w:rFonts w:hint="eastAsia" w:ascii="宋体" w:hAnsi="宋体"/>
          <w:b w:val="0"/>
          <w:bCs/>
          <w:color w:val="000000" w:themeColor="text1"/>
          <w:sz w:val="21"/>
          <w:szCs w:val="21"/>
          <w:highlight w:val="none"/>
          <w14:textFill>
            <w14:solidFill>
              <w14:schemeClr w14:val="tx1"/>
            </w14:solidFill>
          </w14:textFill>
        </w:rPr>
        <w:t>35.2在履约保证金退还日期前，若中标人的开户名称、开户银行、账号有变动的，请以书面形式通知履约保证金收取单位，否则由此产生的后果由中标人自行承担。</w:t>
      </w:r>
    </w:p>
    <w:p w14:paraId="0B2A8A05">
      <w:pPr>
        <w:pStyle w:val="6"/>
        <w:keepNext w:val="0"/>
        <w:keepLines w:val="0"/>
        <w:spacing w:before="0" w:after="0" w:line="360" w:lineRule="auto"/>
        <w:ind w:left="42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36.签订合同</w:t>
      </w:r>
    </w:p>
    <w:p w14:paraId="3964E67F">
      <w:pPr>
        <w:pStyle w:val="6"/>
        <w:keepNext w:val="0"/>
        <w:keepLines w:val="0"/>
        <w:spacing w:before="0" w:after="0" w:line="360" w:lineRule="auto"/>
        <w:ind w:firstLine="315"/>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 xml:space="preserve"> </w:t>
      </w:r>
      <w:r>
        <w:rPr>
          <w:rFonts w:hint="eastAsia" w:ascii="宋体" w:hAnsi="宋体"/>
          <w:color w:val="000000" w:themeColor="text1"/>
          <w:sz w:val="21"/>
          <w:szCs w:val="21"/>
          <w:highlight w:val="none"/>
          <w14:textFill>
            <w14:solidFill>
              <w14:schemeClr w14:val="tx1"/>
            </w14:solidFill>
          </w14:textFill>
        </w:rPr>
        <w:t>36.1签订电子采购合同：中标人领取电子中标通知书后，在</w:t>
      </w:r>
      <w:r>
        <w:rPr>
          <w:rFonts w:hint="eastAsia" w:ascii="宋体" w:hAnsi="宋体"/>
          <w:color w:val="000000" w:themeColor="text1"/>
          <w:sz w:val="21"/>
          <w:szCs w:val="21"/>
          <w:highlight w:val="none"/>
          <w:lang w:val="zh-CN"/>
          <w14:textFill>
            <w14:solidFill>
              <w14:schemeClr w14:val="tx1"/>
            </w14:solidFill>
          </w14:textFill>
        </w:rPr>
        <w:t>规定的日期、时间、地点，由法定代表人或其授权代表与采购人代表签订电子采购合同。如中标人为联合体的，由联合体成员各方法定代表人或其授权代表与采购人代表签订合同。</w:t>
      </w:r>
    </w:p>
    <w:p w14:paraId="0509B13C">
      <w:pPr>
        <w:pStyle w:val="6"/>
        <w:keepNext w:val="0"/>
        <w:keepLines w:val="0"/>
        <w:spacing w:before="0" w:after="0" w:line="360" w:lineRule="auto"/>
        <w:ind w:firstLine="315"/>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 xml:space="preserve"> 线下签订纸质合同：投标人领取中标通知书后，按“投标人须知前附表”规定向采购人出示相关证明材料，经采购人核验合格后方可签订合同。</w:t>
      </w:r>
    </w:p>
    <w:p w14:paraId="08EEED3F">
      <w:pPr>
        <w:pStyle w:val="6"/>
        <w:keepNext w:val="0"/>
        <w:keepLines w:val="0"/>
        <w:numPr>
          <w:ilvl w:val="0"/>
          <w:numId w:val="0"/>
        </w:numPr>
        <w:spacing w:before="0" w:after="0" w:line="360" w:lineRule="auto"/>
        <w:ind w:firstLine="420"/>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36.2签订合同时间：按中标通知书规定的时间与采购人签订合同。</w:t>
      </w:r>
    </w:p>
    <w:p w14:paraId="66DD2CA6">
      <w:pPr>
        <w:pStyle w:val="6"/>
        <w:keepNext w:val="0"/>
        <w:keepLines w:val="0"/>
        <w:spacing w:before="0" w:after="0" w:line="360" w:lineRule="auto"/>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 xml:space="preserve">    36.</w:t>
      </w:r>
      <w:r>
        <w:rPr>
          <w:rFonts w:ascii="宋体" w:hAnsi="宋体"/>
          <w:b w:val="0"/>
          <w:color w:val="000000" w:themeColor="text1"/>
          <w:sz w:val="21"/>
          <w:szCs w:val="21"/>
          <w:highlight w:val="none"/>
          <w14:textFill>
            <w14:solidFill>
              <w14:schemeClr w14:val="tx1"/>
            </w14:solidFill>
          </w14:textFill>
        </w:rPr>
        <w:t>3</w:t>
      </w:r>
      <w:r>
        <w:rPr>
          <w:rFonts w:hint="eastAsia" w:ascii="宋体" w:hAnsi="宋体"/>
          <w:b w:val="0"/>
          <w:color w:val="000000" w:themeColor="text1"/>
          <w:sz w:val="21"/>
          <w:szCs w:val="21"/>
          <w:highlight w:val="none"/>
          <w14:textFill>
            <w14:solidFill>
              <w14:schemeClr w14:val="tx1"/>
            </w14:solidFill>
          </w14:textFill>
        </w:rPr>
        <w:t>中标人拒绝签订政府采购合同（包括但不限于放弃中标、因不可抗力不能履行合同而放弃签订合同），采购人可以按照评审报告推荐的中标候选人名单排序，确定下一候选人为中标人，也可以重新开展政府采购活动。如采购人无正当理由拒签合同的，给中标人造成损失的，中标人可追究采购人承担相应的法律责任。</w:t>
      </w:r>
    </w:p>
    <w:p w14:paraId="2D8C1036">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36.4政府采购合同是政府采购项目验收的依据，中标人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49FE495A">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36.5采购人或中标人不得单方面向合同另一方提出任何招标文件没有约定的条件或不合理的要求，作为签订合同的条件；也不得协商另行订立背离招标文件和合同实质性内容的协议。</w:t>
      </w:r>
    </w:p>
    <w:p w14:paraId="24A08C95">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36.6</w:t>
      </w:r>
      <w:r>
        <w:rPr>
          <w:rFonts w:hint="eastAsia" w:ascii="宋体" w:hAnsi="宋体" w:cs="仿宋_GB2312"/>
          <w:color w:val="000000" w:themeColor="text1"/>
          <w:szCs w:val="21"/>
          <w:highlight w:val="none"/>
          <w14:textFill>
            <w14:solidFill>
              <w14:schemeClr w14:val="tx1"/>
            </w14:solidFill>
          </w14:textFill>
        </w:rPr>
        <w:t>如签订合同并生效后，供应商无故拒绝或延期，除按照合同条款处理外，将承担相应的法律责任。</w:t>
      </w:r>
    </w:p>
    <w:p w14:paraId="24FF6F5A">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36.7</w:t>
      </w:r>
      <w:r>
        <w:rPr>
          <w:rFonts w:hint="eastAsia" w:ascii="宋体" w:hAnsi="宋体" w:cs="宋体"/>
          <w:color w:val="000000" w:themeColor="text1"/>
          <w:szCs w:val="21"/>
          <w:highlight w:val="none"/>
          <w14:textFill>
            <w14:solidFill>
              <w14:schemeClr w14:val="tx1"/>
            </w14:solidFill>
          </w14:textFill>
        </w:rPr>
        <w:t>政府采购合同履行中，采购人需追加与合同标的相同的货物、工程或者服务的，在不改变合同其他条款的前提下，可以与供应商协商签订补充合同，但所有补充合同的采购金额不得超过原合同采购金额的10%。</w:t>
      </w:r>
    </w:p>
    <w:p w14:paraId="43917AD0">
      <w:pPr>
        <w:pStyle w:val="6"/>
        <w:keepNext w:val="0"/>
        <w:keepLines w:val="0"/>
        <w:spacing w:before="0" w:after="0" w:line="360" w:lineRule="auto"/>
        <w:ind w:left="42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37.政府采购合同公告</w:t>
      </w:r>
    </w:p>
    <w:p w14:paraId="62902069">
      <w:pPr>
        <w:pStyle w:val="25"/>
        <w:spacing w:line="360" w:lineRule="auto"/>
        <w:ind w:firstLine="42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采购人或者受托采购代理机构应当自政府采购合同签订之日起2个工作日内，将政府采购合同在省级以上人民政府财政部门指定的媒体上公告，</w:t>
      </w:r>
      <w:r>
        <w:rPr>
          <w:rFonts w:hAnsi="宋体"/>
          <w:color w:val="000000" w:themeColor="text1"/>
          <w:sz w:val="21"/>
          <w:highlight w:val="none"/>
          <w14:textFill>
            <w14:solidFill>
              <w14:schemeClr w14:val="tx1"/>
            </w14:solidFill>
          </w14:textFill>
        </w:rPr>
        <w:t>但政府采购合同中涉及国家秘密、商业秘密的内容除外。</w:t>
      </w:r>
    </w:p>
    <w:p w14:paraId="65893C64">
      <w:pPr>
        <w:pStyle w:val="6"/>
        <w:keepNext w:val="0"/>
        <w:keepLines w:val="0"/>
        <w:spacing w:before="0" w:after="0" w:line="360" w:lineRule="auto"/>
        <w:ind w:left="42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3</w:t>
      </w:r>
      <w:r>
        <w:rPr>
          <w:rFonts w:ascii="黑体" w:hAnsi="黑体" w:eastAsia="黑体"/>
          <w:color w:val="000000" w:themeColor="text1"/>
          <w:sz w:val="24"/>
          <w:highlight w:val="none"/>
          <w14:textFill>
            <w14:solidFill>
              <w14:schemeClr w14:val="tx1"/>
            </w14:solidFill>
          </w14:textFill>
        </w:rPr>
        <w:t>8.</w:t>
      </w:r>
      <w:r>
        <w:rPr>
          <w:rFonts w:hint="eastAsia" w:ascii="黑体" w:hAnsi="黑体" w:eastAsia="黑体"/>
          <w:color w:val="000000" w:themeColor="text1"/>
          <w:sz w:val="24"/>
          <w:highlight w:val="none"/>
          <w14:textFill>
            <w14:solidFill>
              <w14:schemeClr w14:val="tx1"/>
            </w14:solidFill>
          </w14:textFill>
        </w:rPr>
        <w:t xml:space="preserve"> 询问、质疑和投诉</w:t>
      </w:r>
    </w:p>
    <w:p w14:paraId="4CF9F3FA">
      <w:pPr>
        <w:pStyle w:val="7"/>
        <w:spacing w:line="360"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38.1</w:t>
      </w:r>
      <w:r>
        <w:rPr>
          <w:rFonts w:hint="eastAsia" w:ascii="宋体" w:hAnsi="宋体"/>
          <w:color w:val="000000" w:themeColor="text1"/>
          <w:szCs w:val="21"/>
          <w:highlight w:val="none"/>
          <w14:textFill>
            <w14:solidFill>
              <w14:schemeClr w14:val="tx1"/>
            </w14:solidFill>
          </w14:textFill>
        </w:rPr>
        <w:t>供应商对政府采购活动事项有疑问的，可以向采购人提出询问，采购人或者采购代理机构应当在3个工作日内对供应商依法提出的询问作出答复，但答复的内容不得涉及商业秘密。</w:t>
      </w:r>
    </w:p>
    <w:p w14:paraId="28F40664">
      <w:pPr>
        <w:pStyle w:val="6"/>
        <w:keepNext w:val="0"/>
        <w:keepLines w:val="0"/>
        <w:spacing w:before="0" w:after="0" w:line="360" w:lineRule="auto"/>
        <w:ind w:firstLine="315"/>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 xml:space="preserve"> </w:t>
      </w:r>
      <w:r>
        <w:rPr>
          <w:rFonts w:ascii="宋体" w:hAnsi="宋体"/>
          <w:b w:val="0"/>
          <w:color w:val="000000" w:themeColor="text1"/>
          <w:sz w:val="21"/>
          <w:szCs w:val="21"/>
          <w:highlight w:val="none"/>
          <w14:textFill>
            <w14:solidFill>
              <w14:schemeClr w14:val="tx1"/>
            </w14:solidFill>
          </w14:textFill>
        </w:rPr>
        <w:t>38</w:t>
      </w:r>
      <w:r>
        <w:rPr>
          <w:rFonts w:hint="eastAsia" w:ascii="宋体" w:hAnsi="宋体"/>
          <w:b w:val="0"/>
          <w:color w:val="000000" w:themeColor="text1"/>
          <w:sz w:val="21"/>
          <w:szCs w:val="21"/>
          <w:highlight w:val="none"/>
          <w14:textFill>
            <w14:solidFill>
              <w14:schemeClr w14:val="tx1"/>
            </w14:solidFill>
          </w14:textFill>
        </w:rPr>
        <w:t>.</w:t>
      </w:r>
      <w:r>
        <w:rPr>
          <w:rFonts w:ascii="宋体" w:hAnsi="宋体"/>
          <w:b w:val="0"/>
          <w:color w:val="000000" w:themeColor="text1"/>
          <w:sz w:val="21"/>
          <w:szCs w:val="21"/>
          <w:highlight w:val="none"/>
          <w14:textFill>
            <w14:solidFill>
              <w14:schemeClr w14:val="tx1"/>
            </w14:solidFill>
          </w14:textFill>
        </w:rPr>
        <w:t>2</w:t>
      </w:r>
      <w:r>
        <w:rPr>
          <w:rFonts w:hint="eastAsia" w:ascii="宋体" w:hAnsi="宋体"/>
          <w:b w:val="0"/>
          <w:color w:val="000000" w:themeColor="text1"/>
          <w:sz w:val="21"/>
          <w:szCs w:val="21"/>
          <w:highlight w:val="none"/>
          <w14:textFill>
            <w14:solidFill>
              <w14:schemeClr w14:val="tx1"/>
            </w14:solidFill>
          </w14:textFill>
        </w:rPr>
        <w:t xml:space="preserve">供应商认为招标文件、采购过程或者中标结果使自己的合法权益受到损害的，必须在知道或者应知其权益受到损害之日起7个工作日内，以书面形式向采购人、采购代理机构提出质疑。采购人、采购代理机构接收质疑函的方式、联系部门、联系电话和通讯地址等信息详见“投标人须知前附表”。具体质疑起算时间如下： </w:t>
      </w:r>
    </w:p>
    <w:p w14:paraId="2E306F99">
      <w:pPr>
        <w:pStyle w:val="25"/>
        <w:spacing w:line="360" w:lineRule="auto"/>
        <w:ind w:firstLine="420"/>
        <w:rPr>
          <w:rFonts w:hAnsi="宋体"/>
          <w:color w:val="000000" w:themeColor="text1"/>
          <w:sz w:val="21"/>
          <w:highlight w:val="none"/>
          <w14:textFill>
            <w14:solidFill>
              <w14:schemeClr w14:val="tx1"/>
            </w14:solidFill>
          </w14:textFill>
        </w:rPr>
      </w:pPr>
      <w:r>
        <w:rPr>
          <w:rFonts w:hAnsi="宋体"/>
          <w:color w:val="000000" w:themeColor="text1"/>
          <w:sz w:val="21"/>
          <w:highlight w:val="none"/>
          <w14:textFill>
            <w14:solidFill>
              <w14:schemeClr w14:val="tx1"/>
            </w14:solidFill>
          </w14:textFill>
        </w:rPr>
        <w:t>（</w:t>
      </w:r>
      <w:r>
        <w:rPr>
          <w:rFonts w:hint="eastAsia" w:hAnsi="宋体"/>
          <w:color w:val="000000" w:themeColor="text1"/>
          <w:sz w:val="21"/>
          <w:highlight w:val="none"/>
          <w14:textFill>
            <w14:solidFill>
              <w14:schemeClr w14:val="tx1"/>
            </w14:solidFill>
          </w14:textFill>
        </w:rPr>
        <w:t>1</w:t>
      </w:r>
      <w:r>
        <w:rPr>
          <w:rFonts w:hAnsi="宋体"/>
          <w:color w:val="000000" w:themeColor="text1"/>
          <w:sz w:val="21"/>
          <w:highlight w:val="none"/>
          <w14:textFill>
            <w14:solidFill>
              <w14:schemeClr w14:val="tx1"/>
            </w14:solidFill>
          </w14:textFill>
        </w:rPr>
        <w:t>）对可以质疑的</w:t>
      </w:r>
      <w:r>
        <w:rPr>
          <w:rFonts w:hint="eastAsia" w:hAnsi="宋体"/>
          <w:color w:val="000000" w:themeColor="text1"/>
          <w:sz w:val="21"/>
          <w:highlight w:val="none"/>
          <w14:textFill>
            <w14:solidFill>
              <w14:schemeClr w14:val="tx1"/>
            </w14:solidFill>
          </w14:textFill>
        </w:rPr>
        <w:t>招标</w:t>
      </w:r>
      <w:r>
        <w:rPr>
          <w:rFonts w:hAnsi="宋体"/>
          <w:color w:val="000000" w:themeColor="text1"/>
          <w:sz w:val="21"/>
          <w:highlight w:val="none"/>
          <w14:textFill>
            <w14:solidFill>
              <w14:schemeClr w14:val="tx1"/>
            </w14:solidFill>
          </w14:textFill>
        </w:rPr>
        <w:t>文件提出质疑的，为收到</w:t>
      </w:r>
      <w:r>
        <w:rPr>
          <w:rFonts w:hint="eastAsia" w:hAnsi="宋体"/>
          <w:color w:val="000000" w:themeColor="text1"/>
          <w:sz w:val="21"/>
          <w:highlight w:val="none"/>
          <w14:textFill>
            <w14:solidFill>
              <w14:schemeClr w14:val="tx1"/>
            </w14:solidFill>
          </w14:textFill>
        </w:rPr>
        <w:t>招标</w:t>
      </w:r>
      <w:r>
        <w:rPr>
          <w:rFonts w:hAnsi="宋体"/>
          <w:color w:val="000000" w:themeColor="text1"/>
          <w:sz w:val="21"/>
          <w:highlight w:val="none"/>
          <w14:textFill>
            <w14:solidFill>
              <w14:schemeClr w14:val="tx1"/>
            </w14:solidFill>
          </w14:textFill>
        </w:rPr>
        <w:t>文件之日</w:t>
      </w:r>
      <w:r>
        <w:rPr>
          <w:rFonts w:hint="eastAsia" w:hAnsi="宋体"/>
          <w:color w:val="000000" w:themeColor="text1"/>
          <w:sz w:val="21"/>
          <w:highlight w:val="none"/>
          <w14:textFill>
            <w14:solidFill>
              <w14:schemeClr w14:val="tx1"/>
            </w14:solidFill>
          </w14:textFill>
        </w:rPr>
        <w:t>或者招标文件公告期限届满之日</w:t>
      </w:r>
      <w:r>
        <w:rPr>
          <w:rFonts w:hAnsi="宋体"/>
          <w:color w:val="000000" w:themeColor="text1"/>
          <w:sz w:val="21"/>
          <w:highlight w:val="none"/>
          <w14:textFill>
            <w14:solidFill>
              <w14:schemeClr w14:val="tx1"/>
            </w14:solidFill>
          </w14:textFill>
        </w:rPr>
        <w:t>；</w:t>
      </w:r>
    </w:p>
    <w:p w14:paraId="28F39467">
      <w:pPr>
        <w:pStyle w:val="25"/>
        <w:spacing w:line="360" w:lineRule="auto"/>
        <w:ind w:firstLine="420"/>
        <w:rPr>
          <w:rFonts w:hAnsi="宋体"/>
          <w:color w:val="000000" w:themeColor="text1"/>
          <w:sz w:val="21"/>
          <w:highlight w:val="none"/>
          <w14:textFill>
            <w14:solidFill>
              <w14:schemeClr w14:val="tx1"/>
            </w14:solidFill>
          </w14:textFill>
        </w:rPr>
      </w:pPr>
      <w:r>
        <w:rPr>
          <w:rFonts w:hAnsi="宋体"/>
          <w:color w:val="000000" w:themeColor="text1"/>
          <w:sz w:val="21"/>
          <w:highlight w:val="none"/>
          <w14:textFill>
            <w14:solidFill>
              <w14:schemeClr w14:val="tx1"/>
            </w14:solidFill>
          </w14:textFill>
        </w:rPr>
        <w:t>（</w:t>
      </w:r>
      <w:r>
        <w:rPr>
          <w:rFonts w:hint="eastAsia" w:hAnsi="宋体"/>
          <w:color w:val="000000" w:themeColor="text1"/>
          <w:sz w:val="21"/>
          <w:highlight w:val="none"/>
          <w14:textFill>
            <w14:solidFill>
              <w14:schemeClr w14:val="tx1"/>
            </w14:solidFill>
          </w14:textFill>
        </w:rPr>
        <w:t>2</w:t>
      </w:r>
      <w:r>
        <w:rPr>
          <w:rFonts w:hAnsi="宋体"/>
          <w:color w:val="000000" w:themeColor="text1"/>
          <w:sz w:val="21"/>
          <w:highlight w:val="none"/>
          <w14:textFill>
            <w14:solidFill>
              <w14:schemeClr w14:val="tx1"/>
            </w14:solidFill>
          </w14:textFill>
        </w:rPr>
        <w:t>）对</w:t>
      </w:r>
      <w:r>
        <w:rPr>
          <w:rFonts w:hint="eastAsia" w:hAnsi="宋体"/>
          <w:color w:val="000000" w:themeColor="text1"/>
          <w:sz w:val="21"/>
          <w:highlight w:val="none"/>
          <w14:textFill>
            <w14:solidFill>
              <w14:schemeClr w14:val="tx1"/>
            </w14:solidFill>
          </w14:textFill>
        </w:rPr>
        <w:t>采购</w:t>
      </w:r>
      <w:r>
        <w:rPr>
          <w:rFonts w:hAnsi="宋体"/>
          <w:color w:val="000000" w:themeColor="text1"/>
          <w:sz w:val="21"/>
          <w:highlight w:val="none"/>
          <w14:textFill>
            <w14:solidFill>
              <w14:schemeClr w14:val="tx1"/>
            </w14:solidFill>
          </w14:textFill>
        </w:rPr>
        <w:t>过程提出质疑的，为各采购程序环节结束之日；</w:t>
      </w:r>
    </w:p>
    <w:p w14:paraId="35150D11">
      <w:pPr>
        <w:pStyle w:val="25"/>
        <w:spacing w:line="360" w:lineRule="auto"/>
        <w:ind w:firstLine="420"/>
        <w:rPr>
          <w:rFonts w:hAnsi="宋体"/>
          <w:bCs/>
          <w:color w:val="000000" w:themeColor="text1"/>
          <w:sz w:val="21"/>
          <w:highlight w:val="none"/>
          <w14:textFill>
            <w14:solidFill>
              <w14:schemeClr w14:val="tx1"/>
            </w14:solidFill>
          </w14:textFill>
        </w:rPr>
      </w:pPr>
      <w:r>
        <w:rPr>
          <w:rFonts w:hAnsi="宋体"/>
          <w:color w:val="000000" w:themeColor="text1"/>
          <w:sz w:val="21"/>
          <w:highlight w:val="none"/>
          <w14:textFill>
            <w14:solidFill>
              <w14:schemeClr w14:val="tx1"/>
            </w14:solidFill>
          </w14:textFill>
        </w:rPr>
        <w:t>（</w:t>
      </w:r>
      <w:r>
        <w:rPr>
          <w:rFonts w:hint="eastAsia" w:hAnsi="宋体"/>
          <w:color w:val="000000" w:themeColor="text1"/>
          <w:sz w:val="21"/>
          <w:highlight w:val="none"/>
          <w14:textFill>
            <w14:solidFill>
              <w14:schemeClr w14:val="tx1"/>
            </w14:solidFill>
          </w14:textFill>
        </w:rPr>
        <w:t>3</w:t>
      </w:r>
      <w:r>
        <w:rPr>
          <w:rFonts w:hAnsi="宋体"/>
          <w:color w:val="000000" w:themeColor="text1"/>
          <w:sz w:val="21"/>
          <w:highlight w:val="none"/>
          <w14:textFill>
            <w14:solidFill>
              <w14:schemeClr w14:val="tx1"/>
            </w14:solidFill>
          </w14:textFill>
        </w:rPr>
        <w:t>）对中标结果提出质疑的，为中标结果公告期限届满之日。</w:t>
      </w:r>
    </w:p>
    <w:p w14:paraId="05BD9781">
      <w:pPr>
        <w:pStyle w:val="6"/>
        <w:keepNext w:val="0"/>
        <w:keepLines w:val="0"/>
        <w:spacing w:before="0" w:after="0" w:line="360" w:lineRule="auto"/>
        <w:ind w:firstLine="315"/>
        <w:rPr>
          <w:rFonts w:ascii="宋体" w:hAnsi="宋体"/>
          <w:b w:val="0"/>
          <w:color w:val="000000" w:themeColor="text1"/>
          <w:sz w:val="21"/>
          <w:szCs w:val="21"/>
          <w:highlight w:val="none"/>
          <w14:textFill>
            <w14:solidFill>
              <w14:schemeClr w14:val="tx1"/>
            </w14:solidFill>
          </w14:textFill>
        </w:rPr>
      </w:pPr>
      <w:r>
        <w:rPr>
          <w:rFonts w:ascii="宋体" w:hAnsi="宋体"/>
          <w:b w:val="0"/>
          <w:color w:val="000000" w:themeColor="text1"/>
          <w:sz w:val="21"/>
          <w:szCs w:val="21"/>
          <w:highlight w:val="none"/>
          <w14:textFill>
            <w14:solidFill>
              <w14:schemeClr w14:val="tx1"/>
            </w14:solidFill>
          </w14:textFill>
        </w:rPr>
        <w:t>38</w:t>
      </w:r>
      <w:r>
        <w:rPr>
          <w:rFonts w:hint="eastAsia" w:ascii="宋体" w:hAnsi="宋体"/>
          <w:b w:val="0"/>
          <w:color w:val="000000" w:themeColor="text1"/>
          <w:sz w:val="21"/>
          <w:szCs w:val="21"/>
          <w:highlight w:val="none"/>
          <w14:textFill>
            <w14:solidFill>
              <w14:schemeClr w14:val="tx1"/>
            </w14:solidFill>
          </w14:textFill>
        </w:rPr>
        <w:t>.</w:t>
      </w:r>
      <w:r>
        <w:rPr>
          <w:rFonts w:ascii="宋体" w:hAnsi="宋体"/>
          <w:b w:val="0"/>
          <w:color w:val="000000" w:themeColor="text1"/>
          <w:sz w:val="21"/>
          <w:szCs w:val="21"/>
          <w:highlight w:val="none"/>
          <w14:textFill>
            <w14:solidFill>
              <w14:schemeClr w14:val="tx1"/>
            </w14:solidFill>
          </w14:textFill>
        </w:rPr>
        <w:t>3</w:t>
      </w:r>
      <w:r>
        <w:rPr>
          <w:rFonts w:hint="eastAsia" w:ascii="宋体" w:hAnsi="宋体"/>
          <w:b w:val="0"/>
          <w:color w:val="000000" w:themeColor="text1"/>
          <w:sz w:val="21"/>
          <w:szCs w:val="21"/>
          <w:highlight w:val="none"/>
          <w14:textFill>
            <w14:solidFill>
              <w14:schemeClr w14:val="tx1"/>
            </w14:solidFill>
          </w14:textFill>
        </w:rPr>
        <w:t xml:space="preserve"> </w:t>
      </w:r>
      <w:r>
        <w:rPr>
          <w:rFonts w:hAnsi="宋体"/>
          <w:b w:val="0"/>
          <w:bCs/>
          <w:color w:val="000000" w:themeColor="text1"/>
          <w:sz w:val="21"/>
          <w:highlight w:val="none"/>
          <w14:textFill>
            <w14:solidFill>
              <w14:schemeClr w14:val="tx1"/>
            </w14:solidFill>
          </w14:textFill>
        </w:rPr>
        <w:t>供应商提出质疑应当提交质疑函和必要的证明材料</w:t>
      </w:r>
      <w:r>
        <w:rPr>
          <w:rFonts w:hint="eastAsia" w:hAnsi="宋体"/>
          <w:b w:val="0"/>
          <w:bCs/>
          <w:color w:val="000000" w:themeColor="text1"/>
          <w:sz w:val="21"/>
          <w:highlight w:val="none"/>
          <w14:textFill>
            <w14:solidFill>
              <w14:schemeClr w14:val="tx1"/>
            </w14:solidFill>
          </w14:textFill>
        </w:rPr>
        <w:t>，</w:t>
      </w:r>
      <w:r>
        <w:rPr>
          <w:rFonts w:hAnsi="宋体"/>
          <w:b w:val="0"/>
          <w:bCs/>
          <w:color w:val="000000" w:themeColor="text1"/>
          <w:sz w:val="21"/>
          <w:highlight w:val="none"/>
          <w14:textFill>
            <w14:solidFill>
              <w14:schemeClr w14:val="tx1"/>
            </w14:solidFill>
          </w14:textFill>
        </w:rPr>
        <w:t>针对同一采购程序环节的质疑</w:t>
      </w:r>
      <w:r>
        <w:rPr>
          <w:rFonts w:hint="eastAsia" w:hAnsi="宋体"/>
          <w:b w:val="0"/>
          <w:bCs/>
          <w:color w:val="000000" w:themeColor="text1"/>
          <w:sz w:val="21"/>
          <w:highlight w:val="none"/>
          <w14:textFill>
            <w14:solidFill>
              <w14:schemeClr w14:val="tx1"/>
            </w14:solidFill>
          </w14:textFill>
        </w:rPr>
        <w:t>必须</w:t>
      </w:r>
      <w:r>
        <w:rPr>
          <w:rFonts w:hAnsi="宋体"/>
          <w:b w:val="0"/>
          <w:bCs/>
          <w:color w:val="000000" w:themeColor="text1"/>
          <w:sz w:val="21"/>
          <w:highlight w:val="none"/>
          <w14:textFill>
            <w14:solidFill>
              <w14:schemeClr w14:val="tx1"/>
            </w14:solidFill>
          </w14:textFill>
        </w:rPr>
        <w:t>在法定质疑期内一次性提出。质疑函应当包括下列内容</w:t>
      </w:r>
      <w:r>
        <w:rPr>
          <w:rFonts w:hint="eastAsia" w:hAnsi="宋体"/>
          <w:b w:val="0"/>
          <w:bCs/>
          <w:color w:val="000000" w:themeColor="text1"/>
          <w:sz w:val="21"/>
          <w:highlight w:val="none"/>
          <w14:textFill>
            <w14:solidFill>
              <w14:schemeClr w14:val="tx1"/>
            </w14:solidFill>
          </w14:textFill>
        </w:rPr>
        <w:t>（质疑函格式后附）</w:t>
      </w:r>
      <w:r>
        <w:rPr>
          <w:rFonts w:hAnsi="宋体"/>
          <w:b w:val="0"/>
          <w:bCs/>
          <w:color w:val="000000" w:themeColor="text1"/>
          <w:sz w:val="21"/>
          <w:highlight w:val="none"/>
          <w14:textFill>
            <w14:solidFill>
              <w14:schemeClr w14:val="tx1"/>
            </w14:solidFill>
          </w14:textFill>
        </w:rPr>
        <w:t>：</w:t>
      </w:r>
    </w:p>
    <w:p w14:paraId="51AC84C6">
      <w:pPr>
        <w:pStyle w:val="25"/>
        <w:spacing w:line="360" w:lineRule="auto"/>
        <w:ind w:firstLine="420"/>
        <w:rPr>
          <w:rFonts w:hAnsi="宋体"/>
          <w:bCs/>
          <w:color w:val="000000" w:themeColor="text1"/>
          <w:sz w:val="21"/>
          <w:highlight w:val="none"/>
          <w14:textFill>
            <w14:solidFill>
              <w14:schemeClr w14:val="tx1"/>
            </w14:solidFill>
          </w14:textFill>
        </w:rPr>
      </w:pPr>
      <w:r>
        <w:rPr>
          <w:rFonts w:hAnsi="宋体"/>
          <w:bCs/>
          <w:color w:val="000000" w:themeColor="text1"/>
          <w:sz w:val="21"/>
          <w:highlight w:val="none"/>
          <w14:textFill>
            <w14:solidFill>
              <w14:schemeClr w14:val="tx1"/>
            </w14:solidFill>
          </w14:textFill>
        </w:rPr>
        <w:t>（</w:t>
      </w:r>
      <w:r>
        <w:rPr>
          <w:rFonts w:hint="eastAsia" w:hAnsi="宋体"/>
          <w:bCs/>
          <w:color w:val="000000" w:themeColor="text1"/>
          <w:sz w:val="21"/>
          <w:highlight w:val="none"/>
          <w14:textFill>
            <w14:solidFill>
              <w14:schemeClr w14:val="tx1"/>
            </w14:solidFill>
          </w14:textFill>
        </w:rPr>
        <w:t>1</w:t>
      </w:r>
      <w:r>
        <w:rPr>
          <w:rFonts w:hAnsi="宋体"/>
          <w:bCs/>
          <w:color w:val="000000" w:themeColor="text1"/>
          <w:sz w:val="21"/>
          <w:highlight w:val="none"/>
          <w14:textFill>
            <w14:solidFill>
              <w14:schemeClr w14:val="tx1"/>
            </w14:solidFill>
          </w14:textFill>
        </w:rPr>
        <w:t>）供应商的姓名或者名称、地址、邮编、联系人及联系电话；</w:t>
      </w:r>
    </w:p>
    <w:p w14:paraId="0BC19750">
      <w:pPr>
        <w:pStyle w:val="25"/>
        <w:spacing w:line="360" w:lineRule="auto"/>
        <w:ind w:firstLine="420"/>
        <w:rPr>
          <w:rFonts w:hAnsi="宋体"/>
          <w:bCs/>
          <w:color w:val="000000" w:themeColor="text1"/>
          <w:sz w:val="21"/>
          <w:highlight w:val="none"/>
          <w14:textFill>
            <w14:solidFill>
              <w14:schemeClr w14:val="tx1"/>
            </w14:solidFill>
          </w14:textFill>
        </w:rPr>
      </w:pPr>
      <w:r>
        <w:rPr>
          <w:rFonts w:hAnsi="宋体"/>
          <w:bCs/>
          <w:color w:val="000000" w:themeColor="text1"/>
          <w:sz w:val="21"/>
          <w:highlight w:val="none"/>
          <w14:textFill>
            <w14:solidFill>
              <w14:schemeClr w14:val="tx1"/>
            </w14:solidFill>
          </w14:textFill>
        </w:rPr>
        <w:t>（</w:t>
      </w:r>
      <w:r>
        <w:rPr>
          <w:rFonts w:hint="eastAsia" w:hAnsi="宋体"/>
          <w:bCs/>
          <w:color w:val="000000" w:themeColor="text1"/>
          <w:sz w:val="21"/>
          <w:highlight w:val="none"/>
          <w14:textFill>
            <w14:solidFill>
              <w14:schemeClr w14:val="tx1"/>
            </w14:solidFill>
          </w14:textFill>
        </w:rPr>
        <w:t>2</w:t>
      </w:r>
      <w:r>
        <w:rPr>
          <w:rFonts w:hAnsi="宋体"/>
          <w:bCs/>
          <w:color w:val="000000" w:themeColor="text1"/>
          <w:sz w:val="21"/>
          <w:highlight w:val="none"/>
          <w14:textFill>
            <w14:solidFill>
              <w14:schemeClr w14:val="tx1"/>
            </w14:solidFill>
          </w14:textFill>
        </w:rPr>
        <w:t>）质疑项目的名称、编号；</w:t>
      </w:r>
    </w:p>
    <w:p w14:paraId="07F5E36E">
      <w:pPr>
        <w:pStyle w:val="25"/>
        <w:spacing w:line="360" w:lineRule="auto"/>
        <w:ind w:firstLine="420"/>
        <w:rPr>
          <w:rFonts w:hAnsi="宋体"/>
          <w:bCs/>
          <w:color w:val="000000" w:themeColor="text1"/>
          <w:sz w:val="21"/>
          <w:highlight w:val="none"/>
          <w14:textFill>
            <w14:solidFill>
              <w14:schemeClr w14:val="tx1"/>
            </w14:solidFill>
          </w14:textFill>
        </w:rPr>
      </w:pPr>
      <w:r>
        <w:rPr>
          <w:rFonts w:hAnsi="宋体"/>
          <w:bCs/>
          <w:color w:val="000000" w:themeColor="text1"/>
          <w:sz w:val="21"/>
          <w:highlight w:val="none"/>
          <w14:textFill>
            <w14:solidFill>
              <w14:schemeClr w14:val="tx1"/>
            </w14:solidFill>
          </w14:textFill>
        </w:rPr>
        <w:t>（</w:t>
      </w:r>
      <w:r>
        <w:rPr>
          <w:rFonts w:hint="eastAsia" w:hAnsi="宋体"/>
          <w:bCs/>
          <w:color w:val="000000" w:themeColor="text1"/>
          <w:sz w:val="21"/>
          <w:highlight w:val="none"/>
          <w14:textFill>
            <w14:solidFill>
              <w14:schemeClr w14:val="tx1"/>
            </w14:solidFill>
          </w14:textFill>
        </w:rPr>
        <w:t>3</w:t>
      </w:r>
      <w:r>
        <w:rPr>
          <w:rFonts w:hAnsi="宋体"/>
          <w:bCs/>
          <w:color w:val="000000" w:themeColor="text1"/>
          <w:sz w:val="21"/>
          <w:highlight w:val="none"/>
          <w14:textFill>
            <w14:solidFill>
              <w14:schemeClr w14:val="tx1"/>
            </w14:solidFill>
          </w14:textFill>
        </w:rPr>
        <w:t>）具体、明确的质疑事项和与质疑事项相关的请求；</w:t>
      </w:r>
    </w:p>
    <w:p w14:paraId="45E8407E">
      <w:pPr>
        <w:pStyle w:val="25"/>
        <w:spacing w:line="360" w:lineRule="auto"/>
        <w:ind w:firstLine="420"/>
        <w:rPr>
          <w:rFonts w:hAnsi="宋体"/>
          <w:bCs/>
          <w:color w:val="000000" w:themeColor="text1"/>
          <w:sz w:val="21"/>
          <w:highlight w:val="none"/>
          <w14:textFill>
            <w14:solidFill>
              <w14:schemeClr w14:val="tx1"/>
            </w14:solidFill>
          </w14:textFill>
        </w:rPr>
      </w:pPr>
      <w:r>
        <w:rPr>
          <w:rFonts w:hAnsi="宋体"/>
          <w:bCs/>
          <w:color w:val="000000" w:themeColor="text1"/>
          <w:sz w:val="21"/>
          <w:highlight w:val="none"/>
          <w14:textFill>
            <w14:solidFill>
              <w14:schemeClr w14:val="tx1"/>
            </w14:solidFill>
          </w14:textFill>
        </w:rPr>
        <w:t>（</w:t>
      </w:r>
      <w:r>
        <w:rPr>
          <w:rFonts w:hint="eastAsia" w:hAnsi="宋体"/>
          <w:bCs/>
          <w:color w:val="000000" w:themeColor="text1"/>
          <w:sz w:val="21"/>
          <w:highlight w:val="none"/>
          <w14:textFill>
            <w14:solidFill>
              <w14:schemeClr w14:val="tx1"/>
            </w14:solidFill>
          </w14:textFill>
        </w:rPr>
        <w:t>4</w:t>
      </w:r>
      <w:r>
        <w:rPr>
          <w:rFonts w:hAnsi="宋体"/>
          <w:bCs/>
          <w:color w:val="000000" w:themeColor="text1"/>
          <w:sz w:val="21"/>
          <w:highlight w:val="none"/>
          <w14:textFill>
            <w14:solidFill>
              <w14:schemeClr w14:val="tx1"/>
            </w14:solidFill>
          </w14:textFill>
        </w:rPr>
        <w:t>）事实依据；</w:t>
      </w:r>
    </w:p>
    <w:p w14:paraId="118EB9CE">
      <w:pPr>
        <w:pStyle w:val="25"/>
        <w:spacing w:line="360" w:lineRule="auto"/>
        <w:ind w:firstLine="420"/>
        <w:rPr>
          <w:rFonts w:hAnsi="宋体"/>
          <w:bCs/>
          <w:color w:val="000000" w:themeColor="text1"/>
          <w:sz w:val="21"/>
          <w:highlight w:val="none"/>
          <w14:textFill>
            <w14:solidFill>
              <w14:schemeClr w14:val="tx1"/>
            </w14:solidFill>
          </w14:textFill>
        </w:rPr>
      </w:pPr>
      <w:r>
        <w:rPr>
          <w:rFonts w:hAnsi="宋体"/>
          <w:bCs/>
          <w:color w:val="000000" w:themeColor="text1"/>
          <w:sz w:val="21"/>
          <w:highlight w:val="none"/>
          <w14:textFill>
            <w14:solidFill>
              <w14:schemeClr w14:val="tx1"/>
            </w14:solidFill>
          </w14:textFill>
        </w:rPr>
        <w:t>（</w:t>
      </w:r>
      <w:r>
        <w:rPr>
          <w:rFonts w:hint="eastAsia" w:hAnsi="宋体"/>
          <w:bCs/>
          <w:color w:val="000000" w:themeColor="text1"/>
          <w:sz w:val="21"/>
          <w:highlight w:val="none"/>
          <w14:textFill>
            <w14:solidFill>
              <w14:schemeClr w14:val="tx1"/>
            </w14:solidFill>
          </w14:textFill>
        </w:rPr>
        <w:t>5</w:t>
      </w:r>
      <w:r>
        <w:rPr>
          <w:rFonts w:hAnsi="宋体"/>
          <w:bCs/>
          <w:color w:val="000000" w:themeColor="text1"/>
          <w:sz w:val="21"/>
          <w:highlight w:val="none"/>
          <w14:textFill>
            <w14:solidFill>
              <w14:schemeClr w14:val="tx1"/>
            </w14:solidFill>
          </w14:textFill>
        </w:rPr>
        <w:t>）必要的法律依据；</w:t>
      </w:r>
    </w:p>
    <w:p w14:paraId="0FBB3407">
      <w:pPr>
        <w:pStyle w:val="25"/>
        <w:spacing w:line="360" w:lineRule="auto"/>
        <w:ind w:firstLine="420"/>
        <w:rPr>
          <w:rFonts w:hAnsi="宋体"/>
          <w:bCs/>
          <w:color w:val="000000" w:themeColor="text1"/>
          <w:sz w:val="21"/>
          <w:highlight w:val="none"/>
          <w14:textFill>
            <w14:solidFill>
              <w14:schemeClr w14:val="tx1"/>
            </w14:solidFill>
          </w14:textFill>
        </w:rPr>
      </w:pPr>
      <w:r>
        <w:rPr>
          <w:rFonts w:hAnsi="宋体"/>
          <w:bCs/>
          <w:color w:val="000000" w:themeColor="text1"/>
          <w:sz w:val="21"/>
          <w:highlight w:val="none"/>
          <w14:textFill>
            <w14:solidFill>
              <w14:schemeClr w14:val="tx1"/>
            </w14:solidFill>
          </w14:textFill>
        </w:rPr>
        <w:t>（</w:t>
      </w:r>
      <w:r>
        <w:rPr>
          <w:rFonts w:hint="eastAsia" w:hAnsi="宋体"/>
          <w:bCs/>
          <w:color w:val="000000" w:themeColor="text1"/>
          <w:sz w:val="21"/>
          <w:highlight w:val="none"/>
          <w14:textFill>
            <w14:solidFill>
              <w14:schemeClr w14:val="tx1"/>
            </w14:solidFill>
          </w14:textFill>
        </w:rPr>
        <w:t>6</w:t>
      </w:r>
      <w:r>
        <w:rPr>
          <w:rFonts w:hAnsi="宋体"/>
          <w:bCs/>
          <w:color w:val="000000" w:themeColor="text1"/>
          <w:sz w:val="21"/>
          <w:highlight w:val="none"/>
          <w14:textFill>
            <w14:solidFill>
              <w14:schemeClr w14:val="tx1"/>
            </w14:solidFill>
          </w14:textFill>
        </w:rPr>
        <w:t>）提出质疑的日期。</w:t>
      </w:r>
    </w:p>
    <w:p w14:paraId="199DBB73">
      <w:pPr>
        <w:pStyle w:val="25"/>
        <w:spacing w:line="360" w:lineRule="auto"/>
        <w:ind w:firstLine="420"/>
        <w:rPr>
          <w:rFonts w:hAnsi="宋体"/>
          <w:bCs/>
          <w:color w:val="000000" w:themeColor="text1"/>
          <w:sz w:val="21"/>
          <w:highlight w:val="none"/>
          <w14:textFill>
            <w14:solidFill>
              <w14:schemeClr w14:val="tx1"/>
            </w14:solidFill>
          </w14:textFill>
        </w:rPr>
      </w:pPr>
      <w:r>
        <w:rPr>
          <w:rFonts w:hAnsi="宋体"/>
          <w:bCs/>
          <w:color w:val="000000" w:themeColor="text1"/>
          <w:sz w:val="21"/>
          <w:highlight w:val="none"/>
          <w14:textFill>
            <w14:solidFill>
              <w14:schemeClr w14:val="tx1"/>
            </w14:solidFill>
          </w14:textFill>
        </w:rPr>
        <w:t>供应商为自然人的，应当由本人签字；供应商为法人或者其他组织的，应当由法定代表人、主要负责人，或者其委托代理人签字或者盖章，并加盖公章</w:t>
      </w:r>
      <w:r>
        <w:rPr>
          <w:rFonts w:hint="eastAsia" w:hAnsi="宋体"/>
          <w:bCs/>
          <w:color w:val="000000" w:themeColor="text1"/>
          <w:sz w:val="21"/>
          <w:highlight w:val="none"/>
          <w14:textFill>
            <w14:solidFill>
              <w14:schemeClr w14:val="tx1"/>
            </w14:solidFill>
          </w14:textFill>
        </w:rPr>
        <w:t>。</w:t>
      </w:r>
    </w:p>
    <w:p w14:paraId="1C5B81E0">
      <w:pPr>
        <w:pStyle w:val="6"/>
        <w:keepNext w:val="0"/>
        <w:keepLines w:val="0"/>
        <w:spacing w:before="0" w:after="0" w:line="360" w:lineRule="auto"/>
        <w:ind w:firstLine="420"/>
        <w:rPr>
          <w:rFonts w:ascii="宋体" w:hAnsi="宋体"/>
          <w:b w:val="0"/>
          <w:bCs/>
          <w:color w:val="000000" w:themeColor="text1"/>
          <w:sz w:val="21"/>
          <w:szCs w:val="21"/>
          <w:highlight w:val="none"/>
          <w14:textFill>
            <w14:solidFill>
              <w14:schemeClr w14:val="tx1"/>
            </w14:solidFill>
          </w14:textFill>
        </w:rPr>
      </w:pPr>
      <w:r>
        <w:rPr>
          <w:rFonts w:ascii="宋体" w:hAnsi="宋体"/>
          <w:b w:val="0"/>
          <w:color w:val="000000" w:themeColor="text1"/>
          <w:sz w:val="21"/>
          <w:szCs w:val="21"/>
          <w:highlight w:val="none"/>
          <w14:textFill>
            <w14:solidFill>
              <w14:schemeClr w14:val="tx1"/>
            </w14:solidFill>
          </w14:textFill>
        </w:rPr>
        <w:t>3</w:t>
      </w:r>
      <w:r>
        <w:rPr>
          <w:rFonts w:ascii="宋体" w:hAnsi="宋体"/>
          <w:b w:val="0"/>
          <w:bCs/>
          <w:color w:val="000000" w:themeColor="text1"/>
          <w:sz w:val="21"/>
          <w:szCs w:val="21"/>
          <w:highlight w:val="none"/>
          <w14:textFill>
            <w14:solidFill>
              <w14:schemeClr w14:val="tx1"/>
            </w14:solidFill>
          </w14:textFill>
        </w:rPr>
        <w:t>8.4</w:t>
      </w:r>
      <w:r>
        <w:rPr>
          <w:rFonts w:hint="eastAsia" w:ascii="宋体" w:hAnsi="宋体"/>
          <w:b w:val="0"/>
          <w:bCs/>
          <w:color w:val="000000" w:themeColor="text1"/>
          <w:sz w:val="21"/>
          <w:szCs w:val="21"/>
          <w:highlight w:val="none"/>
          <w14:textFill>
            <w14:solidFill>
              <w14:schemeClr w14:val="tx1"/>
            </w14:solidFill>
          </w14:textFill>
        </w:rPr>
        <w:t>采购人、采购代理机构认为供应商质疑不成立，或者成立但未对中标结果构成影响的，继续开展采购活动；认为供应商质疑成立且影响或者可能影响中标结果的，按照下列情况处理：</w:t>
      </w:r>
    </w:p>
    <w:p w14:paraId="1AAB5064">
      <w:pPr>
        <w:pStyle w:val="25"/>
        <w:spacing w:line="360" w:lineRule="auto"/>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　　（一）对招标文件提出的质疑，依法通过澄清或者修改可以继续开展采购活动的，澄清或者修改招标文件后继续开展采购活动；否则应当修改招标文件后重新开展采购活动。</w:t>
      </w:r>
    </w:p>
    <w:p w14:paraId="61AE06CD">
      <w:pPr>
        <w:pStyle w:val="25"/>
        <w:spacing w:line="360" w:lineRule="auto"/>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　　（二）对采购过程、中标结果提出的质疑，合格供应商符合法定数量时，可以从合格的中标候选人中另行确定中标人的，应当依法另行确定中标人；否则应当重新开展采购活动。</w:t>
      </w:r>
    </w:p>
    <w:p w14:paraId="2CD0812A">
      <w:pPr>
        <w:pStyle w:val="25"/>
        <w:spacing w:line="360" w:lineRule="auto"/>
        <w:ind w:firstLine="420"/>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质疑答复导致中标结果改变的，采购人或者采购代理机构应当将有关情况书面报告本级财政部门。</w:t>
      </w:r>
    </w:p>
    <w:p w14:paraId="115D28D9">
      <w:pPr>
        <w:pStyle w:val="25"/>
        <w:spacing w:line="360" w:lineRule="auto"/>
        <w:ind w:firstLine="420"/>
        <w:rPr>
          <w:rFonts w:hAnsi="宋体"/>
          <w:color w:val="000000" w:themeColor="text1"/>
          <w:sz w:val="21"/>
          <w:highlight w:val="none"/>
          <w14:textFill>
            <w14:solidFill>
              <w14:schemeClr w14:val="tx1"/>
            </w14:solidFill>
          </w14:textFill>
        </w:rPr>
      </w:pPr>
      <w:r>
        <w:rPr>
          <w:rFonts w:hAnsi="宋体"/>
          <w:color w:val="000000" w:themeColor="text1"/>
          <w:sz w:val="21"/>
          <w:highlight w:val="none"/>
          <w14:textFill>
            <w14:solidFill>
              <w14:schemeClr w14:val="tx1"/>
            </w14:solidFill>
          </w14:textFill>
        </w:rPr>
        <w:t>38</w:t>
      </w:r>
      <w:r>
        <w:rPr>
          <w:rFonts w:hint="eastAsia" w:hAnsi="宋体"/>
          <w:color w:val="000000" w:themeColor="text1"/>
          <w:sz w:val="21"/>
          <w:highlight w:val="none"/>
          <w14:textFill>
            <w14:solidFill>
              <w14:schemeClr w14:val="tx1"/>
            </w14:solidFill>
          </w14:textFill>
        </w:rPr>
        <w:t>.</w:t>
      </w:r>
      <w:r>
        <w:rPr>
          <w:rFonts w:hAnsi="宋体"/>
          <w:color w:val="000000" w:themeColor="text1"/>
          <w:sz w:val="21"/>
          <w:highlight w:val="none"/>
          <w14:textFill>
            <w14:solidFill>
              <w14:schemeClr w14:val="tx1"/>
            </w14:solidFill>
          </w14:textFill>
        </w:rPr>
        <w:t>5</w:t>
      </w:r>
      <w:r>
        <w:rPr>
          <w:rFonts w:hint="eastAsia" w:hAnsi="宋体"/>
          <w:color w:val="000000" w:themeColor="text1"/>
          <w:sz w:val="21"/>
          <w:highlight w:val="none"/>
          <w14:textFill>
            <w14:solidFill>
              <w14:schemeClr w14:val="tx1"/>
            </w14:solidFill>
          </w14:textFill>
        </w:rPr>
        <w:t>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42239B63">
      <w:pPr>
        <w:pStyle w:val="4"/>
        <w:keepNext w:val="0"/>
        <w:keepLines w:val="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八、其他事项</w:t>
      </w:r>
    </w:p>
    <w:p w14:paraId="78C21970">
      <w:pPr>
        <w:pStyle w:val="6"/>
        <w:keepNext w:val="0"/>
        <w:keepLines w:val="0"/>
        <w:spacing w:before="0" w:after="0" w:line="360" w:lineRule="auto"/>
        <w:ind w:left="42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3</w:t>
      </w:r>
      <w:r>
        <w:rPr>
          <w:rFonts w:ascii="黑体" w:hAnsi="黑体" w:eastAsia="黑体"/>
          <w:color w:val="000000" w:themeColor="text1"/>
          <w:sz w:val="24"/>
          <w:highlight w:val="none"/>
          <w14:textFill>
            <w14:solidFill>
              <w14:schemeClr w14:val="tx1"/>
            </w14:solidFill>
          </w14:textFill>
        </w:rPr>
        <w:t>9</w:t>
      </w:r>
      <w:r>
        <w:rPr>
          <w:rFonts w:hint="eastAsia" w:ascii="黑体" w:hAnsi="黑体" w:eastAsia="黑体"/>
          <w:color w:val="000000" w:themeColor="text1"/>
          <w:sz w:val="24"/>
          <w:highlight w:val="none"/>
          <w14:textFill>
            <w14:solidFill>
              <w14:schemeClr w14:val="tx1"/>
            </w14:solidFill>
          </w14:textFill>
        </w:rPr>
        <w:t>.代理服务费</w:t>
      </w:r>
    </w:p>
    <w:p w14:paraId="708B2063">
      <w:pPr>
        <w:pStyle w:val="6"/>
        <w:keepNext w:val="0"/>
        <w:keepLines w:val="0"/>
        <w:spacing w:before="0" w:after="0" w:line="360" w:lineRule="auto"/>
        <w:ind w:firstLine="420"/>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3</w:t>
      </w:r>
      <w:r>
        <w:rPr>
          <w:rFonts w:ascii="宋体" w:hAnsi="宋体"/>
          <w:b w:val="0"/>
          <w:color w:val="000000" w:themeColor="text1"/>
          <w:sz w:val="21"/>
          <w:szCs w:val="21"/>
          <w:highlight w:val="none"/>
          <w14:textFill>
            <w14:solidFill>
              <w14:schemeClr w14:val="tx1"/>
            </w14:solidFill>
          </w14:textFill>
        </w:rPr>
        <w:t>9</w:t>
      </w:r>
      <w:r>
        <w:rPr>
          <w:rFonts w:hint="eastAsia" w:ascii="宋体" w:hAnsi="宋体"/>
          <w:b w:val="0"/>
          <w:color w:val="000000" w:themeColor="text1"/>
          <w:sz w:val="21"/>
          <w:szCs w:val="21"/>
          <w:highlight w:val="none"/>
          <w14:textFill>
            <w14:solidFill>
              <w14:schemeClr w14:val="tx1"/>
            </w14:solidFill>
          </w14:textFill>
        </w:rPr>
        <w:t>.1代理服务费收取标准及缴费账户详见“投标人须知前附表”，投标人为联合体的，可以由联合体中的一方或者多方共同交纳代理服务费。</w:t>
      </w:r>
    </w:p>
    <w:p w14:paraId="32E54DA4">
      <w:pPr>
        <w:pStyle w:val="6"/>
        <w:keepNext w:val="0"/>
        <w:keepLines w:val="0"/>
        <w:spacing w:before="0" w:after="0" w:line="360" w:lineRule="auto"/>
        <w:ind w:left="420"/>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3</w:t>
      </w:r>
      <w:r>
        <w:rPr>
          <w:rFonts w:ascii="宋体" w:hAnsi="宋体"/>
          <w:b w:val="0"/>
          <w:color w:val="000000" w:themeColor="text1"/>
          <w:sz w:val="21"/>
          <w:szCs w:val="21"/>
          <w:highlight w:val="none"/>
          <w14:textFill>
            <w14:solidFill>
              <w14:schemeClr w14:val="tx1"/>
            </w14:solidFill>
          </w14:textFill>
        </w:rPr>
        <w:t>9</w:t>
      </w:r>
      <w:r>
        <w:rPr>
          <w:rFonts w:hint="eastAsia" w:ascii="宋体" w:hAnsi="宋体"/>
          <w:b w:val="0"/>
          <w:color w:val="000000" w:themeColor="text1"/>
          <w:sz w:val="21"/>
          <w:szCs w:val="21"/>
          <w:highlight w:val="none"/>
          <w14:textFill>
            <w14:solidFill>
              <w14:schemeClr w14:val="tx1"/>
            </w14:solidFill>
          </w14:textFill>
        </w:rPr>
        <w:t>.2代理服务收费标准：</w:t>
      </w:r>
    </w:p>
    <w:p w14:paraId="6929C548">
      <w:pPr>
        <w:spacing w:line="360" w:lineRule="auto"/>
        <w:rPr>
          <w:rFonts w:ascii="宋体" w:hAnsi="宋体"/>
          <w:color w:val="000000" w:themeColor="text1"/>
          <w:szCs w:val="21"/>
          <w:highlight w:val="none"/>
          <w14:textFill>
            <w14:solidFill>
              <w14:schemeClr w14:val="tx1"/>
            </w14:solidFill>
          </w14:textFill>
        </w:rPr>
      </w:pPr>
    </w:p>
    <w:tbl>
      <w:tblPr>
        <w:tblStyle w:val="50"/>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gridCol w:w="1687"/>
        <w:gridCol w:w="1659"/>
      </w:tblGrid>
      <w:tr w14:paraId="06293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noWrap w:val="0"/>
          </w:tcPr>
          <w:p w14:paraId="5EB144AF">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费率</w:t>
            </w:r>
          </w:p>
          <w:p w14:paraId="67D1A2B8">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预算金额</w:t>
            </w:r>
          </w:p>
        </w:tc>
        <w:tc>
          <w:tcPr>
            <w:tcW w:w="1659" w:type="dxa"/>
            <w:tcBorders>
              <w:top w:val="single" w:color="auto" w:sz="4" w:space="0"/>
              <w:left w:val="single" w:color="auto" w:sz="4" w:space="0"/>
              <w:bottom w:val="single" w:color="auto" w:sz="4" w:space="0"/>
              <w:right w:val="single" w:color="auto" w:sz="4" w:space="0"/>
            </w:tcBorders>
            <w:noWrap w:val="0"/>
            <w:vAlign w:val="center"/>
          </w:tcPr>
          <w:p w14:paraId="73397322">
            <w:pPr>
              <w:spacing w:line="360" w:lineRule="auto"/>
              <w:ind w:firstLine="105"/>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货物招标</w:t>
            </w:r>
          </w:p>
        </w:tc>
        <w:tc>
          <w:tcPr>
            <w:tcW w:w="1687" w:type="dxa"/>
            <w:tcBorders>
              <w:top w:val="single" w:color="auto" w:sz="4" w:space="0"/>
              <w:left w:val="single" w:color="auto" w:sz="4" w:space="0"/>
              <w:bottom w:val="single" w:color="auto" w:sz="4" w:space="0"/>
              <w:right w:val="single" w:color="auto" w:sz="4" w:space="0"/>
            </w:tcBorders>
            <w:noWrap w:val="0"/>
            <w:vAlign w:val="center"/>
          </w:tcPr>
          <w:p w14:paraId="4AF6357A">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服务招标</w:t>
            </w:r>
          </w:p>
        </w:tc>
        <w:tc>
          <w:tcPr>
            <w:tcW w:w="1659" w:type="dxa"/>
            <w:tcBorders>
              <w:top w:val="single" w:color="auto" w:sz="4" w:space="0"/>
              <w:left w:val="single" w:color="auto" w:sz="4" w:space="0"/>
              <w:bottom w:val="single" w:color="auto" w:sz="4" w:space="0"/>
              <w:right w:val="single" w:color="auto" w:sz="4" w:space="0"/>
            </w:tcBorders>
            <w:noWrap w:val="0"/>
            <w:vAlign w:val="center"/>
          </w:tcPr>
          <w:p w14:paraId="59220554">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工程招标</w:t>
            </w:r>
          </w:p>
        </w:tc>
      </w:tr>
      <w:tr w14:paraId="56AD7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noWrap w:val="0"/>
          </w:tcPr>
          <w:p w14:paraId="396CBAE7">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100万元以下</w:t>
            </w:r>
          </w:p>
        </w:tc>
        <w:tc>
          <w:tcPr>
            <w:tcW w:w="1659" w:type="dxa"/>
            <w:tcBorders>
              <w:top w:val="single" w:color="auto" w:sz="4" w:space="0"/>
              <w:left w:val="single" w:color="auto" w:sz="4" w:space="0"/>
              <w:bottom w:val="single" w:color="auto" w:sz="4" w:space="0"/>
              <w:right w:val="single" w:color="auto" w:sz="4" w:space="0"/>
            </w:tcBorders>
            <w:noWrap w:val="0"/>
          </w:tcPr>
          <w:p w14:paraId="2D6FB6D1">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  1.5%                </w:t>
            </w:r>
          </w:p>
        </w:tc>
        <w:tc>
          <w:tcPr>
            <w:tcW w:w="1687" w:type="dxa"/>
            <w:tcBorders>
              <w:top w:val="single" w:color="auto" w:sz="4" w:space="0"/>
              <w:left w:val="single" w:color="auto" w:sz="4" w:space="0"/>
              <w:bottom w:val="single" w:color="auto" w:sz="4" w:space="0"/>
              <w:right w:val="single" w:color="auto" w:sz="4" w:space="0"/>
            </w:tcBorders>
            <w:noWrap w:val="0"/>
          </w:tcPr>
          <w:p w14:paraId="634F95B8">
            <w:pPr>
              <w:spacing w:line="360" w:lineRule="auto"/>
              <w:ind w:firstLine="210"/>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w:t>
            </w:r>
          </w:p>
        </w:tc>
        <w:tc>
          <w:tcPr>
            <w:tcW w:w="1659" w:type="dxa"/>
            <w:tcBorders>
              <w:top w:val="single" w:color="auto" w:sz="4" w:space="0"/>
              <w:left w:val="single" w:color="auto" w:sz="4" w:space="0"/>
              <w:bottom w:val="single" w:color="auto" w:sz="4" w:space="0"/>
              <w:right w:val="single" w:color="auto" w:sz="4" w:space="0"/>
            </w:tcBorders>
            <w:noWrap w:val="0"/>
          </w:tcPr>
          <w:p w14:paraId="605B7141">
            <w:pPr>
              <w:spacing w:line="360" w:lineRule="auto"/>
              <w:ind w:firstLine="210"/>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1.0% </w:t>
            </w:r>
          </w:p>
        </w:tc>
      </w:tr>
      <w:tr w14:paraId="6836A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noWrap w:val="0"/>
          </w:tcPr>
          <w:p w14:paraId="7C4B0860">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100万元～500万元</w:t>
            </w:r>
          </w:p>
        </w:tc>
        <w:tc>
          <w:tcPr>
            <w:tcW w:w="1659" w:type="dxa"/>
            <w:tcBorders>
              <w:top w:val="single" w:color="auto" w:sz="4" w:space="0"/>
              <w:left w:val="single" w:color="auto" w:sz="4" w:space="0"/>
              <w:bottom w:val="single" w:color="auto" w:sz="4" w:space="0"/>
              <w:right w:val="single" w:color="auto" w:sz="4" w:space="0"/>
            </w:tcBorders>
            <w:noWrap w:val="0"/>
          </w:tcPr>
          <w:p w14:paraId="084F2F23">
            <w:pPr>
              <w:spacing w:line="360" w:lineRule="auto"/>
              <w:ind w:firstLine="210"/>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1.1%                 </w:t>
            </w:r>
          </w:p>
        </w:tc>
        <w:tc>
          <w:tcPr>
            <w:tcW w:w="1687" w:type="dxa"/>
            <w:tcBorders>
              <w:top w:val="single" w:color="auto" w:sz="4" w:space="0"/>
              <w:left w:val="single" w:color="auto" w:sz="4" w:space="0"/>
              <w:bottom w:val="single" w:color="auto" w:sz="4" w:space="0"/>
              <w:right w:val="single" w:color="auto" w:sz="4" w:space="0"/>
            </w:tcBorders>
            <w:noWrap w:val="0"/>
          </w:tcPr>
          <w:p w14:paraId="595D94F3">
            <w:pPr>
              <w:spacing w:line="360" w:lineRule="auto"/>
              <w:ind w:firstLine="210"/>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0.8%</w:t>
            </w:r>
          </w:p>
        </w:tc>
        <w:tc>
          <w:tcPr>
            <w:tcW w:w="1659" w:type="dxa"/>
            <w:tcBorders>
              <w:top w:val="single" w:color="auto" w:sz="4" w:space="0"/>
              <w:left w:val="single" w:color="auto" w:sz="4" w:space="0"/>
              <w:bottom w:val="single" w:color="auto" w:sz="4" w:space="0"/>
              <w:right w:val="single" w:color="auto" w:sz="4" w:space="0"/>
            </w:tcBorders>
            <w:noWrap w:val="0"/>
          </w:tcPr>
          <w:p w14:paraId="49039333">
            <w:pPr>
              <w:spacing w:line="360" w:lineRule="auto"/>
              <w:ind w:firstLine="210"/>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0.7% </w:t>
            </w:r>
          </w:p>
        </w:tc>
      </w:tr>
      <w:tr w14:paraId="2460C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noWrap w:val="0"/>
          </w:tcPr>
          <w:p w14:paraId="205F34AB">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500万元～1000万元</w:t>
            </w:r>
          </w:p>
        </w:tc>
        <w:tc>
          <w:tcPr>
            <w:tcW w:w="1659" w:type="dxa"/>
            <w:tcBorders>
              <w:top w:val="single" w:color="auto" w:sz="4" w:space="0"/>
              <w:left w:val="single" w:color="auto" w:sz="4" w:space="0"/>
              <w:bottom w:val="single" w:color="auto" w:sz="4" w:space="0"/>
              <w:right w:val="single" w:color="auto" w:sz="4" w:space="0"/>
            </w:tcBorders>
            <w:noWrap w:val="0"/>
          </w:tcPr>
          <w:p w14:paraId="08FDEF69">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  0.8%                </w:t>
            </w:r>
          </w:p>
        </w:tc>
        <w:tc>
          <w:tcPr>
            <w:tcW w:w="1687" w:type="dxa"/>
            <w:tcBorders>
              <w:top w:val="single" w:color="auto" w:sz="4" w:space="0"/>
              <w:left w:val="single" w:color="auto" w:sz="4" w:space="0"/>
              <w:bottom w:val="single" w:color="auto" w:sz="4" w:space="0"/>
              <w:right w:val="single" w:color="auto" w:sz="4" w:space="0"/>
            </w:tcBorders>
            <w:noWrap w:val="0"/>
          </w:tcPr>
          <w:p w14:paraId="5FB74CC1">
            <w:pPr>
              <w:spacing w:line="360" w:lineRule="auto"/>
              <w:ind w:firstLine="210"/>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0.45%</w:t>
            </w:r>
          </w:p>
        </w:tc>
        <w:tc>
          <w:tcPr>
            <w:tcW w:w="1659" w:type="dxa"/>
            <w:tcBorders>
              <w:top w:val="single" w:color="auto" w:sz="4" w:space="0"/>
              <w:left w:val="single" w:color="auto" w:sz="4" w:space="0"/>
              <w:bottom w:val="single" w:color="auto" w:sz="4" w:space="0"/>
              <w:right w:val="single" w:color="auto" w:sz="4" w:space="0"/>
            </w:tcBorders>
            <w:noWrap w:val="0"/>
          </w:tcPr>
          <w:p w14:paraId="26F29C13">
            <w:pPr>
              <w:spacing w:line="360" w:lineRule="auto"/>
              <w:ind w:firstLine="210"/>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0.55%</w:t>
            </w:r>
          </w:p>
        </w:tc>
      </w:tr>
      <w:tr w14:paraId="59100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noWrap w:val="0"/>
          </w:tcPr>
          <w:p w14:paraId="2F575B20">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1000万元～5000万元</w:t>
            </w:r>
          </w:p>
        </w:tc>
        <w:tc>
          <w:tcPr>
            <w:tcW w:w="1659" w:type="dxa"/>
            <w:tcBorders>
              <w:top w:val="single" w:color="auto" w:sz="4" w:space="0"/>
              <w:left w:val="single" w:color="auto" w:sz="4" w:space="0"/>
              <w:bottom w:val="single" w:color="auto" w:sz="4" w:space="0"/>
              <w:right w:val="single" w:color="auto" w:sz="4" w:space="0"/>
            </w:tcBorders>
            <w:noWrap w:val="0"/>
          </w:tcPr>
          <w:p w14:paraId="0B37BF36">
            <w:pPr>
              <w:spacing w:line="360" w:lineRule="auto"/>
              <w:ind w:firstLine="210"/>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0.5%                </w:t>
            </w:r>
          </w:p>
        </w:tc>
        <w:tc>
          <w:tcPr>
            <w:tcW w:w="1687" w:type="dxa"/>
            <w:tcBorders>
              <w:top w:val="single" w:color="auto" w:sz="4" w:space="0"/>
              <w:left w:val="single" w:color="auto" w:sz="4" w:space="0"/>
              <w:bottom w:val="single" w:color="auto" w:sz="4" w:space="0"/>
              <w:right w:val="single" w:color="auto" w:sz="4" w:space="0"/>
            </w:tcBorders>
            <w:noWrap w:val="0"/>
          </w:tcPr>
          <w:p w14:paraId="29E19815">
            <w:pPr>
              <w:spacing w:line="360" w:lineRule="auto"/>
              <w:ind w:firstLine="210"/>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0.25%</w:t>
            </w:r>
          </w:p>
        </w:tc>
        <w:tc>
          <w:tcPr>
            <w:tcW w:w="1659" w:type="dxa"/>
            <w:tcBorders>
              <w:top w:val="single" w:color="auto" w:sz="4" w:space="0"/>
              <w:left w:val="single" w:color="auto" w:sz="4" w:space="0"/>
              <w:bottom w:val="single" w:color="auto" w:sz="4" w:space="0"/>
              <w:right w:val="single" w:color="auto" w:sz="4" w:space="0"/>
            </w:tcBorders>
            <w:noWrap w:val="0"/>
          </w:tcPr>
          <w:p w14:paraId="56A3BD41">
            <w:pPr>
              <w:spacing w:line="360" w:lineRule="auto"/>
              <w:ind w:firstLine="210"/>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0.35% </w:t>
            </w:r>
          </w:p>
        </w:tc>
      </w:tr>
      <w:tr w14:paraId="46F77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noWrap w:val="0"/>
          </w:tcPr>
          <w:p w14:paraId="222C970E">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5000万元～1亿元</w:t>
            </w:r>
          </w:p>
        </w:tc>
        <w:tc>
          <w:tcPr>
            <w:tcW w:w="1659" w:type="dxa"/>
            <w:tcBorders>
              <w:top w:val="single" w:color="auto" w:sz="4" w:space="0"/>
              <w:left w:val="single" w:color="auto" w:sz="4" w:space="0"/>
              <w:bottom w:val="single" w:color="auto" w:sz="4" w:space="0"/>
              <w:right w:val="single" w:color="auto" w:sz="4" w:space="0"/>
            </w:tcBorders>
            <w:noWrap w:val="0"/>
          </w:tcPr>
          <w:p w14:paraId="66568D15">
            <w:pPr>
              <w:spacing w:line="360" w:lineRule="auto"/>
              <w:ind w:firstLine="210"/>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0.25%                 </w:t>
            </w:r>
          </w:p>
        </w:tc>
        <w:tc>
          <w:tcPr>
            <w:tcW w:w="1687" w:type="dxa"/>
            <w:tcBorders>
              <w:top w:val="single" w:color="auto" w:sz="4" w:space="0"/>
              <w:left w:val="single" w:color="auto" w:sz="4" w:space="0"/>
              <w:bottom w:val="single" w:color="auto" w:sz="4" w:space="0"/>
              <w:right w:val="single" w:color="auto" w:sz="4" w:space="0"/>
            </w:tcBorders>
            <w:noWrap w:val="0"/>
          </w:tcPr>
          <w:p w14:paraId="1FE96D01">
            <w:pPr>
              <w:spacing w:line="360" w:lineRule="auto"/>
              <w:ind w:firstLine="210"/>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0.1%</w:t>
            </w:r>
          </w:p>
        </w:tc>
        <w:tc>
          <w:tcPr>
            <w:tcW w:w="1659" w:type="dxa"/>
            <w:tcBorders>
              <w:top w:val="single" w:color="auto" w:sz="4" w:space="0"/>
              <w:left w:val="single" w:color="auto" w:sz="4" w:space="0"/>
              <w:bottom w:val="single" w:color="auto" w:sz="4" w:space="0"/>
              <w:right w:val="single" w:color="auto" w:sz="4" w:space="0"/>
            </w:tcBorders>
            <w:noWrap w:val="0"/>
          </w:tcPr>
          <w:p w14:paraId="6CEB2CC0">
            <w:pPr>
              <w:spacing w:line="360" w:lineRule="auto"/>
              <w:ind w:firstLine="210"/>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0.2%</w:t>
            </w:r>
          </w:p>
        </w:tc>
      </w:tr>
      <w:tr w14:paraId="40206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noWrap w:val="0"/>
          </w:tcPr>
          <w:p w14:paraId="01F9C977">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1亿元～5亿元</w:t>
            </w:r>
          </w:p>
        </w:tc>
        <w:tc>
          <w:tcPr>
            <w:tcW w:w="1659" w:type="dxa"/>
            <w:tcBorders>
              <w:top w:val="single" w:color="auto" w:sz="4" w:space="0"/>
              <w:left w:val="single" w:color="auto" w:sz="4" w:space="0"/>
              <w:bottom w:val="single" w:color="auto" w:sz="4" w:space="0"/>
              <w:right w:val="single" w:color="auto" w:sz="4" w:space="0"/>
            </w:tcBorders>
            <w:noWrap w:val="0"/>
          </w:tcPr>
          <w:p w14:paraId="6E58FD3D">
            <w:pPr>
              <w:spacing w:line="360" w:lineRule="auto"/>
              <w:ind w:firstLine="21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0.05%</w:t>
            </w:r>
          </w:p>
        </w:tc>
        <w:tc>
          <w:tcPr>
            <w:tcW w:w="1687" w:type="dxa"/>
            <w:tcBorders>
              <w:top w:val="single" w:color="auto" w:sz="4" w:space="0"/>
              <w:left w:val="single" w:color="auto" w:sz="4" w:space="0"/>
              <w:bottom w:val="single" w:color="auto" w:sz="4" w:space="0"/>
              <w:right w:val="single" w:color="auto" w:sz="4" w:space="0"/>
            </w:tcBorders>
            <w:noWrap w:val="0"/>
          </w:tcPr>
          <w:p w14:paraId="25B5A7AB">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0.05%</w:t>
            </w:r>
          </w:p>
        </w:tc>
        <w:tc>
          <w:tcPr>
            <w:tcW w:w="1659" w:type="dxa"/>
            <w:tcBorders>
              <w:top w:val="single" w:color="auto" w:sz="4" w:space="0"/>
              <w:left w:val="single" w:color="auto" w:sz="4" w:space="0"/>
              <w:bottom w:val="single" w:color="auto" w:sz="4" w:space="0"/>
              <w:right w:val="single" w:color="auto" w:sz="4" w:space="0"/>
            </w:tcBorders>
            <w:noWrap w:val="0"/>
          </w:tcPr>
          <w:p w14:paraId="2AD20A7B">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0.05%</w:t>
            </w:r>
          </w:p>
        </w:tc>
      </w:tr>
      <w:tr w14:paraId="110C3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noWrap w:val="0"/>
          </w:tcPr>
          <w:p w14:paraId="1DEFC104">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5亿元～10亿元</w:t>
            </w:r>
          </w:p>
        </w:tc>
        <w:tc>
          <w:tcPr>
            <w:tcW w:w="1659" w:type="dxa"/>
            <w:tcBorders>
              <w:top w:val="single" w:color="auto" w:sz="4" w:space="0"/>
              <w:left w:val="single" w:color="auto" w:sz="4" w:space="0"/>
              <w:bottom w:val="single" w:color="auto" w:sz="4" w:space="0"/>
              <w:right w:val="single" w:color="auto" w:sz="4" w:space="0"/>
            </w:tcBorders>
            <w:noWrap w:val="0"/>
          </w:tcPr>
          <w:p w14:paraId="75FC176A">
            <w:pPr>
              <w:spacing w:line="360" w:lineRule="auto"/>
              <w:ind w:firstLine="10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0.035%</w:t>
            </w:r>
          </w:p>
        </w:tc>
        <w:tc>
          <w:tcPr>
            <w:tcW w:w="1687" w:type="dxa"/>
            <w:tcBorders>
              <w:top w:val="single" w:color="auto" w:sz="4" w:space="0"/>
              <w:left w:val="single" w:color="auto" w:sz="4" w:space="0"/>
              <w:bottom w:val="single" w:color="auto" w:sz="4" w:space="0"/>
              <w:right w:val="single" w:color="auto" w:sz="4" w:space="0"/>
            </w:tcBorders>
            <w:noWrap w:val="0"/>
          </w:tcPr>
          <w:p w14:paraId="77878012">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0.035%</w:t>
            </w:r>
          </w:p>
        </w:tc>
        <w:tc>
          <w:tcPr>
            <w:tcW w:w="1659" w:type="dxa"/>
            <w:tcBorders>
              <w:top w:val="single" w:color="auto" w:sz="4" w:space="0"/>
              <w:left w:val="single" w:color="auto" w:sz="4" w:space="0"/>
              <w:bottom w:val="single" w:color="auto" w:sz="4" w:space="0"/>
              <w:right w:val="single" w:color="auto" w:sz="4" w:space="0"/>
            </w:tcBorders>
            <w:noWrap w:val="0"/>
          </w:tcPr>
          <w:p w14:paraId="60DA96B6">
            <w:pPr>
              <w:spacing w:line="360" w:lineRule="auto"/>
              <w:ind w:firstLine="10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0.035%</w:t>
            </w:r>
          </w:p>
        </w:tc>
      </w:tr>
      <w:tr w14:paraId="0DE4C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noWrap w:val="0"/>
          </w:tcPr>
          <w:p w14:paraId="5885B6D4">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10亿元～50亿元</w:t>
            </w:r>
          </w:p>
        </w:tc>
        <w:tc>
          <w:tcPr>
            <w:tcW w:w="1659" w:type="dxa"/>
            <w:tcBorders>
              <w:top w:val="single" w:color="auto" w:sz="4" w:space="0"/>
              <w:left w:val="single" w:color="auto" w:sz="4" w:space="0"/>
              <w:bottom w:val="single" w:color="auto" w:sz="4" w:space="0"/>
              <w:right w:val="single" w:color="auto" w:sz="4" w:space="0"/>
            </w:tcBorders>
            <w:noWrap w:val="0"/>
          </w:tcPr>
          <w:p w14:paraId="752799AD">
            <w:pPr>
              <w:spacing w:line="360" w:lineRule="auto"/>
              <w:ind w:firstLine="10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0.008%</w:t>
            </w:r>
          </w:p>
        </w:tc>
        <w:tc>
          <w:tcPr>
            <w:tcW w:w="1687" w:type="dxa"/>
            <w:tcBorders>
              <w:top w:val="single" w:color="auto" w:sz="4" w:space="0"/>
              <w:left w:val="single" w:color="auto" w:sz="4" w:space="0"/>
              <w:bottom w:val="single" w:color="auto" w:sz="4" w:space="0"/>
              <w:right w:val="single" w:color="auto" w:sz="4" w:space="0"/>
            </w:tcBorders>
            <w:noWrap w:val="0"/>
          </w:tcPr>
          <w:p w14:paraId="25DB8D8C">
            <w:pPr>
              <w:spacing w:line="360" w:lineRule="auto"/>
              <w:ind w:firstLine="21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0.008%</w:t>
            </w:r>
          </w:p>
        </w:tc>
        <w:tc>
          <w:tcPr>
            <w:tcW w:w="1659" w:type="dxa"/>
            <w:tcBorders>
              <w:top w:val="single" w:color="auto" w:sz="4" w:space="0"/>
              <w:left w:val="single" w:color="auto" w:sz="4" w:space="0"/>
              <w:bottom w:val="single" w:color="auto" w:sz="4" w:space="0"/>
              <w:right w:val="single" w:color="auto" w:sz="4" w:space="0"/>
            </w:tcBorders>
            <w:noWrap w:val="0"/>
          </w:tcPr>
          <w:p w14:paraId="0B98C0F2">
            <w:pPr>
              <w:spacing w:line="360" w:lineRule="auto"/>
              <w:ind w:firstLine="10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0.008%</w:t>
            </w:r>
          </w:p>
        </w:tc>
      </w:tr>
      <w:tr w14:paraId="3FEDD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noWrap w:val="0"/>
          </w:tcPr>
          <w:p w14:paraId="5C7ABE99">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50亿元～100亿元</w:t>
            </w:r>
          </w:p>
        </w:tc>
        <w:tc>
          <w:tcPr>
            <w:tcW w:w="1659" w:type="dxa"/>
            <w:tcBorders>
              <w:top w:val="single" w:color="auto" w:sz="4" w:space="0"/>
              <w:left w:val="single" w:color="auto" w:sz="4" w:space="0"/>
              <w:bottom w:val="single" w:color="auto" w:sz="4" w:space="0"/>
              <w:right w:val="single" w:color="auto" w:sz="4" w:space="0"/>
            </w:tcBorders>
            <w:noWrap w:val="0"/>
          </w:tcPr>
          <w:p w14:paraId="5007A193">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0.006%</w:t>
            </w:r>
          </w:p>
        </w:tc>
        <w:tc>
          <w:tcPr>
            <w:tcW w:w="1687" w:type="dxa"/>
            <w:tcBorders>
              <w:top w:val="single" w:color="auto" w:sz="4" w:space="0"/>
              <w:left w:val="single" w:color="auto" w:sz="4" w:space="0"/>
              <w:bottom w:val="single" w:color="auto" w:sz="4" w:space="0"/>
              <w:right w:val="single" w:color="auto" w:sz="4" w:space="0"/>
            </w:tcBorders>
            <w:noWrap w:val="0"/>
          </w:tcPr>
          <w:p w14:paraId="74B8A57B">
            <w:pPr>
              <w:spacing w:line="360" w:lineRule="auto"/>
              <w:ind w:firstLine="21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0.006%</w:t>
            </w:r>
          </w:p>
        </w:tc>
        <w:tc>
          <w:tcPr>
            <w:tcW w:w="1659" w:type="dxa"/>
            <w:tcBorders>
              <w:top w:val="single" w:color="auto" w:sz="4" w:space="0"/>
              <w:left w:val="single" w:color="auto" w:sz="4" w:space="0"/>
              <w:bottom w:val="single" w:color="auto" w:sz="4" w:space="0"/>
              <w:right w:val="single" w:color="auto" w:sz="4" w:space="0"/>
            </w:tcBorders>
            <w:noWrap w:val="0"/>
          </w:tcPr>
          <w:p w14:paraId="6D5171EF">
            <w:pPr>
              <w:spacing w:line="360" w:lineRule="auto"/>
              <w:ind w:firstLine="10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0.006%</w:t>
            </w:r>
          </w:p>
        </w:tc>
      </w:tr>
      <w:tr w14:paraId="4E7F5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noWrap w:val="0"/>
          </w:tcPr>
          <w:p w14:paraId="664FEFAB">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100亿元以上</w:t>
            </w:r>
          </w:p>
        </w:tc>
        <w:tc>
          <w:tcPr>
            <w:tcW w:w="1659" w:type="dxa"/>
            <w:tcBorders>
              <w:top w:val="single" w:color="auto" w:sz="4" w:space="0"/>
              <w:left w:val="single" w:color="auto" w:sz="4" w:space="0"/>
              <w:bottom w:val="single" w:color="auto" w:sz="4" w:space="0"/>
              <w:right w:val="single" w:color="auto" w:sz="4" w:space="0"/>
            </w:tcBorders>
            <w:noWrap w:val="0"/>
          </w:tcPr>
          <w:p w14:paraId="337AEDD0">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0.004%</w:t>
            </w:r>
          </w:p>
        </w:tc>
        <w:tc>
          <w:tcPr>
            <w:tcW w:w="1687" w:type="dxa"/>
            <w:tcBorders>
              <w:top w:val="single" w:color="auto" w:sz="4" w:space="0"/>
              <w:left w:val="single" w:color="auto" w:sz="4" w:space="0"/>
              <w:bottom w:val="single" w:color="auto" w:sz="4" w:space="0"/>
              <w:right w:val="single" w:color="auto" w:sz="4" w:space="0"/>
            </w:tcBorders>
            <w:noWrap w:val="0"/>
          </w:tcPr>
          <w:p w14:paraId="236678EC">
            <w:pPr>
              <w:spacing w:line="360" w:lineRule="auto"/>
              <w:ind w:firstLine="21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0.004%</w:t>
            </w:r>
          </w:p>
        </w:tc>
        <w:tc>
          <w:tcPr>
            <w:tcW w:w="1659" w:type="dxa"/>
            <w:tcBorders>
              <w:top w:val="single" w:color="auto" w:sz="4" w:space="0"/>
              <w:left w:val="single" w:color="auto" w:sz="4" w:space="0"/>
              <w:bottom w:val="single" w:color="auto" w:sz="4" w:space="0"/>
              <w:right w:val="single" w:color="auto" w:sz="4" w:space="0"/>
            </w:tcBorders>
            <w:noWrap w:val="0"/>
          </w:tcPr>
          <w:p w14:paraId="6D3AAEF0">
            <w:pPr>
              <w:spacing w:line="360" w:lineRule="auto"/>
              <w:ind w:firstLine="10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0.004%</w:t>
            </w:r>
          </w:p>
        </w:tc>
      </w:tr>
    </w:tbl>
    <w:p w14:paraId="598F147D">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w:t>
      </w:r>
      <w:r>
        <w:rPr>
          <w:rFonts w:ascii="宋体" w:hAnsi="宋体" w:cs="宋体"/>
          <w:color w:val="000000" w:themeColor="text1"/>
          <w:szCs w:val="21"/>
          <w:highlight w:val="none"/>
          <w14:textFill>
            <w14:solidFill>
              <w14:schemeClr w14:val="tx1"/>
            </w14:solidFill>
          </w14:textFill>
        </w:rPr>
        <w:t xml:space="preserve"> </w:t>
      </w:r>
    </w:p>
    <w:p w14:paraId="0F93D4BA">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r>
        <w:rPr>
          <w:rFonts w:ascii="宋体" w:hAnsi="宋体" w:cs="宋体"/>
          <w:color w:val="000000" w:themeColor="text1"/>
          <w:szCs w:val="21"/>
          <w:highlight w:val="none"/>
          <w14:textFill>
            <w14:solidFill>
              <w14:schemeClr w14:val="tx1"/>
            </w14:solidFill>
          </w14:textFill>
        </w:rPr>
        <w:t>按本表费率计算的收费为</w:t>
      </w:r>
      <w:r>
        <w:rPr>
          <w:rFonts w:hint="eastAsia" w:ascii="宋体" w:hAnsi="宋体" w:cs="宋体"/>
          <w:color w:val="000000" w:themeColor="text1"/>
          <w:szCs w:val="21"/>
          <w:highlight w:val="none"/>
          <w14:textFill>
            <w14:solidFill>
              <w14:schemeClr w14:val="tx1"/>
            </w14:solidFill>
          </w14:textFill>
        </w:rPr>
        <w:t>采购</w:t>
      </w:r>
      <w:r>
        <w:rPr>
          <w:rFonts w:ascii="宋体" w:hAnsi="宋体" w:cs="宋体"/>
          <w:color w:val="000000" w:themeColor="text1"/>
          <w:szCs w:val="21"/>
          <w:highlight w:val="none"/>
          <w14:textFill>
            <w14:solidFill>
              <w14:schemeClr w14:val="tx1"/>
            </w14:solidFill>
          </w14:textFill>
        </w:rPr>
        <w:t>代理的收费基准价格</w:t>
      </w:r>
      <w:r>
        <w:rPr>
          <w:rFonts w:hint="eastAsia" w:ascii="宋体" w:hAnsi="宋体" w:cs="宋体"/>
          <w:color w:val="000000" w:themeColor="text1"/>
          <w:szCs w:val="21"/>
          <w:highlight w:val="none"/>
          <w14:textFill>
            <w14:solidFill>
              <w14:schemeClr w14:val="tx1"/>
            </w14:solidFill>
          </w14:textFill>
        </w:rPr>
        <w:t>；</w:t>
      </w:r>
    </w:p>
    <w:p w14:paraId="4A5F15CE">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（2）采购</w:t>
      </w:r>
      <w:r>
        <w:rPr>
          <w:rFonts w:ascii="宋体" w:hAnsi="宋体" w:cs="宋体"/>
          <w:color w:val="000000" w:themeColor="text1"/>
          <w:szCs w:val="21"/>
          <w:highlight w:val="none"/>
          <w14:textFill>
            <w14:solidFill>
              <w14:schemeClr w14:val="tx1"/>
            </w14:solidFill>
          </w14:textFill>
        </w:rPr>
        <w:t>代理收费按差额定率累进法计算。</w:t>
      </w:r>
    </w:p>
    <w:p w14:paraId="1F90E02D">
      <w:pPr>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例如：某</w:t>
      </w:r>
      <w:r>
        <w:rPr>
          <w:rFonts w:hint="eastAsia" w:ascii="宋体" w:hAnsi="宋体" w:cs="宋体"/>
          <w:color w:val="000000" w:themeColor="text1"/>
          <w:szCs w:val="21"/>
          <w:highlight w:val="none"/>
          <w14:textFill>
            <w14:solidFill>
              <w14:schemeClr w14:val="tx1"/>
            </w14:solidFill>
          </w14:textFill>
        </w:rPr>
        <w:t>货物采购</w:t>
      </w:r>
      <w:r>
        <w:rPr>
          <w:rFonts w:ascii="宋体" w:hAnsi="宋体" w:cs="宋体"/>
          <w:color w:val="000000" w:themeColor="text1"/>
          <w:szCs w:val="21"/>
          <w:highlight w:val="none"/>
          <w14:textFill>
            <w14:solidFill>
              <w14:schemeClr w14:val="tx1"/>
            </w14:solidFill>
          </w14:textFill>
        </w:rPr>
        <w:t>代理业务</w:t>
      </w:r>
      <w:r>
        <w:rPr>
          <w:rFonts w:hint="eastAsia" w:ascii="宋体" w:hAnsi="宋体" w:cs="宋体"/>
          <w:color w:val="000000" w:themeColor="text1"/>
          <w:szCs w:val="21"/>
          <w:highlight w:val="none"/>
          <w14:textFill>
            <w14:solidFill>
              <w14:schemeClr w14:val="tx1"/>
            </w14:solidFill>
          </w14:textFill>
        </w:rPr>
        <w:t>预算</w:t>
      </w:r>
      <w:r>
        <w:rPr>
          <w:rFonts w:ascii="宋体" w:hAnsi="宋体" w:cs="宋体"/>
          <w:color w:val="000000" w:themeColor="text1"/>
          <w:szCs w:val="21"/>
          <w:highlight w:val="none"/>
          <w14:textFill>
            <w14:solidFill>
              <w14:schemeClr w14:val="tx1"/>
            </w14:solidFill>
          </w14:textFill>
        </w:rPr>
        <w:t>金额</w:t>
      </w:r>
      <w:r>
        <w:rPr>
          <w:rFonts w:hint="eastAsia" w:ascii="宋体" w:hAnsi="宋体" w:cs="宋体"/>
          <w:color w:val="000000" w:themeColor="text1"/>
          <w:szCs w:val="21"/>
          <w:highlight w:val="none"/>
          <w14:textFill>
            <w14:solidFill>
              <w14:schemeClr w14:val="tx1"/>
            </w14:solidFill>
          </w14:textFill>
        </w:rPr>
        <w:t>或者暂定价</w:t>
      </w:r>
      <w:r>
        <w:rPr>
          <w:rFonts w:ascii="宋体" w:hAnsi="宋体" w:cs="宋体"/>
          <w:color w:val="000000" w:themeColor="text1"/>
          <w:szCs w:val="21"/>
          <w:highlight w:val="none"/>
          <w14:textFill>
            <w14:solidFill>
              <w14:schemeClr w14:val="tx1"/>
            </w14:solidFill>
          </w14:textFill>
        </w:rPr>
        <w:t>为200万元，计算</w:t>
      </w:r>
      <w:r>
        <w:rPr>
          <w:rFonts w:hint="eastAsia" w:ascii="宋体" w:hAnsi="宋体" w:cs="宋体"/>
          <w:color w:val="000000" w:themeColor="text1"/>
          <w:szCs w:val="21"/>
          <w:highlight w:val="none"/>
          <w14:textFill>
            <w14:solidFill>
              <w14:schemeClr w14:val="tx1"/>
            </w14:solidFill>
          </w14:textFill>
        </w:rPr>
        <w:t>采购</w:t>
      </w:r>
      <w:r>
        <w:rPr>
          <w:rFonts w:ascii="宋体" w:hAnsi="宋体" w:cs="宋体"/>
          <w:color w:val="000000" w:themeColor="text1"/>
          <w:szCs w:val="21"/>
          <w:highlight w:val="none"/>
          <w14:textFill>
            <w14:solidFill>
              <w14:schemeClr w14:val="tx1"/>
            </w14:solidFill>
          </w14:textFill>
        </w:rPr>
        <w:t>代理收费额如下：</w:t>
      </w:r>
    </w:p>
    <w:p w14:paraId="6C756143">
      <w:pPr>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100 万元×</w:t>
      </w:r>
      <w:r>
        <w:rPr>
          <w:rFonts w:hint="eastAsia" w:ascii="宋体" w:hAnsi="宋体" w:cs="宋体"/>
          <w:color w:val="000000" w:themeColor="text1"/>
          <w:szCs w:val="21"/>
          <w:highlight w:val="none"/>
          <w:lang w:val="en-US" w:eastAsia="zh-CN"/>
          <w14:textFill>
            <w14:solidFill>
              <w14:schemeClr w14:val="tx1"/>
            </w14:solidFill>
          </w14:textFill>
        </w:rPr>
        <w:t>1.5</w:t>
      </w:r>
      <w:r>
        <w:rPr>
          <w:rFonts w:ascii="宋体" w:hAnsi="宋体" w:cs="宋体"/>
          <w:color w:val="000000" w:themeColor="text1"/>
          <w:szCs w:val="21"/>
          <w:highlight w:val="none"/>
          <w14:textFill>
            <w14:solidFill>
              <w14:schemeClr w14:val="tx1"/>
            </w14:solidFill>
          </w14:textFill>
        </w:rPr>
        <w:t>％＝ 1.5 万元</w:t>
      </w:r>
    </w:p>
    <w:p w14:paraId="0CFA2380">
      <w:pPr>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 200 － 100 ）万元 ×1.1％＝1.1万元</w:t>
      </w:r>
    </w:p>
    <w:p w14:paraId="10B45362">
      <w:pPr>
        <w:pStyle w:val="25"/>
        <w:spacing w:line="360" w:lineRule="auto"/>
        <w:ind w:firstLine="420"/>
        <w:rPr>
          <w:rFonts w:hAnsi="宋体" w:cs="宋体"/>
          <w:color w:val="000000" w:themeColor="text1"/>
          <w:sz w:val="21"/>
          <w:highlight w:val="none"/>
          <w14:textFill>
            <w14:solidFill>
              <w14:schemeClr w14:val="tx1"/>
            </w14:solidFill>
          </w14:textFill>
        </w:rPr>
      </w:pPr>
      <w:r>
        <w:rPr>
          <w:rFonts w:hAnsi="宋体" w:cs="宋体"/>
          <w:color w:val="000000" w:themeColor="text1"/>
          <w:sz w:val="21"/>
          <w:highlight w:val="none"/>
          <w14:textFill>
            <w14:solidFill>
              <w14:schemeClr w14:val="tx1"/>
            </w14:solidFill>
          </w14:textFill>
        </w:rPr>
        <w:t>合计收费＝ 1.5</w:t>
      </w:r>
      <w:r>
        <w:rPr>
          <w:rFonts w:hint="eastAsia" w:hAnsi="宋体" w:cs="宋体"/>
          <w:color w:val="000000" w:themeColor="text1"/>
          <w:sz w:val="21"/>
          <w:highlight w:val="none"/>
          <w14:textFill>
            <w14:solidFill>
              <w14:schemeClr w14:val="tx1"/>
            </w14:solidFill>
          </w14:textFill>
        </w:rPr>
        <w:t>+</w:t>
      </w:r>
      <w:r>
        <w:rPr>
          <w:rFonts w:hAnsi="宋体" w:cs="宋体"/>
          <w:color w:val="000000" w:themeColor="text1"/>
          <w:sz w:val="21"/>
          <w:highlight w:val="none"/>
          <w14:textFill>
            <w14:solidFill>
              <w14:schemeClr w14:val="tx1"/>
            </w14:solidFill>
          </w14:textFill>
        </w:rPr>
        <w:t>1.1＝ 2.6 （万元）</w:t>
      </w:r>
    </w:p>
    <w:p w14:paraId="06C4E088">
      <w:pPr>
        <w:pStyle w:val="6"/>
        <w:keepNext w:val="0"/>
        <w:keepLines w:val="0"/>
        <w:spacing w:before="0" w:after="0" w:line="360" w:lineRule="auto"/>
        <w:rPr>
          <w:rFonts w:ascii="黑体" w:hAnsi="黑体" w:eastAsia="黑体"/>
          <w:color w:val="000000" w:themeColor="text1"/>
          <w:sz w:val="24"/>
          <w:highlight w:val="none"/>
          <w14:textFill>
            <w14:solidFill>
              <w14:schemeClr w14:val="tx1"/>
            </w14:solidFill>
          </w14:textFill>
        </w:rPr>
      </w:pPr>
      <w:r>
        <w:rPr>
          <w:rFonts w:ascii="黑体" w:hAnsi="黑体" w:eastAsia="黑体"/>
          <w:color w:val="000000" w:themeColor="text1"/>
          <w:sz w:val="24"/>
          <w:highlight w:val="none"/>
          <w14:textFill>
            <w14:solidFill>
              <w14:schemeClr w14:val="tx1"/>
            </w14:solidFill>
          </w14:textFill>
        </w:rPr>
        <w:t>40. 需要补充的其他内容</w:t>
      </w:r>
    </w:p>
    <w:p w14:paraId="53C2F45B">
      <w:pPr>
        <w:pStyle w:val="25"/>
        <w:spacing w:line="360" w:lineRule="auto"/>
        <w:ind w:firstLine="420"/>
        <w:contextualSpacing/>
        <w:rPr>
          <w:rFonts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40.1本招标文件解释规则详见“投标人须知前附表”。</w:t>
      </w:r>
    </w:p>
    <w:p w14:paraId="46B3E1F0">
      <w:pPr>
        <w:pStyle w:val="25"/>
        <w:spacing w:line="360" w:lineRule="auto"/>
        <w:ind w:firstLine="420"/>
        <w:contextualSpacing/>
        <w:rPr>
          <w:rFonts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40.2 其他事项详见“投标人须知前附表”。</w:t>
      </w:r>
    </w:p>
    <w:p w14:paraId="0DF57BF7">
      <w:pPr>
        <w:pStyle w:val="25"/>
        <w:spacing w:line="360" w:lineRule="auto"/>
        <w:ind w:firstLine="420"/>
        <w:contextualSpacing/>
        <w:rPr>
          <w:rFonts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40.3本招标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招标文件规定的中小企业扶持政策：</w:t>
      </w:r>
    </w:p>
    <w:p w14:paraId="472C043F">
      <w:pPr>
        <w:pStyle w:val="25"/>
        <w:spacing w:line="360" w:lineRule="auto"/>
        <w:ind w:firstLine="420"/>
        <w:contextualSpacing/>
        <w:rPr>
          <w:rFonts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（1）在货物采购项目中，货物由中小企业制造，即货物由中小企业生产且使用该中小企业商号或者注册商标，不对其中涉及的工程承建商和服务的承接商作出要求；</w:t>
      </w:r>
    </w:p>
    <w:p w14:paraId="5A761E72">
      <w:pPr>
        <w:pStyle w:val="25"/>
        <w:spacing w:line="360" w:lineRule="auto"/>
        <w:ind w:firstLine="420"/>
        <w:contextualSpacing/>
        <w:rPr>
          <w:rFonts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（2）在工程采购项目中，工程由中小企业承建，即工程施工单位为中小企业，不对其中涉及的货物的制造商和服务的承接商作出要求；</w:t>
      </w:r>
    </w:p>
    <w:p w14:paraId="6A7175FE">
      <w:pPr>
        <w:pStyle w:val="25"/>
        <w:spacing w:line="360" w:lineRule="auto"/>
        <w:ind w:firstLine="420"/>
        <w:contextualSpacing/>
        <w:rPr>
          <w:rFonts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（3）在服务采购项目中，服务由中小企业承接，即提供服务的人员为中小企业依照《中华人民共和国劳动合同法》订立劳动合同的从业人员，不对其中涉及的货物的制造商和工程承建商作出要求。</w:t>
      </w:r>
    </w:p>
    <w:p w14:paraId="22837417">
      <w:pPr>
        <w:pStyle w:val="25"/>
        <w:spacing w:line="360" w:lineRule="auto"/>
        <w:ind w:firstLine="420"/>
        <w:contextualSpacing/>
        <w:rPr>
          <w:rFonts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在货物采购项目中，供应商提供的货物既有中小企业制造货物，也有大型企业制造货物的，不享受本招标文件规定的中小企业扶持政策。以联合体形式参加政府采购活动，联合体各方均为中小企业的，联合体视同中小企业。其中，联合体各方均为小微企业的，联合体视同小微企业。</w:t>
      </w:r>
    </w:p>
    <w:p w14:paraId="11EC81A8">
      <w:pPr>
        <w:pStyle w:val="25"/>
        <w:spacing w:line="360" w:lineRule="auto"/>
        <w:ind w:firstLine="420"/>
        <w:contextualSpacing/>
        <w:rPr>
          <w:rFonts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依据本招标文件规定享受扶持政策获得政府采购合同的，小微企业不得将合同分包给大中型企业，中型企业不得将合同分包给大型企业。</w:t>
      </w:r>
    </w:p>
    <w:p w14:paraId="281EE6A8">
      <w:pPr>
        <w:pStyle w:val="19"/>
        <w:ind w:left="479" w:hanging="240"/>
        <w:rPr>
          <w:rFonts w:hAnsi="宋体"/>
          <w:color w:val="000000" w:themeColor="text1"/>
          <w:highlight w:val="none"/>
          <w14:textFill>
            <w14:solidFill>
              <w14:schemeClr w14:val="tx1"/>
            </w14:solidFill>
          </w14:textFill>
        </w:rPr>
      </w:pPr>
    </w:p>
    <w:p w14:paraId="66D76EBA">
      <w:pPr>
        <w:pStyle w:val="25"/>
        <w:spacing w:before="120" w:after="120"/>
        <w:rPr>
          <w:rFonts w:hAnsi="宋体"/>
          <w:color w:val="000000" w:themeColor="text1"/>
          <w:highlight w:val="none"/>
          <w14:textFill>
            <w14:solidFill>
              <w14:schemeClr w14:val="tx1"/>
            </w14:solidFill>
          </w14:textFill>
        </w:rPr>
      </w:pPr>
    </w:p>
    <w:p w14:paraId="63441840">
      <w:pPr>
        <w:pStyle w:val="25"/>
        <w:spacing w:before="120" w:after="120"/>
        <w:rPr>
          <w:rFonts w:hAnsi="宋体"/>
          <w:color w:val="000000" w:themeColor="text1"/>
          <w:highlight w:val="none"/>
          <w14:textFill>
            <w14:solidFill>
              <w14:schemeClr w14:val="tx1"/>
            </w14:solidFill>
          </w14:textFill>
        </w:rPr>
      </w:pPr>
    </w:p>
    <w:p w14:paraId="32CCB5BA">
      <w:pPr>
        <w:pStyle w:val="25"/>
        <w:spacing w:before="120" w:after="120"/>
        <w:rPr>
          <w:rFonts w:hAnsi="宋体"/>
          <w:color w:val="000000" w:themeColor="text1"/>
          <w:highlight w:val="none"/>
          <w14:textFill>
            <w14:solidFill>
              <w14:schemeClr w14:val="tx1"/>
            </w14:solidFill>
          </w14:textFill>
        </w:rPr>
      </w:pPr>
    </w:p>
    <w:p w14:paraId="3F78083D">
      <w:pPr>
        <w:pStyle w:val="25"/>
        <w:spacing w:before="120" w:after="120"/>
        <w:rPr>
          <w:rFonts w:hAnsi="宋体"/>
          <w:color w:val="000000" w:themeColor="text1"/>
          <w:highlight w:val="none"/>
          <w14:textFill>
            <w14:solidFill>
              <w14:schemeClr w14:val="tx1"/>
            </w14:solidFill>
          </w14:textFill>
        </w:rPr>
      </w:pPr>
    </w:p>
    <w:p w14:paraId="7894333C">
      <w:pPr>
        <w:pStyle w:val="25"/>
        <w:spacing w:before="120" w:after="120"/>
        <w:rPr>
          <w:rFonts w:hAnsi="宋体"/>
          <w:color w:val="000000" w:themeColor="text1"/>
          <w:highlight w:val="none"/>
          <w14:textFill>
            <w14:solidFill>
              <w14:schemeClr w14:val="tx1"/>
            </w14:solidFill>
          </w14:textFill>
        </w:rPr>
      </w:pPr>
    </w:p>
    <w:p w14:paraId="58B60728">
      <w:pPr>
        <w:pStyle w:val="25"/>
        <w:spacing w:before="120" w:after="120"/>
        <w:rPr>
          <w:rFonts w:hAnsi="宋体"/>
          <w:color w:val="000000" w:themeColor="text1"/>
          <w:highlight w:val="none"/>
          <w14:textFill>
            <w14:solidFill>
              <w14:schemeClr w14:val="tx1"/>
            </w14:solidFill>
          </w14:textFill>
        </w:rPr>
      </w:pPr>
    </w:p>
    <w:p w14:paraId="6189DC7A">
      <w:pPr>
        <w:pStyle w:val="25"/>
        <w:spacing w:before="120" w:after="120"/>
        <w:rPr>
          <w:rFonts w:hAnsi="宋体"/>
          <w:color w:val="000000" w:themeColor="text1"/>
          <w:highlight w:val="none"/>
          <w14:textFill>
            <w14:solidFill>
              <w14:schemeClr w14:val="tx1"/>
            </w14:solidFill>
          </w14:textFill>
        </w:rPr>
      </w:pPr>
    </w:p>
    <w:p w14:paraId="6143C518">
      <w:pPr>
        <w:pStyle w:val="25"/>
        <w:spacing w:before="120" w:after="120"/>
        <w:rPr>
          <w:rFonts w:hAnsi="宋体"/>
          <w:color w:val="000000" w:themeColor="text1"/>
          <w:highlight w:val="none"/>
          <w14:textFill>
            <w14:solidFill>
              <w14:schemeClr w14:val="tx1"/>
            </w14:solidFill>
          </w14:textFill>
        </w:rPr>
      </w:pPr>
    </w:p>
    <w:p w14:paraId="14B636FE">
      <w:pPr>
        <w:pStyle w:val="25"/>
        <w:spacing w:before="120" w:after="120"/>
        <w:rPr>
          <w:rFonts w:hAnsi="宋体"/>
          <w:color w:val="000000" w:themeColor="text1"/>
          <w:highlight w:val="none"/>
          <w14:textFill>
            <w14:solidFill>
              <w14:schemeClr w14:val="tx1"/>
            </w14:solidFill>
          </w14:textFill>
        </w:rPr>
      </w:pPr>
    </w:p>
    <w:p w14:paraId="3238D708">
      <w:pPr>
        <w:pStyle w:val="25"/>
        <w:spacing w:before="120" w:after="120"/>
        <w:rPr>
          <w:rFonts w:hAnsi="宋体"/>
          <w:color w:val="000000" w:themeColor="text1"/>
          <w:highlight w:val="none"/>
          <w14:textFill>
            <w14:solidFill>
              <w14:schemeClr w14:val="tx1"/>
            </w14:solidFill>
          </w14:textFill>
        </w:rPr>
      </w:pPr>
    </w:p>
    <w:p w14:paraId="6EEB3572">
      <w:pPr>
        <w:pStyle w:val="25"/>
        <w:spacing w:before="120" w:after="120"/>
        <w:rPr>
          <w:rFonts w:hAnsi="宋体"/>
          <w:color w:val="000000" w:themeColor="text1"/>
          <w:highlight w:val="none"/>
          <w14:textFill>
            <w14:solidFill>
              <w14:schemeClr w14:val="tx1"/>
            </w14:solidFill>
          </w14:textFill>
        </w:rPr>
      </w:pPr>
    </w:p>
    <w:p w14:paraId="6A84DF26">
      <w:pP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br w:type="page" w:clear="all"/>
      </w:r>
    </w:p>
    <w:p w14:paraId="38F98D3C">
      <w:pPr>
        <w:pStyle w:val="25"/>
        <w:spacing w:before="120" w:after="120"/>
        <w:rPr>
          <w:rFonts w:hAnsi="宋体"/>
          <w:color w:val="000000" w:themeColor="text1"/>
          <w:highlight w:val="none"/>
          <w14:textFill>
            <w14:solidFill>
              <w14:schemeClr w14:val="tx1"/>
            </w14:solidFill>
          </w14:textFill>
        </w:rPr>
      </w:pPr>
    </w:p>
    <w:p w14:paraId="47D7C289">
      <w:pPr>
        <w:pStyle w:val="25"/>
        <w:spacing w:before="120" w:after="120"/>
        <w:rPr>
          <w:rFonts w:hAnsi="宋体"/>
          <w:color w:val="000000" w:themeColor="text1"/>
          <w:highlight w:val="none"/>
          <w14:textFill>
            <w14:solidFill>
              <w14:schemeClr w14:val="tx1"/>
            </w14:solidFill>
          </w14:textFill>
        </w:rPr>
      </w:pPr>
    </w:p>
    <w:p w14:paraId="2FE447D3">
      <w:pPr>
        <w:pStyle w:val="25"/>
        <w:spacing w:before="120" w:after="120"/>
        <w:rPr>
          <w:rFonts w:hAnsi="宋体"/>
          <w:color w:val="000000" w:themeColor="text1"/>
          <w:highlight w:val="none"/>
          <w14:textFill>
            <w14:solidFill>
              <w14:schemeClr w14:val="tx1"/>
            </w14:solidFill>
          </w14:textFill>
        </w:rPr>
      </w:pPr>
    </w:p>
    <w:p w14:paraId="4CBC529F">
      <w:pPr>
        <w:pStyle w:val="25"/>
        <w:spacing w:before="120" w:after="120"/>
        <w:rPr>
          <w:rFonts w:hAnsi="宋体"/>
          <w:color w:val="000000" w:themeColor="text1"/>
          <w:highlight w:val="none"/>
          <w14:textFill>
            <w14:solidFill>
              <w14:schemeClr w14:val="tx1"/>
            </w14:solidFill>
          </w14:textFill>
        </w:rPr>
      </w:pPr>
    </w:p>
    <w:p w14:paraId="22BC7BB2">
      <w:pPr>
        <w:pStyle w:val="25"/>
        <w:spacing w:before="120" w:after="120"/>
        <w:rPr>
          <w:rFonts w:hAnsi="宋体"/>
          <w:color w:val="000000" w:themeColor="text1"/>
          <w:highlight w:val="none"/>
          <w14:textFill>
            <w14:solidFill>
              <w14:schemeClr w14:val="tx1"/>
            </w14:solidFill>
          </w14:textFill>
        </w:rPr>
      </w:pPr>
    </w:p>
    <w:p w14:paraId="12AB7386">
      <w:pPr>
        <w:pStyle w:val="25"/>
        <w:spacing w:before="120" w:after="120"/>
        <w:rPr>
          <w:rFonts w:hAnsi="宋体"/>
          <w:color w:val="000000" w:themeColor="text1"/>
          <w:highlight w:val="none"/>
          <w14:textFill>
            <w14:solidFill>
              <w14:schemeClr w14:val="tx1"/>
            </w14:solidFill>
          </w14:textFill>
        </w:rPr>
      </w:pPr>
    </w:p>
    <w:p w14:paraId="1729C96B">
      <w:pPr>
        <w:pStyle w:val="25"/>
        <w:spacing w:before="120" w:after="120"/>
        <w:rPr>
          <w:rFonts w:hAnsi="宋体"/>
          <w:color w:val="000000" w:themeColor="text1"/>
          <w:highlight w:val="none"/>
          <w14:textFill>
            <w14:solidFill>
              <w14:schemeClr w14:val="tx1"/>
            </w14:solidFill>
          </w14:textFill>
        </w:rPr>
      </w:pPr>
    </w:p>
    <w:p w14:paraId="54A20687">
      <w:pPr>
        <w:pStyle w:val="25"/>
        <w:spacing w:before="120" w:after="120"/>
        <w:rPr>
          <w:rFonts w:hAnsi="宋体"/>
          <w:color w:val="000000" w:themeColor="text1"/>
          <w:highlight w:val="none"/>
          <w14:textFill>
            <w14:solidFill>
              <w14:schemeClr w14:val="tx1"/>
            </w14:solidFill>
          </w14:textFill>
        </w:rPr>
      </w:pPr>
    </w:p>
    <w:p w14:paraId="74EDF8EA">
      <w:pPr>
        <w:pStyle w:val="25"/>
        <w:spacing w:before="120" w:after="120"/>
        <w:rPr>
          <w:rFonts w:hAnsi="宋体"/>
          <w:color w:val="000000" w:themeColor="text1"/>
          <w:highlight w:val="none"/>
          <w14:textFill>
            <w14:solidFill>
              <w14:schemeClr w14:val="tx1"/>
            </w14:solidFill>
          </w14:textFill>
        </w:rPr>
      </w:pPr>
    </w:p>
    <w:p w14:paraId="2821BC88">
      <w:pPr>
        <w:pStyle w:val="25"/>
        <w:spacing w:before="120" w:after="120"/>
        <w:rPr>
          <w:rFonts w:hAnsi="宋体"/>
          <w:color w:val="000000" w:themeColor="text1"/>
          <w:highlight w:val="none"/>
          <w14:textFill>
            <w14:solidFill>
              <w14:schemeClr w14:val="tx1"/>
            </w14:solidFill>
          </w14:textFill>
        </w:rPr>
      </w:pPr>
    </w:p>
    <w:p w14:paraId="17C7F2CF">
      <w:pPr>
        <w:pStyle w:val="2"/>
        <w:jc w:val="center"/>
        <w:rPr>
          <w:color w:val="000000" w:themeColor="text1"/>
          <w:highlight w:val="none"/>
          <w14:textFill>
            <w14:solidFill>
              <w14:schemeClr w14:val="tx1"/>
            </w14:solidFill>
          </w14:textFill>
        </w:rPr>
      </w:pPr>
      <w:bookmarkStart w:id="5" w:name="_Toc13922"/>
      <w:r>
        <w:rPr>
          <w:rFonts w:hint="eastAsia"/>
          <w:color w:val="000000" w:themeColor="text1"/>
          <w:highlight w:val="none"/>
          <w14:textFill>
            <w14:solidFill>
              <w14:schemeClr w14:val="tx1"/>
            </w14:solidFill>
          </w14:textFill>
        </w:rPr>
        <w:t>第四章  评标方法及评标标准</w:t>
      </w:r>
      <w:bookmarkEnd w:id="5"/>
    </w:p>
    <w:p w14:paraId="0E5D90E1">
      <w:pPr>
        <w:pStyle w:val="25"/>
        <w:spacing w:before="120" w:after="120"/>
        <w:outlineLvl w:val="0"/>
        <w:rPr>
          <w:rFonts w:hAnsi="宋体"/>
          <w:b/>
          <w:color w:val="000000" w:themeColor="text1"/>
          <w:highlight w:val="none"/>
          <w14:textFill>
            <w14:solidFill>
              <w14:schemeClr w14:val="tx1"/>
            </w14:solidFill>
          </w14:textFill>
        </w:rPr>
      </w:pPr>
    </w:p>
    <w:p w14:paraId="5CEE2CB9">
      <w:pPr>
        <w:pStyle w:val="25"/>
        <w:spacing w:before="120" w:after="120"/>
        <w:outlineLvl w:val="0"/>
        <w:rPr>
          <w:rFonts w:hAnsi="宋体"/>
          <w:bCs/>
          <w:color w:val="000000" w:themeColor="text1"/>
          <w:sz w:val="32"/>
          <w:szCs w:val="32"/>
          <w:highlight w:val="none"/>
          <w14:textFill>
            <w14:solidFill>
              <w14:schemeClr w14:val="tx1"/>
            </w14:solidFill>
          </w14:textFill>
        </w:rPr>
      </w:pPr>
    </w:p>
    <w:p w14:paraId="4F5DCD21">
      <w:pPr>
        <w:pStyle w:val="25"/>
        <w:spacing w:before="120" w:after="120"/>
        <w:outlineLvl w:val="0"/>
        <w:rPr>
          <w:rFonts w:hAnsi="宋体"/>
          <w:bCs/>
          <w:color w:val="000000" w:themeColor="text1"/>
          <w:sz w:val="32"/>
          <w:szCs w:val="32"/>
          <w:highlight w:val="none"/>
          <w14:textFill>
            <w14:solidFill>
              <w14:schemeClr w14:val="tx1"/>
            </w14:solidFill>
          </w14:textFill>
        </w:rPr>
      </w:pPr>
    </w:p>
    <w:p w14:paraId="2AE0F723">
      <w:pPr>
        <w:pStyle w:val="25"/>
        <w:spacing w:before="120" w:after="120"/>
        <w:outlineLvl w:val="0"/>
        <w:rPr>
          <w:rFonts w:hAnsi="宋体"/>
          <w:bCs/>
          <w:color w:val="000000" w:themeColor="text1"/>
          <w:sz w:val="32"/>
          <w:szCs w:val="32"/>
          <w:highlight w:val="none"/>
          <w14:textFill>
            <w14:solidFill>
              <w14:schemeClr w14:val="tx1"/>
            </w14:solidFill>
          </w14:textFill>
        </w:rPr>
      </w:pPr>
    </w:p>
    <w:p w14:paraId="331FB1DE">
      <w:pPr>
        <w:spacing w:line="400" w:lineRule="exact"/>
        <w:rPr>
          <w:rFonts w:ascii="宋体" w:hAnsi="宋体"/>
          <w:b/>
          <w:color w:val="000000" w:themeColor="text1"/>
          <w:sz w:val="24"/>
          <w:highlight w:val="none"/>
          <w14:textFill>
            <w14:solidFill>
              <w14:schemeClr w14:val="tx1"/>
            </w14:solidFill>
          </w14:textFill>
        </w:rPr>
      </w:pPr>
    </w:p>
    <w:p w14:paraId="10BD10AB">
      <w:pPr>
        <w:spacing w:line="400" w:lineRule="exact"/>
        <w:rPr>
          <w:rFonts w:ascii="宋体" w:hAnsi="宋体"/>
          <w:b/>
          <w:color w:val="000000" w:themeColor="text1"/>
          <w:sz w:val="24"/>
          <w:highlight w:val="none"/>
          <w14:textFill>
            <w14:solidFill>
              <w14:schemeClr w14:val="tx1"/>
            </w14:solidFill>
          </w14:textFill>
        </w:rPr>
      </w:pPr>
    </w:p>
    <w:p w14:paraId="17F07E41">
      <w:pPr>
        <w:spacing w:line="400" w:lineRule="exact"/>
        <w:rPr>
          <w:rFonts w:ascii="宋体" w:hAnsi="宋体"/>
          <w:b/>
          <w:color w:val="000000" w:themeColor="text1"/>
          <w:sz w:val="24"/>
          <w:highlight w:val="none"/>
          <w14:textFill>
            <w14:solidFill>
              <w14:schemeClr w14:val="tx1"/>
            </w14:solidFill>
          </w14:textFill>
        </w:rPr>
      </w:pPr>
    </w:p>
    <w:p w14:paraId="01A678DC">
      <w:pPr>
        <w:spacing w:line="400" w:lineRule="exact"/>
        <w:rPr>
          <w:rFonts w:ascii="宋体" w:hAnsi="宋体"/>
          <w:b/>
          <w:color w:val="000000" w:themeColor="text1"/>
          <w:sz w:val="24"/>
          <w:highlight w:val="none"/>
          <w14:textFill>
            <w14:solidFill>
              <w14:schemeClr w14:val="tx1"/>
            </w14:solidFill>
          </w14:textFill>
        </w:rPr>
      </w:pPr>
    </w:p>
    <w:p w14:paraId="31CF2A23">
      <w:pPr>
        <w:spacing w:line="400" w:lineRule="exact"/>
        <w:rPr>
          <w:rFonts w:ascii="宋体" w:hAnsi="宋体"/>
          <w:b/>
          <w:color w:val="000000" w:themeColor="text1"/>
          <w:sz w:val="24"/>
          <w:highlight w:val="none"/>
          <w14:textFill>
            <w14:solidFill>
              <w14:schemeClr w14:val="tx1"/>
            </w14:solidFill>
          </w14:textFill>
        </w:rPr>
      </w:pPr>
    </w:p>
    <w:p w14:paraId="73220BAD">
      <w:pPr>
        <w:spacing w:line="400" w:lineRule="exact"/>
        <w:rPr>
          <w:rFonts w:ascii="宋体" w:hAnsi="宋体"/>
          <w:b/>
          <w:color w:val="000000" w:themeColor="text1"/>
          <w:sz w:val="24"/>
          <w:highlight w:val="none"/>
          <w14:textFill>
            <w14:solidFill>
              <w14:schemeClr w14:val="tx1"/>
            </w14:solidFill>
          </w14:textFill>
        </w:rPr>
      </w:pPr>
    </w:p>
    <w:p w14:paraId="587C3829">
      <w:pPr>
        <w:spacing w:line="400" w:lineRule="exact"/>
        <w:rPr>
          <w:rFonts w:ascii="宋体" w:hAnsi="宋体"/>
          <w:b/>
          <w:color w:val="000000" w:themeColor="text1"/>
          <w:sz w:val="24"/>
          <w:highlight w:val="none"/>
          <w14:textFill>
            <w14:solidFill>
              <w14:schemeClr w14:val="tx1"/>
            </w14:solidFill>
          </w14:textFill>
        </w:rPr>
      </w:pPr>
    </w:p>
    <w:p w14:paraId="5C6A1269">
      <w:pPr>
        <w:pStyle w:val="25"/>
        <w:spacing w:line="360" w:lineRule="exact"/>
        <w:rPr>
          <w:rFonts w:hAnsi="宋体"/>
          <w:b/>
          <w:color w:val="000000" w:themeColor="text1"/>
          <w:sz w:val="24"/>
          <w:highlight w:val="none"/>
          <w14:textFill>
            <w14:solidFill>
              <w14:schemeClr w14:val="tx1"/>
            </w14:solidFill>
          </w14:textFill>
        </w:rPr>
      </w:pPr>
      <w:r>
        <w:rPr>
          <w:rFonts w:hAnsi="宋体"/>
          <w:b/>
          <w:color w:val="000000" w:themeColor="text1"/>
          <w:sz w:val="24"/>
          <w:highlight w:val="none"/>
          <w14:textFill>
            <w14:solidFill>
              <w14:schemeClr w14:val="tx1"/>
            </w14:solidFill>
          </w14:textFill>
        </w:rPr>
        <w:br w:type="page" w:clear="all"/>
      </w:r>
    </w:p>
    <w:p w14:paraId="744AFAC4">
      <w:pPr>
        <w:pStyle w:val="4"/>
        <w:keepNext w:val="0"/>
        <w:keepLines w:val="0"/>
        <w:jc w:val="center"/>
        <w:rPr>
          <w:color w:val="000000" w:themeColor="text1"/>
          <w:sz w:val="30"/>
          <w:szCs w:val="30"/>
          <w:highlight w:val="none"/>
          <w14:textFill>
            <w14:solidFill>
              <w14:schemeClr w14:val="tx1"/>
            </w14:solidFill>
          </w14:textFill>
        </w:rPr>
      </w:pPr>
      <w:r>
        <w:rPr>
          <w:rFonts w:hint="eastAsia"/>
          <w:color w:val="000000" w:themeColor="text1"/>
          <w:sz w:val="30"/>
          <w:szCs w:val="30"/>
          <w:highlight w:val="none"/>
          <w14:textFill>
            <w14:solidFill>
              <w14:schemeClr w14:val="tx1"/>
            </w14:solidFill>
          </w14:textFill>
        </w:rPr>
        <w:t>一、评标方法</w:t>
      </w:r>
    </w:p>
    <w:p w14:paraId="0B4DAB2D">
      <w:pPr>
        <w:pStyle w:val="25"/>
        <w:spacing w:line="360" w:lineRule="auto"/>
        <w:ind w:firstLine="42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综合评分法，是指投标文件满足招标文件全部实质性要求，且按照评审因素的量化指标评审得分最高的投标人为中标候选人的评标方法。</w:t>
      </w:r>
    </w:p>
    <w:p w14:paraId="6F3DB5D9">
      <w:pPr>
        <w:pStyle w:val="4"/>
        <w:keepNext w:val="0"/>
        <w:keepLines w:val="0"/>
        <w:jc w:val="center"/>
        <w:rPr>
          <w:color w:val="000000" w:themeColor="text1"/>
          <w:sz w:val="30"/>
          <w:szCs w:val="30"/>
          <w:highlight w:val="none"/>
          <w14:textFill>
            <w14:solidFill>
              <w14:schemeClr w14:val="tx1"/>
            </w14:solidFill>
          </w14:textFill>
        </w:rPr>
      </w:pPr>
      <w:r>
        <w:rPr>
          <w:rFonts w:hint="eastAsia"/>
          <w:color w:val="000000" w:themeColor="text1"/>
          <w:sz w:val="30"/>
          <w:szCs w:val="30"/>
          <w:highlight w:val="none"/>
          <w14:textFill>
            <w14:solidFill>
              <w14:schemeClr w14:val="tx1"/>
            </w14:solidFill>
          </w14:textFill>
        </w:rPr>
        <w:t>二、评标程序</w:t>
      </w:r>
    </w:p>
    <w:p w14:paraId="3365C223">
      <w:pPr>
        <w:pStyle w:val="6"/>
        <w:keepNext w:val="0"/>
        <w:keepLines w:val="0"/>
        <w:spacing w:before="0" w:after="0" w:line="360" w:lineRule="auto"/>
        <w:ind w:left="420"/>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1.符合性审查</w:t>
      </w:r>
    </w:p>
    <w:p w14:paraId="63B5C881">
      <w:pPr>
        <w:pStyle w:val="25"/>
        <w:spacing w:line="360" w:lineRule="auto"/>
        <w:ind w:left="1" w:firstLine="420"/>
        <w:rPr>
          <w:rFonts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评标委员会应当对符合资格的投标人的投标文件进行投标报价、商务、技术等实质性内容符合性审查，以确定其是否满足招标文件的实质性要求。</w:t>
      </w:r>
    </w:p>
    <w:p w14:paraId="37953C9F">
      <w:pPr>
        <w:pStyle w:val="6"/>
        <w:keepNext w:val="0"/>
        <w:keepLines w:val="0"/>
        <w:spacing w:before="0" w:after="0" w:line="360" w:lineRule="auto"/>
        <w:ind w:left="420"/>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2</w:t>
      </w:r>
      <w:r>
        <w:rPr>
          <w:rFonts w:ascii="宋体" w:hAnsi="宋体"/>
          <w:color w:val="000000" w:themeColor="text1"/>
          <w:sz w:val="21"/>
          <w:szCs w:val="21"/>
          <w:highlight w:val="none"/>
          <w14:textFill>
            <w14:solidFill>
              <w14:schemeClr w14:val="tx1"/>
            </w14:solidFill>
          </w14:textFill>
        </w:rPr>
        <w:t>.</w:t>
      </w:r>
      <w:r>
        <w:rPr>
          <w:rFonts w:hint="eastAsia" w:ascii="宋体" w:hAnsi="宋体"/>
          <w:color w:val="000000" w:themeColor="text1"/>
          <w:sz w:val="21"/>
          <w:szCs w:val="21"/>
          <w:highlight w:val="none"/>
          <w14:textFill>
            <w14:solidFill>
              <w14:schemeClr w14:val="tx1"/>
            </w14:solidFill>
          </w14:textFill>
        </w:rPr>
        <w:t>符合性审查不通过而导致投标无效的情形</w:t>
      </w:r>
    </w:p>
    <w:p w14:paraId="3E938DF6">
      <w:pPr>
        <w:spacing w:line="360" w:lineRule="auto"/>
        <w:ind w:firstLine="422"/>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投标人的投标文件中存在对招标文件的任何实质性要求和条件的负偏离，将被视为投标无效。</w:t>
      </w:r>
    </w:p>
    <w:p w14:paraId="4FAF11DF">
      <w:pPr>
        <w:pStyle w:val="6"/>
        <w:keepNext w:val="0"/>
        <w:keepLines w:val="0"/>
        <w:spacing w:before="0" w:after="0" w:line="360" w:lineRule="auto"/>
        <w:ind w:left="420"/>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2.1在报价评审时，如发现下列情形之一的，将被视为投标无效：</w:t>
      </w:r>
    </w:p>
    <w:p w14:paraId="150AC1BB">
      <w:pPr>
        <w:pStyle w:val="7"/>
        <w:numPr>
          <w:ilvl w:val="0"/>
          <w:numId w:val="4"/>
        </w:numPr>
        <w:spacing w:line="360" w:lineRule="auto"/>
        <w:ind w:firstLine="422"/>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pacing w:val="-6"/>
          <w:szCs w:val="21"/>
          <w:highlight w:val="none"/>
          <w14:textFill>
            <w14:solidFill>
              <w14:schemeClr w14:val="tx1"/>
            </w14:solidFill>
          </w14:textFill>
        </w:rPr>
        <w:t>报价文件</w:t>
      </w:r>
      <w:r>
        <w:rPr>
          <w:rFonts w:hint="eastAsia" w:ascii="宋体" w:hAnsi="宋体"/>
          <w:b/>
          <w:color w:val="000000" w:themeColor="text1"/>
          <w:szCs w:val="21"/>
          <w:highlight w:val="none"/>
          <w14:textFill>
            <w14:solidFill>
              <w14:schemeClr w14:val="tx1"/>
            </w14:solidFill>
          </w14:textFill>
        </w:rPr>
        <w:t>未提供“投标人须知前附表”第13条“报价文件”规定中“必须提供”的文件资料的；</w:t>
      </w:r>
    </w:p>
    <w:p w14:paraId="7DAFA7EF">
      <w:pPr>
        <w:pStyle w:val="7"/>
        <w:numPr>
          <w:ilvl w:val="0"/>
          <w:numId w:val="4"/>
        </w:numPr>
        <w:spacing w:line="360" w:lineRule="auto"/>
        <w:ind w:firstLine="422"/>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未采用人民币报价或者未按照招标文件标明的币种报价的；</w:t>
      </w:r>
    </w:p>
    <w:p w14:paraId="18CFF7CC">
      <w:pPr>
        <w:pStyle w:val="7"/>
        <w:numPr>
          <w:ilvl w:val="0"/>
          <w:numId w:val="4"/>
        </w:numPr>
        <w:spacing w:line="360" w:lineRule="auto"/>
        <w:ind w:firstLine="422"/>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各分标报价超出招标文件相应分标规定最高限价，或者超出相应分标采购预算金额的；</w:t>
      </w:r>
    </w:p>
    <w:p w14:paraId="0C889426">
      <w:pPr>
        <w:pStyle w:val="7"/>
        <w:numPr>
          <w:ilvl w:val="0"/>
          <w:numId w:val="4"/>
        </w:numPr>
        <w:spacing w:line="360" w:lineRule="auto"/>
        <w:ind w:firstLine="422"/>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投标人未就所投分标进行报价或者存在漏项报价；投标人未就所投分标的单项内容作唯一报价；投标人未就所投分标的全部内容作完整唯一总价报价；存在有选择、有条件报价的（招标文件允许有备选方案或者其他约定的除外）；</w:t>
      </w:r>
    </w:p>
    <w:p w14:paraId="66EBE32B">
      <w:pPr>
        <w:pStyle w:val="7"/>
        <w:numPr>
          <w:ilvl w:val="0"/>
          <w:numId w:val="4"/>
        </w:numPr>
        <w:spacing w:line="360" w:lineRule="auto"/>
        <w:ind w:firstLine="422"/>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修正后的报价，投标人不确认的；</w:t>
      </w:r>
    </w:p>
    <w:p w14:paraId="208AC4E9">
      <w:pPr>
        <w:pStyle w:val="7"/>
        <w:numPr>
          <w:ilvl w:val="0"/>
          <w:numId w:val="4"/>
        </w:numPr>
        <w:spacing w:line="360" w:lineRule="auto"/>
        <w:ind w:firstLine="422"/>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投标人属于本章第</w:t>
      </w:r>
      <w:r>
        <w:rPr>
          <w:rFonts w:ascii="宋体" w:hAnsi="宋体"/>
          <w:b/>
          <w:color w:val="000000" w:themeColor="text1"/>
          <w:szCs w:val="21"/>
          <w:highlight w:val="none"/>
          <w14:textFill>
            <w14:solidFill>
              <w14:schemeClr w14:val="tx1"/>
            </w14:solidFill>
          </w14:textFill>
        </w:rPr>
        <w:t>5.1</w:t>
      </w:r>
      <w:r>
        <w:rPr>
          <w:rFonts w:hint="eastAsia" w:ascii="宋体" w:hAnsi="宋体"/>
          <w:b/>
          <w:color w:val="000000" w:themeColor="text1"/>
          <w:szCs w:val="21"/>
          <w:highlight w:val="none"/>
          <w14:textFill>
            <w14:solidFill>
              <w14:schemeClr w14:val="tx1"/>
            </w14:solidFill>
          </w14:textFill>
        </w:rPr>
        <w:t>条（2）或者第5</w:t>
      </w:r>
      <w:r>
        <w:rPr>
          <w:rFonts w:ascii="宋体" w:hAnsi="宋体"/>
          <w:b/>
          <w:color w:val="000000" w:themeColor="text1"/>
          <w:szCs w:val="21"/>
          <w:highlight w:val="none"/>
          <w14:textFill>
            <w14:solidFill>
              <w14:schemeClr w14:val="tx1"/>
            </w14:solidFill>
          </w14:textFill>
        </w:rPr>
        <w:t>.2条</w:t>
      </w:r>
      <w:r>
        <w:rPr>
          <w:rFonts w:hint="eastAsia" w:ascii="宋体" w:hAnsi="宋体"/>
          <w:b/>
          <w:color w:val="000000" w:themeColor="text1"/>
          <w:szCs w:val="21"/>
          <w:highlight w:val="none"/>
          <w14:textFill>
            <w14:solidFill>
              <w14:schemeClr w14:val="tx1"/>
            </w14:solidFill>
          </w14:textFill>
        </w:rPr>
        <w:t>（2）项情形的；</w:t>
      </w:r>
    </w:p>
    <w:p w14:paraId="6433ABF5">
      <w:pPr>
        <w:pStyle w:val="7"/>
        <w:numPr>
          <w:ilvl w:val="0"/>
          <w:numId w:val="4"/>
        </w:numPr>
        <w:spacing w:line="360" w:lineRule="auto"/>
        <w:ind w:firstLine="422"/>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pacing w:val="-6"/>
          <w:szCs w:val="21"/>
          <w:highlight w:val="none"/>
          <w14:textFill>
            <w14:solidFill>
              <w14:schemeClr w14:val="tx1"/>
            </w14:solidFill>
          </w14:textFill>
        </w:rPr>
        <w:t>报价文件</w:t>
      </w:r>
      <w:r>
        <w:rPr>
          <w:rFonts w:hint="eastAsia" w:ascii="宋体" w:hAnsi="宋体"/>
          <w:b/>
          <w:color w:val="000000" w:themeColor="text1"/>
          <w:szCs w:val="21"/>
          <w:highlight w:val="none"/>
          <w14:textFill>
            <w14:solidFill>
              <w14:schemeClr w14:val="tx1"/>
            </w14:solidFill>
          </w14:textFill>
        </w:rPr>
        <w:t>响应的标的数量及单位与招标文件要求实质性不一致的。</w:t>
      </w:r>
    </w:p>
    <w:p w14:paraId="3F7ECC97">
      <w:pPr>
        <w:pStyle w:val="6"/>
        <w:keepNext w:val="0"/>
        <w:keepLines w:val="0"/>
        <w:spacing w:before="0" w:after="0" w:line="360" w:lineRule="auto"/>
        <w:ind w:left="420"/>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2.2在商务及技术评审时，如发现下列情形之一的，将被视为投标无效：</w:t>
      </w:r>
    </w:p>
    <w:p w14:paraId="20386D03">
      <w:pPr>
        <w:numPr>
          <w:ilvl w:val="0"/>
          <w:numId w:val="5"/>
        </w:numPr>
        <w:spacing w:line="360" w:lineRule="auto"/>
        <w:ind w:firstLine="422"/>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投标文件未按招标文件要求签署、盖章的；</w:t>
      </w:r>
    </w:p>
    <w:p w14:paraId="67896866">
      <w:pPr>
        <w:numPr>
          <w:ilvl w:val="0"/>
          <w:numId w:val="5"/>
        </w:numPr>
        <w:spacing w:line="360" w:lineRule="auto"/>
        <w:ind w:firstLine="422"/>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委托代理人未能出具有效身份证或者出具的身份证与授权委托书中的信息不符的；</w:t>
      </w:r>
    </w:p>
    <w:p w14:paraId="63C100A5">
      <w:pPr>
        <w:numPr>
          <w:ilvl w:val="0"/>
          <w:numId w:val="5"/>
        </w:numPr>
        <w:spacing w:line="360" w:lineRule="auto"/>
        <w:ind w:firstLine="422"/>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为无效投标保证金的或者未按照招标文件的规定提交投标保证金的；</w:t>
      </w:r>
    </w:p>
    <w:p w14:paraId="22A02DD6">
      <w:pPr>
        <w:numPr>
          <w:ilvl w:val="0"/>
          <w:numId w:val="5"/>
        </w:numPr>
        <w:spacing w:line="360" w:lineRule="auto"/>
        <w:ind w:firstLine="422"/>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投标文件未提供“投标人须知前附表”第13条“商务及技术文件”规定中“必须提供”或者“委托时必须提供”的文件资料的；</w:t>
      </w:r>
    </w:p>
    <w:p w14:paraId="236CD338">
      <w:pPr>
        <w:numPr>
          <w:ilvl w:val="0"/>
          <w:numId w:val="5"/>
        </w:numPr>
        <w:spacing w:line="360" w:lineRule="auto"/>
        <w:ind w:firstLine="422"/>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允许负偏离的条款数超过“投标人须知前附表”规定项数的；</w:t>
      </w:r>
    </w:p>
    <w:p w14:paraId="66169AF0">
      <w:pPr>
        <w:numPr>
          <w:ilvl w:val="0"/>
          <w:numId w:val="5"/>
        </w:numPr>
        <w:spacing w:line="360" w:lineRule="auto"/>
        <w:ind w:firstLine="422"/>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投标文件的实质性内容未使用中文表述、使用计量单位不符合招标文件要求的；</w:t>
      </w:r>
    </w:p>
    <w:p w14:paraId="1CB6B963">
      <w:pPr>
        <w:numPr>
          <w:ilvl w:val="0"/>
          <w:numId w:val="5"/>
        </w:numPr>
        <w:spacing w:line="360" w:lineRule="auto"/>
        <w:ind w:firstLine="422"/>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投标文件中的文件资料因填写不齐全或者内容虚假或者出现其他情形而导致被评标委员会认定无效的；</w:t>
      </w:r>
    </w:p>
    <w:p w14:paraId="7CDF4DFC">
      <w:pPr>
        <w:numPr>
          <w:ilvl w:val="0"/>
          <w:numId w:val="5"/>
        </w:numPr>
        <w:spacing w:line="360" w:lineRule="auto"/>
        <w:ind w:firstLine="422"/>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投标文件含有采购人不能接受的附加条件的；</w:t>
      </w:r>
    </w:p>
    <w:p w14:paraId="5BBE1E5F">
      <w:pPr>
        <w:numPr>
          <w:ilvl w:val="0"/>
          <w:numId w:val="5"/>
        </w:numPr>
        <w:spacing w:line="360" w:lineRule="auto"/>
        <w:ind w:firstLine="422"/>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属于投标人须知正文第</w:t>
      </w:r>
      <w:r>
        <w:rPr>
          <w:rFonts w:ascii="宋体" w:hAnsi="宋体"/>
          <w:b/>
          <w:color w:val="000000" w:themeColor="text1"/>
          <w:szCs w:val="21"/>
          <w:highlight w:val="none"/>
          <w14:textFill>
            <w14:solidFill>
              <w14:schemeClr w14:val="tx1"/>
            </w14:solidFill>
          </w14:textFill>
        </w:rPr>
        <w:t>9.2</w:t>
      </w:r>
      <w:r>
        <w:rPr>
          <w:rFonts w:hint="eastAsia" w:ascii="宋体" w:hAnsi="宋体"/>
          <w:b/>
          <w:color w:val="000000" w:themeColor="text1"/>
          <w:szCs w:val="21"/>
          <w:highlight w:val="none"/>
          <w14:textFill>
            <w14:solidFill>
              <w14:schemeClr w14:val="tx1"/>
            </w14:solidFill>
          </w14:textFill>
        </w:rPr>
        <w:t>条情形的；</w:t>
      </w:r>
    </w:p>
    <w:p w14:paraId="7A562FC3">
      <w:pPr>
        <w:numPr>
          <w:ilvl w:val="0"/>
          <w:numId w:val="5"/>
        </w:numPr>
        <w:spacing w:line="360" w:lineRule="auto"/>
        <w:ind w:firstLine="422"/>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投标文件标注的项目名称或者项目编号与招标文件标注的项目名称或者项目编号不一致的；</w:t>
      </w:r>
    </w:p>
    <w:p w14:paraId="78885943">
      <w:pPr>
        <w:numPr>
          <w:ilvl w:val="0"/>
          <w:numId w:val="5"/>
        </w:numPr>
        <w:spacing w:line="360" w:lineRule="auto"/>
        <w:ind w:firstLine="422"/>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投标文件中承诺的投标有效期低于招标文件要求的期限的；</w:t>
      </w:r>
    </w:p>
    <w:p w14:paraId="5A3DF8D5">
      <w:pPr>
        <w:numPr>
          <w:ilvl w:val="0"/>
          <w:numId w:val="5"/>
        </w:numPr>
        <w:spacing w:line="360" w:lineRule="auto"/>
        <w:ind w:firstLine="422"/>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招标文件明确不允许分包，投标文件拟分包的；</w:t>
      </w:r>
    </w:p>
    <w:p w14:paraId="05E36554">
      <w:pPr>
        <w:pStyle w:val="20"/>
        <w:numPr>
          <w:ilvl w:val="0"/>
          <w:numId w:val="5"/>
        </w:numPr>
        <w:spacing w:line="360" w:lineRule="auto"/>
        <w:ind w:firstLine="413"/>
        <w:rPr>
          <w:rFonts w:ascii="宋体" w:hAnsi="宋体" w:eastAsia="宋体"/>
          <w:b/>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t>虚假投标，或者出现其他情形而导致被评标委员会认定无效的；</w:t>
      </w:r>
    </w:p>
    <w:p w14:paraId="4A625D51">
      <w:pPr>
        <w:pStyle w:val="20"/>
        <w:numPr>
          <w:ilvl w:val="0"/>
          <w:numId w:val="5"/>
        </w:numPr>
        <w:spacing w:line="360" w:lineRule="auto"/>
        <w:ind w:firstLine="413"/>
        <w:rPr>
          <w:rFonts w:ascii="宋体" w:hAnsi="宋体" w:eastAsia="宋体"/>
          <w:b/>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t>招标文件未载明允许提供备选（替代）投标方案或明确不允许提供备选（替代）投标方案时，投标人提供了备选（替代）投标方案的；</w:t>
      </w:r>
    </w:p>
    <w:p w14:paraId="039C8629">
      <w:pPr>
        <w:pStyle w:val="20"/>
        <w:numPr>
          <w:ilvl w:val="0"/>
          <w:numId w:val="5"/>
        </w:numPr>
        <w:spacing w:line="360" w:lineRule="auto"/>
        <w:ind w:firstLine="413"/>
        <w:rPr>
          <w:rFonts w:ascii="宋体" w:hAnsi="宋体" w:eastAsia="宋体"/>
          <w:b/>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t>未响应招标文件实质性要求的。</w:t>
      </w:r>
    </w:p>
    <w:p w14:paraId="4AB87B67">
      <w:pPr>
        <w:numPr>
          <w:ilvl w:val="0"/>
          <w:numId w:val="5"/>
        </w:numPr>
        <w:spacing w:line="360" w:lineRule="auto"/>
        <w:ind w:firstLine="422"/>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法律、法规和招标文件规定的其他无效情形。</w:t>
      </w:r>
    </w:p>
    <w:p w14:paraId="64C87ECD">
      <w:pPr>
        <w:pStyle w:val="6"/>
        <w:keepNext w:val="0"/>
        <w:keepLines w:val="0"/>
        <w:spacing w:before="0" w:after="0" w:line="360" w:lineRule="auto"/>
        <w:ind w:left="420"/>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3</w:t>
      </w:r>
      <w:r>
        <w:rPr>
          <w:rFonts w:ascii="宋体" w:hAnsi="宋体"/>
          <w:color w:val="000000" w:themeColor="text1"/>
          <w:sz w:val="21"/>
          <w:szCs w:val="21"/>
          <w:highlight w:val="none"/>
          <w14:textFill>
            <w14:solidFill>
              <w14:schemeClr w14:val="tx1"/>
            </w14:solidFill>
          </w14:textFill>
        </w:rPr>
        <w:t>.</w:t>
      </w:r>
      <w:r>
        <w:rPr>
          <w:rFonts w:hint="eastAsia" w:ascii="宋体" w:hAnsi="宋体"/>
          <w:color w:val="000000" w:themeColor="text1"/>
          <w:sz w:val="21"/>
          <w:szCs w:val="21"/>
          <w:highlight w:val="none"/>
          <w14:textFill>
            <w14:solidFill>
              <w14:schemeClr w14:val="tx1"/>
            </w14:solidFill>
          </w14:textFill>
        </w:rPr>
        <w:t>澄清补正</w:t>
      </w:r>
    </w:p>
    <w:p w14:paraId="14F99B02">
      <w:pPr>
        <w:spacing w:line="360" w:lineRule="auto"/>
        <w:ind w:firstLine="420"/>
        <w:rPr>
          <w:rFonts w:ascii="宋体" w:hAnsi="宋体" w:cs="Courier New"/>
          <w:b/>
          <w:color w:val="000000" w:themeColor="text1"/>
          <w:szCs w:val="21"/>
          <w:highlight w:val="none"/>
          <w14:textFill>
            <w14:solidFill>
              <w14:schemeClr w14:val="tx1"/>
            </w14:solidFill>
          </w14:textFill>
        </w:rPr>
      </w:pPr>
      <w:r>
        <w:rPr>
          <w:rFonts w:hint="eastAsia" w:ascii="宋体" w:hAnsi="宋体" w:cs="Courier New"/>
          <w:color w:val="000000" w:themeColor="text1"/>
          <w:szCs w:val="21"/>
          <w:highlight w:val="none"/>
          <w14:textFill>
            <w14:solidFill>
              <w14:schemeClr w14:val="tx1"/>
            </w14:solidFill>
          </w14:textFill>
        </w:rPr>
        <w:t>对投标文件中含义不明确、同类问题表述不一致或者有明显文字和计算错误的内容，评标委员会应在广西政府采购云平台发布电子澄清函，要求投标人在规定时间内作出必要的澄清、说明或者补正。投标人在广西政府采购云平台接收到电子澄清函后根据澄清函内容上传PDF格式回函，电子澄清答复函使用CA证书加盖投标人电子签章后在线上传至评标委员会。投标人的澄清、说明或者补正不得超出投标文件的范围或者改变投标文件的实质性内容。</w:t>
      </w:r>
    </w:p>
    <w:p w14:paraId="7A3AB731">
      <w:pPr>
        <w:spacing w:line="360" w:lineRule="auto"/>
        <w:ind w:firstLine="420"/>
        <w:rPr>
          <w:rFonts w:ascii="宋体" w:hAnsi="宋体" w:cs="Courier New"/>
          <w:color w:val="000000" w:themeColor="text1"/>
          <w:szCs w:val="21"/>
          <w:highlight w:val="none"/>
          <w14:textFill>
            <w14:solidFill>
              <w14:schemeClr w14:val="tx1"/>
            </w14:solidFill>
          </w14:textFill>
        </w:rPr>
      </w:pPr>
      <w:r>
        <w:rPr>
          <w:rFonts w:hint="eastAsia" w:ascii="宋体" w:hAnsi="宋体" w:cs="Courier New"/>
          <w:color w:val="000000" w:themeColor="text1"/>
          <w:szCs w:val="21"/>
          <w:highlight w:val="none"/>
          <w14:textFill>
            <w14:solidFill>
              <w14:schemeClr w14:val="tx1"/>
            </w14:solidFill>
          </w14:textFill>
        </w:rPr>
        <w:t>异常情况处理：如遇无法正常使用线上发送澄清函的情况，将启动书面形式办理。启动书面形式办理的情况下，评标委员会以书面形式要求投标人在规定时间内作出必要的澄清、说明或者补正。投标人的澄清、说明或者补正必须采用书面形式，并加盖公章，或者由法定代表人或者其授权的代表签字。</w:t>
      </w:r>
    </w:p>
    <w:p w14:paraId="3583AF23">
      <w:pPr>
        <w:spacing w:line="360" w:lineRule="auto"/>
        <w:ind w:firstLine="420"/>
        <w:rPr>
          <w:rFonts w:ascii="宋体" w:hAnsi="宋体" w:cs="Courier New"/>
          <w:color w:val="000000" w:themeColor="text1"/>
          <w:szCs w:val="21"/>
          <w:highlight w:val="none"/>
          <w14:textFill>
            <w14:solidFill>
              <w14:schemeClr w14:val="tx1"/>
            </w14:solidFill>
          </w14:textFill>
        </w:rPr>
      </w:pPr>
      <w:r>
        <w:rPr>
          <w:rFonts w:hint="eastAsia" w:ascii="宋体" w:hAnsi="宋体" w:cs="Courier New"/>
          <w:color w:val="000000" w:themeColor="text1"/>
          <w:szCs w:val="21"/>
          <w:highlight w:val="none"/>
          <w14:textFill>
            <w14:solidFill>
              <w14:schemeClr w14:val="tx1"/>
            </w14:solidFill>
          </w14:textFill>
        </w:rPr>
        <w:t>未按评标委员会的要求作出明确澄清、说明或者更正的投标人的投标文件将按照有利于采购人的原则由评标委员会进行判定。</w:t>
      </w:r>
    </w:p>
    <w:p w14:paraId="65D77EF8">
      <w:pPr>
        <w:pStyle w:val="6"/>
        <w:keepNext w:val="0"/>
        <w:keepLines w:val="0"/>
        <w:spacing w:before="0" w:after="0" w:line="360" w:lineRule="auto"/>
        <w:ind w:left="420"/>
        <w:rPr>
          <w:rFonts w:ascii="宋体" w:hAnsi="宋体"/>
          <w:color w:val="000000" w:themeColor="text1"/>
          <w:sz w:val="21"/>
          <w:szCs w:val="21"/>
          <w:highlight w:val="none"/>
          <w14:textFill>
            <w14:solidFill>
              <w14:schemeClr w14:val="tx1"/>
            </w14:solidFill>
          </w14:textFill>
        </w:rPr>
      </w:pPr>
      <w:r>
        <w:rPr>
          <w:rFonts w:ascii="宋体" w:hAnsi="宋体"/>
          <w:color w:val="000000" w:themeColor="text1"/>
          <w:sz w:val="21"/>
          <w:szCs w:val="21"/>
          <w:highlight w:val="none"/>
          <w14:textFill>
            <w14:solidFill>
              <w14:schemeClr w14:val="tx1"/>
            </w14:solidFill>
          </w14:textFill>
        </w:rPr>
        <w:t>4.</w:t>
      </w:r>
      <w:r>
        <w:rPr>
          <w:rFonts w:hint="eastAsia" w:ascii="宋体" w:hAnsi="宋体"/>
          <w:color w:val="000000" w:themeColor="text1"/>
          <w:sz w:val="21"/>
          <w:szCs w:val="21"/>
          <w:highlight w:val="none"/>
          <w14:textFill>
            <w14:solidFill>
              <w14:schemeClr w14:val="tx1"/>
            </w14:solidFill>
          </w14:textFill>
        </w:rPr>
        <w:t>投标文件修正</w:t>
      </w:r>
    </w:p>
    <w:p w14:paraId="659C2FFC">
      <w:pPr>
        <w:pStyle w:val="6"/>
        <w:keepNext w:val="0"/>
        <w:keepLines w:val="0"/>
        <w:spacing w:before="0" w:after="0" w:line="360" w:lineRule="auto"/>
        <w:ind w:left="420"/>
        <w:rPr>
          <w:rFonts w:ascii="宋体" w:hAnsi="宋体"/>
          <w:b w:val="0"/>
          <w:color w:val="000000" w:themeColor="text1"/>
          <w:sz w:val="21"/>
          <w:szCs w:val="21"/>
          <w:highlight w:val="none"/>
          <w14:textFill>
            <w14:solidFill>
              <w14:schemeClr w14:val="tx1"/>
            </w14:solidFill>
          </w14:textFill>
        </w:rPr>
      </w:pPr>
      <w:r>
        <w:rPr>
          <w:rFonts w:ascii="宋体" w:hAnsi="宋体"/>
          <w:b w:val="0"/>
          <w:color w:val="000000" w:themeColor="text1"/>
          <w:sz w:val="21"/>
          <w:szCs w:val="21"/>
          <w:highlight w:val="none"/>
          <w14:textFill>
            <w14:solidFill>
              <w14:schemeClr w14:val="tx1"/>
            </w14:solidFill>
          </w14:textFill>
        </w:rPr>
        <w:t>4</w:t>
      </w:r>
      <w:r>
        <w:rPr>
          <w:rFonts w:hint="eastAsia" w:ascii="宋体" w:hAnsi="宋体"/>
          <w:b w:val="0"/>
          <w:color w:val="000000" w:themeColor="text1"/>
          <w:sz w:val="21"/>
          <w:szCs w:val="21"/>
          <w:highlight w:val="none"/>
          <w14:textFill>
            <w14:solidFill>
              <w14:schemeClr w14:val="tx1"/>
            </w14:solidFill>
          </w14:textFill>
        </w:rPr>
        <w:t>.1投标文件报价出现前后不一致的，</w:t>
      </w:r>
      <w:r>
        <w:rPr>
          <w:rFonts w:hint="eastAsia" w:hAnsi="宋体"/>
          <w:color w:val="000000" w:themeColor="text1"/>
          <w:sz w:val="21"/>
          <w:highlight w:val="none"/>
          <w14:textFill>
            <w14:solidFill>
              <w14:schemeClr w14:val="tx1"/>
            </w14:solidFill>
          </w14:textFill>
        </w:rPr>
        <w:t>除“投标人须知前附表”另有规定的情形，</w:t>
      </w:r>
      <w:r>
        <w:rPr>
          <w:rFonts w:hint="eastAsia" w:ascii="宋体" w:hAnsi="宋体"/>
          <w:b w:val="0"/>
          <w:color w:val="000000" w:themeColor="text1"/>
          <w:sz w:val="21"/>
          <w:szCs w:val="21"/>
          <w:highlight w:val="none"/>
          <w14:textFill>
            <w14:solidFill>
              <w14:schemeClr w14:val="tx1"/>
            </w14:solidFill>
          </w14:textFill>
        </w:rPr>
        <w:t xml:space="preserve">按照下列规定修正： </w:t>
      </w:r>
    </w:p>
    <w:p w14:paraId="33195383">
      <w:pPr>
        <w:pStyle w:val="25"/>
        <w:spacing w:line="360" w:lineRule="auto"/>
        <w:ind w:firstLine="42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（1）投标文件中开标一览表（报价表）内容与投标文件中相应内容不一致的，以开标一览表（报价表）为准；</w:t>
      </w:r>
    </w:p>
    <w:p w14:paraId="57D06274">
      <w:pPr>
        <w:pStyle w:val="25"/>
        <w:spacing w:line="360" w:lineRule="auto"/>
        <w:ind w:firstLine="42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（2）大写金额和小写金额不一致的，以大写金额为准；</w:t>
      </w:r>
    </w:p>
    <w:p w14:paraId="6CD831FF">
      <w:pPr>
        <w:pStyle w:val="25"/>
        <w:spacing w:line="360" w:lineRule="auto"/>
        <w:ind w:firstLine="42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（3）单价金额小数点或者百分比有明显错位的，以开标一览表的总价为准，并修改单价；</w:t>
      </w:r>
    </w:p>
    <w:p w14:paraId="2D268F7D">
      <w:pPr>
        <w:pStyle w:val="25"/>
        <w:spacing w:line="360" w:lineRule="auto"/>
        <w:ind w:firstLine="42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（4）总价金额与按单价汇总金额不一致的，以单价金额计算结果为准。</w:t>
      </w:r>
    </w:p>
    <w:p w14:paraId="0A556553">
      <w:pPr>
        <w:pStyle w:val="25"/>
        <w:spacing w:line="360" w:lineRule="auto"/>
        <w:ind w:firstLine="42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同时出现两种以上不一致的，按照以上（1）-（4）规定的顺序修正。修正后的报价经投标人确认后产生约束力，投标人不确认的，</w:t>
      </w:r>
      <w:r>
        <w:rPr>
          <w:rFonts w:hint="eastAsia" w:hAnsi="宋体"/>
          <w:b/>
          <w:color w:val="000000" w:themeColor="text1"/>
          <w:sz w:val="21"/>
          <w:highlight w:val="none"/>
          <w14:textFill>
            <w14:solidFill>
              <w14:schemeClr w14:val="tx1"/>
            </w14:solidFill>
          </w14:textFill>
        </w:rPr>
        <w:t>其投标无效</w:t>
      </w:r>
      <w:r>
        <w:rPr>
          <w:rFonts w:hint="eastAsia" w:hAnsi="宋体"/>
          <w:color w:val="000000" w:themeColor="text1"/>
          <w:sz w:val="21"/>
          <w:highlight w:val="none"/>
          <w14:textFill>
            <w14:solidFill>
              <w14:schemeClr w14:val="tx1"/>
            </w14:solidFill>
          </w14:textFill>
        </w:rPr>
        <w:t>。</w:t>
      </w:r>
    </w:p>
    <w:p w14:paraId="10FBFD47">
      <w:pPr>
        <w:pStyle w:val="6"/>
        <w:keepNext w:val="0"/>
        <w:keepLines w:val="0"/>
        <w:spacing w:before="0" w:after="0" w:line="360" w:lineRule="auto"/>
        <w:rPr>
          <w:rFonts w:ascii="宋体" w:hAnsi="宋体"/>
          <w:b w:val="0"/>
          <w:color w:val="000000" w:themeColor="text1"/>
          <w:sz w:val="21"/>
          <w:szCs w:val="21"/>
          <w:highlight w:val="none"/>
          <w14:textFill>
            <w14:solidFill>
              <w14:schemeClr w14:val="tx1"/>
            </w14:solidFill>
          </w14:textFill>
        </w:rPr>
      </w:pPr>
      <w:r>
        <w:rPr>
          <w:rFonts w:ascii="宋体" w:hAnsi="宋体"/>
          <w:b w:val="0"/>
          <w:color w:val="000000" w:themeColor="text1"/>
          <w:sz w:val="21"/>
          <w:szCs w:val="21"/>
          <w:highlight w:val="none"/>
          <w14:textFill>
            <w14:solidFill>
              <w14:schemeClr w14:val="tx1"/>
            </w14:solidFill>
          </w14:textFill>
        </w:rPr>
        <w:t xml:space="preserve">    4</w:t>
      </w:r>
      <w:r>
        <w:rPr>
          <w:rFonts w:hint="eastAsia" w:ascii="宋体" w:hAnsi="宋体"/>
          <w:b w:val="0"/>
          <w:color w:val="000000" w:themeColor="text1"/>
          <w:sz w:val="21"/>
          <w:szCs w:val="21"/>
          <w:highlight w:val="none"/>
          <w14:textFill>
            <w14:solidFill>
              <w14:schemeClr w14:val="tx1"/>
            </w14:solidFill>
          </w14:textFill>
        </w:rPr>
        <w:t>.2经投标人确认修正后的报价若超过采购预算金额或者最高限价或者最高单价限价，</w:t>
      </w:r>
      <w:r>
        <w:rPr>
          <w:rFonts w:hint="eastAsia" w:ascii="宋体" w:hAnsi="宋体"/>
          <w:color w:val="000000" w:themeColor="text1"/>
          <w:sz w:val="21"/>
          <w:szCs w:val="21"/>
          <w:highlight w:val="none"/>
          <w14:textFill>
            <w14:solidFill>
              <w14:schemeClr w14:val="tx1"/>
            </w14:solidFill>
          </w14:textFill>
        </w:rPr>
        <w:t>投标人的投标文件作无效投标处理</w:t>
      </w:r>
      <w:r>
        <w:rPr>
          <w:rFonts w:hint="eastAsia" w:ascii="宋体" w:hAnsi="宋体"/>
          <w:b w:val="0"/>
          <w:color w:val="000000" w:themeColor="text1"/>
          <w:sz w:val="21"/>
          <w:szCs w:val="21"/>
          <w:highlight w:val="none"/>
          <w14:textFill>
            <w14:solidFill>
              <w14:schemeClr w14:val="tx1"/>
            </w14:solidFill>
          </w14:textFill>
        </w:rPr>
        <w:t>。</w:t>
      </w:r>
    </w:p>
    <w:p w14:paraId="2F7CB50E">
      <w:pPr>
        <w:spacing w:line="360" w:lineRule="auto"/>
        <w:ind w:firstLine="42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.3经投标人确认修正后的报价作为签订合同的依据，并以此报价计算价格分。</w:t>
      </w:r>
    </w:p>
    <w:p w14:paraId="12704FB1">
      <w:pPr>
        <w:pStyle w:val="6"/>
        <w:keepNext w:val="0"/>
        <w:keepLines w:val="0"/>
        <w:spacing w:before="0" w:after="0" w:line="360" w:lineRule="auto"/>
        <w:ind w:left="420"/>
        <w:rPr>
          <w:rFonts w:ascii="宋体" w:hAnsi="宋体"/>
          <w:color w:val="000000" w:themeColor="text1"/>
          <w:sz w:val="21"/>
          <w:szCs w:val="21"/>
          <w:highlight w:val="none"/>
          <w14:textFill>
            <w14:solidFill>
              <w14:schemeClr w14:val="tx1"/>
            </w14:solidFill>
          </w14:textFill>
        </w:rPr>
      </w:pPr>
      <w:r>
        <w:rPr>
          <w:rFonts w:ascii="宋体" w:hAnsi="宋体"/>
          <w:color w:val="000000" w:themeColor="text1"/>
          <w:sz w:val="21"/>
          <w:szCs w:val="21"/>
          <w:highlight w:val="none"/>
          <w14:textFill>
            <w14:solidFill>
              <w14:schemeClr w14:val="tx1"/>
            </w14:solidFill>
          </w14:textFill>
        </w:rPr>
        <w:t>5.</w:t>
      </w:r>
      <w:r>
        <w:rPr>
          <w:rFonts w:hint="eastAsia" w:ascii="宋体" w:hAnsi="宋体"/>
          <w:color w:val="000000" w:themeColor="text1"/>
          <w:sz w:val="21"/>
          <w:szCs w:val="21"/>
          <w:highlight w:val="none"/>
          <w14:textFill>
            <w14:solidFill>
              <w14:schemeClr w14:val="tx1"/>
            </w14:solidFill>
          </w14:textFill>
        </w:rPr>
        <w:t>比较与评价</w:t>
      </w:r>
    </w:p>
    <w:p w14:paraId="74BD32CA">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5.1采用综合评分法的</w:t>
      </w:r>
    </w:p>
    <w:p w14:paraId="0E8B9F53">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（1）评标委员会按照招标文件中规定的评标方法及评标标准，对符合性审查合格的投标文件进行商务和技术评估，综合比较与评价。</w:t>
      </w:r>
    </w:p>
    <w:p w14:paraId="62B3EF7A">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（2）评标委员会独立对每个投标人的投标文件进行评价，并汇总每个投标人的得分。</w:t>
      </w:r>
    </w:p>
    <w:p w14:paraId="14BA82E9">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1）评标委员会在评审中发现下列情形之一的，应当启动异常低价投标审查程序：</w:t>
      </w:r>
    </w:p>
    <w:p w14:paraId="2CDCB506">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①投标报价低于全部通过符合性审查供应商投标报价平均值</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65%</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的，即投标报价＜全部通过符合性审查供应商投标报价平均值×</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65%</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w:t>
      </w:r>
      <w:r>
        <w:rPr>
          <w:rFonts w:ascii="宋体" w:hAnsi="宋体"/>
          <w:i/>
          <w:color w:val="000000" w:themeColor="text1"/>
          <w:szCs w:val="21"/>
          <w:highlight w:val="none"/>
          <w14:textFill>
            <w14:solidFill>
              <w14:schemeClr w14:val="tx1"/>
            </w14:solidFill>
          </w14:textFill>
        </w:rPr>
        <w:t>（范围为</w:t>
      </w:r>
      <w:r>
        <w:rPr>
          <w:rFonts w:hint="eastAsia" w:ascii="宋体" w:hAnsi="宋体"/>
          <w:i/>
          <w:color w:val="000000" w:themeColor="text1"/>
          <w:szCs w:val="21"/>
          <w:highlight w:val="none"/>
          <w14:textFill>
            <w14:solidFill>
              <w14:schemeClr w14:val="tx1"/>
            </w14:solidFill>
          </w14:textFill>
        </w:rPr>
        <w:t>5</w:t>
      </w:r>
      <w:r>
        <w:rPr>
          <w:rFonts w:ascii="宋体" w:hAnsi="宋体"/>
          <w:i/>
          <w:color w:val="000000" w:themeColor="text1"/>
          <w:szCs w:val="21"/>
          <w:highlight w:val="none"/>
          <w14:textFill>
            <w14:solidFill>
              <w14:schemeClr w14:val="tx1"/>
            </w14:solidFill>
          </w14:textFill>
        </w:rPr>
        <w:t>0%-65%）</w:t>
      </w:r>
    </w:p>
    <w:p w14:paraId="3FAADD67">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②投标报价低于通过符合性审查的次低报价供应商投标报价</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65%</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的，即投标报价＜通过符合性审查的次低报价供应商投标报价×</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65%</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w:t>
      </w:r>
      <w:r>
        <w:rPr>
          <w:rFonts w:ascii="宋体" w:hAnsi="宋体"/>
          <w:i/>
          <w:color w:val="000000" w:themeColor="text1"/>
          <w:szCs w:val="21"/>
          <w:highlight w:val="none"/>
          <w14:textFill>
            <w14:solidFill>
              <w14:schemeClr w14:val="tx1"/>
            </w14:solidFill>
          </w14:textFill>
        </w:rPr>
        <w:t>（范围为</w:t>
      </w:r>
      <w:r>
        <w:rPr>
          <w:rFonts w:hint="eastAsia" w:ascii="宋体" w:hAnsi="宋体"/>
          <w:i/>
          <w:color w:val="000000" w:themeColor="text1"/>
          <w:szCs w:val="21"/>
          <w:highlight w:val="none"/>
          <w14:textFill>
            <w14:solidFill>
              <w14:schemeClr w14:val="tx1"/>
            </w14:solidFill>
          </w14:textFill>
        </w:rPr>
        <w:t>5</w:t>
      </w:r>
      <w:r>
        <w:rPr>
          <w:rFonts w:ascii="宋体" w:hAnsi="宋体"/>
          <w:i/>
          <w:color w:val="000000" w:themeColor="text1"/>
          <w:szCs w:val="21"/>
          <w:highlight w:val="none"/>
          <w14:textFill>
            <w14:solidFill>
              <w14:schemeClr w14:val="tx1"/>
            </w14:solidFill>
          </w14:textFill>
        </w:rPr>
        <w:t>0%-65%）</w:t>
      </w:r>
    </w:p>
    <w:p w14:paraId="2FF1AEBD">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③投标报价低于采购项目最高限价</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65%</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的，即投标报价＜采购项目最高限价×</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65%</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w:t>
      </w:r>
      <w:r>
        <w:rPr>
          <w:rFonts w:ascii="宋体" w:hAnsi="宋体"/>
          <w:i/>
          <w:color w:val="000000" w:themeColor="text1"/>
          <w:szCs w:val="21"/>
          <w:highlight w:val="none"/>
          <w14:textFill>
            <w14:solidFill>
              <w14:schemeClr w14:val="tx1"/>
            </w14:solidFill>
          </w14:textFill>
        </w:rPr>
        <w:t>（范围为45%-65%）</w:t>
      </w:r>
    </w:p>
    <w:p w14:paraId="1045F979">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④评标委员会基于专业判断，认为供应商报价过低，有可能影响产品质量或者不能诚信履约的其他情形。</w:t>
      </w:r>
    </w:p>
    <w:p w14:paraId="12A6527A">
      <w:pPr>
        <w:spacing w:line="360" w:lineRule="auto"/>
        <w:ind w:firstLine="42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评标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③项情形，供应商已随投标文件一并提交相关书面说明及必要的证明材料的，可不再重复提交。</w:t>
      </w:r>
    </w:p>
    <w:p w14:paraId="6C032367">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评标委员会依据专业经验，参考同类项目中标（成交）价格、类似产品市场价格水平、行业人工费用标准、国家有关部门指导行业协会发布的行业平均成本等情况，对报价合理性进行判断。</w:t>
      </w:r>
      <w:r>
        <w:rPr>
          <w:rFonts w:hint="eastAsia" w:ascii="宋体" w:hAnsi="宋体"/>
          <w:b/>
          <w:color w:val="000000" w:themeColor="text1"/>
          <w:szCs w:val="21"/>
          <w:highlight w:val="none"/>
          <w14:textFill>
            <w14:solidFill>
              <w14:schemeClr w14:val="tx1"/>
            </w14:solidFill>
          </w14:textFill>
        </w:rPr>
        <w:t>投标供应商不能提供书面说明、证明材料，或者提供的书面说明、证明材料不能证明其报价合理性的，评标委员会应当将其作为无效投标处理。</w:t>
      </w:r>
    </w:p>
    <w:p w14:paraId="787EC48B">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采购人、采购代理机构应当为评标委员会在评审现场及时获取同类项目中标（成交）价格、类似产品市场价格水平、行业人工费用标准、国家有关部门指导行业协会发布的行业平均成本等相关信息资料提供便利。评标委员会借助互联网等渠道查询相关信息的，应当严格遵守评审工作纪律，不得实施影响评审公正的行为。</w:t>
      </w:r>
    </w:p>
    <w:p w14:paraId="35031EED">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异常低价投标审查的启动原因、审查意见和审查结果应当在评审报告中记录，并随供应商提供的相关书面说明及证明材料，以及评标委员会有关互联网浏览、查询历史一并归档。</w:t>
      </w:r>
    </w:p>
    <w:p w14:paraId="64586B8B">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（3）评标委员会按照招标文件中规定的评标方法和标准计算各投标人的报价得分。在计算过程中，不得去掉最高报价或者最低报价。</w:t>
      </w:r>
    </w:p>
    <w:p w14:paraId="30FB6AE6">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（4）各投标人的得分为所有评委的有效评分的算术平均数。</w:t>
      </w:r>
    </w:p>
    <w:p w14:paraId="2AB2A4B7">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（5）评标委员会按照招标文件中的规定推荐中标候选人。</w:t>
      </w:r>
    </w:p>
    <w:p w14:paraId="71CC507E">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成员应当在评标报告上签署不同意见及理由，否则视为同意评标报告。</w:t>
      </w:r>
    </w:p>
    <w:p w14:paraId="222BDC1D">
      <w:pPr>
        <w:spacing w:line="360" w:lineRule="auto"/>
        <w:ind w:firstLine="424"/>
        <w:jc w:val="center"/>
        <w:rPr>
          <w:color w:val="000000" w:themeColor="text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br w:type="page" w:clear="all"/>
      </w:r>
      <w:r>
        <w:rPr>
          <w:rFonts w:ascii="宋体" w:hAnsi="宋体" w:cs="宋体"/>
          <w:b/>
          <w:bCs/>
          <w:color w:val="000000" w:themeColor="text1"/>
          <w:sz w:val="32"/>
          <w:szCs w:val="32"/>
          <w:highlight w:val="none"/>
          <w14:textFill>
            <w14:solidFill>
              <w14:schemeClr w14:val="tx1"/>
            </w14:solidFill>
          </w14:textFill>
        </w:rPr>
        <w:t>三</w:t>
      </w:r>
      <w:r>
        <w:rPr>
          <w:rFonts w:hint="eastAsia" w:ascii="宋体" w:hAnsi="宋体" w:cs="宋体"/>
          <w:b/>
          <w:bCs/>
          <w:color w:val="000000" w:themeColor="text1"/>
          <w:sz w:val="32"/>
          <w:szCs w:val="32"/>
          <w:highlight w:val="none"/>
          <w14:textFill>
            <w14:solidFill>
              <w14:schemeClr w14:val="tx1"/>
            </w14:solidFill>
          </w14:textFill>
        </w:rPr>
        <w:t>、评标标准</w:t>
      </w:r>
    </w:p>
    <w:p w14:paraId="35D52D2D">
      <w:pPr>
        <w:pStyle w:val="4"/>
        <w:keepNext w:val="0"/>
        <w:keepLines w:val="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综合评分法</w:t>
      </w:r>
    </w:p>
    <w:p w14:paraId="295CF412">
      <w:pPr>
        <w:pStyle w:val="4"/>
        <w:jc w:val="left"/>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1分标、2分标、3分标通用</w:t>
      </w:r>
    </w:p>
    <w:tbl>
      <w:tblPr>
        <w:tblStyle w:val="50"/>
        <w:tblW w:w="94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
        <w:gridCol w:w="1320"/>
        <w:gridCol w:w="1279"/>
        <w:gridCol w:w="6326"/>
      </w:tblGrid>
      <w:tr w14:paraId="76AFD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5" w:type="dxa"/>
            <w:gridSpan w:val="2"/>
            <w:tcBorders>
              <w:top w:val="single" w:color="auto" w:sz="4" w:space="0"/>
              <w:left w:val="single" w:color="auto" w:sz="4" w:space="0"/>
              <w:bottom w:val="single" w:color="auto" w:sz="4" w:space="0"/>
              <w:right w:val="single" w:color="auto" w:sz="4" w:space="0"/>
            </w:tcBorders>
            <w:noWrap w:val="0"/>
            <w:vAlign w:val="center"/>
          </w:tcPr>
          <w:p w14:paraId="66EB7D79">
            <w:pPr>
              <w:spacing w:line="410" w:lineRule="exact"/>
              <w:jc w:val="center"/>
              <w:rPr>
                <w:rFonts w:hint="eastAsia" w:ascii="宋体" w:hAnsi="宋体" w:eastAsia="宋体"/>
                <w:b/>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t>序号</w:t>
            </w:r>
          </w:p>
        </w:tc>
        <w:tc>
          <w:tcPr>
            <w:tcW w:w="1279" w:type="dxa"/>
            <w:tcBorders>
              <w:top w:val="single" w:color="auto" w:sz="4" w:space="0"/>
              <w:left w:val="single" w:color="auto" w:sz="4" w:space="0"/>
              <w:bottom w:val="single" w:color="auto" w:sz="4" w:space="0"/>
              <w:right w:val="single" w:color="auto" w:sz="4" w:space="0"/>
            </w:tcBorders>
            <w:noWrap w:val="0"/>
            <w:vAlign w:val="center"/>
          </w:tcPr>
          <w:p w14:paraId="27BB74BC">
            <w:pPr>
              <w:spacing w:line="410" w:lineRule="exact"/>
              <w:jc w:val="center"/>
              <w:rPr>
                <w:rFonts w:hint="eastAsia" w:ascii="宋体" w:hAnsi="宋体" w:eastAsia="宋体"/>
                <w:b/>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t>评审因素</w:t>
            </w:r>
          </w:p>
        </w:tc>
        <w:tc>
          <w:tcPr>
            <w:tcW w:w="6326" w:type="dxa"/>
            <w:tcBorders>
              <w:top w:val="single" w:color="auto" w:sz="4" w:space="0"/>
              <w:left w:val="single" w:color="auto" w:sz="4" w:space="0"/>
              <w:bottom w:val="single" w:color="auto" w:sz="4" w:space="0"/>
              <w:right w:val="single" w:color="auto" w:sz="4" w:space="0"/>
            </w:tcBorders>
            <w:noWrap w:val="0"/>
            <w:vAlign w:val="center"/>
          </w:tcPr>
          <w:p w14:paraId="7A682883">
            <w:pPr>
              <w:spacing w:line="410" w:lineRule="exact"/>
              <w:jc w:val="center"/>
              <w:rPr>
                <w:rFonts w:hint="eastAsia" w:ascii="宋体" w:hAnsi="宋体" w:eastAsia="宋体"/>
                <w:b/>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t>评标标准</w:t>
            </w:r>
          </w:p>
        </w:tc>
      </w:tr>
      <w:tr w14:paraId="57914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dxa"/>
            <w:noWrap w:val="0"/>
            <w:vAlign w:val="center"/>
          </w:tcPr>
          <w:p w14:paraId="5AEA9167">
            <w:pPr>
              <w:spacing w:line="360" w:lineRule="auto"/>
              <w:jc w:val="center"/>
              <w:rPr>
                <w:rFonts w:hint="eastAsia" w:ascii="宋体" w:hAnsi="宋体" w:eastAsia="宋体"/>
                <w:b/>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t>1</w:t>
            </w:r>
          </w:p>
        </w:tc>
        <w:tc>
          <w:tcPr>
            <w:tcW w:w="1320" w:type="dxa"/>
            <w:noWrap w:val="0"/>
            <w:vAlign w:val="center"/>
          </w:tcPr>
          <w:p w14:paraId="2B4FAC18">
            <w:pPr>
              <w:spacing w:line="360" w:lineRule="auto"/>
              <w:jc w:val="center"/>
              <w:rPr>
                <w:rFonts w:hint="eastAsia" w:ascii="宋体" w:hAnsi="宋体" w:eastAsia="宋体"/>
                <w:b/>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t>价格分</w:t>
            </w:r>
          </w:p>
          <w:p w14:paraId="74F8847C">
            <w:pPr>
              <w:spacing w:line="360" w:lineRule="auto"/>
              <w:jc w:val="center"/>
              <w:rPr>
                <w:rFonts w:hint="eastAsia" w:ascii="宋体" w:hAnsi="宋体" w:eastAsia="宋体"/>
                <w:color w:val="000000" w:themeColor="text1"/>
                <w:sz w:val="21"/>
                <w:szCs w:val="21"/>
                <w:highlight w:val="none"/>
                <w14:textFill>
                  <w14:solidFill>
                    <w14:schemeClr w14:val="tx1"/>
                  </w14:solidFill>
                </w14:textFill>
              </w:rPr>
            </w:pPr>
            <w:r>
              <w:rPr>
                <w:rFonts w:hint="eastAsia" w:ascii="宋体" w:hAnsi="宋体" w:eastAsia="宋体"/>
                <w:b/>
                <w:bCs/>
                <w:color w:val="000000" w:themeColor="text1"/>
                <w:sz w:val="21"/>
                <w:szCs w:val="21"/>
                <w:highlight w:val="none"/>
                <w14:textFill>
                  <w14:solidFill>
                    <w14:schemeClr w14:val="tx1"/>
                  </w14:solidFill>
                </w14:textFill>
              </w:rPr>
              <w:t>（满分</w:t>
            </w:r>
            <w:r>
              <w:rPr>
                <w:rFonts w:hint="eastAsia" w:ascii="宋体" w:hAnsi="宋体"/>
                <w:b/>
                <w:bCs/>
                <w:color w:val="000000" w:themeColor="text1"/>
                <w:sz w:val="21"/>
                <w:szCs w:val="21"/>
                <w:highlight w:val="none"/>
                <w:lang w:val="en-US" w:eastAsia="zh-CN"/>
                <w14:textFill>
                  <w14:solidFill>
                    <w14:schemeClr w14:val="tx1"/>
                  </w14:solidFill>
                </w14:textFill>
              </w:rPr>
              <w:t>3</w:t>
            </w:r>
            <w:r>
              <w:rPr>
                <w:rFonts w:hint="eastAsia" w:ascii="宋体" w:hAnsi="宋体" w:eastAsia="宋体"/>
                <w:b/>
                <w:bCs/>
                <w:color w:val="000000" w:themeColor="text1"/>
                <w:sz w:val="21"/>
                <w:szCs w:val="21"/>
                <w:highlight w:val="none"/>
                <w:lang w:val="en-US" w:eastAsia="zh-CN"/>
                <w14:textFill>
                  <w14:solidFill>
                    <w14:schemeClr w14:val="tx1"/>
                  </w14:solidFill>
                </w14:textFill>
              </w:rPr>
              <w:t>0</w:t>
            </w:r>
            <w:r>
              <w:rPr>
                <w:rFonts w:hint="eastAsia" w:ascii="宋体" w:hAnsi="宋体" w:eastAsia="宋体"/>
                <w:b/>
                <w:bCs/>
                <w:color w:val="000000" w:themeColor="text1"/>
                <w:sz w:val="21"/>
                <w:szCs w:val="21"/>
                <w:highlight w:val="none"/>
                <w14:textFill>
                  <w14:solidFill>
                    <w14:schemeClr w14:val="tx1"/>
                  </w14:solidFill>
                </w14:textFill>
              </w:rPr>
              <w:t>分）</w:t>
            </w:r>
          </w:p>
        </w:tc>
        <w:tc>
          <w:tcPr>
            <w:tcW w:w="1279" w:type="dxa"/>
            <w:noWrap w:val="0"/>
            <w:vAlign w:val="center"/>
          </w:tcPr>
          <w:p w14:paraId="397991E4">
            <w:pPr>
              <w:spacing w:line="360" w:lineRule="auto"/>
              <w:jc w:val="center"/>
              <w:rPr>
                <w:rFonts w:hint="eastAsia" w:ascii="宋体" w:hAnsi="宋体" w:eastAsia="宋体"/>
                <w:b/>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t>投标报价</w:t>
            </w:r>
          </w:p>
        </w:tc>
        <w:tc>
          <w:tcPr>
            <w:tcW w:w="6326" w:type="dxa"/>
            <w:noWrap w:val="0"/>
            <w:vAlign w:val="center"/>
          </w:tcPr>
          <w:p w14:paraId="5D8D38D0">
            <w:pPr>
              <w:spacing w:line="360" w:lineRule="auto"/>
              <w:ind w:firstLine="233"/>
              <w:rPr>
                <w:rFonts w:hint="eastAsia" w:ascii="宋体" w:hAnsi="宋体" w:eastAsia="宋体"/>
                <w:bCs/>
                <w:color w:val="000000" w:themeColor="text1"/>
                <w:sz w:val="21"/>
                <w:szCs w:val="21"/>
                <w:highlight w:val="none"/>
                <w14:textFill>
                  <w14:solidFill>
                    <w14:schemeClr w14:val="tx1"/>
                  </w14:solidFill>
                </w14:textFill>
              </w:rPr>
            </w:pPr>
            <w:r>
              <w:rPr>
                <w:rFonts w:hint="eastAsia" w:ascii="宋体" w:hAnsi="宋体" w:eastAsia="宋体"/>
                <w:bCs/>
                <w:color w:val="000000" w:themeColor="text1"/>
                <w:sz w:val="21"/>
                <w:szCs w:val="21"/>
                <w:highlight w:val="none"/>
                <w14:textFill>
                  <w14:solidFill>
                    <w14:schemeClr w14:val="tx1"/>
                  </w14:solidFill>
                </w14:textFill>
              </w:rPr>
              <w:t>（1）评标报价为投标人的投标报价进行政策性扣除后的价格，评标报价只是作为评标时使用。最终中标人的中标金额等于投标报价。</w:t>
            </w:r>
          </w:p>
          <w:p w14:paraId="27850B93">
            <w:pPr>
              <w:spacing w:line="360" w:lineRule="auto"/>
              <w:ind w:firstLine="233"/>
              <w:rPr>
                <w:rFonts w:hint="eastAsia" w:ascii="宋体" w:hAnsi="宋体" w:eastAsia="宋体"/>
                <w:bCs/>
                <w:color w:val="000000" w:themeColor="text1"/>
                <w:sz w:val="21"/>
                <w:szCs w:val="21"/>
                <w:highlight w:val="none"/>
                <w:lang w:val="en-US" w:eastAsia="zh-CN"/>
                <w14:textFill>
                  <w14:solidFill>
                    <w14:schemeClr w14:val="tx1"/>
                  </w14:solidFill>
                </w14:textFill>
              </w:rPr>
            </w:pPr>
            <w:r>
              <w:rPr>
                <w:rFonts w:hint="eastAsia" w:ascii="宋体" w:hAnsi="宋体" w:eastAsia="宋体"/>
                <w:bCs/>
                <w:color w:val="000000" w:themeColor="text1"/>
                <w:sz w:val="21"/>
                <w:szCs w:val="21"/>
                <w:highlight w:val="none"/>
                <w14:textFill>
                  <w14:solidFill>
                    <w14:schemeClr w14:val="tx1"/>
                  </w14:solidFill>
                </w14:textFill>
              </w:rPr>
              <w:t>（2）政策性扣除计算方法。</w:t>
            </w:r>
          </w:p>
          <w:p w14:paraId="67398023">
            <w:pPr>
              <w:spacing w:line="360" w:lineRule="auto"/>
              <w:ind w:firstLine="443"/>
              <w:rPr>
                <w:rFonts w:hint="eastAsia" w:ascii="宋体" w:hAnsi="宋体" w:eastAsia="宋体"/>
                <w:color w:val="000000" w:themeColor="text1"/>
                <w:sz w:val="21"/>
                <w:szCs w:val="21"/>
                <w:highlight w:val="none"/>
                <w14:textFill>
                  <w14:solidFill>
                    <w14:schemeClr w14:val="tx1"/>
                  </w14:solidFill>
                </w14:textFill>
              </w:rPr>
            </w:pPr>
            <w:r>
              <w:rPr>
                <w:rFonts w:hint="eastAsia" w:ascii="宋体" w:hAnsi="宋体" w:eastAsia="宋体"/>
                <w:bCs/>
                <w:color w:val="000000" w:themeColor="text1"/>
                <w:sz w:val="21"/>
                <w:szCs w:val="21"/>
                <w:highlight w:val="none"/>
                <w:lang w:val="en-US" w:eastAsia="zh-CN"/>
                <w14:textFill>
                  <w14:solidFill>
                    <w14:schemeClr w14:val="tx1"/>
                  </w14:solidFill>
                </w14:textFill>
              </w:rPr>
              <w:t>2.1</w:t>
            </w:r>
            <w:r>
              <w:rPr>
                <w:rFonts w:hint="eastAsia" w:ascii="宋体" w:hAnsi="宋体" w:eastAsia="宋体"/>
                <w:bCs/>
                <w:color w:val="000000" w:themeColor="text1"/>
                <w:sz w:val="21"/>
                <w:szCs w:val="21"/>
                <w:highlight w:val="none"/>
                <w14:textFill>
                  <w14:solidFill>
                    <w14:schemeClr w14:val="tx1"/>
                  </w14:solidFill>
                </w14:textFill>
              </w:rPr>
              <w:t>根据《政府采购促进中小企业发展管理办法》（财库〔2020〕46号）的规定，投标人在其投标文件中提供《中小企业声明函》，且其投标全部货物由小微企业制造的，对其投标报价给予10%的扣除</w:t>
            </w:r>
            <w:r>
              <w:rPr>
                <w:rFonts w:hint="eastAsia" w:ascii="宋体" w:hAnsi="宋体" w:eastAsia="宋体"/>
                <w:bCs/>
                <w:color w:val="000000" w:themeColor="text1"/>
                <w:sz w:val="21"/>
                <w:szCs w:val="21"/>
                <w:highlight w:val="none"/>
                <w:lang w:val="en-US" w:eastAsia="zh-CN"/>
                <w14:textFill>
                  <w14:solidFill>
                    <w14:schemeClr w14:val="tx1"/>
                  </w14:solidFill>
                </w14:textFill>
              </w:rPr>
              <w:t>。</w:t>
            </w:r>
          </w:p>
          <w:p w14:paraId="378A433E">
            <w:pPr>
              <w:spacing w:line="360" w:lineRule="auto"/>
              <w:ind w:firstLine="443"/>
              <w:rPr>
                <w:rFonts w:hint="eastAsia" w:ascii="宋体" w:hAnsi="宋体" w:eastAsia="宋体"/>
                <w:bCs/>
                <w:color w:val="000000" w:themeColor="text1"/>
                <w:sz w:val="21"/>
                <w:szCs w:val="21"/>
                <w:highlight w:val="none"/>
                <w14:textFill>
                  <w14:solidFill>
                    <w14:schemeClr w14:val="tx1"/>
                  </w14:solidFill>
                </w14:textFill>
              </w:rPr>
            </w:pPr>
            <w:r>
              <w:rPr>
                <w:rFonts w:hint="eastAsia" w:ascii="宋体" w:hAnsi="宋体" w:eastAsia="宋体"/>
                <w:bCs/>
                <w:color w:val="000000" w:themeColor="text1"/>
                <w:sz w:val="21"/>
                <w:szCs w:val="21"/>
                <w:highlight w:val="none"/>
                <w14:textFill>
                  <w14:solidFill>
                    <w14:schemeClr w14:val="tx1"/>
                  </w14:solidFill>
                </w14:textFill>
              </w:rPr>
              <w:t>按照《财政部、司法部关于政府采购支持监狱企业发展有关问题的通知》（财库〔2014〕68号）的规定，监狱企业视同小型、微型企业，享受预留份额、评审中价格扣除等促进中小企业发展的政府采购政策。</w:t>
            </w:r>
            <w:r>
              <w:rPr>
                <w:rFonts w:hint="eastAsia" w:ascii="宋体" w:hAnsi="宋体" w:eastAsia="宋体"/>
                <w:color w:val="000000" w:themeColor="text1"/>
                <w:sz w:val="21"/>
                <w:szCs w:val="21"/>
                <w:highlight w:val="none"/>
                <w14:textFill>
                  <w14:solidFill>
                    <w14:schemeClr w14:val="tx1"/>
                  </w14:solidFill>
                </w14:textFill>
              </w:rPr>
              <w:t>监狱企业参加政府采购活动时，应当提供由省级以上监狱管理局、戒毒管理局（含新疆生产建设兵团）出具的属于监狱企业的证明文件。</w:t>
            </w:r>
            <w:r>
              <w:rPr>
                <w:rFonts w:hint="eastAsia" w:ascii="宋体" w:hAnsi="宋体" w:eastAsia="宋体"/>
                <w:bCs/>
                <w:color w:val="000000" w:themeColor="text1"/>
                <w:sz w:val="21"/>
                <w:szCs w:val="21"/>
                <w:highlight w:val="none"/>
                <w14:textFill>
                  <w14:solidFill>
                    <w14:schemeClr w14:val="tx1"/>
                  </w14:solidFill>
                </w14:textFill>
              </w:rPr>
              <w:t>监狱企业属于小型、微型企业的，不重复享受政策。</w:t>
            </w:r>
          </w:p>
          <w:p w14:paraId="7D0C3D72">
            <w:pPr>
              <w:spacing w:line="360" w:lineRule="auto"/>
              <w:ind w:firstLine="443"/>
              <w:rPr>
                <w:rFonts w:hint="eastAsia" w:ascii="宋体" w:hAnsi="宋体" w:eastAsia="宋体"/>
                <w:bCs/>
                <w:color w:val="000000" w:themeColor="text1"/>
                <w:sz w:val="21"/>
                <w:szCs w:val="21"/>
                <w:highlight w:val="none"/>
                <w14:textFill>
                  <w14:solidFill>
                    <w14:schemeClr w14:val="tx1"/>
                  </w14:solidFill>
                </w14:textFill>
              </w:rPr>
            </w:pPr>
            <w:r>
              <w:rPr>
                <w:rFonts w:hint="eastAsia" w:ascii="宋体" w:hAnsi="宋体" w:eastAsia="宋体"/>
                <w:color w:val="000000" w:themeColor="text1"/>
                <w:sz w:val="21"/>
                <w:szCs w:val="21"/>
                <w:highlight w:val="none"/>
                <w14:textFill>
                  <w14:solidFill>
                    <w14:schemeClr w14:val="tx1"/>
                  </w14:solidFill>
                </w14:textFill>
              </w:rPr>
              <w:t>按照</w:t>
            </w:r>
            <w:r>
              <w:rPr>
                <w:rFonts w:hint="eastAsia" w:ascii="宋体" w:hAnsi="宋体" w:eastAsia="宋体"/>
                <w:bCs/>
                <w:color w:val="000000" w:themeColor="text1"/>
                <w:sz w:val="21"/>
                <w:szCs w:val="21"/>
                <w:highlight w:val="none"/>
                <w14:textFill>
                  <w14:solidFill>
                    <w14:schemeClr w14:val="tx1"/>
                  </w14:solidFill>
                </w14:textFill>
              </w:rPr>
              <w:t>《关于促进残疾人就业政府采购政策的通知》（财库〔2017〕141号）的规定，残疾人福利性单位视同小型、微型企业，享受预留份额、评审中价格扣除等促进中小企业发展的政府采购政策。</w:t>
            </w:r>
            <w:r>
              <w:rPr>
                <w:rFonts w:hint="eastAsia" w:ascii="宋体" w:hAnsi="宋体" w:eastAsia="宋体"/>
                <w:color w:val="000000" w:themeColor="text1"/>
                <w:sz w:val="21"/>
                <w:szCs w:val="21"/>
                <w:highlight w:val="none"/>
                <w14:textFill>
                  <w14:solidFill>
                    <w14:schemeClr w14:val="tx1"/>
                  </w14:solidFill>
                </w14:textFill>
              </w:rPr>
              <w:t>残疾人福利性单位参加政府采购活动时，应当提供该通知规定的《残疾人福利性单位声明函》，并对声明的真实性负责。</w:t>
            </w:r>
            <w:r>
              <w:rPr>
                <w:rFonts w:hint="eastAsia" w:ascii="宋体" w:hAnsi="宋体" w:eastAsia="宋体"/>
                <w:bCs/>
                <w:color w:val="000000" w:themeColor="text1"/>
                <w:sz w:val="21"/>
                <w:szCs w:val="21"/>
                <w:highlight w:val="none"/>
                <w14:textFill>
                  <w14:solidFill>
                    <w14:schemeClr w14:val="tx1"/>
                  </w14:solidFill>
                </w14:textFill>
              </w:rPr>
              <w:t>残疾人福利性单位属于小型、微型企业的，不重复享受政策。</w:t>
            </w:r>
          </w:p>
          <w:p w14:paraId="2F3DB532">
            <w:pPr>
              <w:spacing w:line="360" w:lineRule="auto"/>
              <w:ind w:firstLine="443"/>
              <w:rPr>
                <w:rFonts w:hint="eastAsia" w:ascii="宋体" w:hAnsi="宋体" w:eastAsia="宋体" w:cs="Times New Roman"/>
                <w:bCs/>
                <w:color w:val="000000" w:themeColor="text1"/>
                <w:sz w:val="21"/>
                <w:szCs w:val="21"/>
                <w:highlight w:val="none"/>
                <w:lang w:val="en-US" w:eastAsia="zh-CN"/>
                <w14:textFill>
                  <w14:solidFill>
                    <w14:schemeClr w14:val="tx1"/>
                  </w14:solidFill>
                </w14:textFill>
              </w:rPr>
            </w:pPr>
            <w:r>
              <w:rPr>
                <w:rFonts w:hint="eastAsia" w:ascii="宋体" w:hAnsi="宋体" w:eastAsia="宋体" w:cs="Times New Roman"/>
                <w:bCs/>
                <w:color w:val="000000" w:themeColor="text1"/>
                <w:sz w:val="21"/>
                <w:szCs w:val="21"/>
                <w:highlight w:val="none"/>
                <w:lang w:val="en-US" w:eastAsia="zh-CN"/>
                <w14:textFill>
                  <w14:solidFill>
                    <w14:schemeClr w14:val="tx1"/>
                  </w14:solidFill>
                </w14:textFill>
              </w:rPr>
              <w:t>2.2</w:t>
            </w:r>
            <w:r>
              <w:rPr>
                <w:rFonts w:hint="eastAsia" w:ascii="宋体" w:hAnsi="宋体" w:eastAsia="宋体" w:cs="Times New Roman"/>
                <w:bCs/>
                <w:color w:val="000000" w:themeColor="text1"/>
                <w:sz w:val="21"/>
                <w:szCs w:val="21"/>
                <w:highlight w:val="none"/>
                <w14:textFill>
                  <w14:solidFill>
                    <w14:schemeClr w14:val="tx1"/>
                  </w14:solidFill>
                </w14:textFill>
              </w:rPr>
              <w:t>根据《国务院办公厅关于在政府采购中实施本国产品标准及相关政策的通知》</w:t>
            </w:r>
            <w:r>
              <w:rPr>
                <w:rFonts w:hint="eastAsia" w:ascii="宋体" w:hAnsi="宋体" w:eastAsia="宋体" w:cs="Times New Roman"/>
                <w:bCs/>
                <w:color w:val="000000" w:themeColor="text1"/>
                <w:sz w:val="21"/>
                <w:szCs w:val="21"/>
                <w:highlight w:val="none"/>
                <w:lang w:eastAsia="zh-CN"/>
                <w14:textFill>
                  <w14:solidFill>
                    <w14:schemeClr w14:val="tx1"/>
                  </w14:solidFill>
                </w14:textFill>
              </w:rPr>
              <w:t>，</w:t>
            </w:r>
            <w:r>
              <w:rPr>
                <w:rFonts w:hint="eastAsia" w:ascii="宋体" w:hAnsi="宋体" w:eastAsia="宋体" w:cs="Times New Roman"/>
                <w:bCs/>
                <w:color w:val="000000" w:themeColor="text1"/>
                <w:sz w:val="21"/>
                <w:szCs w:val="21"/>
                <w:highlight w:val="none"/>
                <w14:textFill>
                  <w14:solidFill>
                    <w14:schemeClr w14:val="tx1"/>
                  </w14:solidFill>
                </w14:textFill>
              </w:rPr>
              <w:t>投标人在其投标文件中提供《关于符合本国产品标准的声明函》</w:t>
            </w:r>
            <w:r>
              <w:rPr>
                <w:rFonts w:hint="eastAsia" w:ascii="宋体" w:hAnsi="宋体" w:eastAsia="宋体" w:cs="Times New Roman"/>
                <w:bCs/>
                <w:color w:val="000000" w:themeColor="text1"/>
                <w:sz w:val="21"/>
                <w:szCs w:val="21"/>
                <w:highlight w:val="none"/>
                <w:lang w:eastAsia="zh-CN"/>
                <w14:textFill>
                  <w14:solidFill>
                    <w14:schemeClr w14:val="tx1"/>
                  </w14:solidFill>
                </w14:textFill>
              </w:rPr>
              <w:t>，且政府采购活动中</w:t>
            </w:r>
            <w:r>
              <w:rPr>
                <w:rFonts w:hint="eastAsia" w:ascii="宋体" w:hAnsi="宋体" w:eastAsia="宋体" w:cs="Times New Roman"/>
                <w:bCs/>
                <w:color w:val="000000" w:themeColor="text1"/>
                <w:sz w:val="21"/>
                <w:szCs w:val="21"/>
                <w:highlight w:val="none"/>
                <w14:textFill>
                  <w14:solidFill>
                    <w14:schemeClr w14:val="tx1"/>
                  </w14:solidFill>
                </w14:textFill>
              </w:rPr>
              <w:t>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r>
              <w:rPr>
                <w:rFonts w:hint="eastAsia" w:ascii="宋体" w:hAnsi="宋体" w:eastAsia="宋体" w:cs="Times New Roman"/>
                <w:bCs/>
                <w:color w:val="000000" w:themeColor="text1"/>
                <w:sz w:val="21"/>
                <w:szCs w:val="21"/>
                <w:highlight w:val="none"/>
                <w:lang w:eastAsia="zh-CN"/>
                <w14:textFill>
                  <w14:solidFill>
                    <w14:schemeClr w14:val="tx1"/>
                  </w14:solidFill>
                </w14:textFill>
              </w:rPr>
              <w:t>，</w:t>
            </w:r>
            <w:r>
              <w:rPr>
                <w:rFonts w:hint="eastAsia" w:ascii="宋体" w:hAnsi="宋体" w:eastAsia="宋体"/>
                <w:bCs/>
                <w:color w:val="000000" w:themeColor="text1"/>
                <w:sz w:val="21"/>
                <w:szCs w:val="21"/>
                <w:highlight w:val="none"/>
                <w14:textFill>
                  <w14:solidFill>
                    <w14:schemeClr w14:val="tx1"/>
                  </w14:solidFill>
                </w14:textFill>
              </w:rPr>
              <w:t>即评标报价=投标报价×（1-</w:t>
            </w:r>
            <w:r>
              <w:rPr>
                <w:rFonts w:hint="eastAsia" w:ascii="宋体" w:hAnsi="宋体" w:eastAsia="宋体"/>
                <w:bCs/>
                <w:color w:val="000000" w:themeColor="text1"/>
                <w:sz w:val="21"/>
                <w:szCs w:val="21"/>
                <w:highlight w:val="none"/>
                <w:lang w:val="en-US" w:eastAsia="zh-CN"/>
                <w14:textFill>
                  <w14:solidFill>
                    <w14:schemeClr w14:val="tx1"/>
                  </w14:solidFill>
                </w14:textFill>
              </w:rPr>
              <w:t>2</w:t>
            </w:r>
            <w:r>
              <w:rPr>
                <w:rFonts w:hint="eastAsia" w:ascii="宋体" w:hAnsi="宋体" w:eastAsia="宋体"/>
                <w:bCs/>
                <w:color w:val="000000" w:themeColor="text1"/>
                <w:sz w:val="21"/>
                <w:szCs w:val="21"/>
                <w:highlight w:val="none"/>
                <w14:textFill>
                  <w14:solidFill>
                    <w14:schemeClr w14:val="tx1"/>
                  </w14:solidFill>
                </w14:textFill>
              </w:rPr>
              <w:t>0%）</w:t>
            </w:r>
            <w:r>
              <w:rPr>
                <w:rFonts w:hint="eastAsia" w:ascii="宋体" w:hAnsi="宋体" w:eastAsia="宋体"/>
                <w:bCs/>
                <w:color w:val="000000" w:themeColor="text1"/>
                <w:sz w:val="21"/>
                <w:szCs w:val="21"/>
                <w:highlight w:val="none"/>
                <w:lang w:val="en-US" w:eastAsia="zh-CN"/>
                <w14:textFill>
                  <w14:solidFill>
                    <w14:schemeClr w14:val="tx1"/>
                  </w14:solidFill>
                </w14:textFill>
              </w:rPr>
              <w:t>。</w:t>
            </w:r>
          </w:p>
          <w:p w14:paraId="0E2E3785">
            <w:pPr>
              <w:spacing w:line="360" w:lineRule="auto"/>
              <w:ind w:firstLine="443"/>
              <w:rPr>
                <w:rFonts w:hint="eastAsia" w:ascii="宋体" w:hAnsi="宋体" w:eastAsia="宋体"/>
                <w:bCs/>
                <w:color w:val="000000" w:themeColor="text1"/>
                <w:sz w:val="21"/>
                <w:szCs w:val="21"/>
                <w:highlight w:val="none"/>
                <w:lang w:eastAsia="zh-CN"/>
                <w14:textFill>
                  <w14:solidFill>
                    <w14:schemeClr w14:val="tx1"/>
                  </w14:solidFill>
                </w14:textFill>
              </w:rPr>
            </w:pPr>
            <w:r>
              <w:rPr>
                <w:rFonts w:hint="eastAsia" w:ascii="宋体" w:hAnsi="宋体" w:eastAsia="宋体"/>
                <w:bCs/>
                <w:color w:val="000000" w:themeColor="text1"/>
                <w:sz w:val="21"/>
                <w:szCs w:val="21"/>
                <w:highlight w:val="none"/>
                <w:lang w:val="en-US" w:eastAsia="zh-CN"/>
                <w14:textFill>
                  <w14:solidFill>
                    <w14:schemeClr w14:val="tx1"/>
                  </w14:solidFill>
                </w14:textFill>
              </w:rPr>
              <w:t>2.3投标人同时满足以上两个政策时可叠加计算，</w:t>
            </w:r>
            <w:r>
              <w:rPr>
                <w:rFonts w:hint="eastAsia" w:ascii="宋体" w:hAnsi="宋体" w:eastAsia="宋体"/>
                <w:bCs/>
                <w:color w:val="000000" w:themeColor="text1"/>
                <w:sz w:val="21"/>
                <w:szCs w:val="21"/>
                <w:highlight w:val="none"/>
                <w14:textFill>
                  <w14:solidFill>
                    <w14:schemeClr w14:val="tx1"/>
                  </w14:solidFill>
                </w14:textFill>
              </w:rPr>
              <w:t>扣除后的价格为评标报价，即评标报价=投标报价×（1-10%</w:t>
            </w:r>
            <w:r>
              <w:rPr>
                <w:rFonts w:hint="eastAsia" w:ascii="宋体" w:hAnsi="宋体" w:eastAsia="宋体"/>
                <w:bCs/>
                <w:color w:val="000000" w:themeColor="text1"/>
                <w:sz w:val="21"/>
                <w:szCs w:val="21"/>
                <w:highlight w:val="none"/>
                <w:lang w:val="en-US" w:eastAsia="zh-CN"/>
                <w14:textFill>
                  <w14:solidFill>
                    <w14:schemeClr w14:val="tx1"/>
                  </w14:solidFill>
                </w14:textFill>
              </w:rPr>
              <w:t>-20%</w:t>
            </w:r>
            <w:r>
              <w:rPr>
                <w:rFonts w:hint="eastAsia" w:ascii="宋体" w:hAnsi="宋体" w:eastAsia="宋体"/>
                <w:bCs/>
                <w:color w:val="000000" w:themeColor="text1"/>
                <w:sz w:val="21"/>
                <w:szCs w:val="21"/>
                <w:highlight w:val="none"/>
                <w14:textFill>
                  <w14:solidFill>
                    <w14:schemeClr w14:val="tx1"/>
                  </w14:solidFill>
                </w14:textFill>
              </w:rPr>
              <w:t>）</w:t>
            </w:r>
            <w:r>
              <w:rPr>
                <w:rFonts w:hint="eastAsia" w:ascii="宋体" w:hAnsi="宋体" w:eastAsia="宋体"/>
                <w:bCs/>
                <w:color w:val="000000" w:themeColor="text1"/>
                <w:sz w:val="21"/>
                <w:szCs w:val="21"/>
                <w:highlight w:val="none"/>
                <w:lang w:eastAsia="zh-CN"/>
                <w14:textFill>
                  <w14:solidFill>
                    <w14:schemeClr w14:val="tx1"/>
                  </w14:solidFill>
                </w14:textFill>
              </w:rPr>
              <w:t>。</w:t>
            </w:r>
          </w:p>
          <w:p w14:paraId="45F7D893">
            <w:pPr>
              <w:spacing w:line="360" w:lineRule="auto"/>
              <w:ind w:firstLine="443"/>
              <w:rPr>
                <w:rFonts w:hint="eastAsia" w:ascii="宋体" w:hAnsi="宋体" w:eastAsia="宋体" w:cs="Times New Roman"/>
                <w:bCs/>
                <w:color w:val="000000" w:themeColor="text1"/>
                <w:sz w:val="21"/>
                <w:szCs w:val="21"/>
                <w:highlight w:val="none"/>
                <w14:textFill>
                  <w14:solidFill>
                    <w14:schemeClr w14:val="tx1"/>
                  </w14:solidFill>
                </w14:textFill>
              </w:rPr>
            </w:pPr>
            <w:r>
              <w:rPr>
                <w:rFonts w:hint="eastAsia" w:ascii="宋体" w:hAnsi="宋体" w:eastAsia="宋体"/>
                <w:bCs/>
                <w:color w:val="000000" w:themeColor="text1"/>
                <w:sz w:val="21"/>
                <w:szCs w:val="21"/>
                <w:highlight w:val="none"/>
                <w:lang w:val="en-US" w:eastAsia="zh-CN"/>
                <w14:textFill>
                  <w14:solidFill>
                    <w14:schemeClr w14:val="tx1"/>
                  </w14:solidFill>
                </w14:textFill>
              </w:rPr>
              <w:t>2.4</w:t>
            </w:r>
            <w:r>
              <w:rPr>
                <w:rFonts w:hint="eastAsia" w:ascii="宋体" w:hAnsi="宋体" w:eastAsia="宋体"/>
                <w:bCs/>
                <w:color w:val="000000" w:themeColor="text1"/>
                <w:sz w:val="21"/>
                <w:szCs w:val="21"/>
                <w:highlight w:val="none"/>
                <w14:textFill>
                  <w14:solidFill>
                    <w14:schemeClr w14:val="tx1"/>
                  </w14:solidFill>
                </w14:textFill>
              </w:rPr>
              <w:t>除上述情况外，评标报价=投标报价。</w:t>
            </w:r>
          </w:p>
          <w:p w14:paraId="6896DD65">
            <w:pPr>
              <w:spacing w:line="360" w:lineRule="auto"/>
              <w:ind w:firstLine="233"/>
              <w:rPr>
                <w:rFonts w:hint="eastAsia" w:ascii="宋体" w:hAnsi="宋体" w:eastAsia="宋体"/>
                <w:bCs/>
                <w:color w:val="000000" w:themeColor="text1"/>
                <w:sz w:val="21"/>
                <w:szCs w:val="21"/>
                <w:highlight w:val="none"/>
                <w14:textFill>
                  <w14:solidFill>
                    <w14:schemeClr w14:val="tx1"/>
                  </w14:solidFill>
                </w14:textFill>
              </w:rPr>
            </w:pPr>
            <w:r>
              <w:rPr>
                <w:rFonts w:hint="eastAsia" w:ascii="宋体" w:hAnsi="宋体" w:eastAsia="宋体"/>
                <w:bCs/>
                <w:color w:val="000000" w:themeColor="text1"/>
                <w:sz w:val="21"/>
                <w:szCs w:val="21"/>
                <w:highlight w:val="none"/>
                <w14:textFill>
                  <w14:solidFill>
                    <w14:schemeClr w14:val="tx1"/>
                  </w14:solidFill>
                </w14:textFill>
              </w:rPr>
              <w:t>（</w:t>
            </w:r>
            <w:r>
              <w:rPr>
                <w:rFonts w:hint="eastAsia" w:ascii="宋体" w:hAnsi="宋体" w:eastAsia="宋体"/>
                <w:bCs/>
                <w:color w:val="000000" w:themeColor="text1"/>
                <w:sz w:val="21"/>
                <w:szCs w:val="21"/>
                <w:highlight w:val="none"/>
                <w:lang w:val="en-US" w:eastAsia="zh-CN"/>
                <w14:textFill>
                  <w14:solidFill>
                    <w14:schemeClr w14:val="tx1"/>
                  </w14:solidFill>
                </w14:textFill>
              </w:rPr>
              <w:t>3</w:t>
            </w:r>
            <w:r>
              <w:rPr>
                <w:rFonts w:hint="eastAsia" w:ascii="宋体" w:hAnsi="宋体" w:eastAsia="宋体"/>
                <w:bCs/>
                <w:color w:val="000000" w:themeColor="text1"/>
                <w:sz w:val="21"/>
                <w:szCs w:val="21"/>
                <w:highlight w:val="none"/>
                <w14:textFill>
                  <w14:solidFill>
                    <w14:schemeClr w14:val="tx1"/>
                  </w14:solidFill>
                </w14:textFill>
              </w:rPr>
              <w:t>）满足招标文件要求且评标报价最低的评标报价为评标基准价，其价格分为满分。</w:t>
            </w:r>
          </w:p>
          <w:p w14:paraId="211115B7">
            <w:pPr>
              <w:spacing w:line="360" w:lineRule="auto"/>
              <w:ind w:firstLine="233"/>
              <w:rPr>
                <w:rFonts w:hint="eastAsia" w:ascii="宋体" w:hAnsi="宋体" w:eastAsia="宋体"/>
                <w:bCs/>
                <w:color w:val="000000" w:themeColor="text1"/>
                <w:sz w:val="21"/>
                <w:szCs w:val="21"/>
                <w:highlight w:val="none"/>
                <w14:textFill>
                  <w14:solidFill>
                    <w14:schemeClr w14:val="tx1"/>
                  </w14:solidFill>
                </w14:textFill>
              </w:rPr>
            </w:pPr>
            <w:r>
              <w:rPr>
                <w:rFonts w:hint="eastAsia" w:ascii="宋体" w:hAnsi="宋体" w:eastAsia="宋体"/>
                <w:bCs/>
                <w:color w:val="000000" w:themeColor="text1"/>
                <w:sz w:val="21"/>
                <w:szCs w:val="21"/>
                <w:highlight w:val="none"/>
                <w14:textFill>
                  <w14:solidFill>
                    <w14:schemeClr w14:val="tx1"/>
                  </w14:solidFill>
                </w14:textFill>
              </w:rPr>
              <w:t>（</w:t>
            </w:r>
            <w:r>
              <w:rPr>
                <w:rFonts w:hint="eastAsia" w:ascii="宋体" w:hAnsi="宋体" w:eastAsia="宋体"/>
                <w:bCs/>
                <w:color w:val="000000" w:themeColor="text1"/>
                <w:sz w:val="21"/>
                <w:szCs w:val="21"/>
                <w:highlight w:val="none"/>
                <w:lang w:val="en-US" w:eastAsia="zh-CN"/>
                <w14:textFill>
                  <w14:solidFill>
                    <w14:schemeClr w14:val="tx1"/>
                  </w14:solidFill>
                </w14:textFill>
              </w:rPr>
              <w:t>4</w:t>
            </w:r>
            <w:r>
              <w:rPr>
                <w:rFonts w:hint="eastAsia" w:ascii="宋体" w:hAnsi="宋体" w:eastAsia="宋体"/>
                <w:bCs/>
                <w:color w:val="000000" w:themeColor="text1"/>
                <w:sz w:val="21"/>
                <w:szCs w:val="21"/>
                <w:highlight w:val="none"/>
                <w14:textFill>
                  <w14:solidFill>
                    <w14:schemeClr w14:val="tx1"/>
                  </w14:solidFill>
                </w14:textFill>
              </w:rPr>
              <w:t xml:space="preserve">）价格分计算公式：        </w:t>
            </w:r>
          </w:p>
          <w:p w14:paraId="0CCA5904">
            <w:pPr>
              <w:spacing w:line="360" w:lineRule="auto"/>
              <w:ind w:firstLine="233"/>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bCs/>
                <w:color w:val="000000" w:themeColor="text1"/>
                <w:sz w:val="21"/>
                <w:szCs w:val="21"/>
                <w:highlight w:val="none"/>
                <w14:textFill>
                  <w14:solidFill>
                    <w14:schemeClr w14:val="tx1"/>
                  </w14:solidFill>
                </w14:textFill>
              </w:rPr>
              <w:t>价格分</w:t>
            </w:r>
            <w:r>
              <w:rPr>
                <w:rFonts w:hint="eastAsia" w:ascii="宋体" w:hAnsi="宋体" w:eastAsia="宋体" w:cs="宋体"/>
                <w:bCs/>
                <w:color w:val="000000" w:themeColor="text1"/>
                <w:sz w:val="21"/>
                <w:szCs w:val="21"/>
                <w:highlight w:val="none"/>
                <w14:textFill>
                  <w14:solidFill>
                    <w14:schemeClr w14:val="tx1"/>
                  </w14:solidFill>
                </w14:textFill>
              </w:rPr>
              <w:t>=（评标基准价／评标报价）×</w:t>
            </w:r>
            <w:r>
              <w:rPr>
                <w:rFonts w:hint="eastAsia" w:ascii="宋体" w:hAnsi="宋体" w:cs="宋体"/>
                <w:bCs/>
                <w:color w:val="000000" w:themeColor="text1"/>
                <w:sz w:val="21"/>
                <w:szCs w:val="21"/>
                <w:highlight w:val="none"/>
                <w:lang w:val="en-US" w:eastAsia="zh-CN"/>
                <w14:textFill>
                  <w14:solidFill>
                    <w14:schemeClr w14:val="tx1"/>
                  </w14:solidFill>
                </w14:textFill>
              </w:rPr>
              <w:t>3</w:t>
            </w:r>
            <w:r>
              <w:rPr>
                <w:rFonts w:hint="eastAsia" w:ascii="宋体" w:hAnsi="宋体" w:eastAsia="宋体"/>
                <w:bCs/>
                <w:color w:val="000000" w:themeColor="text1"/>
                <w:sz w:val="21"/>
                <w:szCs w:val="21"/>
                <w:highlight w:val="none"/>
                <w:u w:val="single"/>
                <w14:textFill>
                  <w14:solidFill>
                    <w14:schemeClr w14:val="tx1"/>
                  </w14:solidFill>
                </w14:textFill>
              </w:rPr>
              <w:t>0</w:t>
            </w:r>
            <w:r>
              <w:rPr>
                <w:rFonts w:hint="eastAsia" w:ascii="宋体" w:hAnsi="宋体" w:eastAsia="宋体" w:cs="宋体"/>
                <w:bCs/>
                <w:color w:val="000000" w:themeColor="text1"/>
                <w:sz w:val="21"/>
                <w:szCs w:val="21"/>
                <w:highlight w:val="none"/>
                <w14:textFill>
                  <w14:solidFill>
                    <w14:schemeClr w14:val="tx1"/>
                  </w14:solidFill>
                </w14:textFill>
              </w:rPr>
              <w:t>分</w:t>
            </w:r>
          </w:p>
        </w:tc>
      </w:tr>
      <w:tr w14:paraId="54A04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25" w:type="dxa"/>
            <w:vMerge w:val="restart"/>
            <w:noWrap w:val="0"/>
            <w:vAlign w:val="center"/>
          </w:tcPr>
          <w:p w14:paraId="34AF6128">
            <w:pPr>
              <w:spacing w:line="360" w:lineRule="auto"/>
              <w:jc w:val="center"/>
              <w:rPr>
                <w:rFonts w:hint="eastAsia" w:ascii="宋体" w:hAnsi="宋体" w:eastAsia="宋体"/>
                <w:b/>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t>2</w:t>
            </w:r>
          </w:p>
        </w:tc>
        <w:tc>
          <w:tcPr>
            <w:tcW w:w="1320" w:type="dxa"/>
            <w:vMerge w:val="restart"/>
            <w:noWrap w:val="0"/>
            <w:vAlign w:val="center"/>
          </w:tcPr>
          <w:p w14:paraId="32F46134">
            <w:pPr>
              <w:spacing w:line="360" w:lineRule="auto"/>
              <w:jc w:val="left"/>
              <w:rPr>
                <w:rFonts w:hint="eastAsia" w:ascii="宋体" w:hAnsi="宋体" w:eastAsia="宋体"/>
                <w:b/>
                <w:bCs/>
                <w:color w:val="000000" w:themeColor="text1"/>
                <w:sz w:val="21"/>
                <w:szCs w:val="21"/>
                <w:highlight w:val="none"/>
                <w14:textFill>
                  <w14:solidFill>
                    <w14:schemeClr w14:val="tx1"/>
                  </w14:solidFill>
                </w14:textFill>
              </w:rPr>
            </w:pPr>
            <w:r>
              <w:rPr>
                <w:rFonts w:hint="eastAsia" w:ascii="宋体" w:hAnsi="宋体" w:eastAsia="宋体"/>
                <w:b/>
                <w:bCs/>
                <w:color w:val="000000" w:themeColor="text1"/>
                <w:sz w:val="21"/>
                <w:szCs w:val="21"/>
                <w:highlight w:val="none"/>
                <w14:textFill>
                  <w14:solidFill>
                    <w14:schemeClr w14:val="tx1"/>
                  </w14:solidFill>
                </w14:textFill>
              </w:rPr>
              <w:t>技术分</w:t>
            </w:r>
          </w:p>
          <w:p w14:paraId="505250D9">
            <w:pPr>
              <w:spacing w:line="360" w:lineRule="auto"/>
              <w:jc w:val="left"/>
              <w:rPr>
                <w:rFonts w:hint="eastAsia" w:ascii="宋体" w:hAnsi="宋体" w:eastAsia="宋体"/>
                <w:b/>
                <w:bCs/>
                <w:color w:val="000000" w:themeColor="text1"/>
                <w:sz w:val="21"/>
                <w:szCs w:val="21"/>
                <w:highlight w:val="none"/>
                <w14:textFill>
                  <w14:solidFill>
                    <w14:schemeClr w14:val="tx1"/>
                  </w14:solidFill>
                </w14:textFill>
              </w:rPr>
            </w:pPr>
            <w:r>
              <w:rPr>
                <w:rFonts w:hint="eastAsia" w:ascii="宋体" w:hAnsi="宋体" w:eastAsia="宋体"/>
                <w:b/>
                <w:bCs/>
                <w:color w:val="000000" w:themeColor="text1"/>
                <w:sz w:val="21"/>
                <w:szCs w:val="21"/>
                <w:highlight w:val="none"/>
                <w14:textFill>
                  <w14:solidFill>
                    <w14:schemeClr w14:val="tx1"/>
                  </w14:solidFill>
                </w14:textFill>
              </w:rPr>
              <w:t xml:space="preserve">（满分 </w:t>
            </w:r>
            <w:r>
              <w:rPr>
                <w:rFonts w:hint="eastAsia" w:ascii="宋体" w:hAnsi="宋体"/>
                <w:b/>
                <w:bCs/>
                <w:color w:val="000000" w:themeColor="text1"/>
                <w:sz w:val="21"/>
                <w:szCs w:val="21"/>
                <w:highlight w:val="none"/>
                <w:lang w:val="en-US" w:eastAsia="zh-CN"/>
                <w14:textFill>
                  <w14:solidFill>
                    <w14:schemeClr w14:val="tx1"/>
                  </w14:solidFill>
                </w14:textFill>
              </w:rPr>
              <w:t>65</w:t>
            </w:r>
            <w:r>
              <w:rPr>
                <w:rFonts w:hint="eastAsia" w:ascii="宋体" w:hAnsi="宋体" w:eastAsia="宋体"/>
                <w:b/>
                <w:bCs/>
                <w:color w:val="000000" w:themeColor="text1"/>
                <w:sz w:val="21"/>
                <w:szCs w:val="21"/>
                <w:highlight w:val="none"/>
                <w14:textFill>
                  <w14:solidFill>
                    <w14:schemeClr w14:val="tx1"/>
                  </w14:solidFill>
                </w14:textFill>
              </w:rPr>
              <w:t>分）</w:t>
            </w:r>
          </w:p>
        </w:tc>
        <w:tc>
          <w:tcPr>
            <w:tcW w:w="1279" w:type="dxa"/>
            <w:noWrap w:val="0"/>
            <w:vAlign w:val="center"/>
          </w:tcPr>
          <w:p w14:paraId="117C3C1D">
            <w:pPr>
              <w:spacing w:line="380" w:lineRule="exact"/>
              <w:jc w:val="left"/>
              <w:rPr>
                <w:rFonts w:hint="eastAsia" w:ascii="宋体" w:hAnsi="宋体" w:eastAsia="宋体"/>
                <w:b/>
                <w:bCs/>
                <w:color w:val="000000" w:themeColor="text1"/>
                <w:sz w:val="21"/>
                <w:szCs w:val="21"/>
                <w:highlight w:val="none"/>
                <w14:textFill>
                  <w14:solidFill>
                    <w14:schemeClr w14:val="tx1"/>
                  </w14:solidFill>
                </w14:textFill>
              </w:rPr>
            </w:pPr>
            <w:r>
              <w:rPr>
                <w:rFonts w:hint="eastAsia" w:ascii="宋体" w:hAnsi="宋体" w:eastAsia="宋体"/>
                <w:b/>
                <w:bCs/>
                <w:color w:val="000000" w:themeColor="text1"/>
                <w:sz w:val="21"/>
                <w:szCs w:val="21"/>
                <w:highlight w:val="none"/>
                <w14:textFill>
                  <w14:solidFill>
                    <w14:schemeClr w14:val="tx1"/>
                  </w14:solidFill>
                </w14:textFill>
              </w:rPr>
              <w:t>货物设备性能分（满分</w:t>
            </w:r>
            <w:r>
              <w:rPr>
                <w:rFonts w:hint="eastAsia" w:ascii="宋体" w:hAnsi="宋体"/>
                <w:b/>
                <w:bCs/>
                <w:color w:val="000000" w:themeColor="text1"/>
                <w:sz w:val="21"/>
                <w:szCs w:val="21"/>
                <w:highlight w:val="none"/>
                <w:lang w:val="en-US" w:eastAsia="zh-CN"/>
                <w14:textFill>
                  <w14:solidFill>
                    <w14:schemeClr w14:val="tx1"/>
                  </w14:solidFill>
                </w14:textFill>
              </w:rPr>
              <w:t>15</w:t>
            </w:r>
            <w:r>
              <w:rPr>
                <w:rFonts w:hint="eastAsia" w:ascii="宋体" w:hAnsi="宋体" w:eastAsia="宋体"/>
                <w:b/>
                <w:bCs/>
                <w:color w:val="000000" w:themeColor="text1"/>
                <w:sz w:val="21"/>
                <w:szCs w:val="21"/>
                <w:highlight w:val="none"/>
                <w14:textFill>
                  <w14:solidFill>
                    <w14:schemeClr w14:val="tx1"/>
                  </w14:solidFill>
                </w14:textFill>
              </w:rPr>
              <w:t>分）</w:t>
            </w:r>
          </w:p>
        </w:tc>
        <w:tc>
          <w:tcPr>
            <w:tcW w:w="6326" w:type="dxa"/>
            <w:noWrap w:val="0"/>
            <w:vAlign w:val="center"/>
          </w:tcPr>
          <w:p w14:paraId="2482E680">
            <w:pPr>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投标文件的非标注“▲”的技术要求中无负偏离的得</w:t>
            </w: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u w:val="single"/>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分，满分</w:t>
            </w: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u w:val="single"/>
                <w14:textFill>
                  <w14:solidFill>
                    <w14:schemeClr w14:val="tx1"/>
                  </w14:solidFill>
                </w14:textFill>
              </w:rPr>
              <w:t xml:space="preserve">5 </w:t>
            </w:r>
            <w:r>
              <w:rPr>
                <w:rFonts w:hint="eastAsia" w:ascii="宋体" w:hAnsi="宋体" w:eastAsia="宋体" w:cs="宋体"/>
                <w:color w:val="000000" w:themeColor="text1"/>
                <w:sz w:val="21"/>
                <w:szCs w:val="21"/>
                <w:highlight w:val="none"/>
                <w14:textFill>
                  <w14:solidFill>
                    <w14:schemeClr w14:val="tx1"/>
                  </w14:solidFill>
                </w14:textFill>
              </w:rPr>
              <w:t>分 。</w:t>
            </w:r>
          </w:p>
          <w:p w14:paraId="6F66D9C3">
            <w:pPr>
              <w:spacing w:line="360" w:lineRule="auto"/>
              <w:rPr>
                <w:rFonts w:hint="eastAsia" w:ascii="宋体" w:hAnsi="宋体" w:eastAsia="宋体"/>
                <w:bCs/>
                <w:color w:val="000000" w:themeColor="text1"/>
                <w:spacing w:val="-2"/>
                <w:sz w:val="21"/>
                <w:szCs w:val="21"/>
                <w:highlight w:val="none"/>
                <w:shd w:val="clear" w:color="auto" w:fill="FFFFFF"/>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注：如技术要求偏离表中的投标响应与佐证材料不一致的，以佐证材料为准。</w:t>
            </w:r>
          </w:p>
        </w:tc>
      </w:tr>
      <w:tr w14:paraId="66783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25" w:type="dxa"/>
            <w:vMerge w:val="continue"/>
            <w:noWrap w:val="0"/>
            <w:vAlign w:val="center"/>
          </w:tcPr>
          <w:p w14:paraId="1B30F9C7">
            <w:pPr>
              <w:spacing w:line="360" w:lineRule="auto"/>
              <w:jc w:val="center"/>
              <w:rPr>
                <w:rFonts w:hint="eastAsia" w:ascii="宋体" w:hAnsi="宋体" w:eastAsia="宋体"/>
                <w:b/>
                <w:color w:val="000000" w:themeColor="text1"/>
                <w:sz w:val="21"/>
                <w:szCs w:val="21"/>
                <w:highlight w:val="none"/>
                <w14:textFill>
                  <w14:solidFill>
                    <w14:schemeClr w14:val="tx1"/>
                  </w14:solidFill>
                </w14:textFill>
              </w:rPr>
            </w:pPr>
          </w:p>
        </w:tc>
        <w:tc>
          <w:tcPr>
            <w:tcW w:w="1320" w:type="dxa"/>
            <w:vMerge w:val="continue"/>
            <w:noWrap w:val="0"/>
            <w:vAlign w:val="center"/>
          </w:tcPr>
          <w:p w14:paraId="3868FCAD">
            <w:pPr>
              <w:spacing w:line="360" w:lineRule="auto"/>
              <w:ind w:left="-105" w:right="-105"/>
              <w:jc w:val="center"/>
              <w:rPr>
                <w:rFonts w:hint="eastAsia" w:ascii="宋体" w:hAnsi="宋体" w:eastAsia="宋体"/>
                <w:b/>
                <w:bCs/>
                <w:color w:val="000000" w:themeColor="text1"/>
                <w:sz w:val="21"/>
                <w:szCs w:val="21"/>
                <w:highlight w:val="none"/>
                <w14:textFill>
                  <w14:solidFill>
                    <w14:schemeClr w14:val="tx1"/>
                  </w14:solidFill>
                </w14:textFill>
              </w:rPr>
            </w:pPr>
          </w:p>
        </w:tc>
        <w:tc>
          <w:tcPr>
            <w:tcW w:w="1279" w:type="dxa"/>
            <w:noWrap w:val="0"/>
            <w:vAlign w:val="center"/>
          </w:tcPr>
          <w:p w14:paraId="7012BA43">
            <w:pPr>
              <w:spacing w:line="360" w:lineRule="atLeast"/>
              <w:jc w:val="center"/>
              <w:rPr>
                <w:rFonts w:hint="eastAsia" w:ascii="宋体" w:hAnsi="宋体" w:eastAsia="宋体"/>
                <w:b/>
                <w:bCs/>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t>项目实施方案</w:t>
            </w:r>
            <w:r>
              <w:rPr>
                <w:rFonts w:hint="eastAsia" w:ascii="宋体" w:hAnsi="宋体" w:eastAsia="宋体"/>
                <w:b/>
                <w:bCs/>
                <w:color w:val="000000" w:themeColor="text1"/>
                <w:sz w:val="21"/>
                <w:szCs w:val="21"/>
                <w:highlight w:val="none"/>
                <w14:textFill>
                  <w14:solidFill>
                    <w14:schemeClr w14:val="tx1"/>
                  </w14:solidFill>
                </w14:textFill>
              </w:rPr>
              <w:t>（满分20分）</w:t>
            </w:r>
          </w:p>
          <w:p w14:paraId="6AAF7003">
            <w:pPr>
              <w:spacing w:line="380" w:lineRule="exact"/>
              <w:rPr>
                <w:rFonts w:hint="eastAsia" w:ascii="宋体" w:hAnsi="宋体" w:eastAsia="宋体"/>
                <w:color w:val="000000" w:themeColor="text1"/>
                <w:sz w:val="21"/>
                <w:szCs w:val="21"/>
                <w:highlight w:val="none"/>
                <w14:textFill>
                  <w14:solidFill>
                    <w14:schemeClr w14:val="tx1"/>
                  </w14:solidFill>
                </w14:textFill>
              </w:rPr>
            </w:pPr>
          </w:p>
        </w:tc>
        <w:tc>
          <w:tcPr>
            <w:tcW w:w="6326" w:type="dxa"/>
            <w:noWrap w:val="0"/>
            <w:vAlign w:val="center"/>
          </w:tcPr>
          <w:p w14:paraId="5E42E71B">
            <w:pPr>
              <w:spacing w:line="360" w:lineRule="auto"/>
              <w:jc w:val="left"/>
              <w:rPr>
                <w:rFonts w:hint="eastAsia" w:ascii="宋体" w:hAnsi="宋体" w:eastAsia="宋体"/>
                <w:bCs/>
                <w:color w:val="000000" w:themeColor="text1"/>
                <w:sz w:val="21"/>
                <w:szCs w:val="21"/>
                <w:highlight w:val="none"/>
                <w14:textFill>
                  <w14:solidFill>
                    <w14:schemeClr w14:val="tx1"/>
                  </w14:solidFill>
                </w14:textFill>
              </w:rPr>
            </w:pPr>
            <w:r>
              <w:rPr>
                <w:rFonts w:hint="eastAsia" w:ascii="宋体" w:hAnsi="宋体" w:eastAsia="宋体"/>
                <w:bCs/>
                <w:color w:val="000000" w:themeColor="text1"/>
                <w:sz w:val="21"/>
                <w:szCs w:val="21"/>
                <w:highlight w:val="none"/>
                <w14:textFill>
                  <w14:solidFill>
                    <w14:schemeClr w14:val="tx1"/>
                  </w14:solidFill>
                </w14:textFill>
              </w:rPr>
              <w:t>一档（6分）：实施方案中对交付计划、人员投入、安全保证措施和技术保证措施等有描述，实施方案</w:t>
            </w:r>
            <w:r>
              <w:rPr>
                <w:rFonts w:hint="eastAsia" w:ascii="宋体" w:hAnsi="宋体"/>
                <w:bCs/>
                <w:color w:val="000000" w:themeColor="text1"/>
                <w:sz w:val="21"/>
                <w:szCs w:val="21"/>
                <w:highlight w:val="none"/>
                <w:lang w:eastAsia="zh-CN"/>
                <w14:textFill>
                  <w14:solidFill>
                    <w14:schemeClr w14:val="tx1"/>
                  </w14:solidFill>
                </w14:textFill>
              </w:rPr>
              <w:t>、</w:t>
            </w:r>
            <w:r>
              <w:rPr>
                <w:rFonts w:hint="eastAsia" w:ascii="宋体" w:hAnsi="宋体" w:eastAsia="宋体"/>
                <w:bCs/>
                <w:color w:val="000000" w:themeColor="text1"/>
                <w:sz w:val="21"/>
                <w:szCs w:val="21"/>
                <w:highlight w:val="none"/>
                <w14:textFill>
                  <w14:solidFill>
                    <w14:schemeClr w14:val="tx1"/>
                  </w14:solidFill>
                </w14:textFill>
              </w:rPr>
              <w:t>实施计划基本契合项目实际，项目管理组织机构及人员职能清晰。</w:t>
            </w:r>
          </w:p>
          <w:p w14:paraId="5E4F610C">
            <w:pPr>
              <w:spacing w:line="360" w:lineRule="auto"/>
              <w:jc w:val="left"/>
              <w:rPr>
                <w:rFonts w:hint="eastAsia" w:ascii="宋体" w:hAnsi="宋体" w:eastAsia="宋体"/>
                <w:bCs/>
                <w:color w:val="000000" w:themeColor="text1"/>
                <w:sz w:val="21"/>
                <w:szCs w:val="21"/>
                <w:highlight w:val="none"/>
                <w14:textFill>
                  <w14:solidFill>
                    <w14:schemeClr w14:val="tx1"/>
                  </w14:solidFill>
                </w14:textFill>
              </w:rPr>
            </w:pPr>
            <w:r>
              <w:rPr>
                <w:rFonts w:hint="eastAsia" w:ascii="宋体" w:hAnsi="宋体" w:eastAsia="宋体"/>
                <w:bCs/>
                <w:color w:val="000000" w:themeColor="text1"/>
                <w:sz w:val="21"/>
                <w:szCs w:val="21"/>
                <w:highlight w:val="none"/>
                <w14:textFill>
                  <w14:solidFill>
                    <w14:schemeClr w14:val="tx1"/>
                  </w14:solidFill>
                </w14:textFill>
              </w:rPr>
              <w:t>二档（13分）：实施方案包括有交付计划、人员投入、安全保证措施和技术保证措施。实施方案实施计划契合项目实际，项目管理组织机构及人员职能清晰。</w:t>
            </w:r>
          </w:p>
          <w:p w14:paraId="23EABF92">
            <w:pPr>
              <w:spacing w:line="360" w:lineRule="auto"/>
              <w:rPr>
                <w:rFonts w:hint="eastAsia" w:ascii="宋体" w:hAnsi="宋体" w:eastAsia="宋体"/>
                <w:bCs/>
                <w:color w:val="000000" w:themeColor="text1"/>
                <w:sz w:val="21"/>
                <w:szCs w:val="21"/>
                <w:highlight w:val="none"/>
                <w14:textFill>
                  <w14:solidFill>
                    <w14:schemeClr w14:val="tx1"/>
                  </w14:solidFill>
                </w14:textFill>
              </w:rPr>
            </w:pPr>
            <w:r>
              <w:rPr>
                <w:rFonts w:hint="eastAsia" w:ascii="宋体" w:hAnsi="宋体" w:eastAsia="宋体"/>
                <w:bCs/>
                <w:color w:val="000000" w:themeColor="text1"/>
                <w:sz w:val="21"/>
                <w:szCs w:val="21"/>
                <w:highlight w:val="none"/>
                <w14:textFill>
                  <w14:solidFill>
                    <w14:schemeClr w14:val="tx1"/>
                  </w14:solidFill>
                </w14:textFill>
              </w:rPr>
              <w:t>三档（20分）：实施方案包括有交付计划、人员投入、安全保证措施和技术保证措施内容可行、详细，有交付保证措施、实施安全保障措施、风险管理体系，实施方案</w:t>
            </w:r>
            <w:r>
              <w:rPr>
                <w:rFonts w:hint="eastAsia" w:ascii="宋体" w:hAnsi="宋体"/>
                <w:bCs/>
                <w:color w:val="000000" w:themeColor="text1"/>
                <w:sz w:val="21"/>
                <w:szCs w:val="21"/>
                <w:highlight w:val="none"/>
                <w:lang w:eastAsia="zh-CN"/>
                <w14:textFill>
                  <w14:solidFill>
                    <w14:schemeClr w14:val="tx1"/>
                  </w14:solidFill>
                </w14:textFill>
              </w:rPr>
              <w:t>、</w:t>
            </w:r>
            <w:r>
              <w:rPr>
                <w:rFonts w:hint="eastAsia" w:ascii="宋体" w:hAnsi="宋体" w:eastAsia="宋体"/>
                <w:bCs/>
                <w:color w:val="000000" w:themeColor="text1"/>
                <w:sz w:val="21"/>
                <w:szCs w:val="21"/>
                <w:highlight w:val="none"/>
                <w14:textFill>
                  <w14:solidFill>
                    <w14:schemeClr w14:val="tx1"/>
                  </w14:solidFill>
                </w14:textFill>
              </w:rPr>
              <w:t>实施计划契合项目实际、可操作性强，项目管理组织机构及人员职能清晰可控。</w:t>
            </w:r>
          </w:p>
          <w:p w14:paraId="1672FF44">
            <w:pPr>
              <w:spacing w:line="360" w:lineRule="auto"/>
              <w:rPr>
                <w:rFonts w:hint="eastAsia" w:ascii="宋体" w:hAnsi="宋体" w:eastAsia="宋体"/>
                <w:bCs/>
                <w:color w:val="000000" w:themeColor="text1"/>
                <w:sz w:val="21"/>
                <w:szCs w:val="21"/>
                <w:highlight w:val="none"/>
                <w14:textFill>
                  <w14:solidFill>
                    <w14:schemeClr w14:val="tx1"/>
                  </w14:solidFill>
                </w14:textFill>
              </w:rPr>
            </w:pPr>
            <w:r>
              <w:rPr>
                <w:rFonts w:hint="eastAsia" w:ascii="宋体" w:hAnsi="宋体" w:eastAsia="宋体"/>
                <w:color w:val="000000" w:themeColor="text1"/>
                <w:sz w:val="21"/>
                <w:szCs w:val="21"/>
                <w:highlight w:val="none"/>
                <w14:textFill>
                  <w14:solidFill>
                    <w14:schemeClr w14:val="tx1"/>
                  </w14:solidFill>
                </w14:textFill>
              </w:rPr>
              <w:t>注：未满足一档要求的计0分。</w:t>
            </w:r>
          </w:p>
        </w:tc>
      </w:tr>
      <w:tr w14:paraId="35A54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25" w:type="dxa"/>
            <w:vMerge w:val="continue"/>
            <w:noWrap w:val="0"/>
            <w:vAlign w:val="center"/>
          </w:tcPr>
          <w:p w14:paraId="1415DE3F">
            <w:pPr>
              <w:spacing w:line="360" w:lineRule="auto"/>
              <w:jc w:val="center"/>
              <w:rPr>
                <w:rFonts w:hint="eastAsia" w:ascii="宋体" w:hAnsi="宋体" w:eastAsia="宋体"/>
                <w:b/>
                <w:color w:val="000000" w:themeColor="text1"/>
                <w:sz w:val="21"/>
                <w:szCs w:val="21"/>
                <w:highlight w:val="none"/>
                <w14:textFill>
                  <w14:solidFill>
                    <w14:schemeClr w14:val="tx1"/>
                  </w14:solidFill>
                </w14:textFill>
              </w:rPr>
            </w:pPr>
          </w:p>
        </w:tc>
        <w:tc>
          <w:tcPr>
            <w:tcW w:w="1320" w:type="dxa"/>
            <w:vMerge w:val="continue"/>
            <w:noWrap w:val="0"/>
            <w:vAlign w:val="center"/>
          </w:tcPr>
          <w:p w14:paraId="7D8C4D69">
            <w:pPr>
              <w:spacing w:line="360" w:lineRule="auto"/>
              <w:ind w:left="-105" w:right="-105"/>
              <w:jc w:val="center"/>
              <w:rPr>
                <w:rFonts w:hint="eastAsia" w:ascii="宋体" w:hAnsi="宋体" w:eastAsia="宋体"/>
                <w:b/>
                <w:bCs/>
                <w:color w:val="000000" w:themeColor="text1"/>
                <w:sz w:val="21"/>
                <w:szCs w:val="21"/>
                <w:highlight w:val="none"/>
                <w14:textFill>
                  <w14:solidFill>
                    <w14:schemeClr w14:val="tx1"/>
                  </w14:solidFill>
                </w14:textFill>
              </w:rPr>
            </w:pPr>
          </w:p>
        </w:tc>
        <w:tc>
          <w:tcPr>
            <w:tcW w:w="1279" w:type="dxa"/>
            <w:noWrap w:val="0"/>
            <w:vAlign w:val="center"/>
          </w:tcPr>
          <w:p w14:paraId="35BF8D21">
            <w:pPr>
              <w:spacing w:line="360" w:lineRule="auto"/>
              <w:jc w:val="center"/>
              <w:rPr>
                <w:rFonts w:hint="eastAsia" w:ascii="宋体" w:hAnsi="宋体" w:eastAsia="宋体"/>
                <w:color w:val="000000" w:themeColor="text1"/>
                <w:sz w:val="21"/>
                <w:szCs w:val="21"/>
                <w:highlight w:val="none"/>
                <w14:textFill>
                  <w14:solidFill>
                    <w14:schemeClr w14:val="tx1"/>
                  </w14:solidFill>
                </w14:textFill>
              </w:rPr>
            </w:pPr>
            <w:r>
              <w:rPr>
                <w:rFonts w:hint="eastAsia" w:ascii="宋体" w:hAnsi="宋体" w:eastAsia="宋体"/>
                <w:b/>
                <w:bCs/>
                <w:color w:val="000000" w:themeColor="text1"/>
                <w:sz w:val="21"/>
                <w:szCs w:val="21"/>
                <w:highlight w:val="none"/>
                <w14:textFill>
                  <w14:solidFill>
                    <w14:schemeClr w14:val="tx1"/>
                  </w14:solidFill>
                </w14:textFill>
              </w:rPr>
              <w:t>售后服务承诺方案（满分15分）</w:t>
            </w:r>
          </w:p>
        </w:tc>
        <w:tc>
          <w:tcPr>
            <w:tcW w:w="6326" w:type="dxa"/>
            <w:noWrap w:val="0"/>
            <w:vAlign w:val="center"/>
          </w:tcPr>
          <w:p w14:paraId="1A43054F">
            <w:pPr>
              <w:spacing w:line="360" w:lineRule="auto"/>
              <w:jc w:val="left"/>
              <w:rPr>
                <w:rFonts w:hint="eastAsia" w:ascii="宋体" w:hAnsi="宋体" w:eastAsia="宋体"/>
                <w:bCs/>
                <w:color w:val="000000" w:themeColor="text1"/>
                <w:sz w:val="21"/>
                <w:szCs w:val="21"/>
                <w:highlight w:val="none"/>
                <w14:textFill>
                  <w14:solidFill>
                    <w14:schemeClr w14:val="tx1"/>
                  </w14:solidFill>
                </w14:textFill>
              </w:rPr>
            </w:pPr>
            <w:r>
              <w:rPr>
                <w:rFonts w:hint="eastAsia" w:ascii="宋体" w:hAnsi="宋体" w:eastAsia="宋体"/>
                <w:bCs/>
                <w:color w:val="000000" w:themeColor="text1"/>
                <w:sz w:val="21"/>
                <w:szCs w:val="21"/>
                <w:highlight w:val="none"/>
                <w14:textFill>
                  <w14:solidFill>
                    <w14:schemeClr w14:val="tx1"/>
                  </w14:solidFill>
                </w14:textFill>
              </w:rPr>
              <w:t>由</w:t>
            </w:r>
            <w:r>
              <w:rPr>
                <w:rFonts w:hint="eastAsia" w:ascii="宋体" w:hAnsi="宋体"/>
                <w:bCs/>
                <w:color w:val="000000" w:themeColor="text1"/>
                <w:sz w:val="21"/>
                <w:szCs w:val="21"/>
                <w:highlight w:val="none"/>
                <w:lang w:val="en-US" w:eastAsia="zh-CN"/>
                <w14:textFill>
                  <w14:solidFill>
                    <w14:schemeClr w14:val="tx1"/>
                  </w14:solidFill>
                </w14:textFill>
              </w:rPr>
              <w:t>评委</w:t>
            </w:r>
            <w:r>
              <w:rPr>
                <w:rFonts w:hint="eastAsia" w:ascii="宋体" w:hAnsi="宋体" w:eastAsia="宋体"/>
                <w:bCs/>
                <w:color w:val="000000" w:themeColor="text1"/>
                <w:sz w:val="21"/>
                <w:szCs w:val="21"/>
                <w:highlight w:val="none"/>
                <w14:textFill>
                  <w14:solidFill>
                    <w14:schemeClr w14:val="tx1"/>
                  </w14:solidFill>
                </w14:textFill>
              </w:rPr>
              <w:t xml:space="preserve">根据投标人的售后服务方案（包括售后服务人员、接故障通知到达现场的时间、出现质量问题承诺更换时间、应急处理方案、其它实质性优惠措施等条件）进行独立评审打分，达不到一档要求的计0分。 </w:t>
            </w:r>
          </w:p>
          <w:p w14:paraId="198684DF">
            <w:pPr>
              <w:spacing w:line="360" w:lineRule="auto"/>
              <w:jc w:val="left"/>
              <w:rPr>
                <w:rFonts w:hint="eastAsia" w:ascii="宋体" w:hAnsi="宋体" w:eastAsia="宋体"/>
                <w:bCs/>
                <w:color w:val="000000" w:themeColor="text1"/>
                <w:sz w:val="21"/>
                <w:szCs w:val="21"/>
                <w:highlight w:val="none"/>
                <w14:textFill>
                  <w14:solidFill>
                    <w14:schemeClr w14:val="tx1"/>
                  </w14:solidFill>
                </w14:textFill>
              </w:rPr>
            </w:pPr>
            <w:r>
              <w:rPr>
                <w:rFonts w:hint="eastAsia" w:ascii="宋体" w:hAnsi="宋体" w:eastAsia="宋体"/>
                <w:bCs/>
                <w:color w:val="000000" w:themeColor="text1"/>
                <w:sz w:val="21"/>
                <w:szCs w:val="21"/>
                <w:highlight w:val="none"/>
                <w14:textFill>
                  <w14:solidFill>
                    <w14:schemeClr w14:val="tx1"/>
                  </w14:solidFill>
                </w14:textFill>
              </w:rPr>
              <w:t xml:space="preserve">一档（5分)：售后服务方案，包括售后服务人员、接故障通知到达现场的时间、出现质量问题承诺更换时间、应急处理方案达到招标文件的要求。 </w:t>
            </w:r>
          </w:p>
          <w:p w14:paraId="15F91065">
            <w:pPr>
              <w:spacing w:line="360" w:lineRule="auto"/>
              <w:jc w:val="left"/>
              <w:rPr>
                <w:rFonts w:hint="eastAsia" w:ascii="宋体" w:hAnsi="宋体" w:eastAsia="宋体"/>
                <w:bCs/>
                <w:color w:val="000000" w:themeColor="text1"/>
                <w:sz w:val="21"/>
                <w:szCs w:val="21"/>
                <w:highlight w:val="none"/>
                <w14:textFill>
                  <w14:solidFill>
                    <w14:schemeClr w14:val="tx1"/>
                  </w14:solidFill>
                </w14:textFill>
              </w:rPr>
            </w:pPr>
            <w:r>
              <w:rPr>
                <w:rFonts w:hint="eastAsia" w:ascii="宋体" w:hAnsi="宋体" w:eastAsia="宋体"/>
                <w:bCs/>
                <w:color w:val="000000" w:themeColor="text1"/>
                <w:sz w:val="21"/>
                <w:szCs w:val="21"/>
                <w:highlight w:val="none"/>
                <w14:textFill>
                  <w14:solidFill>
                    <w14:schemeClr w14:val="tx1"/>
                  </w14:solidFill>
                </w14:textFill>
              </w:rPr>
              <w:t xml:space="preserve">二档（10分)：有项目详细的系统建设的售后服务方案及培训计划，售后服务流程、应急预案、质量保障优于招标文件，且配置售后服务人员，针对本项目能满足采购人的售后服务需求。 </w:t>
            </w:r>
          </w:p>
          <w:p w14:paraId="7A106367">
            <w:pPr>
              <w:spacing w:line="440" w:lineRule="exact"/>
              <w:rPr>
                <w:rFonts w:hint="eastAsia" w:ascii="宋体" w:hAnsi="宋体" w:eastAsia="宋体"/>
                <w:color w:val="000000" w:themeColor="text1"/>
                <w:sz w:val="21"/>
                <w:szCs w:val="21"/>
                <w:highlight w:val="none"/>
                <w14:textFill>
                  <w14:solidFill>
                    <w14:schemeClr w14:val="tx1"/>
                  </w14:solidFill>
                </w14:textFill>
              </w:rPr>
            </w:pPr>
            <w:r>
              <w:rPr>
                <w:rFonts w:hint="eastAsia" w:ascii="宋体" w:hAnsi="宋体" w:eastAsia="宋体"/>
                <w:bCs/>
                <w:color w:val="000000" w:themeColor="text1"/>
                <w:sz w:val="21"/>
                <w:szCs w:val="21"/>
                <w:highlight w:val="none"/>
                <w14:textFill>
                  <w14:solidFill>
                    <w14:schemeClr w14:val="tx1"/>
                  </w14:solidFill>
                </w14:textFill>
              </w:rPr>
              <w:t>三档(15分)：</w:t>
            </w:r>
            <w:r>
              <w:rPr>
                <w:rFonts w:hint="eastAsia" w:ascii="宋体" w:hAnsi="宋体" w:eastAsia="宋体" w:cs="宋体"/>
                <w:color w:val="000000" w:themeColor="text1"/>
                <w:sz w:val="21"/>
                <w:szCs w:val="21"/>
                <w:highlight w:val="none"/>
                <w14:textFill>
                  <w14:solidFill>
                    <w14:schemeClr w14:val="tx1"/>
                  </w14:solidFill>
                </w14:textFill>
              </w:rPr>
              <w:t>提供的售后服务方案完全满足并优于招标文件要求，方案包含有详细的项目维护服务、回访、应急保障方案等内容，售后服务承诺明确质量保证期、到达故障现场时间、故障出现解决方案、定期维护（注明时间），软件升级，有</w:t>
            </w:r>
            <w:r>
              <w:rPr>
                <w:rFonts w:hint="eastAsia" w:ascii="宋体" w:hAnsi="宋体" w:cs="宋体"/>
                <w:color w:val="000000" w:themeColor="text1"/>
                <w:sz w:val="21"/>
                <w:szCs w:val="21"/>
                <w:highlight w:val="none"/>
                <w:lang w:eastAsia="zh-CN"/>
                <w14:textFill>
                  <w14:solidFill>
                    <w14:schemeClr w14:val="tx1"/>
                  </w14:solidFill>
                </w14:textFill>
              </w:rPr>
              <w:t>质保期</w:t>
            </w:r>
            <w:r>
              <w:rPr>
                <w:rFonts w:hint="eastAsia" w:ascii="宋体" w:hAnsi="宋体" w:eastAsia="宋体" w:cs="宋体"/>
                <w:color w:val="000000" w:themeColor="text1"/>
                <w:sz w:val="21"/>
                <w:szCs w:val="21"/>
                <w:highlight w:val="none"/>
                <w14:textFill>
                  <w14:solidFill>
                    <w14:schemeClr w14:val="tx1"/>
                  </w14:solidFill>
                </w14:textFill>
              </w:rPr>
              <w:t>外维修方案、备品备件等其他优惠措施、安装要求及方案等内容，售后服务有保障，服务内容及保障措施完整详细。</w:t>
            </w:r>
          </w:p>
        </w:tc>
      </w:tr>
      <w:tr w14:paraId="65187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dxa"/>
            <w:vMerge w:val="continue"/>
            <w:noWrap w:val="0"/>
            <w:vAlign w:val="top"/>
          </w:tcPr>
          <w:p w14:paraId="48AA7392">
            <w:pPr>
              <w:spacing w:line="360" w:lineRule="auto"/>
              <w:jc w:val="center"/>
              <w:rPr>
                <w:rFonts w:hint="eastAsia" w:ascii="宋体" w:hAnsi="宋体" w:eastAsia="宋体"/>
                <w:b/>
                <w:color w:val="000000" w:themeColor="text1"/>
                <w:sz w:val="21"/>
                <w:szCs w:val="21"/>
                <w:highlight w:val="none"/>
                <w14:textFill>
                  <w14:solidFill>
                    <w14:schemeClr w14:val="tx1"/>
                  </w14:solidFill>
                </w14:textFill>
              </w:rPr>
            </w:pPr>
          </w:p>
        </w:tc>
        <w:tc>
          <w:tcPr>
            <w:tcW w:w="1320" w:type="dxa"/>
            <w:vMerge w:val="continue"/>
            <w:noWrap w:val="0"/>
            <w:vAlign w:val="top"/>
          </w:tcPr>
          <w:p w14:paraId="7E87A1E4">
            <w:pPr>
              <w:spacing w:line="360" w:lineRule="auto"/>
              <w:jc w:val="center"/>
              <w:rPr>
                <w:rFonts w:hint="eastAsia" w:ascii="宋体" w:hAnsi="宋体" w:eastAsia="宋体"/>
                <w:color w:val="000000" w:themeColor="text1"/>
                <w:sz w:val="21"/>
                <w:szCs w:val="21"/>
                <w:highlight w:val="none"/>
                <w14:textFill>
                  <w14:solidFill>
                    <w14:schemeClr w14:val="tx1"/>
                  </w14:solidFill>
                </w14:textFill>
              </w:rPr>
            </w:pPr>
          </w:p>
        </w:tc>
        <w:tc>
          <w:tcPr>
            <w:tcW w:w="1279" w:type="dxa"/>
            <w:noWrap w:val="0"/>
            <w:tcMar>
              <w:left w:w="57" w:type="dxa"/>
              <w:right w:w="57" w:type="dxa"/>
            </w:tcMar>
            <w:vAlign w:val="center"/>
          </w:tcPr>
          <w:p w14:paraId="6A1B97DB">
            <w:pPr>
              <w:spacing w:line="360" w:lineRule="auto"/>
              <w:jc w:val="center"/>
              <w:rPr>
                <w:rFonts w:hint="eastAsia" w:ascii="宋体" w:hAnsi="宋体" w:eastAsia="宋体"/>
                <w:bCs/>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t>质量保证措施</w:t>
            </w:r>
            <w:r>
              <w:rPr>
                <w:rFonts w:hint="eastAsia" w:ascii="宋体" w:hAnsi="宋体" w:eastAsia="宋体"/>
                <w:b/>
                <w:bCs/>
                <w:color w:val="000000" w:themeColor="text1"/>
                <w:sz w:val="21"/>
                <w:szCs w:val="21"/>
                <w:highlight w:val="none"/>
                <w14:textFill>
                  <w14:solidFill>
                    <w14:schemeClr w14:val="tx1"/>
                  </w14:solidFill>
                </w14:textFill>
              </w:rPr>
              <w:t>（满分15分）</w:t>
            </w:r>
          </w:p>
        </w:tc>
        <w:tc>
          <w:tcPr>
            <w:tcW w:w="6326" w:type="dxa"/>
            <w:noWrap w:val="0"/>
            <w:vAlign w:val="top"/>
          </w:tcPr>
          <w:p w14:paraId="5C02AAD3">
            <w:pPr>
              <w:spacing w:line="440" w:lineRule="exact"/>
              <w:rPr>
                <w:rFonts w:hint="eastAsia" w:ascii="宋体" w:hAnsi="宋体"/>
                <w:color w:val="000000" w:themeColor="text1"/>
                <w:sz w:val="21"/>
                <w:szCs w:val="21"/>
                <w:highlight w:val="none"/>
                <w:shd w:val="clear" w:color="auto" w:fill="FFFFFF"/>
                <w:lang w:eastAsia="zh-CN"/>
                <w14:textFill>
                  <w14:solidFill>
                    <w14:schemeClr w14:val="tx1"/>
                  </w14:solidFill>
                </w14:textFill>
              </w:rPr>
            </w:pPr>
            <w:r>
              <w:rPr>
                <w:rFonts w:hint="eastAsia" w:ascii="宋体" w:hAnsi="宋体" w:eastAsia="宋体"/>
                <w:color w:val="000000" w:themeColor="text1"/>
                <w:sz w:val="21"/>
                <w:szCs w:val="21"/>
                <w:highlight w:val="none"/>
                <w:shd w:val="clear" w:color="auto" w:fill="FFFFFF"/>
                <w14:textFill>
                  <w14:solidFill>
                    <w14:schemeClr w14:val="tx1"/>
                  </w14:solidFill>
                </w14:textFill>
              </w:rPr>
              <w:t>一档（5分）：</w:t>
            </w:r>
            <w:r>
              <w:rPr>
                <w:rFonts w:hint="eastAsia" w:ascii="宋体" w:hAnsi="宋体"/>
                <w:color w:val="000000" w:themeColor="text1"/>
                <w:sz w:val="21"/>
                <w:szCs w:val="21"/>
                <w:highlight w:val="none"/>
                <w:shd w:val="clear" w:color="auto" w:fill="FFFFFF"/>
                <w:lang w:eastAsia="zh-CN"/>
                <w14:textFill>
                  <w14:solidFill>
                    <w14:schemeClr w14:val="tx1"/>
                  </w14:solidFill>
                </w14:textFill>
              </w:rPr>
              <w:t>对质量保证承诺、</w:t>
            </w:r>
            <w:r>
              <w:rPr>
                <w:rFonts w:hint="eastAsia" w:ascii="宋体" w:hAnsi="宋体" w:eastAsia="宋体"/>
                <w:color w:val="000000" w:themeColor="text1"/>
                <w:sz w:val="21"/>
                <w:szCs w:val="21"/>
                <w:highlight w:val="none"/>
                <w:shd w:val="clear" w:color="auto" w:fill="FFFFFF"/>
                <w14:textFill>
                  <w14:solidFill>
                    <w14:schemeClr w14:val="tx1"/>
                  </w14:solidFill>
                </w14:textFill>
              </w:rPr>
              <w:t>质量控制</w:t>
            </w:r>
            <w:r>
              <w:rPr>
                <w:rFonts w:hint="eastAsia" w:ascii="宋体" w:hAnsi="宋体"/>
                <w:color w:val="000000" w:themeColor="text1"/>
                <w:sz w:val="21"/>
                <w:szCs w:val="21"/>
                <w:highlight w:val="none"/>
                <w:shd w:val="clear" w:color="auto" w:fill="FFFFFF"/>
                <w:lang w:eastAsia="zh-CN"/>
                <w14:textFill>
                  <w14:solidFill>
                    <w14:schemeClr w14:val="tx1"/>
                  </w14:solidFill>
                </w14:textFill>
              </w:rPr>
              <w:t>措施、</w:t>
            </w:r>
            <w:r>
              <w:rPr>
                <w:rFonts w:hint="eastAsia" w:ascii="宋体" w:hAnsi="宋体" w:eastAsia="宋体"/>
                <w:color w:val="000000" w:themeColor="text1"/>
                <w:sz w:val="21"/>
                <w:szCs w:val="21"/>
                <w:highlight w:val="none"/>
                <w:shd w:val="clear" w:color="auto" w:fill="FFFFFF"/>
                <w14:textFill>
                  <w14:solidFill>
                    <w14:schemeClr w14:val="tx1"/>
                  </w14:solidFill>
                </w14:textFill>
              </w:rPr>
              <w:t>检验措施</w:t>
            </w:r>
            <w:r>
              <w:rPr>
                <w:rFonts w:hint="eastAsia" w:ascii="宋体" w:hAnsi="宋体"/>
                <w:color w:val="000000" w:themeColor="text1"/>
                <w:sz w:val="21"/>
                <w:szCs w:val="21"/>
                <w:highlight w:val="none"/>
                <w:shd w:val="clear" w:color="auto" w:fill="FFFFFF"/>
                <w:lang w:eastAsia="zh-CN"/>
                <w14:textFill>
                  <w14:solidFill>
                    <w14:schemeClr w14:val="tx1"/>
                  </w14:solidFill>
                </w14:textFill>
              </w:rPr>
              <w:t>等有描述，基本能够保证货物质量。</w:t>
            </w:r>
          </w:p>
          <w:p w14:paraId="04FBA19F">
            <w:pPr>
              <w:spacing w:line="440" w:lineRule="exact"/>
              <w:rPr>
                <w:rFonts w:hint="eastAsia" w:ascii="宋体" w:hAnsi="宋体" w:eastAsia="宋体"/>
                <w:color w:val="000000" w:themeColor="text1"/>
                <w:sz w:val="21"/>
                <w:szCs w:val="21"/>
                <w:highlight w:val="none"/>
                <w:shd w:val="clear" w:color="auto" w:fill="FFFFFF"/>
                <w14:textFill>
                  <w14:solidFill>
                    <w14:schemeClr w14:val="tx1"/>
                  </w14:solidFill>
                </w14:textFill>
              </w:rPr>
            </w:pPr>
            <w:r>
              <w:rPr>
                <w:rFonts w:hint="eastAsia" w:ascii="宋体" w:hAnsi="宋体" w:eastAsia="宋体"/>
                <w:color w:val="000000" w:themeColor="text1"/>
                <w:sz w:val="21"/>
                <w:szCs w:val="21"/>
                <w:highlight w:val="none"/>
                <w:shd w:val="clear" w:color="auto" w:fill="FFFFFF"/>
                <w14:textFill>
                  <w14:solidFill>
                    <w14:schemeClr w14:val="tx1"/>
                  </w14:solidFill>
                </w14:textFill>
              </w:rPr>
              <w:t>二档（10分）：</w:t>
            </w:r>
            <w:r>
              <w:rPr>
                <w:rFonts w:hint="eastAsia" w:ascii="宋体" w:hAnsi="宋体"/>
                <w:color w:val="000000" w:themeColor="text1"/>
                <w:sz w:val="21"/>
                <w:szCs w:val="21"/>
                <w:highlight w:val="none"/>
                <w:shd w:val="clear" w:color="auto" w:fill="FFFFFF"/>
                <w:lang w:eastAsia="zh-CN"/>
                <w14:textFill>
                  <w14:solidFill>
                    <w14:schemeClr w14:val="tx1"/>
                  </w14:solidFill>
                </w14:textFill>
              </w:rPr>
              <w:t>对质量保证承诺、</w:t>
            </w:r>
            <w:r>
              <w:rPr>
                <w:rFonts w:hint="eastAsia" w:ascii="宋体" w:hAnsi="宋体" w:eastAsia="宋体"/>
                <w:color w:val="000000" w:themeColor="text1"/>
                <w:sz w:val="21"/>
                <w:szCs w:val="21"/>
                <w:highlight w:val="none"/>
                <w:shd w:val="clear" w:color="auto" w:fill="FFFFFF"/>
                <w14:textFill>
                  <w14:solidFill>
                    <w14:schemeClr w14:val="tx1"/>
                  </w14:solidFill>
                </w14:textFill>
              </w:rPr>
              <w:t>质量控制</w:t>
            </w:r>
            <w:r>
              <w:rPr>
                <w:rFonts w:hint="eastAsia" w:ascii="宋体" w:hAnsi="宋体"/>
                <w:color w:val="000000" w:themeColor="text1"/>
                <w:sz w:val="21"/>
                <w:szCs w:val="21"/>
                <w:highlight w:val="none"/>
                <w:shd w:val="clear" w:color="auto" w:fill="FFFFFF"/>
                <w:lang w:eastAsia="zh-CN"/>
                <w14:textFill>
                  <w14:solidFill>
                    <w14:schemeClr w14:val="tx1"/>
                  </w14:solidFill>
                </w14:textFill>
              </w:rPr>
              <w:t>措施、</w:t>
            </w:r>
            <w:r>
              <w:rPr>
                <w:rFonts w:hint="eastAsia" w:ascii="宋体" w:hAnsi="宋体" w:eastAsia="宋体"/>
                <w:color w:val="000000" w:themeColor="text1"/>
                <w:sz w:val="21"/>
                <w:szCs w:val="21"/>
                <w:highlight w:val="none"/>
                <w:shd w:val="clear" w:color="auto" w:fill="FFFFFF"/>
                <w14:textFill>
                  <w14:solidFill>
                    <w14:schemeClr w14:val="tx1"/>
                  </w14:solidFill>
                </w14:textFill>
              </w:rPr>
              <w:t>检验措施</w:t>
            </w:r>
            <w:r>
              <w:rPr>
                <w:rFonts w:hint="eastAsia" w:ascii="宋体" w:hAnsi="宋体"/>
                <w:color w:val="000000" w:themeColor="text1"/>
                <w:sz w:val="21"/>
                <w:szCs w:val="21"/>
                <w:highlight w:val="none"/>
                <w:shd w:val="clear" w:color="auto" w:fill="FFFFFF"/>
                <w:lang w:eastAsia="zh-CN"/>
                <w14:textFill>
                  <w14:solidFill>
                    <w14:schemeClr w14:val="tx1"/>
                  </w14:solidFill>
                </w14:textFill>
              </w:rPr>
              <w:t>等描述</w:t>
            </w:r>
            <w:r>
              <w:rPr>
                <w:rFonts w:hint="eastAsia" w:ascii="宋体" w:hAnsi="宋体" w:eastAsia="宋体"/>
                <w:color w:val="000000" w:themeColor="text1"/>
                <w:sz w:val="21"/>
                <w:szCs w:val="21"/>
                <w:highlight w:val="none"/>
                <w:shd w:val="clear" w:color="auto" w:fill="FFFFFF"/>
                <w14:textFill>
                  <w14:solidFill>
                    <w14:schemeClr w14:val="tx1"/>
                  </w14:solidFill>
                </w14:textFill>
              </w:rPr>
              <w:t>内容完整、详细，能针对项目情况提出较为</w:t>
            </w:r>
            <w:r>
              <w:rPr>
                <w:rFonts w:hint="eastAsia" w:ascii="宋体" w:hAnsi="宋体" w:eastAsia="宋体"/>
                <w:b w:val="0"/>
                <w:bCs w:val="0"/>
                <w:color w:val="000000" w:themeColor="text1"/>
                <w:sz w:val="21"/>
                <w:szCs w:val="21"/>
                <w:highlight w:val="none"/>
                <w:shd w:val="clear" w:color="auto" w:fill="FFFFFF"/>
                <w14:textFill>
                  <w14:solidFill>
                    <w14:schemeClr w14:val="tx1"/>
                  </w14:solidFill>
                </w14:textFill>
              </w:rPr>
              <w:t>明确的</w:t>
            </w:r>
            <w:r>
              <w:rPr>
                <w:rFonts w:hint="eastAsia" w:ascii="宋体" w:hAnsi="宋体" w:eastAsia="宋体"/>
                <w:b w:val="0"/>
                <w:bCs w:val="0"/>
                <w:color w:val="000000" w:themeColor="text1"/>
                <w:sz w:val="21"/>
                <w:szCs w:val="21"/>
                <w:highlight w:val="none"/>
                <w14:textFill>
                  <w14:solidFill>
                    <w14:schemeClr w14:val="tx1"/>
                  </w14:solidFill>
                </w14:textFill>
              </w:rPr>
              <w:t>质量保证</w:t>
            </w:r>
            <w:r>
              <w:rPr>
                <w:rFonts w:hint="eastAsia" w:ascii="宋体" w:hAnsi="宋体"/>
                <w:b w:val="0"/>
                <w:bCs w:val="0"/>
                <w:color w:val="000000" w:themeColor="text1"/>
                <w:sz w:val="21"/>
                <w:szCs w:val="21"/>
                <w:highlight w:val="none"/>
                <w:lang w:eastAsia="zh-CN"/>
                <w14:textFill>
                  <w14:solidFill>
                    <w14:schemeClr w14:val="tx1"/>
                  </w14:solidFill>
                </w14:textFill>
              </w:rPr>
              <w:t>措施</w:t>
            </w:r>
            <w:r>
              <w:rPr>
                <w:rFonts w:hint="eastAsia" w:ascii="宋体" w:hAnsi="宋体" w:eastAsia="宋体"/>
                <w:color w:val="000000" w:themeColor="text1"/>
                <w:sz w:val="21"/>
                <w:szCs w:val="21"/>
                <w:highlight w:val="none"/>
                <w:shd w:val="clear" w:color="auto" w:fill="FFFFFF"/>
                <w14:textFill>
                  <w14:solidFill>
                    <w14:schemeClr w14:val="tx1"/>
                  </w14:solidFill>
                </w14:textFill>
              </w:rPr>
              <w:t>，</w:t>
            </w:r>
            <w:r>
              <w:rPr>
                <w:rFonts w:hint="eastAsia" w:ascii="宋体" w:hAnsi="宋体"/>
                <w:color w:val="000000" w:themeColor="text1"/>
                <w:sz w:val="21"/>
                <w:szCs w:val="21"/>
                <w:highlight w:val="none"/>
                <w:shd w:val="clear" w:color="auto" w:fill="FFFFFF"/>
                <w:lang w:eastAsia="zh-CN"/>
                <w14:textFill>
                  <w14:solidFill>
                    <w14:schemeClr w14:val="tx1"/>
                  </w14:solidFill>
                </w14:textFill>
              </w:rPr>
              <w:t>有专门质量管理团队</w:t>
            </w:r>
            <w:r>
              <w:rPr>
                <w:rFonts w:hint="eastAsia" w:ascii="宋体" w:hAnsi="宋体" w:eastAsia="宋体"/>
                <w:color w:val="000000" w:themeColor="text1"/>
                <w:sz w:val="21"/>
                <w:szCs w:val="21"/>
                <w:highlight w:val="none"/>
                <w:shd w:val="clear" w:color="auto" w:fill="FFFFFF"/>
                <w14:textFill>
                  <w14:solidFill>
                    <w14:schemeClr w14:val="tx1"/>
                  </w14:solidFill>
                </w14:textFill>
              </w:rPr>
              <w:t>能够</w:t>
            </w:r>
            <w:r>
              <w:rPr>
                <w:rFonts w:hint="eastAsia" w:ascii="宋体" w:hAnsi="宋体"/>
                <w:color w:val="000000" w:themeColor="text1"/>
                <w:sz w:val="21"/>
                <w:szCs w:val="21"/>
                <w:highlight w:val="none"/>
                <w:shd w:val="clear" w:color="auto" w:fill="FFFFFF"/>
                <w:lang w:eastAsia="zh-CN"/>
                <w14:textFill>
                  <w14:solidFill>
                    <w14:schemeClr w14:val="tx1"/>
                  </w14:solidFill>
                </w14:textFill>
              </w:rPr>
              <w:t>确保</w:t>
            </w:r>
            <w:r>
              <w:rPr>
                <w:rFonts w:hint="eastAsia" w:ascii="宋体" w:hAnsi="宋体" w:eastAsia="宋体"/>
                <w:color w:val="000000" w:themeColor="text1"/>
                <w:sz w:val="21"/>
                <w:szCs w:val="21"/>
                <w:highlight w:val="none"/>
                <w:shd w:val="clear" w:color="auto" w:fill="FFFFFF"/>
                <w14:textFill>
                  <w14:solidFill>
                    <w14:schemeClr w14:val="tx1"/>
                  </w14:solidFill>
                </w14:textFill>
              </w:rPr>
              <w:t>货物质量。</w:t>
            </w:r>
          </w:p>
          <w:p w14:paraId="03F294A7">
            <w:pPr>
              <w:spacing w:line="440" w:lineRule="exact"/>
              <w:rPr>
                <w:rFonts w:hint="eastAsia" w:ascii="宋体" w:hAnsi="宋体" w:eastAsia="宋体"/>
                <w:color w:val="000000" w:themeColor="text1"/>
                <w:sz w:val="21"/>
                <w:szCs w:val="21"/>
                <w:highlight w:val="none"/>
                <w:shd w:val="clear" w:color="auto" w:fill="FFFFFF"/>
                <w14:textFill>
                  <w14:solidFill>
                    <w14:schemeClr w14:val="tx1"/>
                  </w14:solidFill>
                </w14:textFill>
              </w:rPr>
            </w:pPr>
            <w:r>
              <w:rPr>
                <w:rFonts w:hint="eastAsia" w:ascii="宋体" w:hAnsi="宋体" w:eastAsia="宋体"/>
                <w:color w:val="000000" w:themeColor="text1"/>
                <w:sz w:val="21"/>
                <w:szCs w:val="21"/>
                <w:highlight w:val="none"/>
                <w:shd w:val="clear" w:color="auto" w:fill="FFFFFF"/>
                <w14:textFill>
                  <w14:solidFill>
                    <w14:schemeClr w14:val="tx1"/>
                  </w14:solidFill>
                </w14:textFill>
              </w:rPr>
              <w:t>三档（15分）：针对本项目提出的</w:t>
            </w:r>
            <w:r>
              <w:rPr>
                <w:rFonts w:hint="eastAsia" w:ascii="宋体" w:hAnsi="宋体"/>
                <w:color w:val="000000" w:themeColor="text1"/>
                <w:sz w:val="21"/>
                <w:szCs w:val="21"/>
                <w:highlight w:val="none"/>
                <w:shd w:val="clear" w:color="auto" w:fill="FFFFFF"/>
                <w:lang w:eastAsia="zh-CN"/>
                <w14:textFill>
                  <w14:solidFill>
                    <w14:schemeClr w14:val="tx1"/>
                  </w14:solidFill>
                </w14:textFill>
              </w:rPr>
              <w:t>质量保证承诺、</w:t>
            </w:r>
            <w:r>
              <w:rPr>
                <w:rFonts w:hint="eastAsia" w:ascii="宋体" w:hAnsi="宋体" w:eastAsia="宋体"/>
                <w:color w:val="000000" w:themeColor="text1"/>
                <w:sz w:val="21"/>
                <w:szCs w:val="21"/>
                <w:highlight w:val="none"/>
                <w:shd w:val="clear" w:color="auto" w:fill="FFFFFF"/>
                <w14:textFill>
                  <w14:solidFill>
                    <w14:schemeClr w14:val="tx1"/>
                  </w14:solidFill>
                </w14:textFill>
              </w:rPr>
              <w:t>质量控制</w:t>
            </w:r>
            <w:r>
              <w:rPr>
                <w:rFonts w:hint="eastAsia" w:ascii="宋体" w:hAnsi="宋体"/>
                <w:color w:val="000000" w:themeColor="text1"/>
                <w:sz w:val="21"/>
                <w:szCs w:val="21"/>
                <w:highlight w:val="none"/>
                <w:shd w:val="clear" w:color="auto" w:fill="FFFFFF"/>
                <w:lang w:eastAsia="zh-CN"/>
                <w14:textFill>
                  <w14:solidFill>
                    <w14:schemeClr w14:val="tx1"/>
                  </w14:solidFill>
                </w14:textFill>
              </w:rPr>
              <w:t>措施、</w:t>
            </w:r>
            <w:r>
              <w:rPr>
                <w:rFonts w:hint="eastAsia" w:ascii="宋体" w:hAnsi="宋体" w:eastAsia="宋体"/>
                <w:color w:val="000000" w:themeColor="text1"/>
                <w:sz w:val="21"/>
                <w:szCs w:val="21"/>
                <w:highlight w:val="none"/>
                <w:shd w:val="clear" w:color="auto" w:fill="FFFFFF"/>
                <w14:textFill>
                  <w14:solidFill>
                    <w14:schemeClr w14:val="tx1"/>
                  </w14:solidFill>
                </w14:textFill>
              </w:rPr>
              <w:t>检验措施详细，分析到位，</w:t>
            </w:r>
            <w:r>
              <w:rPr>
                <w:rFonts w:hint="eastAsia" w:ascii="宋体" w:hAnsi="宋体" w:eastAsia="宋体"/>
                <w:b w:val="0"/>
                <w:bCs/>
                <w:color w:val="000000" w:themeColor="text1"/>
                <w:sz w:val="21"/>
                <w:szCs w:val="21"/>
                <w:highlight w:val="none"/>
                <w14:textFill>
                  <w14:solidFill>
                    <w14:schemeClr w14:val="tx1"/>
                  </w14:solidFill>
                </w14:textFill>
              </w:rPr>
              <w:t>质量保证</w:t>
            </w:r>
            <w:r>
              <w:rPr>
                <w:rFonts w:hint="eastAsia" w:ascii="宋体" w:hAnsi="宋体" w:eastAsia="宋体"/>
                <w:color w:val="000000" w:themeColor="text1"/>
                <w:sz w:val="21"/>
                <w:szCs w:val="21"/>
                <w:highlight w:val="none"/>
                <w:shd w:val="clear" w:color="auto" w:fill="FFFFFF"/>
                <w14:textFill>
                  <w14:solidFill>
                    <w14:schemeClr w14:val="tx1"/>
                  </w14:solidFill>
                </w14:textFill>
              </w:rPr>
              <w:t>措施科学合理，</w:t>
            </w:r>
            <w:r>
              <w:rPr>
                <w:rFonts w:hint="eastAsia" w:ascii="宋体" w:hAnsi="宋体"/>
                <w:color w:val="000000" w:themeColor="text1"/>
                <w:sz w:val="21"/>
                <w:szCs w:val="21"/>
                <w:highlight w:val="none"/>
                <w:shd w:val="clear" w:color="auto" w:fill="FFFFFF"/>
                <w:lang w:eastAsia="zh-CN"/>
                <w14:textFill>
                  <w14:solidFill>
                    <w14:schemeClr w14:val="tx1"/>
                  </w14:solidFill>
                </w14:textFill>
              </w:rPr>
              <w:t>有专门质量管理团队</w:t>
            </w:r>
            <w:r>
              <w:rPr>
                <w:rFonts w:hint="eastAsia" w:ascii="宋体" w:hAnsi="宋体" w:eastAsia="宋体"/>
                <w:color w:val="000000" w:themeColor="text1"/>
                <w:sz w:val="21"/>
                <w:szCs w:val="21"/>
                <w:highlight w:val="none"/>
                <w:shd w:val="clear" w:color="auto" w:fill="FFFFFF"/>
                <w14:textFill>
                  <w14:solidFill>
                    <w14:schemeClr w14:val="tx1"/>
                  </w14:solidFill>
                </w14:textFill>
              </w:rPr>
              <w:t>能够严格控制货物的质量，并</w:t>
            </w:r>
            <w:r>
              <w:rPr>
                <w:rFonts w:hint="eastAsia" w:ascii="宋体" w:hAnsi="宋体"/>
                <w:color w:val="000000" w:themeColor="text1"/>
                <w:sz w:val="21"/>
                <w:szCs w:val="21"/>
                <w:highlight w:val="none"/>
                <w:shd w:val="clear" w:color="auto" w:fill="FFFFFF"/>
                <w:lang w:eastAsia="zh-CN"/>
                <w14:textFill>
                  <w14:solidFill>
                    <w14:schemeClr w14:val="tx1"/>
                  </w14:solidFill>
                </w14:textFill>
              </w:rPr>
              <w:t>根据项目实际情况制定有详细、可行的</w:t>
            </w:r>
            <w:r>
              <w:rPr>
                <w:rFonts w:hint="eastAsia" w:ascii="宋体" w:hAnsi="宋体" w:eastAsia="宋体"/>
                <w:b w:val="0"/>
                <w:bCs w:val="0"/>
                <w:color w:val="000000" w:themeColor="text1"/>
                <w:sz w:val="21"/>
                <w:szCs w:val="21"/>
                <w:highlight w:val="none"/>
                <w14:textFill>
                  <w14:solidFill>
                    <w14:schemeClr w14:val="tx1"/>
                  </w14:solidFill>
                </w14:textFill>
              </w:rPr>
              <w:t>质量保证</w:t>
            </w:r>
            <w:r>
              <w:rPr>
                <w:rFonts w:hint="eastAsia" w:ascii="宋体" w:hAnsi="宋体" w:eastAsia="宋体"/>
                <w:b w:val="0"/>
                <w:bCs w:val="0"/>
                <w:color w:val="000000" w:themeColor="text1"/>
                <w:sz w:val="21"/>
                <w:szCs w:val="21"/>
                <w:highlight w:val="none"/>
                <w:lang w:eastAsia="zh-CN"/>
                <w14:textFill>
                  <w14:solidFill>
                    <w14:schemeClr w14:val="tx1"/>
                  </w14:solidFill>
                </w14:textFill>
              </w:rPr>
              <w:t>体系和保障能力</w:t>
            </w:r>
            <w:r>
              <w:rPr>
                <w:rFonts w:hint="eastAsia" w:ascii="宋体" w:hAnsi="宋体" w:eastAsia="宋体"/>
                <w:color w:val="000000" w:themeColor="text1"/>
                <w:sz w:val="21"/>
                <w:szCs w:val="21"/>
                <w:highlight w:val="none"/>
                <w:shd w:val="clear" w:color="auto" w:fill="FFFFFF"/>
                <w14:textFill>
                  <w14:solidFill>
                    <w14:schemeClr w14:val="tx1"/>
                  </w14:solidFill>
                </w14:textFill>
              </w:rPr>
              <w:t>。</w:t>
            </w:r>
          </w:p>
          <w:p w14:paraId="4786113A">
            <w:pPr>
              <w:spacing w:line="440" w:lineRule="exact"/>
              <w:rPr>
                <w:rFonts w:hint="eastAsia" w:ascii="宋体" w:hAnsi="宋体" w:eastAsia="宋体"/>
                <w:color w:val="000000" w:themeColor="text1"/>
                <w:sz w:val="21"/>
                <w:szCs w:val="21"/>
                <w:highlight w:val="none"/>
                <w14:textFill>
                  <w14:solidFill>
                    <w14:schemeClr w14:val="tx1"/>
                  </w14:solidFill>
                </w14:textFill>
              </w:rPr>
            </w:pPr>
            <w:r>
              <w:rPr>
                <w:rFonts w:hint="eastAsia" w:ascii="宋体" w:hAnsi="宋体" w:eastAsia="宋体"/>
                <w:color w:val="000000" w:themeColor="text1"/>
                <w:sz w:val="21"/>
                <w:szCs w:val="21"/>
                <w:highlight w:val="none"/>
                <w14:textFill>
                  <w14:solidFill>
                    <w14:schemeClr w14:val="tx1"/>
                  </w14:solidFill>
                </w14:textFill>
              </w:rPr>
              <w:t>注：未满足一档要求的计0分。</w:t>
            </w:r>
          </w:p>
        </w:tc>
      </w:tr>
      <w:tr w14:paraId="531DC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3" w:hRule="atLeast"/>
          <w:jc w:val="center"/>
        </w:trPr>
        <w:tc>
          <w:tcPr>
            <w:tcW w:w="525" w:type="dxa"/>
            <w:vMerge w:val="restart"/>
            <w:noWrap w:val="0"/>
            <w:vAlign w:val="center"/>
          </w:tcPr>
          <w:p w14:paraId="51616AF2">
            <w:pPr>
              <w:spacing w:line="360" w:lineRule="auto"/>
              <w:jc w:val="center"/>
              <w:rPr>
                <w:rFonts w:hint="eastAsia" w:ascii="宋体" w:hAnsi="宋体" w:eastAsia="宋体"/>
                <w:b/>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t>3</w:t>
            </w:r>
          </w:p>
        </w:tc>
        <w:tc>
          <w:tcPr>
            <w:tcW w:w="1320" w:type="dxa"/>
            <w:vMerge w:val="restart"/>
            <w:noWrap w:val="0"/>
            <w:vAlign w:val="center"/>
          </w:tcPr>
          <w:p w14:paraId="2E5C1366">
            <w:pPr>
              <w:spacing w:line="360" w:lineRule="auto"/>
              <w:jc w:val="center"/>
              <w:rPr>
                <w:rFonts w:hint="eastAsia" w:ascii="宋体" w:hAnsi="宋体" w:eastAsia="宋体"/>
                <w:b/>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t>商务分（满分</w:t>
            </w:r>
            <w:r>
              <w:rPr>
                <w:rFonts w:hint="eastAsia" w:ascii="宋体" w:hAnsi="宋体"/>
                <w:b/>
                <w:color w:val="000000" w:themeColor="text1"/>
                <w:sz w:val="21"/>
                <w:szCs w:val="21"/>
                <w:highlight w:val="none"/>
                <w:u w:val="single"/>
                <w:lang w:val="en-US" w:eastAsia="zh-CN"/>
                <w14:textFill>
                  <w14:solidFill>
                    <w14:schemeClr w14:val="tx1"/>
                  </w14:solidFill>
                </w14:textFill>
              </w:rPr>
              <w:t>5</w:t>
            </w:r>
            <w:r>
              <w:rPr>
                <w:rFonts w:hint="eastAsia" w:ascii="宋体" w:hAnsi="宋体" w:eastAsia="宋体"/>
                <w:b/>
                <w:color w:val="000000" w:themeColor="text1"/>
                <w:sz w:val="21"/>
                <w:szCs w:val="21"/>
                <w:highlight w:val="none"/>
                <w14:textFill>
                  <w14:solidFill>
                    <w14:schemeClr w14:val="tx1"/>
                  </w14:solidFill>
                </w14:textFill>
              </w:rPr>
              <w:t>分）</w:t>
            </w:r>
          </w:p>
        </w:tc>
        <w:tc>
          <w:tcPr>
            <w:tcW w:w="1279" w:type="dxa"/>
            <w:noWrap w:val="0"/>
            <w:vAlign w:val="center"/>
          </w:tcPr>
          <w:p w14:paraId="7DF8172A">
            <w:pPr>
              <w:spacing w:line="360" w:lineRule="auto"/>
              <w:jc w:val="center"/>
              <w:rPr>
                <w:rFonts w:hint="eastAsia" w:ascii="宋体" w:hAnsi="宋体" w:eastAsia="宋体"/>
                <w:b/>
                <w:color w:val="000000" w:themeColor="text1"/>
                <w:sz w:val="21"/>
                <w:szCs w:val="21"/>
                <w:highlight w:val="none"/>
                <w14:textFill>
                  <w14:solidFill>
                    <w14:schemeClr w14:val="tx1"/>
                  </w14:solidFill>
                </w14:textFill>
              </w:rPr>
            </w:pPr>
            <w:r>
              <w:rPr>
                <w:rFonts w:hint="eastAsia" w:ascii="宋体" w:hAnsi="宋体" w:eastAsia="宋体"/>
                <w:b/>
                <w:bCs/>
                <w:color w:val="000000" w:themeColor="text1"/>
                <w:sz w:val="21"/>
                <w:szCs w:val="21"/>
                <w:highlight w:val="none"/>
                <w14:textFill>
                  <w14:solidFill>
                    <w14:schemeClr w14:val="tx1"/>
                  </w14:solidFill>
                </w14:textFill>
              </w:rPr>
              <w:t>业绩分    （满分3分）</w:t>
            </w:r>
          </w:p>
        </w:tc>
        <w:tc>
          <w:tcPr>
            <w:tcW w:w="6326" w:type="dxa"/>
            <w:noWrap w:val="0"/>
            <w:vAlign w:val="center"/>
          </w:tcPr>
          <w:p w14:paraId="493987C5">
            <w:pPr>
              <w:spacing w:line="440" w:lineRule="exact"/>
              <w:ind w:firstLine="420"/>
              <w:rPr>
                <w:rFonts w:hint="eastAsia" w:ascii="宋体" w:hAnsi="宋体" w:eastAsia="宋体"/>
                <w:color w:val="000000" w:themeColor="text1"/>
                <w:sz w:val="21"/>
                <w:szCs w:val="21"/>
                <w:highlight w:val="none"/>
                <w14:textFill>
                  <w14:solidFill>
                    <w14:schemeClr w14:val="tx1"/>
                  </w14:solidFill>
                </w14:textFill>
              </w:rPr>
            </w:pPr>
            <w:r>
              <w:rPr>
                <w:rFonts w:hint="eastAsia" w:ascii="宋体" w:hAnsi="宋体" w:eastAsia="宋体"/>
                <w:color w:val="000000" w:themeColor="text1"/>
                <w:sz w:val="21"/>
                <w:szCs w:val="21"/>
                <w:highlight w:val="none"/>
                <w14:textFill>
                  <w14:solidFill>
                    <w14:schemeClr w14:val="tx1"/>
                  </w14:solidFill>
                </w14:textFill>
              </w:rPr>
              <w:t>2021年 1 月 1 日以来至投标截止日期止，投标人</w:t>
            </w:r>
            <w:r>
              <w:rPr>
                <w:rFonts w:hint="eastAsia" w:ascii="宋体" w:hAnsi="宋体"/>
                <w:color w:val="000000" w:themeColor="text1"/>
                <w:sz w:val="21"/>
                <w:szCs w:val="21"/>
                <w:highlight w:val="none"/>
                <w:lang w:val="en-US" w:eastAsia="zh-CN"/>
                <w14:textFill>
                  <w14:solidFill>
                    <w14:schemeClr w14:val="tx1"/>
                  </w14:solidFill>
                </w14:textFill>
              </w:rPr>
              <w:t>或生产厂家</w:t>
            </w:r>
            <w:r>
              <w:rPr>
                <w:rFonts w:hint="eastAsia" w:ascii="宋体" w:hAnsi="宋体" w:eastAsia="宋体"/>
                <w:color w:val="000000" w:themeColor="text1"/>
                <w:sz w:val="21"/>
                <w:szCs w:val="21"/>
                <w:highlight w:val="none"/>
                <w14:textFill>
                  <w14:solidFill>
                    <w14:schemeClr w14:val="tx1"/>
                  </w14:solidFill>
                </w14:textFill>
              </w:rPr>
              <w:t xml:space="preserve">同类产品销售业绩，每个得1分，满分3分。【投标文件中提供合同复印件或中标（成交）通知书复印件并加盖公章】 </w:t>
            </w:r>
          </w:p>
        </w:tc>
      </w:tr>
      <w:tr w14:paraId="1F99D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dxa"/>
            <w:vMerge w:val="continue"/>
            <w:noWrap w:val="0"/>
            <w:vAlign w:val="center"/>
          </w:tcPr>
          <w:p w14:paraId="67B5589C">
            <w:pPr>
              <w:spacing w:line="360" w:lineRule="auto"/>
              <w:jc w:val="center"/>
              <w:rPr>
                <w:rFonts w:hint="eastAsia" w:ascii="宋体" w:hAnsi="宋体" w:eastAsia="宋体"/>
                <w:b/>
                <w:color w:val="000000" w:themeColor="text1"/>
                <w:sz w:val="21"/>
                <w:szCs w:val="21"/>
                <w:highlight w:val="none"/>
                <w14:textFill>
                  <w14:solidFill>
                    <w14:schemeClr w14:val="tx1"/>
                  </w14:solidFill>
                </w14:textFill>
              </w:rPr>
            </w:pPr>
          </w:p>
        </w:tc>
        <w:tc>
          <w:tcPr>
            <w:tcW w:w="1320" w:type="dxa"/>
            <w:vMerge w:val="continue"/>
            <w:noWrap w:val="0"/>
            <w:vAlign w:val="center"/>
          </w:tcPr>
          <w:p w14:paraId="50D60281">
            <w:pPr>
              <w:spacing w:line="360" w:lineRule="auto"/>
              <w:jc w:val="center"/>
              <w:rPr>
                <w:rFonts w:hint="eastAsia" w:ascii="宋体" w:hAnsi="宋体" w:eastAsia="宋体"/>
                <w:b/>
                <w:color w:val="000000" w:themeColor="text1"/>
                <w:sz w:val="21"/>
                <w:szCs w:val="21"/>
                <w:highlight w:val="none"/>
                <w14:textFill>
                  <w14:solidFill>
                    <w14:schemeClr w14:val="tx1"/>
                  </w14:solidFill>
                </w14:textFill>
              </w:rPr>
            </w:pPr>
          </w:p>
        </w:tc>
        <w:tc>
          <w:tcPr>
            <w:tcW w:w="1279" w:type="dxa"/>
            <w:noWrap w:val="0"/>
            <w:vAlign w:val="center"/>
          </w:tcPr>
          <w:p w14:paraId="190115EA">
            <w:pPr>
              <w:spacing w:line="360" w:lineRule="auto"/>
              <w:jc w:val="center"/>
              <w:rPr>
                <w:rFonts w:hint="eastAsia" w:ascii="宋体" w:hAnsi="宋体" w:eastAsia="宋体"/>
                <w:b/>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t>政策分（满分</w:t>
            </w:r>
            <w:r>
              <w:rPr>
                <w:rFonts w:hint="eastAsia" w:ascii="宋体" w:hAnsi="宋体" w:eastAsia="宋体"/>
                <w:b/>
                <w:color w:val="000000" w:themeColor="text1"/>
                <w:sz w:val="21"/>
                <w:szCs w:val="21"/>
                <w:highlight w:val="none"/>
                <w:u w:val="single"/>
                <w14:textFill>
                  <w14:solidFill>
                    <w14:schemeClr w14:val="tx1"/>
                  </w14:solidFill>
                </w14:textFill>
              </w:rPr>
              <w:t xml:space="preserve"> 2 </w:t>
            </w:r>
            <w:r>
              <w:rPr>
                <w:rFonts w:hint="eastAsia" w:ascii="宋体" w:hAnsi="宋体" w:eastAsia="宋体"/>
                <w:b/>
                <w:color w:val="000000" w:themeColor="text1"/>
                <w:sz w:val="21"/>
                <w:szCs w:val="21"/>
                <w:highlight w:val="none"/>
                <w14:textFill>
                  <w14:solidFill>
                    <w14:schemeClr w14:val="tx1"/>
                  </w14:solidFill>
                </w14:textFill>
              </w:rPr>
              <w:t>分）</w:t>
            </w:r>
          </w:p>
        </w:tc>
        <w:tc>
          <w:tcPr>
            <w:tcW w:w="6326" w:type="dxa"/>
            <w:noWrap w:val="0"/>
            <w:vAlign w:val="center"/>
          </w:tcPr>
          <w:p w14:paraId="2D07E04B">
            <w:pPr>
              <w:spacing w:line="360" w:lineRule="auto"/>
              <w:rPr>
                <w:rFonts w:hint="eastAsia" w:ascii="宋体" w:hAnsi="宋体" w:eastAsia="宋体" w:cs="宋体"/>
                <w:bCs/>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1）属于财政部《节能产品政府采购品目清单》内优先采购（清单内未标注“★”的品目）的产品[投标文件中提供有效的认证证书复印件及品目清单（标注出投标产品在品目清单中所属的品目），并加盖投标人电子签章]，根据其所占项目（或者分标）预算金额比例得</w:t>
            </w:r>
            <w:r>
              <w:rPr>
                <w:rFonts w:hint="eastAsia" w:ascii="宋体" w:hAnsi="宋体" w:eastAsia="宋体" w:cs="宋体"/>
                <w:bCs/>
                <w:color w:val="000000" w:themeColor="text1"/>
                <w:sz w:val="21"/>
                <w:szCs w:val="21"/>
                <w:highlight w:val="none"/>
                <w:u w:val="single"/>
                <w14:textFill>
                  <w14:solidFill>
                    <w14:schemeClr w14:val="tx1"/>
                  </w14:solidFill>
                </w14:textFill>
              </w:rPr>
              <w:t xml:space="preserve">  0 </w:t>
            </w:r>
            <w:r>
              <w:rPr>
                <w:rFonts w:hint="eastAsia" w:ascii="宋体" w:hAnsi="宋体" w:eastAsia="宋体" w:cs="宋体"/>
                <w:bCs/>
                <w:color w:val="000000" w:themeColor="text1"/>
                <w:sz w:val="21"/>
                <w:szCs w:val="21"/>
                <w:highlight w:val="none"/>
                <w14:textFill>
                  <w14:solidFill>
                    <w14:schemeClr w14:val="tx1"/>
                  </w14:solidFill>
                </w14:textFill>
              </w:rPr>
              <w:t>至</w:t>
            </w:r>
            <w:r>
              <w:rPr>
                <w:rFonts w:hint="eastAsia" w:ascii="宋体" w:hAnsi="宋体" w:eastAsia="宋体" w:cs="宋体"/>
                <w:bCs/>
                <w:color w:val="000000" w:themeColor="text1"/>
                <w:sz w:val="21"/>
                <w:szCs w:val="21"/>
                <w:highlight w:val="none"/>
                <w:u w:val="single"/>
                <w14:textFill>
                  <w14:solidFill>
                    <w14:schemeClr w14:val="tx1"/>
                  </w14:solidFill>
                </w14:textFill>
              </w:rPr>
              <w:t xml:space="preserve"> 1 </w:t>
            </w:r>
            <w:r>
              <w:rPr>
                <w:rFonts w:hint="eastAsia" w:ascii="宋体" w:hAnsi="宋体" w:eastAsia="宋体" w:cs="宋体"/>
                <w:bCs/>
                <w:color w:val="000000" w:themeColor="text1"/>
                <w:sz w:val="21"/>
                <w:szCs w:val="21"/>
                <w:highlight w:val="none"/>
                <w14:textFill>
                  <w14:solidFill>
                    <w14:schemeClr w14:val="tx1"/>
                  </w14:solidFill>
                </w14:textFill>
              </w:rPr>
              <w:t>分，满分</w:t>
            </w:r>
            <w:r>
              <w:rPr>
                <w:rFonts w:hint="eastAsia" w:ascii="宋体" w:hAnsi="宋体" w:eastAsia="宋体" w:cs="宋体"/>
                <w:bCs/>
                <w:color w:val="000000" w:themeColor="text1"/>
                <w:sz w:val="21"/>
                <w:szCs w:val="21"/>
                <w:highlight w:val="none"/>
                <w:u w:val="single"/>
                <w14:textFill>
                  <w14:solidFill>
                    <w14:schemeClr w14:val="tx1"/>
                  </w14:solidFill>
                </w14:textFill>
              </w:rPr>
              <w:t xml:space="preserve"> 1 </w:t>
            </w:r>
            <w:r>
              <w:rPr>
                <w:rFonts w:hint="eastAsia" w:ascii="宋体" w:hAnsi="宋体" w:eastAsia="宋体" w:cs="宋体"/>
                <w:bCs/>
                <w:color w:val="000000" w:themeColor="text1"/>
                <w:sz w:val="21"/>
                <w:szCs w:val="21"/>
                <w:highlight w:val="none"/>
                <w14:textFill>
                  <w14:solidFill>
                    <w14:schemeClr w14:val="tx1"/>
                  </w14:solidFill>
                </w14:textFill>
              </w:rPr>
              <w:t>分</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w:t>
            </w:r>
          </w:p>
          <w:p w14:paraId="7CDB71C9">
            <w:pPr>
              <w:spacing w:line="360" w:lineRule="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2）属于财政部《环境标志产品政府采购品目清单》内的产品[投标文件中提供有效的认证证书复印件及品目清单（标注出投标产品在品目清单中所属的品目），并加盖投标人电子签章，根据其所占项目（或者分标）预算金额比例得</w:t>
            </w:r>
            <w:r>
              <w:rPr>
                <w:rFonts w:hint="eastAsia" w:ascii="宋体" w:hAnsi="宋体" w:eastAsia="宋体" w:cs="宋体"/>
                <w:bCs/>
                <w:color w:val="000000" w:themeColor="text1"/>
                <w:sz w:val="21"/>
                <w:szCs w:val="21"/>
                <w:highlight w:val="none"/>
                <w:u w:val="single"/>
                <w14:textFill>
                  <w14:solidFill>
                    <w14:schemeClr w14:val="tx1"/>
                  </w14:solidFill>
                </w14:textFill>
              </w:rPr>
              <w:t xml:space="preserve"> 0 </w:t>
            </w:r>
            <w:r>
              <w:rPr>
                <w:rFonts w:hint="eastAsia" w:ascii="宋体" w:hAnsi="宋体" w:eastAsia="宋体" w:cs="宋体"/>
                <w:bCs/>
                <w:color w:val="000000" w:themeColor="text1"/>
                <w:sz w:val="21"/>
                <w:szCs w:val="21"/>
                <w:highlight w:val="none"/>
                <w14:textFill>
                  <w14:solidFill>
                    <w14:schemeClr w14:val="tx1"/>
                  </w14:solidFill>
                </w14:textFill>
              </w:rPr>
              <w:t>至</w:t>
            </w:r>
            <w:r>
              <w:rPr>
                <w:rFonts w:hint="eastAsia" w:ascii="宋体" w:hAnsi="宋体" w:eastAsia="宋体" w:cs="宋体"/>
                <w:bCs/>
                <w:color w:val="000000" w:themeColor="text1"/>
                <w:sz w:val="21"/>
                <w:szCs w:val="21"/>
                <w:highlight w:val="none"/>
                <w:u w:val="single"/>
                <w14:textFill>
                  <w14:solidFill>
                    <w14:schemeClr w14:val="tx1"/>
                  </w14:solidFill>
                </w14:textFill>
              </w:rPr>
              <w:t xml:space="preserve"> 1 </w:t>
            </w:r>
            <w:r>
              <w:rPr>
                <w:rFonts w:hint="eastAsia" w:ascii="宋体" w:hAnsi="宋体" w:eastAsia="宋体" w:cs="宋体"/>
                <w:bCs/>
                <w:color w:val="000000" w:themeColor="text1"/>
                <w:sz w:val="21"/>
                <w:szCs w:val="21"/>
                <w:highlight w:val="none"/>
                <w14:textFill>
                  <w14:solidFill>
                    <w14:schemeClr w14:val="tx1"/>
                  </w14:solidFill>
                </w14:textFill>
              </w:rPr>
              <w:t>分，满分</w:t>
            </w:r>
            <w:r>
              <w:rPr>
                <w:rFonts w:hint="eastAsia" w:ascii="宋体" w:hAnsi="宋体" w:eastAsia="宋体" w:cs="宋体"/>
                <w:bCs/>
                <w:color w:val="000000" w:themeColor="text1"/>
                <w:sz w:val="21"/>
                <w:szCs w:val="21"/>
                <w:highlight w:val="none"/>
                <w:u w:val="single"/>
                <w14:textFill>
                  <w14:solidFill>
                    <w14:schemeClr w14:val="tx1"/>
                  </w14:solidFill>
                </w14:textFill>
              </w:rPr>
              <w:t xml:space="preserve"> 1 </w:t>
            </w:r>
            <w:r>
              <w:rPr>
                <w:rFonts w:hint="eastAsia" w:ascii="宋体" w:hAnsi="宋体" w:eastAsia="宋体" w:cs="宋体"/>
                <w:bCs/>
                <w:color w:val="000000" w:themeColor="text1"/>
                <w:sz w:val="21"/>
                <w:szCs w:val="21"/>
                <w:highlight w:val="none"/>
                <w14:textFill>
                  <w14:solidFill>
                    <w14:schemeClr w14:val="tx1"/>
                  </w14:solidFill>
                </w14:textFill>
              </w:rPr>
              <w:t>分；</w:t>
            </w:r>
          </w:p>
          <w:p w14:paraId="1789F718">
            <w:pPr>
              <w:spacing w:line="360" w:lineRule="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（3）非节能、环境标志产品的不得分。</w:t>
            </w:r>
            <w:bookmarkStart w:id="8" w:name="_GoBack"/>
            <w:bookmarkEnd w:id="8"/>
          </w:p>
        </w:tc>
      </w:tr>
      <w:tr w14:paraId="28B51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0" w:type="dxa"/>
            <w:gridSpan w:val="4"/>
            <w:noWrap w:val="0"/>
            <w:vAlign w:val="center"/>
          </w:tcPr>
          <w:p w14:paraId="2EF8C927">
            <w:pPr>
              <w:spacing w:line="360" w:lineRule="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总得分为以上各项评审因素得分合计。</w:t>
            </w:r>
          </w:p>
        </w:tc>
      </w:tr>
    </w:tbl>
    <w:p w14:paraId="340B082B">
      <w:pPr>
        <w:rPr>
          <w:rFonts w:hint="eastAsia"/>
          <w:color w:val="000000" w:themeColor="text1"/>
          <w:highlight w:val="none"/>
          <w14:textFill>
            <w14:solidFill>
              <w14:schemeClr w14:val="tx1"/>
            </w14:solidFill>
          </w14:textFill>
        </w:rPr>
      </w:pPr>
    </w:p>
    <w:p w14:paraId="7FD400E6">
      <w:pPr>
        <w:rPr>
          <w:rFonts w:hint="eastAsia"/>
          <w:color w:val="000000" w:themeColor="text1"/>
          <w:highlight w:val="none"/>
          <w14:textFill>
            <w14:solidFill>
              <w14:schemeClr w14:val="tx1"/>
            </w14:solidFill>
          </w14:textFill>
        </w:rPr>
      </w:pPr>
    </w:p>
    <w:p w14:paraId="491415DF">
      <w:pPr>
        <w:rPr>
          <w:rFonts w:hint="eastAsia"/>
          <w:color w:val="000000" w:themeColor="text1"/>
          <w:highlight w:val="none"/>
          <w14:textFill>
            <w14:solidFill>
              <w14:schemeClr w14:val="tx1"/>
            </w14:solidFill>
          </w14:textFill>
        </w:rPr>
      </w:pPr>
    </w:p>
    <w:p w14:paraId="1811B5E1">
      <w:pPr>
        <w:pStyle w:val="4"/>
        <w:keepNext w:val="0"/>
        <w:keepLines w:val="0"/>
        <w:jc w:val="center"/>
        <w:rPr>
          <w:color w:val="000000" w:themeColor="text1"/>
          <w:sz w:val="30"/>
          <w:szCs w:val="30"/>
          <w:highlight w:val="none"/>
          <w14:textFill>
            <w14:solidFill>
              <w14:schemeClr w14:val="tx1"/>
            </w14:solidFill>
          </w14:textFill>
        </w:rPr>
      </w:pPr>
      <w:r>
        <w:rPr>
          <w:rFonts w:hint="eastAsia"/>
          <w:color w:val="000000" w:themeColor="text1"/>
          <w:sz w:val="30"/>
          <w:szCs w:val="30"/>
          <w:highlight w:val="none"/>
          <w14:textFill>
            <w14:solidFill>
              <w14:schemeClr w14:val="tx1"/>
            </w14:solidFill>
          </w14:textFill>
        </w:rPr>
        <w:t>四、中标候选人推荐</w:t>
      </w:r>
    </w:p>
    <w:p w14:paraId="5A3A8DDF">
      <w:pPr>
        <w:pStyle w:val="25"/>
        <w:spacing w:line="360" w:lineRule="auto"/>
        <w:ind w:firstLine="420"/>
        <w:contextualSpacing/>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w:t>
      </w:r>
      <w:r>
        <w:rPr>
          <w:rFonts w:hAnsi="宋体"/>
          <w:color w:val="000000" w:themeColor="text1"/>
          <w:sz w:val="21"/>
          <w:highlight w:val="none"/>
          <w14:textFill>
            <w14:solidFill>
              <w14:schemeClr w14:val="tx1"/>
            </w14:solidFill>
          </w14:textFill>
        </w:rPr>
        <w:t>.</w:t>
      </w:r>
      <w:r>
        <w:rPr>
          <w:rFonts w:hint="eastAsia" w:hAnsi="宋体"/>
          <w:color w:val="000000" w:themeColor="text1"/>
          <w:sz w:val="21"/>
          <w:highlight w:val="none"/>
          <w14:textFill>
            <w14:solidFill>
              <w14:schemeClr w14:val="tx1"/>
            </w14:solidFill>
          </w14:textFill>
        </w:rPr>
        <w:t>评标委员会根据原始评标记录和评标结果编写评标报告，并通过电子交易平台向采购人、采购代理机构提交。</w:t>
      </w:r>
    </w:p>
    <w:p w14:paraId="55880216">
      <w:pPr>
        <w:pStyle w:val="25"/>
        <w:spacing w:line="360" w:lineRule="auto"/>
        <w:ind w:firstLine="420"/>
        <w:contextualSpacing/>
        <w:rPr>
          <w:rFonts w:hAnsi="宋体"/>
          <w:b/>
          <w:color w:val="000000" w:themeColor="text1"/>
          <w:sz w:val="24"/>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w:t>
      </w:r>
      <w:r>
        <w:rPr>
          <w:rFonts w:hAnsi="宋体"/>
          <w:color w:val="000000" w:themeColor="text1"/>
          <w:sz w:val="21"/>
          <w:highlight w:val="none"/>
          <w14:textFill>
            <w14:solidFill>
              <w14:schemeClr w14:val="tx1"/>
            </w14:solidFill>
          </w14:textFill>
        </w:rPr>
        <w:t>.</w:t>
      </w:r>
      <w:r>
        <w:rPr>
          <w:rFonts w:hint="eastAsia" w:hAnsi="宋体"/>
          <w:color w:val="000000" w:themeColor="text1"/>
          <w:sz w:val="21"/>
          <w:highlight w:val="none"/>
          <w14:textFill>
            <w14:solidFill>
              <w14:schemeClr w14:val="tx1"/>
            </w14:solidFill>
          </w14:textFill>
        </w:rPr>
        <w:t>评标委员会将根据总得分由高到低排列次序并推荐中标候选人。得分相同的，按投标报价由低到高顺序排列。得分相同且投标报价相同的并列。投标文件满足招标文件全部实质性要求，且按照评审因素的量化指标评审得分最高的投标人为排名第一的中标候选人。</w:t>
      </w:r>
    </w:p>
    <w:p w14:paraId="6ABF3201">
      <w:pPr>
        <w:spacing w:line="400" w:lineRule="exact"/>
        <w:rPr>
          <w:rFonts w:ascii="宋体" w:hAnsi="宋体"/>
          <w:b/>
          <w:color w:val="000000" w:themeColor="text1"/>
          <w:sz w:val="24"/>
          <w:highlight w:val="none"/>
          <w14:textFill>
            <w14:solidFill>
              <w14:schemeClr w14:val="tx1"/>
            </w14:solidFill>
          </w14:textFill>
        </w:rPr>
      </w:pPr>
    </w:p>
    <w:p w14:paraId="44A122DA">
      <w:pPr>
        <w:pStyle w:val="3"/>
        <w:keepNext w:val="0"/>
        <w:keepLines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clear="all"/>
      </w:r>
    </w:p>
    <w:p w14:paraId="205D2B91">
      <w:pPr>
        <w:pStyle w:val="3"/>
        <w:keepNext w:val="0"/>
        <w:keepLines w:val="0"/>
        <w:jc w:val="center"/>
        <w:rPr>
          <w:color w:val="000000" w:themeColor="text1"/>
          <w:highlight w:val="none"/>
          <w14:textFill>
            <w14:solidFill>
              <w14:schemeClr w14:val="tx1"/>
            </w14:solidFill>
          </w14:textFill>
        </w:rPr>
      </w:pPr>
    </w:p>
    <w:p w14:paraId="4FFBD05E">
      <w:pPr>
        <w:pStyle w:val="3"/>
        <w:keepNext w:val="0"/>
        <w:keepLines w:val="0"/>
        <w:jc w:val="center"/>
        <w:rPr>
          <w:color w:val="000000" w:themeColor="text1"/>
          <w:highlight w:val="none"/>
          <w14:textFill>
            <w14:solidFill>
              <w14:schemeClr w14:val="tx1"/>
            </w14:solidFill>
          </w14:textFill>
        </w:rPr>
      </w:pPr>
    </w:p>
    <w:p w14:paraId="5E4DAEDA">
      <w:pPr>
        <w:pStyle w:val="3"/>
        <w:keepNext w:val="0"/>
        <w:keepLines w:val="0"/>
        <w:jc w:val="center"/>
        <w:rPr>
          <w:color w:val="000000" w:themeColor="text1"/>
          <w:highlight w:val="none"/>
          <w14:textFill>
            <w14:solidFill>
              <w14:schemeClr w14:val="tx1"/>
            </w14:solidFill>
          </w14:textFill>
        </w:rPr>
      </w:pPr>
    </w:p>
    <w:p w14:paraId="2EEA86BC">
      <w:pPr>
        <w:pStyle w:val="3"/>
        <w:keepNext w:val="0"/>
        <w:keepLines w:val="0"/>
        <w:jc w:val="center"/>
        <w:rPr>
          <w:color w:val="000000" w:themeColor="text1"/>
          <w:highlight w:val="none"/>
          <w14:textFill>
            <w14:solidFill>
              <w14:schemeClr w14:val="tx1"/>
            </w14:solidFill>
          </w14:textFill>
        </w:rPr>
      </w:pPr>
    </w:p>
    <w:p w14:paraId="5BFC2E9F">
      <w:pPr>
        <w:pStyle w:val="3"/>
        <w:keepNext w:val="0"/>
        <w:keepLines w:val="0"/>
        <w:jc w:val="center"/>
        <w:rPr>
          <w:color w:val="000000" w:themeColor="text1"/>
          <w:highlight w:val="none"/>
          <w14:textFill>
            <w14:solidFill>
              <w14:schemeClr w14:val="tx1"/>
            </w14:solidFill>
          </w14:textFill>
        </w:rPr>
      </w:pPr>
    </w:p>
    <w:p w14:paraId="1CCD1D12">
      <w:pPr>
        <w:pStyle w:val="3"/>
        <w:keepNext w:val="0"/>
        <w:keepLines w:val="0"/>
        <w:jc w:val="center"/>
        <w:rPr>
          <w:color w:val="000000" w:themeColor="text1"/>
          <w:highlight w:val="none"/>
          <w14:textFill>
            <w14:solidFill>
              <w14:schemeClr w14:val="tx1"/>
            </w14:solidFill>
          </w14:textFill>
        </w:rPr>
      </w:pPr>
    </w:p>
    <w:p w14:paraId="143CA6DC">
      <w:pPr>
        <w:pStyle w:val="2"/>
        <w:jc w:val="center"/>
        <w:rPr>
          <w:color w:val="000000" w:themeColor="text1"/>
          <w:highlight w:val="none"/>
          <w14:textFill>
            <w14:solidFill>
              <w14:schemeClr w14:val="tx1"/>
            </w14:solidFill>
          </w14:textFill>
        </w:rPr>
      </w:pPr>
      <w:bookmarkStart w:id="6" w:name="_Toc5670"/>
      <w:r>
        <w:rPr>
          <w:rFonts w:hint="eastAsia"/>
          <w:color w:val="000000" w:themeColor="text1"/>
          <w:highlight w:val="none"/>
          <w14:textFill>
            <w14:solidFill>
              <w14:schemeClr w14:val="tx1"/>
            </w14:solidFill>
          </w14:textFill>
        </w:rPr>
        <w:t>第五章  拟签订的合同文本</w:t>
      </w:r>
      <w:bookmarkEnd w:id="6"/>
    </w:p>
    <w:p w14:paraId="420255B3">
      <w:pPr>
        <w:jc w:val="center"/>
        <w:rPr>
          <w:rFonts w:ascii="宋体" w:hAnsi="宋体"/>
          <w:bCs/>
          <w:color w:val="000000" w:themeColor="text1"/>
          <w:sz w:val="32"/>
          <w:szCs w:val="32"/>
          <w:highlight w:val="none"/>
          <w14:textFill>
            <w14:solidFill>
              <w14:schemeClr w14:val="tx1"/>
            </w14:solidFill>
          </w14:textFill>
        </w:rPr>
      </w:pPr>
    </w:p>
    <w:p w14:paraId="2963CF5C">
      <w:pPr>
        <w:jc w:val="center"/>
        <w:rPr>
          <w:rFonts w:ascii="宋体" w:hAnsi="宋体"/>
          <w:bCs/>
          <w:color w:val="000000" w:themeColor="text1"/>
          <w:sz w:val="32"/>
          <w:szCs w:val="32"/>
          <w:highlight w:val="none"/>
          <w14:textFill>
            <w14:solidFill>
              <w14:schemeClr w14:val="tx1"/>
            </w14:solidFill>
          </w14:textFill>
        </w:rPr>
      </w:pPr>
    </w:p>
    <w:p w14:paraId="1257A047">
      <w:pPr>
        <w:jc w:val="center"/>
        <w:rPr>
          <w:rFonts w:ascii="宋体" w:hAnsi="宋体"/>
          <w:bCs/>
          <w:color w:val="000000" w:themeColor="text1"/>
          <w:sz w:val="32"/>
          <w:szCs w:val="32"/>
          <w:highlight w:val="none"/>
          <w14:textFill>
            <w14:solidFill>
              <w14:schemeClr w14:val="tx1"/>
            </w14:solidFill>
          </w14:textFill>
        </w:rPr>
      </w:pPr>
    </w:p>
    <w:p w14:paraId="58B465E7">
      <w:pPr>
        <w:jc w:val="center"/>
        <w:rPr>
          <w:rFonts w:ascii="宋体" w:hAnsi="宋体"/>
          <w:bCs/>
          <w:color w:val="000000" w:themeColor="text1"/>
          <w:sz w:val="32"/>
          <w:szCs w:val="32"/>
          <w:highlight w:val="none"/>
          <w14:textFill>
            <w14:solidFill>
              <w14:schemeClr w14:val="tx1"/>
            </w14:solidFill>
          </w14:textFill>
        </w:rPr>
      </w:pPr>
    </w:p>
    <w:p w14:paraId="0B00BF89">
      <w:pPr>
        <w:jc w:val="center"/>
        <w:rPr>
          <w:rFonts w:ascii="宋体" w:hAnsi="宋体"/>
          <w:bCs/>
          <w:color w:val="000000" w:themeColor="text1"/>
          <w:sz w:val="32"/>
          <w:szCs w:val="32"/>
          <w:highlight w:val="none"/>
          <w14:textFill>
            <w14:solidFill>
              <w14:schemeClr w14:val="tx1"/>
            </w14:solidFill>
          </w14:textFill>
        </w:rPr>
      </w:pPr>
    </w:p>
    <w:p w14:paraId="2DF07C53">
      <w:pPr>
        <w:jc w:val="center"/>
        <w:rPr>
          <w:rFonts w:ascii="宋体" w:hAnsi="宋体"/>
          <w:bCs/>
          <w:color w:val="000000" w:themeColor="text1"/>
          <w:sz w:val="32"/>
          <w:szCs w:val="32"/>
          <w:highlight w:val="none"/>
          <w14:textFill>
            <w14:solidFill>
              <w14:schemeClr w14:val="tx1"/>
            </w14:solidFill>
          </w14:textFill>
        </w:rPr>
      </w:pPr>
    </w:p>
    <w:p w14:paraId="6EE11C76">
      <w:pPr>
        <w:jc w:val="center"/>
        <w:rPr>
          <w:rFonts w:ascii="宋体" w:hAnsi="宋体"/>
          <w:bCs/>
          <w:color w:val="000000" w:themeColor="text1"/>
          <w:sz w:val="32"/>
          <w:szCs w:val="32"/>
          <w:highlight w:val="none"/>
          <w14:textFill>
            <w14:solidFill>
              <w14:schemeClr w14:val="tx1"/>
            </w14:solidFill>
          </w14:textFill>
        </w:rPr>
      </w:pPr>
    </w:p>
    <w:p w14:paraId="0E86AD67">
      <w:pPr>
        <w:jc w:val="center"/>
        <w:rPr>
          <w:rFonts w:ascii="宋体" w:hAnsi="宋体"/>
          <w:bCs/>
          <w:color w:val="000000" w:themeColor="text1"/>
          <w:sz w:val="32"/>
          <w:szCs w:val="32"/>
          <w:highlight w:val="none"/>
          <w14:textFill>
            <w14:solidFill>
              <w14:schemeClr w14:val="tx1"/>
            </w14:solidFill>
          </w14:textFill>
        </w:rPr>
      </w:pPr>
    </w:p>
    <w:p w14:paraId="213ABAFF">
      <w:pPr>
        <w:jc w:val="center"/>
        <w:rPr>
          <w:rFonts w:ascii="宋体" w:hAnsi="宋体"/>
          <w:bCs/>
          <w:color w:val="000000" w:themeColor="text1"/>
          <w:sz w:val="32"/>
          <w:szCs w:val="32"/>
          <w:highlight w:val="none"/>
          <w14:textFill>
            <w14:solidFill>
              <w14:schemeClr w14:val="tx1"/>
            </w14:solidFill>
          </w14:textFill>
        </w:rPr>
      </w:pPr>
    </w:p>
    <w:p w14:paraId="4202D2AD">
      <w:pPr>
        <w:jc w:val="center"/>
        <w:rPr>
          <w:rFonts w:ascii="宋体" w:hAnsi="宋体"/>
          <w:bCs/>
          <w:color w:val="000000" w:themeColor="text1"/>
          <w:sz w:val="32"/>
          <w:szCs w:val="32"/>
          <w:highlight w:val="none"/>
          <w14:textFill>
            <w14:solidFill>
              <w14:schemeClr w14:val="tx1"/>
            </w14:solidFill>
          </w14:textFill>
        </w:rPr>
      </w:pPr>
    </w:p>
    <w:p w14:paraId="0F8AFCFD">
      <w:pPr>
        <w:jc w:val="center"/>
        <w:rPr>
          <w:rFonts w:ascii="宋体" w:hAnsi="宋体"/>
          <w:bCs/>
          <w:color w:val="000000" w:themeColor="text1"/>
          <w:sz w:val="32"/>
          <w:szCs w:val="32"/>
          <w:highlight w:val="none"/>
          <w14:textFill>
            <w14:solidFill>
              <w14:schemeClr w14:val="tx1"/>
            </w14:solidFill>
          </w14:textFill>
        </w:rPr>
      </w:pPr>
    </w:p>
    <w:p w14:paraId="292238EB">
      <w:pPr>
        <w:rPr>
          <w:rFonts w:ascii="宋体" w:hAnsi="宋体"/>
          <w:bCs/>
          <w:color w:val="000000" w:themeColor="text1"/>
          <w:sz w:val="32"/>
          <w:szCs w:val="32"/>
          <w:highlight w:val="none"/>
          <w14:textFill>
            <w14:solidFill>
              <w14:schemeClr w14:val="tx1"/>
            </w14:solidFill>
          </w14:textFill>
        </w:rPr>
      </w:pPr>
      <w:r>
        <w:rPr>
          <w:rFonts w:ascii="宋体" w:hAnsi="宋体"/>
          <w:bCs/>
          <w:color w:val="000000" w:themeColor="text1"/>
          <w:sz w:val="32"/>
          <w:szCs w:val="32"/>
          <w:highlight w:val="none"/>
          <w14:textFill>
            <w14:solidFill>
              <w14:schemeClr w14:val="tx1"/>
            </w14:solidFill>
          </w14:textFill>
        </w:rPr>
        <w:t xml:space="preserve"> </w:t>
      </w:r>
    </w:p>
    <w:p w14:paraId="176E7A0C">
      <w:pPr>
        <w:spacing w:line="360" w:lineRule="auto"/>
        <w:ind w:firstLine="640"/>
        <w:rPr>
          <w:rFonts w:ascii="宋体" w:hAnsi="宋体"/>
          <w:bCs/>
          <w:color w:val="000000" w:themeColor="text1"/>
          <w:sz w:val="32"/>
          <w:szCs w:val="32"/>
          <w:highlight w:val="none"/>
          <w14:textFill>
            <w14:solidFill>
              <w14:schemeClr w14:val="tx1"/>
            </w14:solidFill>
          </w14:textFill>
        </w:rPr>
      </w:pPr>
      <w:r>
        <w:rPr>
          <w:rFonts w:ascii="宋体" w:hAnsi="宋体"/>
          <w:bCs/>
          <w:color w:val="000000" w:themeColor="text1"/>
          <w:sz w:val="32"/>
          <w:szCs w:val="32"/>
          <w:highlight w:val="none"/>
          <w14:textFill>
            <w14:solidFill>
              <w14:schemeClr w14:val="tx1"/>
            </w14:solidFill>
          </w14:textFill>
        </w:rPr>
        <w:br w:type="page" w:clear="all"/>
      </w:r>
    </w:p>
    <w:p w14:paraId="5CA6C7CD">
      <w:pPr>
        <w:spacing w:line="360" w:lineRule="auto"/>
        <w:ind w:firstLine="640"/>
        <w:rPr>
          <w:rFonts w:ascii="宋体" w:hAnsi="宋体"/>
          <w:bCs/>
          <w:color w:val="000000" w:themeColor="text1"/>
          <w:sz w:val="32"/>
          <w:szCs w:val="32"/>
          <w:highlight w:val="none"/>
          <w14:textFill>
            <w14:solidFill>
              <w14:schemeClr w14:val="tx1"/>
            </w14:solidFill>
          </w14:textFill>
        </w:rPr>
      </w:pPr>
    </w:p>
    <w:p w14:paraId="1E09165C">
      <w:pPr>
        <w:spacing w:line="360" w:lineRule="auto"/>
        <w:ind w:firstLine="640"/>
        <w:rPr>
          <w:rFonts w:ascii="宋体" w:hAnsi="宋体"/>
          <w:bCs/>
          <w:color w:val="000000" w:themeColor="text1"/>
          <w:sz w:val="32"/>
          <w:szCs w:val="32"/>
          <w:highlight w:val="none"/>
          <w14:textFill>
            <w14:solidFill>
              <w14:schemeClr w14:val="tx1"/>
            </w14:solidFill>
          </w14:textFill>
        </w:rPr>
      </w:pPr>
    </w:p>
    <w:p w14:paraId="5099F7D7">
      <w:pPr>
        <w:spacing w:line="360" w:lineRule="auto"/>
        <w:ind w:firstLine="640"/>
        <w:rPr>
          <w:rFonts w:ascii="宋体" w:hAnsi="宋体"/>
          <w:bCs/>
          <w:color w:val="000000" w:themeColor="text1"/>
          <w:sz w:val="32"/>
          <w:szCs w:val="32"/>
          <w:highlight w:val="none"/>
          <w14:textFill>
            <w14:solidFill>
              <w14:schemeClr w14:val="tx1"/>
            </w14:solidFill>
          </w14:textFill>
        </w:rPr>
      </w:pPr>
    </w:p>
    <w:p w14:paraId="5EA9F888">
      <w:pPr>
        <w:spacing w:line="360" w:lineRule="auto"/>
        <w:ind w:firstLine="640"/>
        <w:rPr>
          <w:rFonts w:ascii="宋体" w:hAnsi="宋体"/>
          <w:bCs/>
          <w:color w:val="000000" w:themeColor="text1"/>
          <w:sz w:val="32"/>
          <w:szCs w:val="32"/>
          <w:highlight w:val="none"/>
          <w14:textFill>
            <w14:solidFill>
              <w14:schemeClr w14:val="tx1"/>
            </w14:solidFill>
          </w14:textFill>
        </w:rPr>
      </w:pPr>
    </w:p>
    <w:p w14:paraId="565341F7">
      <w:pPr>
        <w:spacing w:line="360" w:lineRule="auto"/>
        <w:ind w:firstLine="643"/>
        <w:rPr>
          <w:rFonts w:ascii="宋体" w:hAnsi="宋体"/>
          <w:b/>
          <w:color w:val="000000" w:themeColor="text1"/>
          <w:sz w:val="32"/>
          <w:szCs w:val="32"/>
          <w:highlight w:val="none"/>
          <w14:textFill>
            <w14:solidFill>
              <w14:schemeClr w14:val="tx1"/>
            </w14:solidFill>
          </w14:textFill>
        </w:rPr>
      </w:pPr>
    </w:p>
    <w:p w14:paraId="5C8A8D5A">
      <w:pPr>
        <w:spacing w:line="480" w:lineRule="auto"/>
        <w:rPr>
          <w:rFonts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项目名称：</w:t>
      </w:r>
    </w:p>
    <w:p w14:paraId="04E227BA">
      <w:pPr>
        <w:spacing w:line="480" w:lineRule="auto"/>
        <w:rPr>
          <w:rFonts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采购计划号：</w:t>
      </w:r>
    </w:p>
    <w:p w14:paraId="2061CCB1">
      <w:pPr>
        <w:spacing w:line="480" w:lineRule="auto"/>
        <w:rPr>
          <w:rFonts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项目编号：</w:t>
      </w:r>
    </w:p>
    <w:p w14:paraId="6578476F">
      <w:pPr>
        <w:spacing w:line="480" w:lineRule="auto"/>
        <w:rPr>
          <w:rFonts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合同编号：</w:t>
      </w:r>
    </w:p>
    <w:p w14:paraId="30C060AB">
      <w:pPr>
        <w:spacing w:line="480" w:lineRule="auto"/>
        <w:rPr>
          <w:rFonts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分标号：</w:t>
      </w:r>
    </w:p>
    <w:p w14:paraId="180223EC">
      <w:pPr>
        <w:spacing w:line="480" w:lineRule="auto"/>
        <w:rPr>
          <w:rFonts w:hint="default"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采购人（甲方）：</w:t>
      </w:r>
      <w:r>
        <w:rPr>
          <w:rFonts w:hint="default" w:ascii="宋体" w:hAnsi="宋体" w:cs="宋体"/>
          <w:b/>
          <w:bCs/>
          <w:color w:val="000000" w:themeColor="text1"/>
          <w:sz w:val="28"/>
          <w:szCs w:val="28"/>
          <w:highlight w:val="none"/>
          <w14:textFill>
            <w14:solidFill>
              <w14:schemeClr w14:val="tx1"/>
            </w14:solidFill>
          </w14:textFill>
        </w:rPr>
        <w:t>钦州市钦南区人民医院</w:t>
      </w:r>
    </w:p>
    <w:p w14:paraId="5A3403D8">
      <w:pPr>
        <w:spacing w:line="480" w:lineRule="auto"/>
        <w:rPr>
          <w:rFonts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中标人（乙方）</w:t>
      </w:r>
    </w:p>
    <w:p w14:paraId="499B0E81">
      <w:pPr>
        <w:spacing w:line="480" w:lineRule="auto"/>
        <w:rPr>
          <w:rFonts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采购代理机构：</w:t>
      </w:r>
    </w:p>
    <w:p w14:paraId="3EB6E177">
      <w:pPr>
        <w:spacing w:line="480" w:lineRule="auto"/>
        <w:rPr>
          <w:rFonts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签订地点：钦州市</w:t>
      </w:r>
    </w:p>
    <w:p w14:paraId="25BFACC3">
      <w:pPr>
        <w:spacing w:line="480" w:lineRule="auto"/>
        <w:rPr>
          <w:rFonts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签订时间：2026年   月   日</w:t>
      </w:r>
    </w:p>
    <w:p w14:paraId="58C78DED">
      <w:pPr>
        <w:pStyle w:val="332"/>
        <w:spacing w:line="480" w:lineRule="auto"/>
        <w:rPr>
          <w:rFonts w:ascii="宋体" w:hAnsi="宋体" w:eastAsia="宋体" w:cs="宋体"/>
          <w:color w:val="000000" w:themeColor="text1"/>
          <w:sz w:val="28"/>
          <w:szCs w:val="28"/>
          <w:highlight w:val="none"/>
          <w14:textFill>
            <w14:solidFill>
              <w14:schemeClr w14:val="tx1"/>
            </w14:solidFill>
          </w14:textFill>
        </w:rPr>
      </w:pPr>
    </w:p>
    <w:p w14:paraId="557182C3">
      <w:pPr>
        <w:spacing w:line="480" w:lineRule="auto"/>
        <w:rPr>
          <w:rFonts w:ascii="宋体" w:hAnsi="宋体" w:cs="宋体"/>
          <w:b/>
          <w:bCs/>
          <w:color w:val="000000" w:themeColor="text1"/>
          <w:sz w:val="28"/>
          <w:szCs w:val="28"/>
          <w:highlight w:val="none"/>
          <w14:textFill>
            <w14:solidFill>
              <w14:schemeClr w14:val="tx1"/>
            </w14:solidFill>
          </w14:textFill>
        </w:rPr>
      </w:pPr>
    </w:p>
    <w:p w14:paraId="4565A3B0">
      <w:pPr>
        <w:pStyle w:val="332"/>
        <w:spacing w:line="480" w:lineRule="auto"/>
        <w:rPr>
          <w:rFonts w:ascii="宋体" w:hAnsi="宋体" w:eastAsia="宋体" w:cs="宋体"/>
          <w:color w:val="000000" w:themeColor="text1"/>
          <w:sz w:val="28"/>
          <w:szCs w:val="28"/>
          <w:highlight w:val="none"/>
          <w14:textFill>
            <w14:solidFill>
              <w14:schemeClr w14:val="tx1"/>
            </w14:solidFill>
          </w14:textFill>
        </w:rPr>
      </w:pPr>
    </w:p>
    <w:p w14:paraId="0AFFCB0F">
      <w:pPr>
        <w:widowControl/>
        <w:jc w:val="left"/>
        <w:rPr>
          <w:rFonts w:ascii="宋体" w:hAnsi="宋体" w:cs="宋体"/>
          <w:bCs/>
          <w:color w:val="000000" w:themeColor="text1"/>
          <w:sz w:val="28"/>
          <w:szCs w:val="28"/>
          <w:highlight w:val="none"/>
          <w14:textFill>
            <w14:solidFill>
              <w14:schemeClr w14:val="tx1"/>
            </w14:solidFill>
          </w14:textFill>
        </w:rPr>
      </w:pPr>
      <w:r>
        <w:rPr>
          <w:rFonts w:ascii="宋体" w:hAnsi="宋体" w:cs="宋体"/>
          <w:bCs/>
          <w:color w:val="000000" w:themeColor="text1"/>
          <w:sz w:val="28"/>
          <w:szCs w:val="28"/>
          <w:highlight w:val="none"/>
          <w14:textFill>
            <w14:solidFill>
              <w14:schemeClr w14:val="tx1"/>
            </w14:solidFill>
          </w14:textFill>
        </w:rPr>
        <w:br w:type="page" w:clear="all"/>
      </w:r>
    </w:p>
    <w:p w14:paraId="09D96D73">
      <w:pPr>
        <w:rPr>
          <w:rFonts w:ascii="宋体" w:hAnsi="宋体" w:cs="宋体"/>
          <w:bCs/>
          <w:color w:val="000000" w:themeColor="text1"/>
          <w:sz w:val="28"/>
          <w:szCs w:val="28"/>
          <w:highlight w:val="none"/>
          <w14:textFill>
            <w14:solidFill>
              <w14:schemeClr w14:val="tx1"/>
            </w14:solidFill>
          </w14:textFill>
        </w:rPr>
      </w:pPr>
    </w:p>
    <w:p w14:paraId="07F3F642">
      <w:pPr>
        <w:widowControl/>
        <w:ind w:firstLine="480"/>
        <w:jc w:val="left"/>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根据《中华人民共和国政府采购法》《中华人民共和国民法典》等法律、法规规定，按照公开招标文件规定条款和投标文件承诺，甲乙双方签订本合同。</w:t>
      </w:r>
    </w:p>
    <w:p w14:paraId="35FAD168">
      <w:pPr>
        <w:spacing w:line="400" w:lineRule="exact"/>
        <w:ind w:firstLine="482"/>
        <w:rPr>
          <w:rFonts w:asciiTheme="minorEastAsia" w:hAnsiTheme="minorEastAsia" w:eastAsiaTheme="minorEastAsia" w:cs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highlight w:val="none"/>
          <w14:textFill>
            <w14:solidFill>
              <w14:schemeClr w14:val="tx1"/>
            </w14:solidFill>
          </w14:textFill>
        </w:rPr>
        <w:t>第一条　合同标的</w:t>
      </w:r>
    </w:p>
    <w:p w14:paraId="14B4B143">
      <w:pPr>
        <w:spacing w:line="40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1.供货一览表</w:t>
      </w:r>
    </w:p>
    <w:tbl>
      <w:tblPr>
        <w:tblStyle w:val="50"/>
        <w:tblW w:w="8556"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1152"/>
        <w:gridCol w:w="990"/>
        <w:gridCol w:w="1152"/>
        <w:gridCol w:w="1131"/>
        <w:gridCol w:w="689"/>
        <w:gridCol w:w="687"/>
        <w:gridCol w:w="1023"/>
        <w:gridCol w:w="1070"/>
      </w:tblGrid>
      <w:tr w14:paraId="4281A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8" w:hRule="atLeast"/>
        </w:trPr>
        <w:tc>
          <w:tcPr>
            <w:tcW w:w="662" w:type="dxa"/>
            <w:noWrap w:val="0"/>
            <w:vAlign w:val="center"/>
          </w:tcPr>
          <w:p w14:paraId="318AC602">
            <w:pPr>
              <w:spacing w:line="40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序号</w:t>
            </w:r>
          </w:p>
        </w:tc>
        <w:tc>
          <w:tcPr>
            <w:tcW w:w="1152" w:type="dxa"/>
            <w:noWrap w:val="0"/>
            <w:vAlign w:val="center"/>
          </w:tcPr>
          <w:p w14:paraId="6027E0A9">
            <w:pPr>
              <w:spacing w:line="40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产品名称</w:t>
            </w:r>
          </w:p>
        </w:tc>
        <w:tc>
          <w:tcPr>
            <w:tcW w:w="990" w:type="dxa"/>
            <w:noWrap w:val="0"/>
            <w:vAlign w:val="center"/>
          </w:tcPr>
          <w:p w14:paraId="0A83DFBC">
            <w:pPr>
              <w:spacing w:line="40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商标品牌</w:t>
            </w:r>
          </w:p>
        </w:tc>
        <w:tc>
          <w:tcPr>
            <w:tcW w:w="1152" w:type="dxa"/>
            <w:noWrap w:val="0"/>
            <w:vAlign w:val="center"/>
          </w:tcPr>
          <w:p w14:paraId="659FE82B">
            <w:pPr>
              <w:spacing w:line="40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规格型号</w:t>
            </w:r>
          </w:p>
        </w:tc>
        <w:tc>
          <w:tcPr>
            <w:tcW w:w="1131" w:type="dxa"/>
            <w:noWrap w:val="0"/>
            <w:vAlign w:val="center"/>
          </w:tcPr>
          <w:p w14:paraId="33FB1A68">
            <w:pPr>
              <w:spacing w:line="40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生产厂家</w:t>
            </w:r>
          </w:p>
        </w:tc>
        <w:tc>
          <w:tcPr>
            <w:tcW w:w="689" w:type="dxa"/>
            <w:noWrap w:val="0"/>
            <w:vAlign w:val="center"/>
          </w:tcPr>
          <w:p w14:paraId="0977C108">
            <w:pPr>
              <w:spacing w:line="40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数量</w:t>
            </w:r>
          </w:p>
        </w:tc>
        <w:tc>
          <w:tcPr>
            <w:tcW w:w="687" w:type="dxa"/>
            <w:noWrap w:val="0"/>
            <w:vAlign w:val="center"/>
          </w:tcPr>
          <w:p w14:paraId="28F45816">
            <w:pPr>
              <w:spacing w:line="40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单位</w:t>
            </w:r>
          </w:p>
        </w:tc>
        <w:tc>
          <w:tcPr>
            <w:tcW w:w="1023" w:type="dxa"/>
            <w:noWrap w:val="0"/>
            <w:vAlign w:val="center"/>
          </w:tcPr>
          <w:p w14:paraId="20FB6ED4">
            <w:pPr>
              <w:spacing w:line="40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单价（元）</w:t>
            </w:r>
          </w:p>
        </w:tc>
        <w:tc>
          <w:tcPr>
            <w:tcW w:w="1070" w:type="dxa"/>
            <w:noWrap w:val="0"/>
            <w:vAlign w:val="center"/>
          </w:tcPr>
          <w:p w14:paraId="5BB3DBDC">
            <w:pPr>
              <w:spacing w:line="40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金额（元）</w:t>
            </w:r>
          </w:p>
        </w:tc>
      </w:tr>
      <w:tr w14:paraId="455FC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662" w:type="dxa"/>
            <w:noWrap w:val="0"/>
            <w:vAlign w:val="center"/>
          </w:tcPr>
          <w:p w14:paraId="2C5AF332">
            <w:pPr>
              <w:spacing w:line="40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1</w:t>
            </w:r>
          </w:p>
        </w:tc>
        <w:tc>
          <w:tcPr>
            <w:tcW w:w="1152" w:type="dxa"/>
            <w:noWrap w:val="0"/>
            <w:vAlign w:val="center"/>
          </w:tcPr>
          <w:p w14:paraId="19E078BF">
            <w:pPr>
              <w:spacing w:line="40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990" w:type="dxa"/>
            <w:noWrap w:val="0"/>
            <w:vAlign w:val="center"/>
          </w:tcPr>
          <w:p w14:paraId="32AA6BC8">
            <w:pPr>
              <w:spacing w:line="40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152" w:type="dxa"/>
            <w:noWrap w:val="0"/>
            <w:vAlign w:val="center"/>
          </w:tcPr>
          <w:p w14:paraId="20D87185">
            <w:pPr>
              <w:spacing w:line="40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131" w:type="dxa"/>
            <w:noWrap w:val="0"/>
          </w:tcPr>
          <w:p w14:paraId="0801D86F">
            <w:pPr>
              <w:spacing w:line="40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689" w:type="dxa"/>
            <w:noWrap w:val="0"/>
          </w:tcPr>
          <w:p w14:paraId="268105BE">
            <w:pPr>
              <w:spacing w:line="40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687" w:type="dxa"/>
            <w:noWrap w:val="0"/>
          </w:tcPr>
          <w:p w14:paraId="7CC1EC67">
            <w:pPr>
              <w:spacing w:line="40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23" w:type="dxa"/>
            <w:noWrap w:val="0"/>
            <w:vAlign w:val="center"/>
          </w:tcPr>
          <w:p w14:paraId="39A3CD47">
            <w:pPr>
              <w:spacing w:line="40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70" w:type="dxa"/>
            <w:noWrap w:val="0"/>
            <w:vAlign w:val="center"/>
          </w:tcPr>
          <w:p w14:paraId="5C3AEC29">
            <w:pPr>
              <w:spacing w:line="40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r>
      <w:tr w14:paraId="75227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662" w:type="dxa"/>
            <w:noWrap w:val="0"/>
            <w:vAlign w:val="center"/>
          </w:tcPr>
          <w:p w14:paraId="4A9ABE40">
            <w:pPr>
              <w:spacing w:line="40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2</w:t>
            </w:r>
          </w:p>
        </w:tc>
        <w:tc>
          <w:tcPr>
            <w:tcW w:w="1152" w:type="dxa"/>
            <w:noWrap w:val="0"/>
            <w:vAlign w:val="center"/>
          </w:tcPr>
          <w:p w14:paraId="5029AF65">
            <w:pPr>
              <w:spacing w:line="40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990" w:type="dxa"/>
            <w:noWrap w:val="0"/>
            <w:vAlign w:val="center"/>
          </w:tcPr>
          <w:p w14:paraId="49E2CE3E">
            <w:pPr>
              <w:spacing w:line="40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152" w:type="dxa"/>
            <w:noWrap w:val="0"/>
            <w:vAlign w:val="center"/>
          </w:tcPr>
          <w:p w14:paraId="2DD1BDC0">
            <w:pPr>
              <w:spacing w:line="40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131" w:type="dxa"/>
            <w:noWrap w:val="0"/>
          </w:tcPr>
          <w:p w14:paraId="4CABB44E">
            <w:pPr>
              <w:spacing w:line="40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689" w:type="dxa"/>
            <w:noWrap w:val="0"/>
          </w:tcPr>
          <w:p w14:paraId="3E19D19E">
            <w:pPr>
              <w:spacing w:line="40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687" w:type="dxa"/>
            <w:noWrap w:val="0"/>
          </w:tcPr>
          <w:p w14:paraId="55F37709">
            <w:pPr>
              <w:spacing w:line="40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23" w:type="dxa"/>
            <w:noWrap w:val="0"/>
            <w:vAlign w:val="center"/>
          </w:tcPr>
          <w:p w14:paraId="37225D04">
            <w:pPr>
              <w:spacing w:line="40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70" w:type="dxa"/>
            <w:noWrap w:val="0"/>
            <w:vAlign w:val="center"/>
          </w:tcPr>
          <w:p w14:paraId="0B818BE9">
            <w:pPr>
              <w:spacing w:line="40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r>
      <w:tr w14:paraId="320EA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662" w:type="dxa"/>
            <w:noWrap w:val="0"/>
            <w:vAlign w:val="center"/>
          </w:tcPr>
          <w:p w14:paraId="716102E0">
            <w:pPr>
              <w:spacing w:line="40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3</w:t>
            </w:r>
          </w:p>
        </w:tc>
        <w:tc>
          <w:tcPr>
            <w:tcW w:w="1152" w:type="dxa"/>
            <w:noWrap w:val="0"/>
            <w:vAlign w:val="center"/>
          </w:tcPr>
          <w:p w14:paraId="0B7C826F">
            <w:pPr>
              <w:spacing w:line="40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990" w:type="dxa"/>
            <w:noWrap w:val="0"/>
            <w:vAlign w:val="center"/>
          </w:tcPr>
          <w:p w14:paraId="75A2C189">
            <w:pPr>
              <w:spacing w:line="40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152" w:type="dxa"/>
            <w:noWrap w:val="0"/>
            <w:vAlign w:val="center"/>
          </w:tcPr>
          <w:p w14:paraId="104D79DC">
            <w:pPr>
              <w:spacing w:line="40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131" w:type="dxa"/>
            <w:noWrap w:val="0"/>
          </w:tcPr>
          <w:p w14:paraId="2C909587">
            <w:pPr>
              <w:spacing w:line="40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689" w:type="dxa"/>
            <w:noWrap w:val="0"/>
          </w:tcPr>
          <w:p w14:paraId="46646E1E">
            <w:pPr>
              <w:spacing w:line="40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687" w:type="dxa"/>
            <w:noWrap w:val="0"/>
          </w:tcPr>
          <w:p w14:paraId="61409E01">
            <w:pPr>
              <w:spacing w:line="40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23" w:type="dxa"/>
            <w:noWrap w:val="0"/>
            <w:vAlign w:val="center"/>
          </w:tcPr>
          <w:p w14:paraId="1B425BA5">
            <w:pPr>
              <w:spacing w:line="40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70" w:type="dxa"/>
            <w:noWrap w:val="0"/>
            <w:vAlign w:val="center"/>
          </w:tcPr>
          <w:p w14:paraId="026E267B">
            <w:pPr>
              <w:spacing w:line="40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r>
      <w:tr w14:paraId="43CBA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8556" w:type="dxa"/>
            <w:gridSpan w:val="9"/>
            <w:noWrap w:val="0"/>
            <w:vAlign w:val="center"/>
          </w:tcPr>
          <w:p w14:paraId="0DFADD9A">
            <w:pPr>
              <w:spacing w:line="40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合计金额人民币（大写）                          （小写）¥</w:t>
            </w:r>
          </w:p>
        </w:tc>
      </w:tr>
    </w:tbl>
    <w:p w14:paraId="6314AA87">
      <w:pPr>
        <w:spacing w:line="400" w:lineRule="exact"/>
        <w:ind w:right="420"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2.合同合计金额包括但不限于货款、标准附件、备品备件、专用工具、包装、运输、装卸、保险、税金、货到就位以及安装、调试、培训、保修等一切税金和费用。在合同履行过程中，甲方不予支付合同以外的其他费用。乙方负责工人人身、设备安全责任，验收前，设备丢失自行负责。</w:t>
      </w:r>
    </w:p>
    <w:p w14:paraId="66B782F2">
      <w:pPr>
        <w:spacing w:line="400" w:lineRule="exact"/>
        <w:ind w:firstLine="482"/>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highlight w:val="none"/>
          <w14:textFill>
            <w14:solidFill>
              <w14:schemeClr w14:val="tx1"/>
            </w14:solidFill>
          </w14:textFill>
        </w:rPr>
        <w:t>第二条　质量要求</w:t>
      </w:r>
    </w:p>
    <w:p w14:paraId="7B86149A">
      <w:pPr>
        <w:spacing w:line="40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1.乙方所提供的产品名称、商标品牌、生产厂家、规格型号、技术参数等质量必须与公开招标文件规定及投标文件承诺相一致。乙方提供的节能和环保产品必须是列入政府采购品目清单的产品。</w:t>
      </w:r>
    </w:p>
    <w:p w14:paraId="59D7AC4D">
      <w:pPr>
        <w:spacing w:line="400" w:lineRule="exact"/>
        <w:ind w:firstLine="480"/>
        <w:rPr>
          <w:rFonts w:asciiTheme="minorEastAsia" w:hAnsiTheme="minorEastAsia" w:eastAsiaTheme="minorEastAsia" w:cstheme="minorEastAsia"/>
          <w:color w:val="000000" w:themeColor="text1"/>
          <w:sz w:val="24"/>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2.乙方所提供的货物必须是全新、未使用的原装产品，且在正常安装、使用和保养条件下，其使用寿命期内各项指标均达到公开招标文件规定或投标文件承诺的质量要求。</w:t>
      </w:r>
    </w:p>
    <w:p w14:paraId="367C3208">
      <w:pPr>
        <w:spacing w:line="400" w:lineRule="exact"/>
        <w:ind w:firstLine="482"/>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highlight w:val="none"/>
          <w14:textFill>
            <w14:solidFill>
              <w14:schemeClr w14:val="tx1"/>
            </w14:solidFill>
          </w14:textFill>
        </w:rPr>
        <w:t>第三条　权利保证</w:t>
      </w:r>
    </w:p>
    <w:p w14:paraId="1F4C6479">
      <w:pPr>
        <w:spacing w:line="40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1.乙方应保证所提供货物在使用时不会侵犯任何第三方的专利权、商标权、工业设计权或其他权利。</w:t>
      </w:r>
    </w:p>
    <w:p w14:paraId="1DE2790E">
      <w:pPr>
        <w:spacing w:line="40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2.乙方应按公开招标文件规定或投标文件承诺的时间向甲方提供使用货物的有关技术资料。</w:t>
      </w:r>
    </w:p>
    <w:p w14:paraId="27ECD7CE">
      <w:pPr>
        <w:spacing w:line="40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3.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9ACB68C">
      <w:pPr>
        <w:spacing w:line="40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4.乙方保证交付的货物的所有权完全属于乙方且无任何抵押、质押、查封等产权瑕疵。</w:t>
      </w:r>
    </w:p>
    <w:p w14:paraId="54E35662">
      <w:pPr>
        <w:spacing w:line="40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5.乙方提供的货物及制作安装采用的各种配件、材料均应满足国家和行业规范标准。</w:t>
      </w:r>
    </w:p>
    <w:p w14:paraId="1A7D75BB">
      <w:pPr>
        <w:spacing w:line="400" w:lineRule="exact"/>
        <w:ind w:firstLine="482"/>
        <w:rPr>
          <w:rFonts w:asciiTheme="minorEastAsia" w:hAnsiTheme="minorEastAsia" w:eastAsiaTheme="minorEastAsia" w:cs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highlight w:val="none"/>
          <w14:textFill>
            <w14:solidFill>
              <w14:schemeClr w14:val="tx1"/>
            </w14:solidFill>
          </w14:textFill>
        </w:rPr>
        <w:t>第四条　包装和运输</w:t>
      </w:r>
    </w:p>
    <w:p w14:paraId="6ECE67DE">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1. 乙方提供的货物均应按公开招标文件、投标文件要求的包装材料、包装标准、包装方式、运输距离、防潮、防震、防锈和防破损装卸等要求包装，以保证货物安全运达甲方指定地点，每一包装单元内应附详细的装箱单和质量合格证。除合同另有规定外，乙方提供的全部货物应按标准保护措施进行包装，由于包装不善所引起的货物损失均由乙方承担。</w:t>
      </w:r>
    </w:p>
    <w:p w14:paraId="2DCCCF74">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2. 乙方应提供设备的随机附件、技术资料，可包括相应的安装配件、图纸、操作手册、维护手册、质量保证文件、服务指南、清单等一并附于货物内。</w:t>
      </w:r>
    </w:p>
    <w:p w14:paraId="5D42E479">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3. 货物的运输方式（</w:t>
      </w:r>
      <w:r>
        <w:rPr>
          <w:rFonts w:hint="eastAsia" w:asciiTheme="minorEastAsia" w:hAnsiTheme="minorEastAsia" w:eastAsiaTheme="minorEastAsia" w:cstheme="minorEastAsia"/>
          <w:color w:val="000000" w:themeColor="text1"/>
          <w:sz w:val="24"/>
          <w:highlight w:val="none"/>
          <w:u w:val="single"/>
          <w14:textFill>
            <w14:solidFill>
              <w14:schemeClr w14:val="tx1"/>
            </w14:solidFill>
          </w14:textFill>
        </w:rPr>
        <w:t xml:space="preserve">由乙方自定）  </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，货物运输合理损耗及计算方法：</w:t>
      </w:r>
      <w:r>
        <w:rPr>
          <w:rFonts w:hint="eastAsia" w:asciiTheme="minorEastAsia" w:hAnsiTheme="minorEastAsia" w:eastAsiaTheme="minorEastAsia" w:cstheme="minorEastAsia"/>
          <w:color w:val="000000" w:themeColor="text1"/>
          <w:sz w:val="24"/>
          <w:highlight w:val="none"/>
          <w:u w:val="single"/>
          <w14:textFill>
            <w14:solidFill>
              <w14:schemeClr w14:val="tx1"/>
            </w14:solidFill>
          </w14:textFill>
        </w:rPr>
        <w:t xml:space="preserve">  由乙方负责  </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w:t>
      </w:r>
    </w:p>
    <w:p w14:paraId="78EB1ADF">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4.乙方在货物发运手续办理完毕后二十四小时内或货到甲方四十八小时前通知甲方，以准备接货。货物在交付甲方前发生的风险均由乙方负责。</w:t>
      </w:r>
    </w:p>
    <w:p w14:paraId="04597C70">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5. 货物在规定的交货期限内由乙方送达甲方指定的地点视为交货，乙方同时提供合格证及技术参数表给甲方，需通知甲方货物已送达。</w:t>
      </w:r>
    </w:p>
    <w:p w14:paraId="23371BFC">
      <w:pPr>
        <w:spacing w:line="460" w:lineRule="exact"/>
        <w:ind w:firstLine="482"/>
        <w:rPr>
          <w:rFonts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第五条　交付、安装和调试</w:t>
      </w:r>
    </w:p>
    <w:p w14:paraId="2142E7E2">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 xml:space="preserve">1. 交付使用时间： </w:t>
      </w:r>
      <w:r>
        <w:rPr>
          <w:rFonts w:hint="eastAsia" w:asciiTheme="minorEastAsia" w:hAnsiTheme="minorEastAsia" w:eastAsiaTheme="minorEastAsia" w:cstheme="minorEastAsia"/>
          <w:color w:val="000000" w:themeColor="text1"/>
          <w:sz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 xml:space="preserve"> 。</w:t>
      </w:r>
    </w:p>
    <w:p w14:paraId="42F446AD">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交付地点：</w:t>
      </w:r>
      <w:r>
        <w:rPr>
          <w:rFonts w:hint="eastAsia" w:asciiTheme="minorEastAsia" w:hAnsiTheme="minorEastAsia" w:eastAsiaTheme="minorEastAsia" w:cstheme="minorEastAsia"/>
          <w:color w:val="000000" w:themeColor="text1"/>
          <w:sz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 xml:space="preserve"> 。乙方负责处理安装设备产生的垃圾。</w:t>
      </w:r>
    </w:p>
    <w:p w14:paraId="56BA733F">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2. 乙方交付的货物应当完全符合本合同或采购文件所规定的货物、数量、规格等要求，外观、说明书符合采购文件技术要求的，给予签收，若乙方提供不符合招标文件、投标文件和本合同规定的货物，甲方有权拒绝接受，由此引起的风险由乙方承担。</w:t>
      </w:r>
    </w:p>
    <w:p w14:paraId="46A3AD12">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3.乙方交货前应将所提供货物的装箱清单、用户手册、原厂保修卡、随机资料、工具和备品、备件等作出全面检查和对验收文件进行整理，并列出清单，作为甲方收货验收和使用的技术条件依据，检验的结果应随货物交甲方。乙方未能提供完整合同标的的货物及本条款规定的证件和工具的，视为未按合同约定交货，乙方应负责及时补齐，因此导致逾期交付的，由乙方承担相关违约责任。</w:t>
      </w:r>
    </w:p>
    <w:p w14:paraId="26D2EC07">
      <w:pPr>
        <w:spacing w:line="360" w:lineRule="auto"/>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4.乙方负责安装并培训甲方的使用操作人员。甲方对乙方提供的货物在使用前进行调试时，乙方需协助甲方一起调试，直到符合技术要求，甲方才做最终验收。</w:t>
      </w:r>
    </w:p>
    <w:p w14:paraId="4F9F21ED">
      <w:pPr>
        <w:spacing w:line="460" w:lineRule="exact"/>
        <w:ind w:firstLine="482"/>
        <w:rPr>
          <w:rFonts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第六条　培训和验收</w:t>
      </w:r>
    </w:p>
    <w:p w14:paraId="28E68AD9">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1.甲方应提供必要安装、培训条件（如场地、电源、水源等）。培训时间、地点： 由甲方根据情况合理安排。培训形式：①现场使用培训：安装调试结束后，乙方培训工程师对机器正确使用方法进行示范操作，保证教会使用人员能正确使用设备。②集中授课：乙方培训工程师使用专门讲义进行授课，并进行考核考试。</w:t>
      </w:r>
    </w:p>
    <w:p w14:paraId="0C181C4C">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2.验收标准：乙方在货物验收时由甲方对照招标文件的功能目标及技术指标全面核对检验，对所有要求出具的证明文件的原件进行核查，如不符合招标文件的技术需求及要求以及提供虚假承诺的，按相关规定做退货处理及违约处理，乙方承担所有责任和费用，甲方保留进一步追究责任的权利。</w:t>
      </w:r>
    </w:p>
    <w:p w14:paraId="37B8B62F">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3.甲方应当在货物安装、调试完成后乙方提供书面验收申请书，15个工作日内进行验收，逾期不验收的验收前乙方需提供验收过程完成后及招标文件中约定的资料，乙方可视同验收合格。验收合格后由甲乙双方签署货物验收单并加盖采购人公章，甲乙双方各执一份。</w:t>
      </w:r>
    </w:p>
    <w:p w14:paraId="6C75AD33">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4.对技术复杂的货物，甲方应请国家认可的专业检测机构参与初步验收及最终验收，并由其出具质量检测报告。验收时乙方必须在现场，验收完毕后作出验收结果报告；验收费用由乙方负责。</w:t>
      </w:r>
    </w:p>
    <w:p w14:paraId="43AC3922">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5. 甲方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14:paraId="14B1F7E1">
      <w:pPr>
        <w:spacing w:line="360" w:lineRule="auto"/>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6. 甲方对验收有异议的，在验收后</w:t>
      </w:r>
      <w:r>
        <w:rPr>
          <w:rFonts w:hint="eastAsia" w:asciiTheme="minorEastAsia" w:hAnsiTheme="minorEastAsia" w:eastAsiaTheme="minorEastAsia" w:cstheme="minorEastAsia"/>
          <w:color w:val="000000" w:themeColor="text1"/>
          <w:sz w:val="24"/>
          <w:highlight w:val="none"/>
          <w:u w:val="single"/>
          <w14:textFill>
            <w14:solidFill>
              <w14:schemeClr w14:val="tx1"/>
            </w14:solidFill>
          </w14:textFill>
        </w:rPr>
        <w:t>5个工作日</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内以书面形式向乙方提出，乙方应自收到甲方书面异议后</w:t>
      </w:r>
      <w:r>
        <w:rPr>
          <w:rFonts w:hint="eastAsia" w:asciiTheme="minorEastAsia" w:hAnsiTheme="minorEastAsia" w:eastAsiaTheme="minorEastAsia" w:cstheme="minorEastAsia"/>
          <w:color w:val="000000" w:themeColor="text1"/>
          <w:sz w:val="24"/>
          <w:highlight w:val="none"/>
          <w:u w:val="single"/>
          <w14:textFill>
            <w14:solidFill>
              <w14:schemeClr w14:val="tx1"/>
            </w14:solidFill>
          </w14:textFill>
        </w:rPr>
        <w:t>7个工作</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日内及时予以解决。甲方根据乙方提出的解决情况，确认问题已解决并签字确认后</w:t>
      </w:r>
      <w:r>
        <w:rPr>
          <w:rFonts w:hint="eastAsia" w:asciiTheme="minorEastAsia" w:hAnsiTheme="minorEastAsia" w:eastAsiaTheme="minorEastAsia" w:cstheme="minorEastAsia"/>
          <w:color w:val="000000" w:themeColor="text1"/>
          <w:sz w:val="24"/>
          <w:highlight w:val="none"/>
          <w:u w:val="single"/>
          <w14:textFill>
            <w14:solidFill>
              <w14:schemeClr w14:val="tx1"/>
            </w14:solidFill>
          </w14:textFill>
        </w:rPr>
        <w:t>7个工作日</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内进行货物再验收。</w:t>
      </w:r>
    </w:p>
    <w:p w14:paraId="661B3D99">
      <w:pPr>
        <w:spacing w:line="360" w:lineRule="auto"/>
        <w:ind w:firstLine="482"/>
        <w:rPr>
          <w:rFonts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第七条　付款方式</w:t>
      </w:r>
    </w:p>
    <w:p w14:paraId="33D33D14">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1. 当采购数量与实际使用数量不一致时，乙方应根据实际使用量供货，合同的最终结算金额按实际使用量乘以中标单价进行计算。</w:t>
      </w:r>
    </w:p>
    <w:p w14:paraId="21446FA3">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2. 资金性质：</w:t>
      </w:r>
      <w:r>
        <w:rPr>
          <w:rFonts w:hint="eastAsia" w:asciiTheme="minorEastAsia" w:hAnsiTheme="minorEastAsia" w:eastAsiaTheme="minorEastAsia" w:cstheme="minorEastAsia"/>
          <w:color w:val="000000" w:themeColor="text1"/>
          <w:sz w:val="24"/>
          <w:highlight w:val="none"/>
          <w:u w:val="single"/>
          <w14:textFill>
            <w14:solidFill>
              <w14:schemeClr w14:val="tx1"/>
            </w14:solidFill>
          </w14:textFill>
        </w:rPr>
        <w:t xml:space="preserve">财政性资金  </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w:t>
      </w:r>
    </w:p>
    <w:p w14:paraId="42324C40">
      <w:pPr>
        <w:ind w:firstLine="480"/>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3.付款方式：</w:t>
      </w:r>
    </w:p>
    <w:p w14:paraId="4DD683CA">
      <w:pPr>
        <w:ind w:firstLine="480"/>
        <w:rPr>
          <w:rFonts w:hint="eastAsia" w:asciiTheme="minorEastAsia" w:hAnsiTheme="minorEastAsia" w:eastAsiaTheme="minorEastAsia" w:cs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val="en-US" w:eastAsia="zh-CN"/>
          <w14:textFill>
            <w14:solidFill>
              <w14:schemeClr w14:val="tx1"/>
            </w14:solidFill>
          </w14:textFill>
        </w:rPr>
        <w:t>1分标：合同签订后，无预付款。货物安装交付验收合格后两年内支付设备款。</w:t>
      </w:r>
    </w:p>
    <w:p w14:paraId="49A3A512">
      <w:pPr>
        <w:ind w:firstLine="480"/>
        <w:rPr>
          <w:rFonts w:hint="eastAsia" w:asciiTheme="minorEastAsia" w:hAnsiTheme="minorEastAsia" w:eastAsiaTheme="minorEastAsia" w:cstheme="minorEastAsia"/>
          <w:color w:val="000000" w:themeColor="text1"/>
          <w:sz w:val="24"/>
          <w:highlight w:val="none"/>
          <w:lang w:val="en-US" w:eastAsia="zh-CN"/>
          <w14:textFill>
            <w14:solidFill>
              <w14:schemeClr w14:val="tx1"/>
            </w14:solidFill>
          </w14:textFill>
        </w:rPr>
      </w:pPr>
    </w:p>
    <w:p w14:paraId="11D1057C">
      <w:pPr>
        <w:ind w:firstLine="480"/>
        <w:rPr>
          <w:rFonts w:hint="eastAsia" w:asciiTheme="minorEastAsia" w:hAnsiTheme="minorEastAsia" w:eastAsiaTheme="minorEastAsia" w:cs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val="en-US" w:eastAsia="zh-CN"/>
          <w14:textFill>
            <w14:solidFill>
              <w14:schemeClr w14:val="tx1"/>
            </w14:solidFill>
          </w14:textFill>
        </w:rPr>
        <w:t>2分标：合同签订后，无预付款。货物安装交付验收合格后两年内支付设备款。</w:t>
      </w:r>
    </w:p>
    <w:p w14:paraId="526E4DE8">
      <w:pPr>
        <w:ind w:firstLine="480"/>
        <w:rPr>
          <w:rFonts w:hint="default" w:asciiTheme="minorEastAsia" w:hAnsiTheme="minorEastAsia" w:eastAsiaTheme="minorEastAsia" w:cs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val="en-US" w:eastAsia="zh-CN"/>
          <w14:textFill>
            <w14:solidFill>
              <w14:schemeClr w14:val="tx1"/>
            </w14:solidFill>
          </w14:textFill>
        </w:rPr>
        <w:t>3分标：合同签订后，无预付款。货物安装交付验收合格后三年内支付设备款。</w:t>
      </w:r>
    </w:p>
    <w:p w14:paraId="73919C99">
      <w:pPr>
        <w:spacing w:line="400" w:lineRule="exact"/>
        <w:ind w:firstLine="240"/>
        <w:rPr>
          <w:rFonts w:asciiTheme="minorEastAsia" w:hAnsiTheme="minorEastAsia" w:eastAsiaTheme="minorEastAsia" w:cs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4"/>
          <w:highlight w:val="none"/>
          <w14:textFill>
            <w14:solidFill>
              <w14:schemeClr w14:val="tx1"/>
            </w14:solidFill>
          </w14:textFill>
        </w:rPr>
        <w:t>第八条　履约保证金</w:t>
      </w:r>
    </w:p>
    <w:p w14:paraId="242EF7DC">
      <w:pPr>
        <w:spacing w:line="400" w:lineRule="exact"/>
        <w:ind w:firstLine="484"/>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本项目不收取履约保证金</w:t>
      </w:r>
    </w:p>
    <w:p w14:paraId="1F269AB1">
      <w:pPr>
        <w:spacing w:line="400" w:lineRule="exact"/>
        <w:ind w:firstLine="487"/>
        <w:rPr>
          <w:rFonts w:asciiTheme="minorEastAsia" w:hAnsiTheme="minorEastAsia" w:eastAsiaTheme="minorEastAsia" w:cs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highlight w:val="none"/>
          <w14:textFill>
            <w14:solidFill>
              <w14:schemeClr w14:val="tx1"/>
            </w14:solidFill>
          </w14:textFill>
        </w:rPr>
        <w:t>第九条  税费</w:t>
      </w:r>
    </w:p>
    <w:p w14:paraId="5186BCCB">
      <w:pPr>
        <w:spacing w:line="400" w:lineRule="exact"/>
        <w:ind w:left="-61" w:firstLine="514"/>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本合同执行中相关的一切税费均由乙方负担，合同另有约定的除外。</w:t>
      </w:r>
    </w:p>
    <w:p w14:paraId="5DF8C492">
      <w:pPr>
        <w:spacing w:line="400" w:lineRule="exact"/>
        <w:ind w:left="-61" w:firstLine="514"/>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highlight w:val="none"/>
          <w14:textFill>
            <w14:solidFill>
              <w14:schemeClr w14:val="tx1"/>
            </w14:solidFill>
          </w14:textFill>
        </w:rPr>
        <w:t>第十条  质量保证及售后服务</w:t>
      </w:r>
    </w:p>
    <w:p w14:paraId="4E3319DC">
      <w:pPr>
        <w:spacing w:line="40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highlight w:val="none"/>
          <w14:textFill>
            <w14:solidFill>
              <w14:schemeClr w14:val="tx1"/>
            </w14:solidFill>
          </w14:textFill>
        </w:rPr>
        <w:t>1.</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乙方应按公开招标文件规定的产品名称、商标品牌、生产厂家、规格型号、技术参数、质量标准向甲方提供未经使用的全新产品。不符合要求的，根据实际情况，经双方协商，可按以下办法处理：</w:t>
      </w:r>
    </w:p>
    <w:p w14:paraId="48E8D930">
      <w:pPr>
        <w:spacing w:line="40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⑴更换：由乙方承担所发生的全部费用。</w:t>
      </w:r>
    </w:p>
    <w:p w14:paraId="3401ACF8">
      <w:pPr>
        <w:spacing w:line="400" w:lineRule="exact"/>
        <w:ind w:firstLine="42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⑵贬值处理：由甲乙双方合议定价。</w:t>
      </w:r>
    </w:p>
    <w:p w14:paraId="00E89698">
      <w:pPr>
        <w:spacing w:line="400" w:lineRule="exact"/>
        <w:ind w:firstLine="42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⑶退货处理：乙方应退还甲方支付的合同款，同时应承担该货物的直接费用（运输、保险、检验、货款利息及银行手续费等）。</w:t>
      </w:r>
    </w:p>
    <w:p w14:paraId="0669DD17">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 xml:space="preserve"> 2.乙方应按照国家有关法律法规和“三包”规定以及招标文件、投标文件和本合同所附的《售后服务承诺书》，为甲方提供售后服务。</w:t>
      </w:r>
    </w:p>
    <w:p w14:paraId="1D47E6BA">
      <w:pPr>
        <w:spacing w:line="460" w:lineRule="exact"/>
        <w:ind w:firstLine="60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3.产品质量保证期应当包括但不限于：货物验收合格之日起</w:t>
      </w:r>
      <w:r>
        <w:rPr>
          <w:rFonts w:hint="eastAsia" w:asciiTheme="minorEastAsia" w:hAnsiTheme="minorEastAsia" w:eastAsiaTheme="minorEastAsia" w:cstheme="minorEastAsia"/>
          <w:color w:val="000000" w:themeColor="text1"/>
          <w:sz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个月。质保期内，乙方对其提供的设备进行上门维修、更换零部件，不收取额外费用。质保期后五年内有足够的备品备件，并提供终身维修及保养，维修时只收部件成本费。</w:t>
      </w:r>
    </w:p>
    <w:p w14:paraId="5B081F74">
      <w:pPr>
        <w:spacing w:line="460" w:lineRule="exact"/>
        <w:ind w:firstLine="60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4.质保期内乙方应提供5*8小时远程桌面及7*24小时电话技术支持。如在使用过程中发生质量问题，乙方在接到甲方通知后立即响应，并在24小时内到达甲方现场维修，对货物出现的质量及安全问题负责处理解决并承担一切费用。如果需要更换配件的，要求更换的配件应跟被更换的品牌、类型相一致或者是同类同档次的替代品，乙方需征得甲方管理人员同意。</w:t>
      </w:r>
    </w:p>
    <w:p w14:paraId="6175DF58">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5.设备质保期内一周如出现3次</w:t>
      </w:r>
      <w:r>
        <w:rPr>
          <w:rFonts w:hint="eastAsia" w:asciiTheme="minorEastAsia" w:hAnsiTheme="minorEastAsia" w:eastAsiaTheme="minorEastAsia" w:cstheme="minorEastAsia"/>
          <w:color w:val="000000" w:themeColor="text1"/>
          <w:sz w:val="24"/>
          <w:highlight w:val="none"/>
          <w:lang w:val="en-US" w:eastAsia="zh-CN"/>
          <w14:textFill>
            <w14:solidFill>
              <w14:schemeClr w14:val="tx1"/>
            </w14:solidFill>
          </w14:textFill>
        </w:rPr>
        <w:t>及</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以上停机或设备故障的，甲方有权要求乙方退货或更换机器，所产生费用由乙方承担。</w:t>
      </w:r>
    </w:p>
    <w:p w14:paraId="48521823">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6.当设备有重大级别提升时，乙方为设备进行软件升级。</w:t>
      </w:r>
    </w:p>
    <w:p w14:paraId="63515F5F">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7.乙方应派工程技术人员一年</w:t>
      </w:r>
      <w:r>
        <w:rPr>
          <w:rFonts w:hint="eastAsia" w:asciiTheme="minorEastAsia" w:hAnsiTheme="minorEastAsia" w:eastAsiaTheme="minorEastAsia" w:cstheme="minorEastAsia"/>
          <w:color w:val="000000" w:themeColor="text1"/>
          <w:sz w:val="24"/>
          <w:highlight w:val="none"/>
          <w:lang w:val="en-US" w:eastAsia="zh-CN"/>
          <w14:textFill>
            <w14:solidFill>
              <w14:schemeClr w14:val="tx1"/>
            </w14:solidFill>
          </w14:textFill>
        </w:rPr>
        <w:t>至少</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两次定期对设备进行维护保养。</w:t>
      </w:r>
    </w:p>
    <w:p w14:paraId="37E79B22">
      <w:pPr>
        <w:spacing w:line="460" w:lineRule="exact"/>
        <w:ind w:firstLine="482"/>
        <w:rPr>
          <w:rFonts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第十一条　违约责任</w:t>
      </w:r>
    </w:p>
    <w:p w14:paraId="232A6E30">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1. 乙方所提供的货物规格、技术标准、材料等质量不合格的，应及时更换，更换不及时的按逾期交货处罚；因质量问题甲方不同意接收的或特殊情况甲方不同意接收的，乙方应向甲方支付违约货款额5%违约金并赔偿甲方经济损失。</w:t>
      </w:r>
    </w:p>
    <w:p w14:paraId="3682DA71">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2. 乙方提供的货物如侵犯了第三方合法权益而引发的任何纠纷或诉讼，均由乙方负责交涉并承担全部责任。</w:t>
      </w:r>
    </w:p>
    <w:p w14:paraId="488EE6ED">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3. 因包装、运输引起的货物损坏，按质量不合格处罚。</w:t>
      </w:r>
    </w:p>
    <w:p w14:paraId="2CFCD6E2">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4. 甲方无故延期接收货物、乙方逾期交货的，每天向对方偿付违约货款额3‰违约金，超过</w:t>
      </w:r>
      <w:r>
        <w:rPr>
          <w:rFonts w:hint="eastAsia" w:asciiTheme="minorEastAsia" w:hAnsiTheme="minorEastAsia" w:eastAsiaTheme="minorEastAsia" w:cstheme="minorEastAsia"/>
          <w:color w:val="000000" w:themeColor="text1"/>
          <w:sz w:val="24"/>
          <w:highlight w:val="none"/>
          <w:u w:val="single"/>
          <w14:textFill>
            <w14:solidFill>
              <w14:schemeClr w14:val="tx1"/>
            </w14:solidFill>
          </w14:textFill>
        </w:rPr>
        <w:t xml:space="preserve"> 30 </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天对方有权依法解除合同，违约方承担因此给对方造成经济损失。</w:t>
      </w:r>
    </w:p>
    <w:p w14:paraId="7AA5AD79">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5. 乙方未按本合同和投标文件中规定的服务承诺提供服务的，乙方应按本合同合计金额10%向甲方支付违约金，甲方有权依法解除合同。</w:t>
      </w:r>
    </w:p>
    <w:p w14:paraId="08C799BC">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6. 乙方提供的货物在质量保证期内，因设计、工艺或材料的缺陷和其它质量原因造成的问题，由乙方负责。</w:t>
      </w:r>
    </w:p>
    <w:p w14:paraId="3E9CD039">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7. 其它违约行为按违约货款额10%收取违约金。</w:t>
      </w:r>
    </w:p>
    <w:p w14:paraId="3DEF6C12">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8. 乙方支付的违约金不足以弥补甲方损失的，还应承担赔偿责任。</w:t>
      </w:r>
    </w:p>
    <w:p w14:paraId="2CF2F4FC">
      <w:pPr>
        <w:spacing w:line="460" w:lineRule="exact"/>
        <w:ind w:firstLine="482"/>
        <w:rPr>
          <w:rFonts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第十二条  不可抗力事件处理</w:t>
      </w:r>
    </w:p>
    <w:p w14:paraId="5E5158CD">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1. 在合同有效期内，任何一方因不可抗力事件导致不能履行合同，则合同履行期可延长，其延长期与不可抗力影响期相同。</w:t>
      </w:r>
    </w:p>
    <w:p w14:paraId="3BB1B3E9">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2. 不可抗力事件发生后，应立即通知对方，并寄送有关权威机构出具的证明。</w:t>
      </w:r>
    </w:p>
    <w:p w14:paraId="06B0D1FA">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3. 不可抗力事件延续一百二十天以上，双方应通过友好协商，确定是否继续履行合同。</w:t>
      </w:r>
    </w:p>
    <w:p w14:paraId="1931E848">
      <w:pPr>
        <w:spacing w:line="460" w:lineRule="exact"/>
        <w:ind w:firstLine="482"/>
        <w:rPr>
          <w:rFonts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第十三条  合同争议解决</w:t>
      </w:r>
    </w:p>
    <w:p w14:paraId="2021FD00">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1. 因货物质量问题发生争议的，应邀请国家认可的质量检测机构对货物质量进行鉴定。货物符合标准的，鉴定费由甲方承担；货物不符合标准的，鉴定费由乙方承担。</w:t>
      </w:r>
    </w:p>
    <w:p w14:paraId="1D3338A3">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2. 因履行本合同引起的或与本合同有关的争议，双方从下列两种方式中选择第</w:t>
      </w:r>
      <w:r>
        <w:rPr>
          <w:rFonts w:hint="eastAsia" w:asciiTheme="minorEastAsia" w:hAnsiTheme="minorEastAsia" w:eastAsiaTheme="minorEastAsia" w:cstheme="minorEastAsia"/>
          <w:color w:val="000000" w:themeColor="text1"/>
          <w:sz w:val="24"/>
          <w:highlight w:val="none"/>
          <w:u w:val="single"/>
          <w14:textFill>
            <w14:solidFill>
              <w14:schemeClr w14:val="tx1"/>
            </w14:solidFill>
          </w14:textFill>
        </w:rPr>
        <w:t xml:space="preserve"> ⑵ </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种方式，作为本合同争议的解决方式。</w:t>
      </w:r>
    </w:p>
    <w:p w14:paraId="3328E84D">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⑴甲乙双方应首先通过友好协商解决，如果协商不能解决，可向甲方所在地钦州仲裁委员会申请仲裁。仲裁期间，本合同继续履行。</w:t>
      </w:r>
    </w:p>
    <w:p w14:paraId="670FFCA1">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⑵甲乙双方应首先通过友好协商解决，如果协商不能解决，双方均可向甲方所在地人民法院提起诉讼。诉讼期间，本合同继续履行。</w:t>
      </w:r>
    </w:p>
    <w:p w14:paraId="57F8EF00">
      <w:pPr>
        <w:spacing w:line="460" w:lineRule="exact"/>
        <w:ind w:firstLine="482"/>
        <w:rPr>
          <w:rFonts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第十四条  合同的变更、终止与转让</w:t>
      </w:r>
    </w:p>
    <w:p w14:paraId="287C08EE">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1. 除《中华人民共和国政府采购法》第五十条规定的情形外，本合同一经签订，甲乙双方不得擅自变更、中止或终止。</w:t>
      </w:r>
    </w:p>
    <w:p w14:paraId="5CB74370">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2. 乙方不得擅自转让（无进口资格的供应商委托进口货物除外）其应履行的合同义务。</w:t>
      </w:r>
    </w:p>
    <w:p w14:paraId="38205CCD">
      <w:pPr>
        <w:spacing w:line="400" w:lineRule="exact"/>
        <w:ind w:firstLine="482"/>
        <w:rPr>
          <w:rFonts w:asciiTheme="minorEastAsia" w:hAnsiTheme="minorEastAsia" w:eastAsiaTheme="minorEastAsia" w:cs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第十五条　本合同书与下列文件一起构成合同文件</w:t>
      </w:r>
    </w:p>
    <w:p w14:paraId="51E3C511">
      <w:pPr>
        <w:spacing w:line="400" w:lineRule="exact"/>
        <w:ind w:left="42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1.中标通知书</w:t>
      </w:r>
    </w:p>
    <w:p w14:paraId="22002CE2">
      <w:pPr>
        <w:spacing w:line="400" w:lineRule="exact"/>
        <w:ind w:left="42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2.投标声明</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ab/>
      </w:r>
    </w:p>
    <w:p w14:paraId="46DA2A05">
      <w:pPr>
        <w:spacing w:line="400" w:lineRule="exact"/>
        <w:ind w:left="42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3.商务条款偏离表和技术需求偏离表</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ab/>
      </w:r>
    </w:p>
    <w:p w14:paraId="18EC0768">
      <w:pPr>
        <w:spacing w:line="400" w:lineRule="exact"/>
        <w:ind w:left="42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4.采购需求</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ab/>
      </w:r>
    </w:p>
    <w:p w14:paraId="59F5776F">
      <w:pPr>
        <w:spacing w:line="400" w:lineRule="exact"/>
        <w:ind w:left="42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5.投标报价表</w:t>
      </w:r>
    </w:p>
    <w:p w14:paraId="684F96E6">
      <w:pPr>
        <w:spacing w:line="400" w:lineRule="exact"/>
        <w:ind w:left="42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6.其他承诺书等合同文件</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ab/>
      </w:r>
    </w:p>
    <w:p w14:paraId="7D768DDB">
      <w:pPr>
        <w:spacing w:line="400" w:lineRule="exact"/>
        <w:ind w:firstLine="360"/>
        <w:rPr>
          <w:rFonts w:asciiTheme="minorEastAsia" w:hAnsiTheme="minorEastAsia" w:eastAsiaTheme="minorEastAsia" w:cs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7.上述合同文件互相补充和解释。如果合同文件之间存在矛盾或不一致之处，以有利于甲方的排列顺序在先者为准。</w:t>
      </w:r>
    </w:p>
    <w:p w14:paraId="4251574A">
      <w:pPr>
        <w:spacing w:line="460" w:lineRule="exact"/>
        <w:ind w:firstLine="482"/>
        <w:rPr>
          <w:rFonts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第十六条　合同生效及其它</w:t>
      </w:r>
    </w:p>
    <w:p w14:paraId="64AD37A1">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1.本合同经双方法定代表人或授权代表（委托代理人）签字并加盖单位公章后生效。</w:t>
      </w:r>
    </w:p>
    <w:p w14:paraId="673B05DE">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2.合同正本一式柒份，甲方执肆份，乙方执贰份，采购代理机构执壹份，具有同等法律效力。自签订之日起两个工作日内，采购代理机构应当将合同副本报广西政采云平台备案。</w:t>
      </w:r>
    </w:p>
    <w:p w14:paraId="7C397940">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3.合同执行中涉及采购资金和采购内容修改或补充的，须经同级政府采购监督管理办公室审批，并签</w:t>
      </w:r>
      <w:r>
        <w:rPr>
          <w:rFonts w:hint="eastAsia" w:asciiTheme="minorEastAsia" w:hAnsiTheme="minorEastAsia" w:cstheme="minorEastAsia"/>
          <w:color w:val="000000" w:themeColor="text1"/>
          <w:sz w:val="24"/>
          <w:highlight w:val="none"/>
          <w14:textFill>
            <w14:solidFill>
              <w14:schemeClr w14:val="tx1"/>
            </w14:solidFill>
          </w14:textFill>
        </w:rPr>
        <w:t>订</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书面补充协议报同级政府采购监督管理办公室备案，方可作为主合同不可分割的一部分。</w:t>
      </w:r>
    </w:p>
    <w:p w14:paraId="24299C19">
      <w:pPr>
        <w:spacing w:line="460" w:lineRule="exact"/>
        <w:ind w:firstLine="480"/>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4.本合同未尽事宜，遵照《中华人民共和国民法典》有关条文执行。</w:t>
      </w:r>
    </w:p>
    <w:p w14:paraId="7401F0E2">
      <w:pPr>
        <w:spacing w:line="40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（以下无正文为签章页）</w:t>
      </w:r>
    </w:p>
    <w:p w14:paraId="08FDC715">
      <w:pPr>
        <w:spacing w:before="25" w:after="25"/>
        <w:jc w:val="left"/>
        <w:rPr>
          <w:rFonts w:asciiTheme="minorEastAsia" w:hAnsiTheme="minorEastAsia" w:eastAsiaTheme="minorEastAsia" w:cstheme="minorEastAsia"/>
          <w:bCs/>
          <w:color w:val="000000" w:themeColor="text1"/>
          <w:spacing w:val="10"/>
          <w:sz w:val="24"/>
          <w:highlight w:val="none"/>
          <w14:textFill>
            <w14:solidFill>
              <w14:schemeClr w14:val="tx1"/>
            </w14:solidFill>
          </w14:textFill>
        </w:rPr>
      </w:pPr>
    </w:p>
    <w:tbl>
      <w:tblPr>
        <w:tblStyle w:val="50"/>
        <w:tblW w:w="82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3"/>
        <w:gridCol w:w="4061"/>
      </w:tblGrid>
      <w:tr w14:paraId="5C2DF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trPr>
        <w:tc>
          <w:tcPr>
            <w:tcW w:w="4163" w:type="dxa"/>
            <w:noWrap w:val="0"/>
            <w:vAlign w:val="center"/>
          </w:tcPr>
          <w:p w14:paraId="4DC49BC5">
            <w:pPr>
              <w:spacing w:line="40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 xml:space="preserve">甲方（章）：           </w:t>
            </w:r>
          </w:p>
          <w:p w14:paraId="3148A4D5">
            <w:pPr>
              <w:spacing w:line="400" w:lineRule="exact"/>
              <w:rPr>
                <w:rFonts w:hint="default" w:asciiTheme="minorEastAsia" w:hAnsiTheme="minorEastAsia" w:eastAsiaTheme="minorEastAsia" w:cstheme="minorEastAsia"/>
                <w:color w:val="000000" w:themeColor="text1"/>
                <w:sz w:val="24"/>
                <w:highlight w:val="none"/>
                <w14:textFill>
                  <w14:solidFill>
                    <w14:schemeClr w14:val="tx1"/>
                  </w14:solidFill>
                </w14:textFill>
              </w:rPr>
            </w:pPr>
            <w:r>
              <w:rPr>
                <w:rFonts w:hint="default" w:asciiTheme="minorEastAsia" w:hAnsiTheme="minorEastAsia" w:eastAsiaTheme="minorEastAsia" w:cstheme="minorEastAsia"/>
                <w:color w:val="000000" w:themeColor="text1"/>
                <w:sz w:val="24"/>
                <w:highlight w:val="none"/>
                <w14:textFill>
                  <w14:solidFill>
                    <w14:schemeClr w14:val="tx1"/>
                  </w14:solidFill>
                </w14:textFill>
              </w:rPr>
              <w:t>钦州市钦南区人民医院</w:t>
            </w:r>
          </w:p>
          <w:p w14:paraId="799F5DAF">
            <w:pPr>
              <w:spacing w:line="40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p w14:paraId="7420632A">
            <w:pPr>
              <w:spacing w:line="400" w:lineRule="exact"/>
              <w:ind w:firstLine="1080"/>
              <w:jc w:val="right"/>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年   月   日</w:t>
            </w:r>
          </w:p>
        </w:tc>
        <w:tc>
          <w:tcPr>
            <w:tcW w:w="4061" w:type="dxa"/>
            <w:noWrap w:val="0"/>
            <w:vAlign w:val="center"/>
          </w:tcPr>
          <w:p w14:paraId="2D9D3369">
            <w:pPr>
              <w:spacing w:line="40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 xml:space="preserve">乙方（章）：              </w:t>
            </w:r>
          </w:p>
          <w:p w14:paraId="3E70472E">
            <w:pPr>
              <w:spacing w:line="40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p w14:paraId="337175D9">
            <w:pPr>
              <w:spacing w:line="40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p w14:paraId="7BFCA49F">
            <w:pPr>
              <w:spacing w:line="400" w:lineRule="exact"/>
              <w:jc w:val="right"/>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 xml:space="preserve"> 年   月   日</w:t>
            </w:r>
          </w:p>
        </w:tc>
      </w:tr>
      <w:tr w14:paraId="350F1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4163" w:type="dxa"/>
            <w:noWrap w:val="0"/>
            <w:vAlign w:val="center"/>
          </w:tcPr>
          <w:p w14:paraId="6777218E">
            <w:pPr>
              <w:spacing w:line="40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单位地址：</w:t>
            </w:r>
          </w:p>
        </w:tc>
        <w:tc>
          <w:tcPr>
            <w:tcW w:w="4061" w:type="dxa"/>
            <w:noWrap w:val="0"/>
            <w:vAlign w:val="center"/>
          </w:tcPr>
          <w:p w14:paraId="47B96122">
            <w:pPr>
              <w:spacing w:line="40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单位地址：</w:t>
            </w:r>
          </w:p>
        </w:tc>
      </w:tr>
      <w:tr w14:paraId="2DC48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4163" w:type="dxa"/>
            <w:noWrap w:val="0"/>
          </w:tcPr>
          <w:p w14:paraId="7DA6C85E">
            <w:pPr>
              <w:spacing w:line="40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法定代表人</w:t>
            </w:r>
          </w:p>
          <w:p w14:paraId="36C933AA">
            <w:pPr>
              <w:spacing w:line="40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或委托代理人：</w:t>
            </w:r>
          </w:p>
        </w:tc>
        <w:tc>
          <w:tcPr>
            <w:tcW w:w="4061" w:type="dxa"/>
            <w:noWrap w:val="0"/>
          </w:tcPr>
          <w:p w14:paraId="04CD8099">
            <w:pPr>
              <w:spacing w:line="40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法定代表人（负责人或自然人）</w:t>
            </w:r>
          </w:p>
          <w:p w14:paraId="6EA769A9">
            <w:pPr>
              <w:spacing w:line="40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或委托代理人：</w:t>
            </w:r>
          </w:p>
        </w:tc>
      </w:tr>
      <w:tr w14:paraId="4F2B7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4163" w:type="dxa"/>
            <w:noWrap w:val="0"/>
            <w:vAlign w:val="center"/>
          </w:tcPr>
          <w:p w14:paraId="2247E322">
            <w:pPr>
              <w:spacing w:line="40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电话：</w:t>
            </w:r>
          </w:p>
        </w:tc>
        <w:tc>
          <w:tcPr>
            <w:tcW w:w="4061" w:type="dxa"/>
            <w:noWrap w:val="0"/>
            <w:vAlign w:val="center"/>
          </w:tcPr>
          <w:p w14:paraId="2296361A">
            <w:pPr>
              <w:spacing w:line="40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电话：</w:t>
            </w:r>
          </w:p>
        </w:tc>
      </w:tr>
      <w:tr w14:paraId="1090E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4163" w:type="dxa"/>
            <w:noWrap w:val="0"/>
            <w:vAlign w:val="center"/>
          </w:tcPr>
          <w:p w14:paraId="2C1EB268">
            <w:pPr>
              <w:spacing w:line="40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开户银行：</w:t>
            </w:r>
          </w:p>
        </w:tc>
        <w:tc>
          <w:tcPr>
            <w:tcW w:w="4061" w:type="dxa"/>
            <w:noWrap w:val="0"/>
            <w:vAlign w:val="center"/>
          </w:tcPr>
          <w:p w14:paraId="0A58E0A2">
            <w:pPr>
              <w:spacing w:line="40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开户银行：</w:t>
            </w:r>
          </w:p>
        </w:tc>
      </w:tr>
      <w:tr w14:paraId="34591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4163" w:type="dxa"/>
            <w:noWrap w:val="0"/>
            <w:vAlign w:val="center"/>
          </w:tcPr>
          <w:p w14:paraId="09B530A5">
            <w:pPr>
              <w:spacing w:line="40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账号：</w:t>
            </w:r>
          </w:p>
        </w:tc>
        <w:tc>
          <w:tcPr>
            <w:tcW w:w="4061" w:type="dxa"/>
            <w:noWrap w:val="0"/>
            <w:vAlign w:val="center"/>
          </w:tcPr>
          <w:p w14:paraId="194EDAC7">
            <w:pPr>
              <w:spacing w:line="40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账号：</w:t>
            </w:r>
          </w:p>
        </w:tc>
      </w:tr>
      <w:tr w14:paraId="6E2AA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4163" w:type="dxa"/>
            <w:noWrap w:val="0"/>
            <w:vAlign w:val="center"/>
          </w:tcPr>
          <w:p w14:paraId="40C7A025">
            <w:pPr>
              <w:spacing w:line="40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邮政编码：</w:t>
            </w:r>
          </w:p>
        </w:tc>
        <w:tc>
          <w:tcPr>
            <w:tcW w:w="4061" w:type="dxa"/>
            <w:noWrap w:val="0"/>
            <w:vAlign w:val="center"/>
          </w:tcPr>
          <w:p w14:paraId="27EBD561">
            <w:pPr>
              <w:spacing w:line="40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邮政编码：</w:t>
            </w:r>
          </w:p>
        </w:tc>
      </w:tr>
      <w:tr w14:paraId="1D1EC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8" w:hRule="atLeast"/>
        </w:trPr>
        <w:tc>
          <w:tcPr>
            <w:tcW w:w="8224" w:type="dxa"/>
            <w:gridSpan w:val="2"/>
            <w:noWrap w:val="0"/>
          </w:tcPr>
          <w:p w14:paraId="2CC77423">
            <w:pPr>
              <w:spacing w:line="40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经办人：</w:t>
            </w:r>
          </w:p>
          <w:p w14:paraId="0406C3C3">
            <w:pPr>
              <w:spacing w:line="40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p w14:paraId="3A5B4D32">
            <w:pPr>
              <w:spacing w:line="400" w:lineRule="exact"/>
              <w:ind w:firstLine="720"/>
              <w:jc w:val="right"/>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年    月    日</w:t>
            </w:r>
          </w:p>
        </w:tc>
      </w:tr>
    </w:tbl>
    <w:p w14:paraId="258312AC">
      <w:pPr>
        <w:ind w:left="480" w:hanging="480"/>
        <w:rPr>
          <w:rFonts w:asciiTheme="minorEastAsia" w:hAnsiTheme="minorEastAsia" w:eastAsiaTheme="minorEastAsia" w:cstheme="minorEastAsia"/>
          <w:color w:val="000000" w:themeColor="text1"/>
          <w:sz w:val="24"/>
          <w:highlight w:val="none"/>
          <w14:textFill>
            <w14:solidFill>
              <w14:schemeClr w14:val="tx1"/>
            </w14:solidFill>
          </w14:textFill>
        </w:rPr>
      </w:pPr>
    </w:p>
    <w:p w14:paraId="28A87FCF">
      <w:pPr>
        <w:widowControl/>
        <w:jc w:val="left"/>
        <w:rPr>
          <w:rFonts w:asciiTheme="minorEastAsia" w:hAnsiTheme="minorEastAsia" w:eastAsiaTheme="minorEastAsia" w:cstheme="minorEastAsia"/>
          <w:bCs/>
          <w:color w:val="000000" w:themeColor="text1"/>
          <w:spacing w:val="10"/>
          <w:sz w:val="24"/>
          <w:highlight w:val="none"/>
          <w14:textFill>
            <w14:solidFill>
              <w14:schemeClr w14:val="tx1"/>
            </w14:solidFill>
          </w14:textFill>
        </w:rPr>
      </w:pPr>
    </w:p>
    <w:p w14:paraId="77823A24">
      <w:pPr>
        <w:spacing w:line="360" w:lineRule="auto"/>
        <w:rPr>
          <w:rFonts w:asciiTheme="minorEastAsia" w:hAnsiTheme="minorEastAsia" w:eastAsiaTheme="minorEastAsia" w:cstheme="minorEastAsia"/>
          <w:color w:val="000000" w:themeColor="text1"/>
          <w:sz w:val="24"/>
          <w:highlight w:val="none"/>
          <w14:textFill>
            <w14:solidFill>
              <w14:schemeClr w14:val="tx1"/>
            </w14:solidFill>
          </w14:textFill>
        </w:rPr>
      </w:pPr>
    </w:p>
    <w:p w14:paraId="09D1D04D">
      <w:pPr>
        <w:spacing w:line="360" w:lineRule="auto"/>
        <w:rPr>
          <w:rFonts w:asciiTheme="minorEastAsia" w:hAnsiTheme="minorEastAsia" w:eastAsiaTheme="minorEastAsia" w:cstheme="minorEastAsia"/>
          <w:color w:val="000000" w:themeColor="text1"/>
          <w:sz w:val="24"/>
          <w:highlight w:val="none"/>
          <w14:textFill>
            <w14:solidFill>
              <w14:schemeClr w14:val="tx1"/>
            </w14:solidFill>
          </w14:textFill>
        </w:rPr>
      </w:pPr>
    </w:p>
    <w:p w14:paraId="44F15FC8">
      <w:pPr>
        <w:rPr>
          <w:rFonts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br w:type="page" w:clear="all"/>
      </w:r>
    </w:p>
    <w:p w14:paraId="77AC2682">
      <w:pPr>
        <w:jc w:val="center"/>
        <w:rPr>
          <w:rFonts w:ascii="仿宋" w:hAnsi="仿宋" w:eastAsia="仿宋" w:cs="仿宋"/>
          <w:b/>
          <w:bCs/>
          <w:color w:val="000000" w:themeColor="text1"/>
          <w:sz w:val="24"/>
          <w:highlight w:val="none"/>
          <w14:textFill>
            <w14:solidFill>
              <w14:schemeClr w14:val="tx1"/>
            </w14:solidFill>
          </w14:textFill>
        </w:rPr>
      </w:pPr>
    </w:p>
    <w:p w14:paraId="35E7015A">
      <w:pPr>
        <w:pStyle w:val="19"/>
        <w:jc w:val="center"/>
        <w:rPr>
          <w:rFonts w:ascii="宋体" w:hAnsi="宋体" w:cs="宋体"/>
          <w:b/>
          <w:bCs/>
          <w:color w:val="000000" w:themeColor="text1"/>
          <w:spacing w:val="-20"/>
          <w:sz w:val="48"/>
          <w:szCs w:val="48"/>
          <w:highlight w:val="none"/>
          <w14:textFill>
            <w14:solidFill>
              <w14:schemeClr w14:val="tx1"/>
            </w14:solidFill>
          </w14:textFill>
        </w:rPr>
      </w:pPr>
    </w:p>
    <w:p w14:paraId="0FF29740">
      <w:pPr>
        <w:pStyle w:val="19"/>
        <w:jc w:val="center"/>
        <w:rPr>
          <w:rFonts w:ascii="宋体" w:hAnsi="宋体" w:cs="宋体"/>
          <w:b/>
          <w:bCs/>
          <w:color w:val="000000" w:themeColor="text1"/>
          <w:spacing w:val="-20"/>
          <w:sz w:val="48"/>
          <w:szCs w:val="48"/>
          <w:highlight w:val="none"/>
          <w14:textFill>
            <w14:solidFill>
              <w14:schemeClr w14:val="tx1"/>
            </w14:solidFill>
          </w14:textFill>
        </w:rPr>
      </w:pPr>
    </w:p>
    <w:p w14:paraId="0F66DE45">
      <w:pPr>
        <w:pStyle w:val="19"/>
        <w:jc w:val="center"/>
        <w:rPr>
          <w:rFonts w:ascii="宋体" w:hAnsi="宋体" w:cs="宋体"/>
          <w:b/>
          <w:bCs/>
          <w:color w:val="000000" w:themeColor="text1"/>
          <w:spacing w:val="-20"/>
          <w:sz w:val="48"/>
          <w:szCs w:val="48"/>
          <w:highlight w:val="none"/>
          <w14:textFill>
            <w14:solidFill>
              <w14:schemeClr w14:val="tx1"/>
            </w14:solidFill>
          </w14:textFill>
        </w:rPr>
      </w:pPr>
    </w:p>
    <w:p w14:paraId="74E5A397">
      <w:pPr>
        <w:jc w:val="center"/>
        <w:rPr>
          <w:rFonts w:ascii="宋体" w:hAnsi="宋体"/>
          <w:bCs/>
          <w:color w:val="000000" w:themeColor="text1"/>
          <w:sz w:val="32"/>
          <w:szCs w:val="32"/>
          <w:highlight w:val="none"/>
          <w14:textFill>
            <w14:solidFill>
              <w14:schemeClr w14:val="tx1"/>
            </w14:solidFill>
          </w14:textFill>
        </w:rPr>
      </w:pPr>
    </w:p>
    <w:p w14:paraId="76F06848">
      <w:pPr>
        <w:spacing w:line="480" w:lineRule="auto"/>
        <w:rPr>
          <w:rFonts w:ascii="宋体" w:hAnsi="宋体"/>
          <w:bCs/>
          <w:color w:val="000000" w:themeColor="text1"/>
          <w:sz w:val="32"/>
          <w:szCs w:val="32"/>
          <w:highlight w:val="none"/>
          <w14:textFill>
            <w14:solidFill>
              <w14:schemeClr w14:val="tx1"/>
            </w14:solidFill>
          </w14:textFill>
        </w:rPr>
      </w:pPr>
    </w:p>
    <w:p w14:paraId="7707ABFF">
      <w:pPr>
        <w:jc w:val="center"/>
        <w:rPr>
          <w:rFonts w:ascii="宋体" w:hAnsi="宋体"/>
          <w:bCs/>
          <w:color w:val="000000" w:themeColor="text1"/>
          <w:sz w:val="32"/>
          <w:szCs w:val="32"/>
          <w:highlight w:val="none"/>
          <w14:textFill>
            <w14:solidFill>
              <w14:schemeClr w14:val="tx1"/>
            </w14:solidFill>
          </w14:textFill>
        </w:rPr>
      </w:pPr>
    </w:p>
    <w:p w14:paraId="4ED18127">
      <w:pPr>
        <w:jc w:val="center"/>
        <w:rPr>
          <w:rFonts w:ascii="宋体" w:hAnsi="宋体"/>
          <w:bCs/>
          <w:color w:val="000000" w:themeColor="text1"/>
          <w:sz w:val="32"/>
          <w:szCs w:val="32"/>
          <w:highlight w:val="none"/>
          <w14:textFill>
            <w14:solidFill>
              <w14:schemeClr w14:val="tx1"/>
            </w14:solidFill>
          </w14:textFill>
        </w:rPr>
      </w:pPr>
    </w:p>
    <w:p w14:paraId="3B934F75">
      <w:pPr>
        <w:jc w:val="center"/>
        <w:rPr>
          <w:rFonts w:ascii="宋体" w:hAnsi="宋体"/>
          <w:bCs/>
          <w:color w:val="000000" w:themeColor="text1"/>
          <w:sz w:val="32"/>
          <w:szCs w:val="32"/>
          <w:highlight w:val="none"/>
          <w14:textFill>
            <w14:solidFill>
              <w14:schemeClr w14:val="tx1"/>
            </w14:solidFill>
          </w14:textFill>
        </w:rPr>
      </w:pPr>
    </w:p>
    <w:p w14:paraId="293D3900">
      <w:pPr>
        <w:jc w:val="center"/>
        <w:rPr>
          <w:rFonts w:ascii="宋体" w:hAnsi="宋体"/>
          <w:bCs/>
          <w:color w:val="000000" w:themeColor="text1"/>
          <w:sz w:val="32"/>
          <w:szCs w:val="32"/>
          <w:highlight w:val="none"/>
          <w14:textFill>
            <w14:solidFill>
              <w14:schemeClr w14:val="tx1"/>
            </w14:solidFill>
          </w14:textFill>
        </w:rPr>
      </w:pPr>
    </w:p>
    <w:p w14:paraId="2F9DA70E">
      <w:pPr>
        <w:jc w:val="center"/>
        <w:rPr>
          <w:rFonts w:ascii="宋体" w:hAnsi="宋体"/>
          <w:bCs/>
          <w:color w:val="000000" w:themeColor="text1"/>
          <w:sz w:val="32"/>
          <w:szCs w:val="32"/>
          <w:highlight w:val="none"/>
          <w14:textFill>
            <w14:solidFill>
              <w14:schemeClr w14:val="tx1"/>
            </w14:solidFill>
          </w14:textFill>
        </w:rPr>
      </w:pPr>
    </w:p>
    <w:p w14:paraId="7A9BD903">
      <w:pPr>
        <w:jc w:val="center"/>
        <w:rPr>
          <w:rFonts w:ascii="宋体" w:hAnsi="宋体"/>
          <w:bCs/>
          <w:color w:val="000000" w:themeColor="text1"/>
          <w:sz w:val="32"/>
          <w:szCs w:val="32"/>
          <w:highlight w:val="none"/>
          <w14:textFill>
            <w14:solidFill>
              <w14:schemeClr w14:val="tx1"/>
            </w14:solidFill>
          </w14:textFill>
        </w:rPr>
      </w:pPr>
    </w:p>
    <w:p w14:paraId="44DD01FC">
      <w:pPr>
        <w:jc w:val="center"/>
        <w:rPr>
          <w:rFonts w:ascii="宋体" w:hAnsi="宋体"/>
          <w:bCs/>
          <w:color w:val="000000" w:themeColor="text1"/>
          <w:sz w:val="32"/>
          <w:szCs w:val="32"/>
          <w:highlight w:val="none"/>
          <w14:textFill>
            <w14:solidFill>
              <w14:schemeClr w14:val="tx1"/>
            </w14:solidFill>
          </w14:textFill>
        </w:rPr>
      </w:pPr>
    </w:p>
    <w:p w14:paraId="2A4D2488">
      <w:pPr>
        <w:jc w:val="center"/>
        <w:rPr>
          <w:rFonts w:ascii="宋体" w:hAnsi="宋体"/>
          <w:bCs/>
          <w:color w:val="000000" w:themeColor="text1"/>
          <w:sz w:val="32"/>
          <w:szCs w:val="32"/>
          <w:highlight w:val="none"/>
          <w14:textFill>
            <w14:solidFill>
              <w14:schemeClr w14:val="tx1"/>
            </w14:solidFill>
          </w14:textFill>
        </w:rPr>
      </w:pPr>
    </w:p>
    <w:p w14:paraId="67B109B1">
      <w:pPr>
        <w:jc w:val="center"/>
        <w:rPr>
          <w:rFonts w:ascii="宋体" w:hAnsi="宋体"/>
          <w:bCs/>
          <w:color w:val="000000" w:themeColor="text1"/>
          <w:sz w:val="32"/>
          <w:szCs w:val="32"/>
          <w:highlight w:val="none"/>
          <w14:textFill>
            <w14:solidFill>
              <w14:schemeClr w14:val="tx1"/>
            </w14:solidFill>
          </w14:textFill>
        </w:rPr>
      </w:pPr>
    </w:p>
    <w:p w14:paraId="7BCE06DE">
      <w:pPr>
        <w:jc w:val="center"/>
        <w:rPr>
          <w:rFonts w:ascii="宋体" w:hAnsi="宋体"/>
          <w:bCs/>
          <w:color w:val="000000" w:themeColor="text1"/>
          <w:sz w:val="32"/>
          <w:szCs w:val="32"/>
          <w:highlight w:val="none"/>
          <w14:textFill>
            <w14:solidFill>
              <w14:schemeClr w14:val="tx1"/>
            </w14:solidFill>
          </w14:textFill>
        </w:rPr>
      </w:pPr>
    </w:p>
    <w:p w14:paraId="6FCE8633">
      <w:pPr>
        <w:jc w:val="center"/>
        <w:rPr>
          <w:rFonts w:ascii="宋体" w:hAnsi="宋体"/>
          <w:bCs/>
          <w:color w:val="000000" w:themeColor="text1"/>
          <w:sz w:val="32"/>
          <w:szCs w:val="32"/>
          <w:highlight w:val="none"/>
          <w14:textFill>
            <w14:solidFill>
              <w14:schemeClr w14:val="tx1"/>
            </w14:solidFill>
          </w14:textFill>
        </w:rPr>
      </w:pPr>
    </w:p>
    <w:p w14:paraId="6832299E">
      <w:pPr>
        <w:pStyle w:val="2"/>
        <w:jc w:val="center"/>
        <w:rPr>
          <w:color w:val="000000" w:themeColor="text1"/>
          <w:highlight w:val="none"/>
          <w14:textFill>
            <w14:solidFill>
              <w14:schemeClr w14:val="tx1"/>
            </w14:solidFill>
          </w14:textFill>
        </w:rPr>
      </w:pPr>
      <w:bookmarkStart w:id="7" w:name="_Toc17283"/>
      <w:r>
        <w:rPr>
          <w:rFonts w:hint="eastAsia"/>
          <w:color w:val="000000" w:themeColor="text1"/>
          <w:highlight w:val="none"/>
          <w14:textFill>
            <w14:solidFill>
              <w14:schemeClr w14:val="tx1"/>
            </w14:solidFill>
          </w14:textFill>
        </w:rPr>
        <w:t>第六章　投标文件格式</w:t>
      </w:r>
      <w:bookmarkEnd w:id="7"/>
    </w:p>
    <w:p w14:paraId="65506C05">
      <w:pPr>
        <w:spacing w:before="50" w:after="50"/>
        <w:outlineLvl w:val="1"/>
        <w:rPr>
          <w:rFonts w:ascii="宋体" w:hAnsi="宋体"/>
          <w:color w:val="000000" w:themeColor="text1"/>
          <w:sz w:val="32"/>
          <w:szCs w:val="20"/>
          <w:highlight w:val="none"/>
          <w14:textFill>
            <w14:solidFill>
              <w14:schemeClr w14:val="tx1"/>
            </w14:solidFill>
          </w14:textFill>
        </w:rPr>
      </w:pPr>
    </w:p>
    <w:p w14:paraId="2FE588D9">
      <w:pPr>
        <w:spacing w:before="50" w:after="50"/>
        <w:outlineLvl w:val="1"/>
        <w:rPr>
          <w:rFonts w:ascii="宋体" w:hAnsi="宋体"/>
          <w:color w:val="000000" w:themeColor="text1"/>
          <w:sz w:val="32"/>
          <w:szCs w:val="20"/>
          <w:highlight w:val="none"/>
          <w14:textFill>
            <w14:solidFill>
              <w14:schemeClr w14:val="tx1"/>
            </w14:solidFill>
          </w14:textFill>
        </w:rPr>
      </w:pPr>
    </w:p>
    <w:p w14:paraId="20713501">
      <w:pPr>
        <w:spacing w:before="50" w:after="50"/>
        <w:outlineLvl w:val="1"/>
        <w:rPr>
          <w:rFonts w:ascii="宋体" w:hAnsi="宋体"/>
          <w:color w:val="000000" w:themeColor="text1"/>
          <w:sz w:val="32"/>
          <w:szCs w:val="20"/>
          <w:highlight w:val="none"/>
          <w14:textFill>
            <w14:solidFill>
              <w14:schemeClr w14:val="tx1"/>
            </w14:solidFill>
          </w14:textFill>
        </w:rPr>
      </w:pPr>
    </w:p>
    <w:p w14:paraId="4DE6E81E">
      <w:pPr>
        <w:spacing w:before="50" w:after="50"/>
        <w:outlineLvl w:val="1"/>
        <w:rPr>
          <w:rFonts w:ascii="宋体" w:hAnsi="宋体"/>
          <w:color w:val="000000" w:themeColor="text1"/>
          <w:sz w:val="32"/>
          <w:szCs w:val="20"/>
          <w:highlight w:val="none"/>
          <w14:textFill>
            <w14:solidFill>
              <w14:schemeClr w14:val="tx1"/>
            </w14:solidFill>
          </w14:textFill>
        </w:rPr>
      </w:pPr>
    </w:p>
    <w:p w14:paraId="6B09AA4B">
      <w:pPr>
        <w:spacing w:before="50" w:after="50"/>
        <w:outlineLvl w:val="1"/>
        <w:rPr>
          <w:rFonts w:ascii="宋体" w:hAnsi="宋体"/>
          <w:color w:val="000000" w:themeColor="text1"/>
          <w:sz w:val="32"/>
          <w:szCs w:val="20"/>
          <w:highlight w:val="none"/>
          <w14:textFill>
            <w14:solidFill>
              <w14:schemeClr w14:val="tx1"/>
            </w14:solidFill>
          </w14:textFill>
        </w:rPr>
      </w:pPr>
    </w:p>
    <w:p w14:paraId="2DA34BD5">
      <w:pPr>
        <w:spacing w:before="50" w:after="50"/>
        <w:outlineLvl w:val="1"/>
        <w:rPr>
          <w:rFonts w:ascii="宋体" w:hAnsi="宋体"/>
          <w:color w:val="000000" w:themeColor="text1"/>
          <w:sz w:val="32"/>
          <w:szCs w:val="20"/>
          <w:highlight w:val="none"/>
          <w14:textFill>
            <w14:solidFill>
              <w14:schemeClr w14:val="tx1"/>
            </w14:solidFill>
          </w14:textFill>
        </w:rPr>
      </w:pPr>
    </w:p>
    <w:p w14:paraId="75880346">
      <w:pPr>
        <w:spacing w:before="50" w:after="50"/>
        <w:outlineLvl w:val="1"/>
        <w:rPr>
          <w:rFonts w:ascii="宋体" w:hAnsi="宋体"/>
          <w:color w:val="000000" w:themeColor="text1"/>
          <w:sz w:val="32"/>
          <w:szCs w:val="20"/>
          <w:highlight w:val="none"/>
          <w14:textFill>
            <w14:solidFill>
              <w14:schemeClr w14:val="tx1"/>
            </w14:solidFill>
          </w14:textFill>
        </w:rPr>
      </w:pPr>
    </w:p>
    <w:p w14:paraId="3D08CCE6">
      <w:pPr>
        <w:spacing w:before="50" w:after="50"/>
        <w:outlineLvl w:val="1"/>
        <w:rPr>
          <w:rFonts w:ascii="宋体" w:hAnsi="宋体"/>
          <w:color w:val="000000" w:themeColor="text1"/>
          <w:sz w:val="32"/>
          <w:szCs w:val="20"/>
          <w:highlight w:val="none"/>
          <w14:textFill>
            <w14:solidFill>
              <w14:schemeClr w14:val="tx1"/>
            </w14:solidFill>
          </w14:textFill>
        </w:rPr>
      </w:pPr>
    </w:p>
    <w:p w14:paraId="0A945E6C">
      <w:pPr>
        <w:spacing w:before="50" w:after="50"/>
        <w:outlineLvl w:val="1"/>
        <w:rPr>
          <w:rFonts w:ascii="宋体" w:hAnsi="宋体"/>
          <w:color w:val="000000" w:themeColor="text1"/>
          <w:sz w:val="32"/>
          <w:szCs w:val="20"/>
          <w:highlight w:val="none"/>
          <w14:textFill>
            <w14:solidFill>
              <w14:schemeClr w14:val="tx1"/>
            </w14:solidFill>
          </w14:textFill>
        </w:rPr>
      </w:pPr>
    </w:p>
    <w:p w14:paraId="2D65D844">
      <w:pPr>
        <w:spacing w:after="50"/>
        <w:jc w:val="center"/>
        <w:outlineLvl w:val="1"/>
        <w:rPr>
          <w:rFonts w:ascii="宋体" w:hAnsi="宋体"/>
          <w:color w:val="000000" w:themeColor="text1"/>
          <w:highlight w:val="none"/>
          <w14:textFill>
            <w14:solidFill>
              <w14:schemeClr w14:val="tx1"/>
            </w14:solidFill>
          </w14:textFill>
        </w:rPr>
      </w:pPr>
    </w:p>
    <w:p w14:paraId="7741ED64">
      <w:pPr>
        <w:rPr>
          <w:b/>
          <w:color w:val="000000" w:themeColor="text1"/>
          <w:sz w:val="28"/>
          <w:szCs w:val="28"/>
          <w:highlight w:val="none"/>
          <w14:textFill>
            <w14:solidFill>
              <w14:schemeClr w14:val="tx1"/>
            </w14:solidFill>
          </w14:textFill>
        </w:rPr>
      </w:pPr>
      <w:r>
        <w:rPr>
          <w:rFonts w:hint="eastAsia"/>
          <w:b/>
          <w:color w:val="000000" w:themeColor="text1"/>
          <w:sz w:val="28"/>
          <w:szCs w:val="28"/>
          <w:highlight w:val="none"/>
          <w14:textFill>
            <w14:solidFill>
              <w14:schemeClr w14:val="tx1"/>
            </w14:solidFill>
          </w14:textFill>
        </w:rPr>
        <w:t>一、报价文件格式</w:t>
      </w:r>
    </w:p>
    <w:p w14:paraId="1E48D9D5">
      <w:pPr>
        <w:spacing w:after="50" w:line="360" w:lineRule="auto"/>
        <w:ind w:left="142"/>
        <w:jc w:val="lef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 xml:space="preserve">1. 报价文件封面格式： </w:t>
      </w:r>
    </w:p>
    <w:p w14:paraId="32545231">
      <w:pPr>
        <w:spacing w:after="50" w:line="360" w:lineRule="auto"/>
        <w:ind w:left="142"/>
        <w:jc w:val="center"/>
        <w:rPr>
          <w:rFonts w:ascii="宋体" w:hAnsi="宋体" w:eastAsia="方正小标宋简体"/>
          <w:bCs/>
          <w:color w:val="000000" w:themeColor="text1"/>
          <w:sz w:val="48"/>
          <w:szCs w:val="48"/>
          <w:highlight w:val="none"/>
          <w14:textFill>
            <w14:solidFill>
              <w14:schemeClr w14:val="tx1"/>
            </w14:solidFill>
          </w14:textFill>
        </w:rPr>
      </w:pPr>
      <w:r>
        <w:rPr>
          <w:rFonts w:hint="eastAsia" w:ascii="宋体" w:hAnsi="宋体" w:eastAsia="方正小标宋简体"/>
          <w:bCs/>
          <w:color w:val="000000" w:themeColor="text1"/>
          <w:sz w:val="48"/>
          <w:szCs w:val="48"/>
          <w:highlight w:val="none"/>
          <w14:textFill>
            <w14:solidFill>
              <w14:schemeClr w14:val="tx1"/>
            </w14:solidFill>
          </w14:textFill>
        </w:rPr>
        <w:t>电子投标文件</w:t>
      </w:r>
    </w:p>
    <w:p w14:paraId="062D7141">
      <w:pPr>
        <w:spacing w:after="50" w:line="400" w:lineRule="exact"/>
        <w:jc w:val="left"/>
        <w:rPr>
          <w:rFonts w:ascii="宋体" w:hAnsi="宋体" w:eastAsia="方正小标宋简体"/>
          <w:bCs/>
          <w:color w:val="000000" w:themeColor="text1"/>
          <w:sz w:val="48"/>
          <w:szCs w:val="48"/>
          <w:highlight w:val="none"/>
          <w14:textFill>
            <w14:solidFill>
              <w14:schemeClr w14:val="tx1"/>
            </w14:solidFill>
          </w14:textFill>
        </w:rPr>
      </w:pPr>
    </w:p>
    <w:p w14:paraId="2BC78135">
      <w:pPr>
        <w:spacing w:after="50" w:line="400" w:lineRule="exact"/>
        <w:jc w:val="center"/>
        <w:rPr>
          <w:rFonts w:ascii="方正小标宋简体" w:hAnsi="方正小标宋简体" w:eastAsia="方正小标宋简体" w:cs="方正小标宋简体"/>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t>报  价  文  件</w:t>
      </w:r>
    </w:p>
    <w:p w14:paraId="7AB09232">
      <w:pPr>
        <w:spacing w:after="50" w:line="400" w:lineRule="exact"/>
        <w:rPr>
          <w:rFonts w:ascii="宋体" w:hAnsi="宋体"/>
          <w:bCs/>
          <w:color w:val="000000" w:themeColor="text1"/>
          <w:sz w:val="24"/>
          <w:szCs w:val="20"/>
          <w:highlight w:val="none"/>
          <w14:textFill>
            <w14:solidFill>
              <w14:schemeClr w14:val="tx1"/>
            </w14:solidFill>
          </w14:textFill>
        </w:rPr>
      </w:pPr>
    </w:p>
    <w:p w14:paraId="24F42468">
      <w:pPr>
        <w:spacing w:after="50" w:line="400" w:lineRule="exact"/>
        <w:rPr>
          <w:rFonts w:ascii="宋体" w:hAnsi="宋体"/>
          <w:bCs/>
          <w:color w:val="000000" w:themeColor="text1"/>
          <w:sz w:val="24"/>
          <w:szCs w:val="20"/>
          <w:highlight w:val="none"/>
          <w14:textFill>
            <w14:solidFill>
              <w14:schemeClr w14:val="tx1"/>
            </w14:solidFill>
          </w14:textFill>
        </w:rPr>
      </w:pPr>
    </w:p>
    <w:p w14:paraId="06602CD8">
      <w:pPr>
        <w:spacing w:after="50" w:line="400" w:lineRule="exact"/>
        <w:rPr>
          <w:rFonts w:ascii="宋体" w:hAnsi="宋体"/>
          <w:bCs/>
          <w:color w:val="000000" w:themeColor="text1"/>
          <w:sz w:val="24"/>
          <w:szCs w:val="20"/>
          <w:highlight w:val="none"/>
          <w14:textFill>
            <w14:solidFill>
              <w14:schemeClr w14:val="tx1"/>
            </w14:solidFill>
          </w14:textFill>
        </w:rPr>
      </w:pPr>
    </w:p>
    <w:p w14:paraId="754EF4C1">
      <w:pPr>
        <w:spacing w:after="50" w:line="400" w:lineRule="exact"/>
        <w:rPr>
          <w:rFonts w:ascii="宋体" w:hAnsi="宋体"/>
          <w:bCs/>
          <w:color w:val="000000" w:themeColor="text1"/>
          <w:sz w:val="24"/>
          <w:szCs w:val="20"/>
          <w:highlight w:val="none"/>
          <w14:textFill>
            <w14:solidFill>
              <w14:schemeClr w14:val="tx1"/>
            </w14:solidFill>
          </w14:textFill>
        </w:rPr>
      </w:pPr>
    </w:p>
    <w:p w14:paraId="2B764CAF">
      <w:pPr>
        <w:spacing w:after="50" w:line="400" w:lineRule="exact"/>
        <w:ind w:firstLine="360"/>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 xml:space="preserve">项目名称： </w:t>
      </w:r>
    </w:p>
    <w:p w14:paraId="4144C8C3">
      <w:pPr>
        <w:spacing w:after="50" w:line="400" w:lineRule="exact"/>
        <w:ind w:firstLine="360"/>
        <w:rPr>
          <w:rFonts w:ascii="宋体" w:hAnsi="宋体"/>
          <w:bCs/>
          <w:color w:val="000000" w:themeColor="text1"/>
          <w:sz w:val="24"/>
          <w:highlight w:val="none"/>
          <w14:textFill>
            <w14:solidFill>
              <w14:schemeClr w14:val="tx1"/>
            </w14:solidFill>
          </w14:textFill>
        </w:rPr>
      </w:pPr>
    </w:p>
    <w:p w14:paraId="1F1D07CF">
      <w:pPr>
        <w:spacing w:after="50" w:line="400" w:lineRule="exact"/>
        <w:ind w:firstLine="360"/>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 xml:space="preserve">项目编号： </w:t>
      </w:r>
    </w:p>
    <w:p w14:paraId="29B8FCBF">
      <w:pPr>
        <w:spacing w:after="50" w:line="400" w:lineRule="exact"/>
        <w:ind w:firstLine="360"/>
        <w:rPr>
          <w:rFonts w:ascii="宋体" w:hAnsi="宋体"/>
          <w:bCs/>
          <w:color w:val="000000" w:themeColor="text1"/>
          <w:sz w:val="24"/>
          <w:highlight w:val="none"/>
          <w14:textFill>
            <w14:solidFill>
              <w14:schemeClr w14:val="tx1"/>
            </w14:solidFill>
          </w14:textFill>
        </w:rPr>
      </w:pPr>
    </w:p>
    <w:p w14:paraId="73B9A012">
      <w:pPr>
        <w:spacing w:after="50" w:line="400" w:lineRule="exact"/>
        <w:ind w:firstLine="360"/>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所投分标：</w:t>
      </w:r>
    </w:p>
    <w:p w14:paraId="51167683">
      <w:pPr>
        <w:spacing w:after="50" w:line="400" w:lineRule="exact"/>
        <w:ind w:firstLine="360"/>
        <w:rPr>
          <w:rFonts w:ascii="宋体" w:hAnsi="宋体"/>
          <w:bCs/>
          <w:color w:val="000000" w:themeColor="text1"/>
          <w:sz w:val="24"/>
          <w:highlight w:val="none"/>
          <w14:textFill>
            <w14:solidFill>
              <w14:schemeClr w14:val="tx1"/>
            </w14:solidFill>
          </w14:textFill>
        </w:rPr>
      </w:pPr>
    </w:p>
    <w:p w14:paraId="6E0A1637">
      <w:pPr>
        <w:spacing w:after="50" w:line="400" w:lineRule="exact"/>
        <w:ind w:firstLine="360"/>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投标人名称：</w:t>
      </w:r>
    </w:p>
    <w:p w14:paraId="706F3F3D">
      <w:pPr>
        <w:spacing w:after="50" w:line="400" w:lineRule="exact"/>
        <w:ind w:firstLine="360"/>
        <w:rPr>
          <w:rFonts w:ascii="宋体" w:hAnsi="宋体"/>
          <w:bCs/>
          <w:color w:val="000000" w:themeColor="text1"/>
          <w:sz w:val="24"/>
          <w:highlight w:val="none"/>
          <w14:textFill>
            <w14:solidFill>
              <w14:schemeClr w14:val="tx1"/>
            </w14:solidFill>
          </w14:textFill>
        </w:rPr>
      </w:pPr>
    </w:p>
    <w:p w14:paraId="61564A1F">
      <w:pPr>
        <w:spacing w:after="50" w:line="400" w:lineRule="exact"/>
        <w:ind w:firstLine="360"/>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投标人地址：</w:t>
      </w:r>
    </w:p>
    <w:p w14:paraId="2BFE9C73">
      <w:pPr>
        <w:pStyle w:val="7"/>
        <w:spacing w:before="50" w:after="50" w:line="400" w:lineRule="exact"/>
        <w:ind w:firstLine="960"/>
        <w:rPr>
          <w:rFonts w:ascii="宋体" w:hAnsi="宋体"/>
          <w:bCs/>
          <w:color w:val="000000" w:themeColor="text1"/>
          <w:sz w:val="24"/>
          <w:szCs w:val="24"/>
          <w:highlight w:val="none"/>
          <w14:textFill>
            <w14:solidFill>
              <w14:schemeClr w14:val="tx1"/>
            </w14:solidFill>
          </w14:textFill>
        </w:rPr>
      </w:pPr>
    </w:p>
    <w:p w14:paraId="5B03E0BE">
      <w:pPr>
        <w:spacing w:after="50" w:line="400" w:lineRule="exact"/>
        <w:rPr>
          <w:rFonts w:ascii="宋体" w:hAnsi="宋体"/>
          <w:color w:val="000000" w:themeColor="text1"/>
          <w:sz w:val="30"/>
          <w:szCs w:val="20"/>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年  月  日</w:t>
      </w:r>
    </w:p>
    <w:p w14:paraId="4DB7E587">
      <w:pPr>
        <w:spacing w:after="50" w:line="360" w:lineRule="auto"/>
        <w:jc w:val="left"/>
        <w:rPr>
          <w:rFonts w:ascii="宋体" w:hAnsi="宋体"/>
          <w:color w:val="000000" w:themeColor="text1"/>
          <w:sz w:val="24"/>
          <w:szCs w:val="20"/>
          <w:highlight w:val="none"/>
          <w14:textFill>
            <w14:solidFill>
              <w14:schemeClr w14:val="tx1"/>
            </w14:solidFill>
          </w14:textFill>
        </w:rPr>
      </w:pPr>
      <w:r>
        <w:rPr>
          <w:rFonts w:ascii="宋体" w:hAnsi="宋体"/>
          <w:b/>
          <w:color w:val="000000" w:themeColor="text1"/>
          <w:sz w:val="24"/>
          <w:highlight w:val="none"/>
          <w14:textFill>
            <w14:solidFill>
              <w14:schemeClr w14:val="tx1"/>
            </w14:solidFill>
          </w14:textFill>
        </w:rPr>
        <w:br w:type="page" w:clear="all"/>
      </w:r>
      <w:r>
        <w:rPr>
          <w:rFonts w:hint="eastAsia" w:ascii="宋体" w:hAnsi="宋体"/>
          <w:b/>
          <w:color w:val="000000" w:themeColor="text1"/>
          <w:sz w:val="24"/>
          <w:highlight w:val="none"/>
          <w14:textFill>
            <w14:solidFill>
              <w14:schemeClr w14:val="tx1"/>
            </w14:solidFill>
          </w14:textFill>
        </w:rPr>
        <w:t>2.</w:t>
      </w:r>
      <w:r>
        <w:rPr>
          <w:rFonts w:hint="eastAsia" w:ascii="宋体" w:hAnsi="宋体"/>
          <w:b/>
          <w:bCs/>
          <w:color w:val="000000" w:themeColor="text1"/>
          <w:sz w:val="24"/>
          <w:highlight w:val="none"/>
          <w14:textFill>
            <w14:solidFill>
              <w14:schemeClr w14:val="tx1"/>
            </w14:solidFill>
          </w14:textFill>
        </w:rPr>
        <w:t>报价文件目录</w:t>
      </w:r>
    </w:p>
    <w:p w14:paraId="399491AF">
      <w:pPr>
        <w:spacing w:before="50" w:line="360" w:lineRule="auto"/>
        <w:jc w:val="left"/>
        <w:rPr>
          <w:rFonts w:ascii="宋体" w:hAnsi="宋体"/>
          <w:b/>
          <w:color w:val="000000" w:themeColor="text1"/>
          <w:sz w:val="24"/>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根据招标文件规定及投标人提供的材料自行编写目录。</w:t>
      </w:r>
    </w:p>
    <w:p w14:paraId="63523B65">
      <w:pPr>
        <w:spacing w:after="50"/>
        <w:rPr>
          <w:rFonts w:ascii="宋体" w:hAnsi="宋体"/>
          <w:b/>
          <w:color w:val="000000" w:themeColor="text1"/>
          <w:sz w:val="24"/>
          <w:highlight w:val="none"/>
          <w14:textFill>
            <w14:solidFill>
              <w14:schemeClr w14:val="tx1"/>
            </w14:solidFill>
          </w14:textFill>
        </w:rPr>
      </w:pPr>
    </w:p>
    <w:p w14:paraId="51693878">
      <w:pPr>
        <w:spacing w:after="50"/>
        <w:rPr>
          <w:rFonts w:ascii="宋体" w:hAnsi="宋体"/>
          <w:b/>
          <w:color w:val="000000" w:themeColor="text1"/>
          <w:sz w:val="24"/>
          <w:highlight w:val="none"/>
          <w14:textFill>
            <w14:solidFill>
              <w14:schemeClr w14:val="tx1"/>
            </w14:solidFill>
          </w14:textFill>
        </w:rPr>
      </w:pPr>
    </w:p>
    <w:p w14:paraId="5F79343B">
      <w:pPr>
        <w:spacing w:after="50"/>
        <w:rPr>
          <w:rFonts w:ascii="宋体" w:hAnsi="宋体"/>
          <w:b/>
          <w:color w:val="000000" w:themeColor="text1"/>
          <w:sz w:val="24"/>
          <w:highlight w:val="none"/>
          <w14:textFill>
            <w14:solidFill>
              <w14:schemeClr w14:val="tx1"/>
            </w14:solidFill>
          </w14:textFill>
        </w:rPr>
      </w:pPr>
    </w:p>
    <w:p w14:paraId="7BF157C9">
      <w:pPr>
        <w:spacing w:after="50"/>
        <w:ind w:left="142"/>
        <w:jc w:val="left"/>
        <w:rPr>
          <w:rFonts w:ascii="宋体" w:hAnsi="宋体"/>
          <w:b/>
          <w:color w:val="000000" w:themeColor="text1"/>
          <w:sz w:val="24"/>
          <w:highlight w:val="none"/>
          <w14:textFill>
            <w14:solidFill>
              <w14:schemeClr w14:val="tx1"/>
            </w14:solidFill>
          </w14:textFill>
        </w:rPr>
      </w:pPr>
      <w:r>
        <w:rPr>
          <w:rFonts w:ascii="宋体" w:hAnsi="宋体"/>
          <w:b/>
          <w:color w:val="000000" w:themeColor="text1"/>
          <w:sz w:val="24"/>
          <w:highlight w:val="none"/>
          <w14:textFill>
            <w14:solidFill>
              <w14:schemeClr w14:val="tx1"/>
            </w14:solidFill>
          </w14:textFill>
        </w:rPr>
        <w:br w:type="page" w:clear="all"/>
      </w:r>
      <w:r>
        <w:rPr>
          <w:rFonts w:hint="eastAsia" w:ascii="宋体" w:hAnsi="宋体"/>
          <w:b/>
          <w:color w:val="000000" w:themeColor="text1"/>
          <w:sz w:val="24"/>
          <w:highlight w:val="none"/>
          <w14:textFill>
            <w14:solidFill>
              <w14:schemeClr w14:val="tx1"/>
            </w14:solidFill>
          </w14:textFill>
        </w:rPr>
        <w:t>3. 投标函格式：</w:t>
      </w:r>
    </w:p>
    <w:p w14:paraId="57488821">
      <w:pPr>
        <w:spacing w:after="50" w:line="360" w:lineRule="auto"/>
        <w:jc w:val="center"/>
        <w:rPr>
          <w:rFonts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t>投 标 函</w:t>
      </w:r>
    </w:p>
    <w:p w14:paraId="7A2B9AEE">
      <w:pPr>
        <w:spacing w:after="50" w:line="320" w:lineRule="exact"/>
        <w:rPr>
          <w:rFonts w:ascii="宋体" w:hAnsi="宋体"/>
          <w:b/>
          <w:color w:val="000000" w:themeColor="text1"/>
          <w:sz w:val="32"/>
          <w:szCs w:val="32"/>
          <w:highlight w:val="none"/>
          <w14:textFill>
            <w14:solidFill>
              <w14:schemeClr w14:val="tx1"/>
            </w14:solidFill>
          </w14:textFill>
        </w:rPr>
      </w:pPr>
    </w:p>
    <w:p w14:paraId="66CE658D">
      <w:pPr>
        <w:spacing w:line="360" w:lineRule="auto"/>
        <w:contextualSpacing/>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致：</w:t>
      </w:r>
      <w:r>
        <w:rPr>
          <w:rFonts w:hint="eastAsia" w:ascii="宋体" w:hAnsi="宋体"/>
          <w:color w:val="000000" w:themeColor="text1"/>
          <w:sz w:val="24"/>
          <w:highlight w:val="none"/>
          <w:u w:val="single"/>
          <w14:textFill>
            <w14:solidFill>
              <w14:schemeClr w14:val="tx1"/>
            </w14:solidFill>
          </w14:textFill>
        </w:rPr>
        <w:t>采购人名称</w:t>
      </w:r>
      <w:r>
        <w:rPr>
          <w:rFonts w:hint="eastAsia" w:ascii="宋体" w:hAnsi="宋体"/>
          <w:color w:val="000000" w:themeColor="text1"/>
          <w:sz w:val="24"/>
          <w:highlight w:val="none"/>
          <w14:textFill>
            <w14:solidFill>
              <w14:schemeClr w14:val="tx1"/>
            </w14:solidFill>
          </w14:textFill>
        </w:rPr>
        <w:t>：</w:t>
      </w:r>
    </w:p>
    <w:p w14:paraId="7A79471C">
      <w:pPr>
        <w:spacing w:line="360" w:lineRule="auto"/>
        <w:ind w:firstLine="480"/>
        <w:contextualSpacing/>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根据贵方</w:t>
      </w:r>
      <w:r>
        <w:rPr>
          <w:rFonts w:hint="eastAsia" w:ascii="宋体" w:hAnsi="宋体"/>
          <w:color w:val="000000" w:themeColor="text1"/>
          <w:sz w:val="24"/>
          <w:highlight w:val="none"/>
          <w:u w:val="single"/>
          <w14:textFill>
            <w14:solidFill>
              <w14:schemeClr w14:val="tx1"/>
            </w14:solidFill>
          </w14:textFill>
        </w:rPr>
        <w:t xml:space="preserve"> 项目名称</w:t>
      </w:r>
      <w:r>
        <w:rPr>
          <w:rFonts w:hint="eastAsia" w:ascii="宋体" w:hAnsi="宋体"/>
          <w:color w:val="000000" w:themeColor="text1"/>
          <w:sz w:val="24"/>
          <w:highlight w:val="none"/>
          <w14:textFill>
            <w14:solidFill>
              <w14:schemeClr w14:val="tx1"/>
            </w14:solidFill>
          </w14:textFill>
        </w:rPr>
        <w:t>（项目编号：</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）的招标文件，签字代表______</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（姓名）经正式授权并代表投标人</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（投标人名称）提交投标文件。</w:t>
      </w:r>
    </w:p>
    <w:p w14:paraId="38C49887">
      <w:pPr>
        <w:spacing w:line="360" w:lineRule="auto"/>
        <w:ind w:firstLine="480"/>
        <w:contextualSpacing/>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据此函，我方宣布同意如下：</w:t>
      </w:r>
    </w:p>
    <w:p w14:paraId="136650F4">
      <w:pPr>
        <w:spacing w:line="360" w:lineRule="auto"/>
        <w:ind w:firstLine="480"/>
        <w:contextualSpacing/>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1.我方已详细审查全部“招标文件”，包括修改文件（如有的话）以及全部参考资料和有关附件，已经了解我方对于招标文件、采购过程、采购结果有依法进行询问、质疑、投诉的权利及相关渠道和要求。</w:t>
      </w:r>
    </w:p>
    <w:p w14:paraId="4FE38786">
      <w:pPr>
        <w:spacing w:line="360" w:lineRule="auto"/>
        <w:ind w:firstLine="480"/>
        <w:contextualSpacing/>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2.我方在投标之前已经完全理解并接受招标文件的各项规定和要求，对招标文件的合理性、合法性不再有异议。</w:t>
      </w:r>
    </w:p>
    <w:p w14:paraId="443530FB">
      <w:pPr>
        <w:spacing w:line="360" w:lineRule="auto"/>
        <w:ind w:firstLine="480"/>
        <w:contextualSpacing/>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3.本投标有效期自投标截止之日起</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日。</w:t>
      </w:r>
    </w:p>
    <w:p w14:paraId="4DAF1C12">
      <w:pPr>
        <w:spacing w:line="360" w:lineRule="auto"/>
        <w:ind w:firstLine="480"/>
        <w:contextualSpacing/>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4.如中标，本投标文件至本项目合同履行完毕止均保持有效，我方将按“招标文件”及政府采购法律、法规的规定履行合同责任和义务。</w:t>
      </w:r>
    </w:p>
    <w:p w14:paraId="0E623FAC">
      <w:pPr>
        <w:spacing w:line="360" w:lineRule="auto"/>
        <w:ind w:firstLine="480"/>
        <w:contextualSpacing/>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5.我方同意按照贵方要求提供与投标有关的一切数据或者资料。</w:t>
      </w:r>
    </w:p>
    <w:p w14:paraId="2A7EF3A9">
      <w:pPr>
        <w:spacing w:line="360" w:lineRule="auto"/>
        <w:ind w:firstLine="480"/>
        <w:contextualSpacing/>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6.我方向贵方提交的所有投标文件、资料都是准确的和真实的。</w:t>
      </w:r>
    </w:p>
    <w:p w14:paraId="4717ADC4">
      <w:pPr>
        <w:spacing w:line="360" w:lineRule="auto"/>
        <w:ind w:firstLine="480"/>
        <w:contextualSpacing/>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7.以上事项如有虚假或者隐瞒，我方愿意承担一切后果，并不再寻求任何旨在减轻或者免除法律责任的辩解。</w:t>
      </w:r>
    </w:p>
    <w:p w14:paraId="5104FFB3">
      <w:pPr>
        <w:spacing w:line="360" w:lineRule="auto"/>
        <w:ind w:firstLine="480"/>
        <w:contextualSpacing/>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8.根据</w:t>
      </w:r>
      <w:r>
        <w:rPr>
          <w:rFonts w:ascii="宋体" w:hAnsi="宋体"/>
          <w:color w:val="000000" w:themeColor="text1"/>
          <w:sz w:val="24"/>
          <w:highlight w:val="none"/>
          <w14:textFill>
            <w14:solidFill>
              <w14:schemeClr w14:val="tx1"/>
            </w14:solidFill>
          </w14:textFill>
        </w:rPr>
        <w:t>《中华人民共和国政府采购法实施条例》第五十条要求对政府采购合同进行公告</w:t>
      </w: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但政府采购合同中涉及国家秘密、商业秘密的内容除外。</w:t>
      </w:r>
      <w:r>
        <w:rPr>
          <w:rFonts w:hint="eastAsia" w:ascii="宋体" w:hAnsi="宋体"/>
          <w:color w:val="000000" w:themeColor="text1"/>
          <w:sz w:val="24"/>
          <w:highlight w:val="none"/>
          <w14:textFill>
            <w14:solidFill>
              <w14:schemeClr w14:val="tx1"/>
            </w14:solidFill>
          </w14:textFill>
        </w:rPr>
        <w:t>我方就对本次投标文件进行注明如下：（两项内容中必须选择一项）</w:t>
      </w:r>
    </w:p>
    <w:p w14:paraId="760CA1BB">
      <w:pPr>
        <w:spacing w:line="360" w:lineRule="auto"/>
        <w:ind w:firstLine="480"/>
        <w:contextualSpacing/>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□我方本次投标文件</w:t>
      </w:r>
      <w:r>
        <w:rPr>
          <w:rFonts w:ascii="宋体" w:hAnsi="宋体" w:cs="宋体"/>
          <w:color w:val="000000" w:themeColor="text1"/>
          <w:sz w:val="24"/>
          <w:highlight w:val="none"/>
          <w14:textFill>
            <w14:solidFill>
              <w14:schemeClr w14:val="tx1"/>
            </w14:solidFill>
          </w14:textFill>
        </w:rPr>
        <w:t>内容中</w:t>
      </w:r>
      <w:r>
        <w:rPr>
          <w:rFonts w:hint="eastAsia" w:ascii="宋体" w:hAnsi="宋体"/>
          <w:color w:val="000000" w:themeColor="text1"/>
          <w:sz w:val="24"/>
          <w:highlight w:val="none"/>
          <w14:textFill>
            <w14:solidFill>
              <w14:schemeClr w14:val="tx1"/>
            </w14:solidFill>
          </w14:textFill>
        </w:rPr>
        <w:t>未</w:t>
      </w:r>
      <w:r>
        <w:rPr>
          <w:rFonts w:ascii="宋体" w:hAnsi="宋体" w:cs="宋体"/>
          <w:color w:val="000000" w:themeColor="text1"/>
          <w:sz w:val="24"/>
          <w:highlight w:val="none"/>
          <w14:textFill>
            <w14:solidFill>
              <w14:schemeClr w14:val="tx1"/>
            </w14:solidFill>
          </w14:textFill>
        </w:rPr>
        <w:t>涉及商业秘密</w:t>
      </w:r>
      <w:r>
        <w:rPr>
          <w:rFonts w:hint="eastAsia" w:ascii="宋体" w:hAnsi="宋体" w:cs="宋体"/>
          <w:color w:val="000000" w:themeColor="text1"/>
          <w:sz w:val="24"/>
          <w:highlight w:val="none"/>
          <w14:textFill>
            <w14:solidFill>
              <w14:schemeClr w14:val="tx1"/>
            </w14:solidFill>
          </w14:textFill>
        </w:rPr>
        <w:t>；</w:t>
      </w:r>
    </w:p>
    <w:p w14:paraId="66A865CF">
      <w:pPr>
        <w:spacing w:line="360" w:lineRule="auto"/>
        <w:ind w:firstLine="480"/>
        <w:contextualSpacing/>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□我方本次投标文件</w:t>
      </w:r>
      <w:r>
        <w:rPr>
          <w:rFonts w:ascii="宋体" w:hAnsi="宋体" w:cs="宋体"/>
          <w:color w:val="000000" w:themeColor="text1"/>
          <w:sz w:val="24"/>
          <w:highlight w:val="none"/>
          <w14:textFill>
            <w14:solidFill>
              <w14:schemeClr w14:val="tx1"/>
            </w14:solidFill>
          </w14:textFill>
        </w:rPr>
        <w:t>涉及商业秘密</w:t>
      </w:r>
      <w:r>
        <w:rPr>
          <w:rFonts w:hint="eastAsia" w:ascii="宋体" w:hAnsi="宋体" w:cs="宋体"/>
          <w:color w:val="000000" w:themeColor="text1"/>
          <w:sz w:val="24"/>
          <w:highlight w:val="none"/>
          <w14:textFill>
            <w14:solidFill>
              <w14:schemeClr w14:val="tx1"/>
            </w14:solidFill>
          </w14:textFill>
        </w:rPr>
        <w:t>的</w:t>
      </w:r>
      <w:r>
        <w:rPr>
          <w:rFonts w:ascii="宋体" w:hAnsi="宋体" w:cs="宋体"/>
          <w:color w:val="000000" w:themeColor="text1"/>
          <w:sz w:val="24"/>
          <w:highlight w:val="none"/>
          <w14:textFill>
            <w14:solidFill>
              <w14:schemeClr w14:val="tx1"/>
            </w14:solidFill>
          </w14:textFill>
        </w:rPr>
        <w:t>内容</w:t>
      </w:r>
      <w:r>
        <w:rPr>
          <w:rFonts w:hint="eastAsia" w:ascii="宋体" w:hAnsi="宋体" w:cs="宋体"/>
          <w:color w:val="000000" w:themeColor="text1"/>
          <w:sz w:val="24"/>
          <w:highlight w:val="none"/>
          <w14:textFill>
            <w14:solidFill>
              <w14:schemeClr w14:val="tx1"/>
            </w14:solidFill>
          </w14:textFill>
        </w:rPr>
        <w:t>有：</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w:t>
      </w:r>
    </w:p>
    <w:p w14:paraId="6A460EDA">
      <w:pPr>
        <w:spacing w:line="360" w:lineRule="auto"/>
        <w:ind w:firstLine="480"/>
        <w:contextualSpacing/>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9.与本项目有关的一切正式往来信函请寄：</w:t>
      </w:r>
    </w:p>
    <w:p w14:paraId="56F9761A">
      <w:pPr>
        <w:spacing w:line="360" w:lineRule="auto"/>
        <w:ind w:firstLine="480"/>
        <w:contextualSpacing/>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地址：</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邮编：</w:t>
      </w:r>
      <w:r>
        <w:rPr>
          <w:rFonts w:hint="eastAsia" w:ascii="宋体" w:hAnsi="宋体"/>
          <w:color w:val="000000" w:themeColor="text1"/>
          <w:sz w:val="24"/>
          <w:highlight w:val="none"/>
          <w:u w:val="single"/>
          <w14:textFill>
            <w14:solidFill>
              <w14:schemeClr w14:val="tx1"/>
            </w14:solidFill>
          </w14:textFill>
        </w:rPr>
        <w:t xml:space="preserve">            </w:t>
      </w:r>
    </w:p>
    <w:p w14:paraId="31355662">
      <w:pPr>
        <w:spacing w:line="360" w:lineRule="auto"/>
        <w:ind w:firstLine="480"/>
        <w:contextualSpacing/>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联系人：</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电话：</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传真：</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 电子邮箱：</w:t>
      </w:r>
      <w:r>
        <w:rPr>
          <w:rFonts w:hint="eastAsia" w:ascii="宋体" w:hAnsi="宋体"/>
          <w:color w:val="000000" w:themeColor="text1"/>
          <w:sz w:val="24"/>
          <w:highlight w:val="none"/>
          <w:u w:val="single"/>
          <w14:textFill>
            <w14:solidFill>
              <w14:schemeClr w14:val="tx1"/>
            </w14:solidFill>
          </w14:textFill>
        </w:rPr>
        <w:t xml:space="preserve"> </w:t>
      </w:r>
      <w:r>
        <w:rPr>
          <w:rFonts w:ascii="宋体" w:hAnsi="宋体"/>
          <w:color w:val="000000" w:themeColor="text1"/>
          <w:sz w:val="24"/>
          <w:highlight w:val="none"/>
          <w:u w:val="single"/>
          <w14:textFill>
            <w14:solidFill>
              <w14:schemeClr w14:val="tx1"/>
            </w14:solidFill>
          </w14:textFill>
        </w:rPr>
        <w:t xml:space="preserve">        </w:t>
      </w:r>
    </w:p>
    <w:p w14:paraId="43801D73">
      <w:pPr>
        <w:spacing w:line="360" w:lineRule="auto"/>
        <w:ind w:firstLine="480"/>
        <w:contextualSpacing/>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投标人名称：</w:t>
      </w:r>
      <w:r>
        <w:rPr>
          <w:rFonts w:hint="eastAsia" w:ascii="宋体" w:hAnsi="宋体"/>
          <w:color w:val="000000" w:themeColor="text1"/>
          <w:sz w:val="24"/>
          <w:highlight w:val="none"/>
          <w:u w:val="single"/>
          <w14:textFill>
            <w14:solidFill>
              <w14:schemeClr w14:val="tx1"/>
            </w14:solidFill>
          </w14:textFill>
        </w:rPr>
        <w:t xml:space="preserve">                </w:t>
      </w:r>
    </w:p>
    <w:p w14:paraId="04658794">
      <w:pPr>
        <w:spacing w:line="360" w:lineRule="auto"/>
        <w:ind w:firstLine="480"/>
        <w:contextualSpacing/>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开户银行：</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   银行账号：</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 </w:t>
      </w:r>
    </w:p>
    <w:p w14:paraId="47B1DC79">
      <w:pPr>
        <w:pStyle w:val="19"/>
        <w:rPr>
          <w:color w:val="000000" w:themeColor="text1"/>
          <w:highlight w:val="none"/>
          <w14:textFill>
            <w14:solidFill>
              <w14:schemeClr w14:val="tx1"/>
            </w14:solidFill>
          </w14:textFill>
        </w:rPr>
      </w:pPr>
    </w:p>
    <w:p w14:paraId="4B454604">
      <w:pPr>
        <w:spacing w:line="360" w:lineRule="auto"/>
        <w:ind w:firstLine="480"/>
        <w:contextualSpacing/>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法定代表人或者委托代理人（签字或者电子签名）：_______ </w:t>
      </w:r>
    </w:p>
    <w:p w14:paraId="691F9AAC">
      <w:pPr>
        <w:pStyle w:val="25"/>
        <w:spacing w:line="360" w:lineRule="auto"/>
        <w:contextualSpacing/>
        <w:jc w:val="center"/>
        <w:rPr>
          <w:rFonts w:hAnsi="宋体"/>
          <w:color w:val="000000" w:themeColor="text1"/>
          <w:sz w:val="24"/>
          <w:szCs w:val="24"/>
          <w:highlight w:val="none"/>
          <w:u w:val="single"/>
          <w14:textFill>
            <w14:solidFill>
              <w14:schemeClr w14:val="tx1"/>
            </w14:solidFill>
          </w14:textFill>
        </w:rPr>
      </w:pPr>
      <w:r>
        <w:rPr>
          <w:rFonts w:hint="eastAsia" w:hAnsi="宋体"/>
          <w:color w:val="000000" w:themeColor="text1"/>
          <w:sz w:val="24"/>
          <w:highlight w:val="none"/>
          <w14:textFill>
            <w14:solidFill>
              <w14:schemeClr w14:val="tx1"/>
            </w14:solidFill>
          </w14:textFill>
        </w:rPr>
        <w:t xml:space="preserve"> </w:t>
      </w:r>
      <w:r>
        <w:rPr>
          <w:rFonts w:hAnsi="宋体"/>
          <w:color w:val="000000" w:themeColor="text1"/>
          <w:sz w:val="24"/>
          <w:highlight w:val="none"/>
          <w14:textFill>
            <w14:solidFill>
              <w14:schemeClr w14:val="tx1"/>
            </w14:solidFill>
          </w14:textFill>
        </w:rPr>
        <w:t xml:space="preserve">                                   </w:t>
      </w:r>
      <w:r>
        <w:rPr>
          <w:rFonts w:hint="eastAsia" w:hAnsi="宋体"/>
          <w:color w:val="000000" w:themeColor="text1"/>
          <w:sz w:val="24"/>
          <w:highlight w:val="none"/>
          <w14:textFill>
            <w14:solidFill>
              <w14:schemeClr w14:val="tx1"/>
            </w14:solidFill>
          </w14:textFill>
        </w:rPr>
        <w:t>投标人名称（电子签章）：</w:t>
      </w:r>
    </w:p>
    <w:p w14:paraId="0B04F075">
      <w:pPr>
        <w:pStyle w:val="25"/>
        <w:spacing w:line="360" w:lineRule="auto"/>
        <w:contextualSpacing/>
        <w:rPr>
          <w:rFonts w:hAnsi="宋体"/>
          <w:color w:val="000000" w:themeColor="text1"/>
          <w:sz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 xml:space="preserve">                                                </w:t>
      </w:r>
      <w:r>
        <w:rPr>
          <w:rFonts w:hint="eastAsia" w:hAnsi="宋体"/>
          <w:color w:val="000000" w:themeColor="text1"/>
          <w:sz w:val="24"/>
          <w:szCs w:val="24"/>
          <w:highlight w:val="none"/>
          <w:u w:val="single"/>
          <w14:textFill>
            <w14:solidFill>
              <w14:schemeClr w14:val="tx1"/>
            </w14:solidFill>
          </w14:textFill>
        </w:rPr>
        <w:t xml:space="preserve">      </w:t>
      </w:r>
      <w:r>
        <w:rPr>
          <w:rFonts w:hint="eastAsia" w:hAnsi="宋体"/>
          <w:color w:val="000000" w:themeColor="text1"/>
          <w:sz w:val="24"/>
          <w:szCs w:val="24"/>
          <w:highlight w:val="none"/>
          <w14:textFill>
            <w14:solidFill>
              <w14:schemeClr w14:val="tx1"/>
            </w14:solidFill>
          </w14:textFill>
        </w:rPr>
        <w:t>年</w:t>
      </w:r>
      <w:r>
        <w:rPr>
          <w:rFonts w:hint="eastAsia" w:hAnsi="宋体"/>
          <w:color w:val="000000" w:themeColor="text1"/>
          <w:sz w:val="24"/>
          <w:szCs w:val="24"/>
          <w:highlight w:val="none"/>
          <w:u w:val="single"/>
          <w14:textFill>
            <w14:solidFill>
              <w14:schemeClr w14:val="tx1"/>
            </w14:solidFill>
          </w14:textFill>
        </w:rPr>
        <w:t xml:space="preserve">    </w:t>
      </w:r>
      <w:r>
        <w:rPr>
          <w:rFonts w:hint="eastAsia" w:hAnsi="宋体"/>
          <w:color w:val="000000" w:themeColor="text1"/>
          <w:sz w:val="24"/>
          <w:szCs w:val="24"/>
          <w:highlight w:val="none"/>
          <w14:textFill>
            <w14:solidFill>
              <w14:schemeClr w14:val="tx1"/>
            </w14:solidFill>
          </w14:textFill>
        </w:rPr>
        <w:t>月</w:t>
      </w:r>
      <w:r>
        <w:rPr>
          <w:rFonts w:hint="eastAsia" w:hAnsi="宋体"/>
          <w:color w:val="000000" w:themeColor="text1"/>
          <w:sz w:val="24"/>
          <w:szCs w:val="24"/>
          <w:highlight w:val="none"/>
          <w:u w:val="single"/>
          <w14:textFill>
            <w14:solidFill>
              <w14:schemeClr w14:val="tx1"/>
            </w14:solidFill>
          </w14:textFill>
        </w:rPr>
        <w:t xml:space="preserve">     </w:t>
      </w:r>
      <w:r>
        <w:rPr>
          <w:rFonts w:hint="eastAsia" w:hAnsi="宋体"/>
          <w:color w:val="000000" w:themeColor="text1"/>
          <w:sz w:val="24"/>
          <w:szCs w:val="24"/>
          <w:highlight w:val="none"/>
          <w14:textFill>
            <w14:solidFill>
              <w14:schemeClr w14:val="tx1"/>
            </w14:solidFill>
          </w14:textFill>
        </w:rPr>
        <w:t>日</w:t>
      </w:r>
    </w:p>
    <w:p w14:paraId="72AD0A98">
      <w:pPr>
        <w:spacing w:after="50"/>
        <w:jc w:val="left"/>
        <w:rPr>
          <w:rFonts w:ascii="宋体" w:hAnsi="宋体"/>
          <w:b/>
          <w:color w:val="000000" w:themeColor="text1"/>
          <w:sz w:val="24"/>
          <w:szCs w:val="20"/>
          <w:highlight w:val="none"/>
          <w14:textFill>
            <w14:solidFill>
              <w14:schemeClr w14:val="tx1"/>
            </w14:solidFill>
          </w14:textFill>
        </w:rPr>
      </w:pPr>
      <w:r>
        <w:rPr>
          <w:rFonts w:hAnsi="宋体"/>
          <w:color w:val="000000" w:themeColor="text1"/>
          <w:highlight w:val="none"/>
          <w:u w:val="single"/>
          <w14:textFill>
            <w14:solidFill>
              <w14:schemeClr w14:val="tx1"/>
            </w14:solidFill>
          </w14:textFill>
        </w:rPr>
        <w:br w:type="page" w:clear="all"/>
      </w:r>
      <w:r>
        <w:rPr>
          <w:rFonts w:hint="eastAsia" w:ascii="宋体" w:hAnsi="宋体"/>
          <w:b/>
          <w:color w:val="000000" w:themeColor="text1"/>
          <w:sz w:val="24"/>
          <w:highlight w:val="none"/>
          <w14:textFill>
            <w14:solidFill>
              <w14:schemeClr w14:val="tx1"/>
            </w14:solidFill>
          </w14:textFill>
        </w:rPr>
        <w:t>4. 开标一览表（货物类格式）</w:t>
      </w:r>
    </w:p>
    <w:p w14:paraId="237B9795">
      <w:pPr>
        <w:spacing w:before="50" w:after="50"/>
        <w:jc w:val="center"/>
        <w:rPr>
          <w:rFonts w:ascii="宋体" w:hAnsi="宋体"/>
          <w:b/>
          <w:color w:val="000000" w:themeColor="text1"/>
          <w:sz w:val="30"/>
          <w:highlight w:val="none"/>
          <w14:textFill>
            <w14:solidFill>
              <w14:schemeClr w14:val="tx1"/>
            </w14:solidFill>
          </w14:textFill>
        </w:rPr>
      </w:pPr>
      <w:r>
        <w:rPr>
          <w:rFonts w:hint="eastAsia" w:ascii="宋体" w:hAnsi="宋体"/>
          <w:b/>
          <w:color w:val="000000" w:themeColor="text1"/>
          <w:sz w:val="30"/>
          <w:highlight w:val="none"/>
          <w14:textFill>
            <w14:solidFill>
              <w14:schemeClr w14:val="tx1"/>
            </w14:solidFill>
          </w14:textFill>
        </w:rPr>
        <w:t>开标一览表</w:t>
      </w:r>
    </w:p>
    <w:p w14:paraId="7378FC8C">
      <w:pPr>
        <w:spacing w:before="50" w:after="50"/>
        <w:jc w:val="center"/>
        <w:rPr>
          <w:rFonts w:ascii="宋体" w:hAnsi="宋体"/>
          <w:b/>
          <w:color w:val="000000" w:themeColor="text1"/>
          <w:sz w:val="30"/>
          <w:szCs w:val="20"/>
          <w:highlight w:val="none"/>
          <w14:textFill>
            <w14:solidFill>
              <w14:schemeClr w14:val="tx1"/>
            </w14:solidFill>
          </w14:textFill>
        </w:rPr>
      </w:pPr>
    </w:p>
    <w:p w14:paraId="0CB62419">
      <w:pPr>
        <w:spacing w:before="50" w:after="50" w:line="360" w:lineRule="auto"/>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项目名称：                        项目编号：            分标：</w:t>
      </w:r>
    </w:p>
    <w:p w14:paraId="7C69C4E5">
      <w:pPr>
        <w:spacing w:before="50" w:after="50"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投标人名称：                       单位：元</w:t>
      </w:r>
    </w:p>
    <w:tbl>
      <w:tblPr>
        <w:tblStyle w:val="50"/>
        <w:tblW w:w="5662"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75"/>
        <w:gridCol w:w="1147"/>
        <w:gridCol w:w="675"/>
        <w:gridCol w:w="1147"/>
        <w:gridCol w:w="1231"/>
        <w:gridCol w:w="898"/>
        <w:gridCol w:w="1624"/>
        <w:gridCol w:w="2222"/>
      </w:tblGrid>
      <w:tr w14:paraId="178A2E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351" w:type="pct"/>
            <w:tcBorders>
              <w:top w:val="single" w:color="auto" w:sz="4" w:space="0"/>
              <w:left w:val="single" w:color="auto" w:sz="4" w:space="0"/>
              <w:bottom w:val="single" w:color="auto" w:sz="4" w:space="0"/>
              <w:right w:val="single" w:color="auto" w:sz="4" w:space="0"/>
            </w:tcBorders>
            <w:noWrap/>
            <w:vAlign w:val="center"/>
          </w:tcPr>
          <w:p w14:paraId="469781EB">
            <w:pPr>
              <w:spacing w:before="50" w:after="50"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序号</w:t>
            </w:r>
          </w:p>
        </w:tc>
        <w:tc>
          <w:tcPr>
            <w:tcW w:w="596" w:type="pct"/>
            <w:tcBorders>
              <w:top w:val="single" w:color="auto" w:sz="4" w:space="0"/>
              <w:left w:val="single" w:color="auto" w:sz="4" w:space="0"/>
              <w:bottom w:val="single" w:color="auto" w:sz="4" w:space="0"/>
              <w:right w:val="single" w:color="auto" w:sz="4" w:space="0"/>
            </w:tcBorders>
            <w:noWrap/>
            <w:vAlign w:val="center"/>
          </w:tcPr>
          <w:p w14:paraId="18CE4756">
            <w:pPr>
              <w:spacing w:before="50" w:after="50"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标的名称</w:t>
            </w:r>
          </w:p>
        </w:tc>
        <w:tc>
          <w:tcPr>
            <w:tcW w:w="351" w:type="pct"/>
            <w:tcBorders>
              <w:top w:val="single" w:color="auto" w:sz="4" w:space="0"/>
              <w:left w:val="single" w:color="auto" w:sz="4" w:space="0"/>
              <w:bottom w:val="single" w:color="auto" w:sz="4" w:space="0"/>
              <w:right w:val="single" w:color="auto" w:sz="4" w:space="0"/>
            </w:tcBorders>
            <w:noWrap/>
            <w:vAlign w:val="center"/>
          </w:tcPr>
          <w:p w14:paraId="740FCD86">
            <w:pPr>
              <w:spacing w:before="50" w:after="50"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品牌</w:t>
            </w:r>
          </w:p>
        </w:tc>
        <w:tc>
          <w:tcPr>
            <w:tcW w:w="596" w:type="pct"/>
            <w:tcBorders>
              <w:top w:val="single" w:color="auto" w:sz="4" w:space="0"/>
              <w:left w:val="single" w:color="auto" w:sz="4" w:space="0"/>
              <w:bottom w:val="single" w:color="auto" w:sz="4" w:space="0"/>
              <w:right w:val="single" w:color="auto" w:sz="4" w:space="0"/>
            </w:tcBorders>
            <w:noWrap/>
            <w:vAlign w:val="center"/>
          </w:tcPr>
          <w:p w14:paraId="2225452E">
            <w:pPr>
              <w:spacing w:before="50" w:after="50"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规格型号</w:t>
            </w:r>
          </w:p>
        </w:tc>
        <w:tc>
          <w:tcPr>
            <w:tcW w:w="640" w:type="pct"/>
            <w:tcBorders>
              <w:top w:val="single" w:color="auto" w:sz="4" w:space="0"/>
              <w:left w:val="single" w:color="auto" w:sz="4" w:space="0"/>
              <w:bottom w:val="single" w:color="auto" w:sz="4" w:space="0"/>
              <w:right w:val="single" w:color="auto" w:sz="4" w:space="0"/>
            </w:tcBorders>
            <w:noWrap/>
            <w:vAlign w:val="center"/>
          </w:tcPr>
          <w:p w14:paraId="1BC52034">
            <w:pPr>
              <w:spacing w:before="50" w:after="50"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数量及单位①</w:t>
            </w:r>
          </w:p>
        </w:tc>
        <w:tc>
          <w:tcPr>
            <w:tcW w:w="467" w:type="pct"/>
            <w:tcBorders>
              <w:top w:val="single" w:color="auto" w:sz="4" w:space="0"/>
              <w:left w:val="single" w:color="auto" w:sz="4" w:space="0"/>
              <w:bottom w:val="single" w:color="auto" w:sz="4" w:space="0"/>
              <w:right w:val="single" w:color="auto" w:sz="4" w:space="0"/>
            </w:tcBorders>
            <w:noWrap/>
            <w:vAlign w:val="center"/>
          </w:tcPr>
          <w:p w14:paraId="7499FF9A">
            <w:pPr>
              <w:spacing w:before="50" w:after="50"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单价</w:t>
            </w:r>
          </w:p>
          <w:p w14:paraId="1029A7A3">
            <w:pPr>
              <w:spacing w:before="50" w:after="50"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②</w:t>
            </w:r>
          </w:p>
        </w:tc>
        <w:tc>
          <w:tcPr>
            <w:tcW w:w="844" w:type="pct"/>
            <w:tcBorders>
              <w:top w:val="single" w:color="auto" w:sz="4" w:space="0"/>
              <w:left w:val="single" w:color="auto" w:sz="4" w:space="0"/>
              <w:bottom w:val="single" w:color="auto" w:sz="4" w:space="0"/>
              <w:right w:val="single" w:color="auto" w:sz="4" w:space="0"/>
            </w:tcBorders>
            <w:noWrap/>
            <w:vAlign w:val="center"/>
          </w:tcPr>
          <w:p w14:paraId="390A4A1B">
            <w:pPr>
              <w:spacing w:before="50" w:after="50"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投标报价</w:t>
            </w:r>
          </w:p>
          <w:p w14:paraId="3BD909FA">
            <w:pPr>
              <w:spacing w:before="50" w:after="50" w:line="360" w:lineRule="auto"/>
              <w:jc w:val="center"/>
              <w:rPr>
                <w:rFonts w:ascii="宋体" w:hAnsi="宋体"/>
                <w:b/>
                <w:color w:val="000000" w:themeColor="text1"/>
                <w:sz w:val="24"/>
                <w:highlight w:val="none"/>
                <w14:textFill>
                  <w14:solidFill>
                    <w14:schemeClr w14:val="tx1"/>
                  </w14:solidFill>
                </w14:textFill>
              </w:rPr>
            </w:pPr>
            <w:r>
              <w:rPr>
                <w:rFonts w:ascii="宋体" w:hAnsi="宋体"/>
                <w:b/>
                <w:color w:val="000000" w:themeColor="text1"/>
                <w:sz w:val="24"/>
                <w:highlight w:val="none"/>
                <w14:textFill>
                  <w14:solidFill>
                    <w14:schemeClr w14:val="tx1"/>
                  </w14:solidFill>
                </w14:textFill>
              </w:rPr>
              <w:t>③</w:t>
            </w:r>
            <w:r>
              <w:rPr>
                <w:rFonts w:hint="eastAsia" w:ascii="宋体" w:hAnsi="宋体"/>
                <w:b/>
                <w:color w:val="000000" w:themeColor="text1"/>
                <w:sz w:val="24"/>
                <w:highlight w:val="none"/>
                <w14:textFill>
                  <w14:solidFill>
                    <w14:schemeClr w14:val="tx1"/>
                  </w14:solidFill>
                </w14:textFill>
              </w:rPr>
              <w:t>=①×②</w:t>
            </w:r>
          </w:p>
        </w:tc>
        <w:tc>
          <w:tcPr>
            <w:tcW w:w="1149" w:type="pct"/>
            <w:tcBorders>
              <w:top w:val="single" w:color="auto" w:sz="4" w:space="0"/>
              <w:left w:val="single" w:color="auto" w:sz="4" w:space="0"/>
              <w:bottom w:val="single" w:color="auto" w:sz="4" w:space="0"/>
              <w:right w:val="single" w:color="auto" w:sz="4" w:space="0"/>
            </w:tcBorders>
            <w:noWrap/>
          </w:tcPr>
          <w:p w14:paraId="5EAB0722">
            <w:pPr>
              <w:spacing w:before="50" w:after="50"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备注</w:t>
            </w:r>
          </w:p>
        </w:tc>
      </w:tr>
      <w:tr w14:paraId="6FAE58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351" w:type="pct"/>
            <w:tcBorders>
              <w:top w:val="single" w:color="auto" w:sz="4" w:space="0"/>
              <w:left w:val="single" w:color="auto" w:sz="4" w:space="0"/>
              <w:bottom w:val="single" w:color="auto" w:sz="4" w:space="0"/>
              <w:right w:val="single" w:color="auto" w:sz="4" w:space="0"/>
            </w:tcBorders>
            <w:noWrap/>
            <w:vAlign w:val="center"/>
          </w:tcPr>
          <w:p w14:paraId="19097064">
            <w:pPr>
              <w:spacing w:before="50" w:after="50"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1</w:t>
            </w:r>
          </w:p>
        </w:tc>
        <w:tc>
          <w:tcPr>
            <w:tcW w:w="596" w:type="pct"/>
            <w:tcBorders>
              <w:top w:val="single" w:color="auto" w:sz="4" w:space="0"/>
              <w:left w:val="single" w:color="auto" w:sz="4" w:space="0"/>
              <w:bottom w:val="single" w:color="auto" w:sz="4" w:space="0"/>
              <w:right w:val="single" w:color="auto" w:sz="4" w:space="0"/>
            </w:tcBorders>
            <w:noWrap/>
            <w:vAlign w:val="center"/>
          </w:tcPr>
          <w:p w14:paraId="44763E87">
            <w:pPr>
              <w:spacing w:before="50" w:after="50" w:line="360" w:lineRule="auto"/>
              <w:jc w:val="center"/>
              <w:rPr>
                <w:rFonts w:ascii="宋体" w:hAnsi="宋体"/>
                <w:color w:val="000000" w:themeColor="text1"/>
                <w:sz w:val="24"/>
                <w:highlight w:val="none"/>
                <w14:textFill>
                  <w14:solidFill>
                    <w14:schemeClr w14:val="tx1"/>
                  </w14:solidFill>
                </w14:textFill>
              </w:rPr>
            </w:pPr>
          </w:p>
        </w:tc>
        <w:tc>
          <w:tcPr>
            <w:tcW w:w="351" w:type="pct"/>
            <w:tcBorders>
              <w:top w:val="single" w:color="auto" w:sz="4" w:space="0"/>
              <w:left w:val="single" w:color="auto" w:sz="4" w:space="0"/>
              <w:bottom w:val="single" w:color="auto" w:sz="4" w:space="0"/>
              <w:right w:val="single" w:color="auto" w:sz="4" w:space="0"/>
            </w:tcBorders>
            <w:noWrap/>
            <w:vAlign w:val="center"/>
          </w:tcPr>
          <w:p w14:paraId="6497EC5E">
            <w:pPr>
              <w:spacing w:before="50" w:after="50" w:line="360" w:lineRule="auto"/>
              <w:rPr>
                <w:rFonts w:ascii="宋体" w:hAnsi="宋体"/>
                <w:color w:val="000000" w:themeColor="text1"/>
                <w:sz w:val="24"/>
                <w:highlight w:val="none"/>
                <w14:textFill>
                  <w14:solidFill>
                    <w14:schemeClr w14:val="tx1"/>
                  </w14:solidFill>
                </w14:textFill>
              </w:rPr>
            </w:pPr>
          </w:p>
        </w:tc>
        <w:tc>
          <w:tcPr>
            <w:tcW w:w="596" w:type="pct"/>
            <w:tcBorders>
              <w:top w:val="single" w:color="auto" w:sz="4" w:space="0"/>
              <w:left w:val="single" w:color="auto" w:sz="4" w:space="0"/>
              <w:bottom w:val="single" w:color="auto" w:sz="4" w:space="0"/>
              <w:right w:val="single" w:color="auto" w:sz="4" w:space="0"/>
            </w:tcBorders>
            <w:noWrap/>
          </w:tcPr>
          <w:p w14:paraId="37E1975D">
            <w:pPr>
              <w:spacing w:before="50" w:after="50" w:line="360" w:lineRule="auto"/>
              <w:rPr>
                <w:rFonts w:ascii="宋体" w:hAnsi="宋体"/>
                <w:color w:val="000000" w:themeColor="text1"/>
                <w:sz w:val="24"/>
                <w:highlight w:val="none"/>
                <w14:textFill>
                  <w14:solidFill>
                    <w14:schemeClr w14:val="tx1"/>
                  </w14:solidFill>
                </w14:textFill>
              </w:rPr>
            </w:pPr>
          </w:p>
        </w:tc>
        <w:tc>
          <w:tcPr>
            <w:tcW w:w="640" w:type="pct"/>
            <w:tcBorders>
              <w:top w:val="single" w:color="auto" w:sz="4" w:space="0"/>
              <w:left w:val="single" w:color="auto" w:sz="4" w:space="0"/>
              <w:bottom w:val="single" w:color="auto" w:sz="4" w:space="0"/>
              <w:right w:val="single" w:color="auto" w:sz="4" w:space="0"/>
            </w:tcBorders>
            <w:noWrap/>
            <w:vAlign w:val="center"/>
          </w:tcPr>
          <w:p w14:paraId="6A1F8E22">
            <w:pPr>
              <w:spacing w:before="50" w:after="50" w:line="360" w:lineRule="auto"/>
              <w:rPr>
                <w:rFonts w:ascii="宋体" w:hAnsi="宋体"/>
                <w:color w:val="000000" w:themeColor="text1"/>
                <w:sz w:val="24"/>
                <w:highlight w:val="none"/>
                <w14:textFill>
                  <w14:solidFill>
                    <w14:schemeClr w14:val="tx1"/>
                  </w14:solidFill>
                </w14:textFill>
              </w:rPr>
            </w:pPr>
          </w:p>
        </w:tc>
        <w:tc>
          <w:tcPr>
            <w:tcW w:w="467" w:type="pct"/>
            <w:tcBorders>
              <w:top w:val="single" w:color="auto" w:sz="4" w:space="0"/>
              <w:left w:val="single" w:color="auto" w:sz="4" w:space="0"/>
              <w:bottom w:val="single" w:color="auto" w:sz="4" w:space="0"/>
              <w:right w:val="single" w:color="auto" w:sz="4" w:space="0"/>
            </w:tcBorders>
            <w:noWrap/>
            <w:vAlign w:val="center"/>
          </w:tcPr>
          <w:p w14:paraId="2FE3985C">
            <w:pPr>
              <w:spacing w:before="50" w:after="50" w:line="360" w:lineRule="auto"/>
              <w:rPr>
                <w:rFonts w:ascii="宋体" w:hAnsi="宋体"/>
                <w:color w:val="000000" w:themeColor="text1"/>
                <w:sz w:val="24"/>
                <w:highlight w:val="none"/>
                <w14:textFill>
                  <w14:solidFill>
                    <w14:schemeClr w14:val="tx1"/>
                  </w14:solidFill>
                </w14:textFill>
              </w:rPr>
            </w:pPr>
          </w:p>
        </w:tc>
        <w:tc>
          <w:tcPr>
            <w:tcW w:w="844" w:type="pct"/>
            <w:tcBorders>
              <w:top w:val="single" w:color="auto" w:sz="4" w:space="0"/>
              <w:left w:val="single" w:color="auto" w:sz="4" w:space="0"/>
              <w:bottom w:val="single" w:color="auto" w:sz="4" w:space="0"/>
              <w:right w:val="single" w:color="auto" w:sz="4" w:space="0"/>
            </w:tcBorders>
            <w:noWrap/>
            <w:vAlign w:val="center"/>
          </w:tcPr>
          <w:p w14:paraId="4C94B5A6">
            <w:pPr>
              <w:spacing w:before="50" w:after="50" w:line="360" w:lineRule="auto"/>
              <w:rPr>
                <w:rFonts w:ascii="宋体" w:hAnsi="宋体"/>
                <w:color w:val="000000" w:themeColor="text1"/>
                <w:sz w:val="24"/>
                <w:highlight w:val="none"/>
                <w14:textFill>
                  <w14:solidFill>
                    <w14:schemeClr w14:val="tx1"/>
                  </w14:solidFill>
                </w14:textFill>
              </w:rPr>
            </w:pPr>
          </w:p>
        </w:tc>
        <w:tc>
          <w:tcPr>
            <w:tcW w:w="1149" w:type="pct"/>
            <w:tcBorders>
              <w:top w:val="single" w:color="auto" w:sz="4" w:space="0"/>
              <w:left w:val="single" w:color="auto" w:sz="4" w:space="0"/>
              <w:bottom w:val="single" w:color="auto" w:sz="4" w:space="0"/>
              <w:right w:val="single" w:color="auto" w:sz="4" w:space="0"/>
            </w:tcBorders>
            <w:noWrap/>
          </w:tcPr>
          <w:p w14:paraId="4C9C9533">
            <w:pPr>
              <w:spacing w:before="50" w:after="50" w:line="360" w:lineRule="auto"/>
              <w:rPr>
                <w:rFonts w:ascii="宋体" w:hAnsi="宋体"/>
                <w:color w:val="000000" w:themeColor="text1"/>
                <w:sz w:val="24"/>
                <w:highlight w:val="none"/>
                <w14:textFill>
                  <w14:solidFill>
                    <w14:schemeClr w14:val="tx1"/>
                  </w14:solidFill>
                </w14:textFill>
              </w:rPr>
            </w:pPr>
          </w:p>
        </w:tc>
      </w:tr>
      <w:tr w14:paraId="049C5D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2" w:hRule="atLeast"/>
          <w:jc w:val="center"/>
        </w:trPr>
        <w:tc>
          <w:tcPr>
            <w:tcW w:w="351" w:type="pct"/>
            <w:tcBorders>
              <w:top w:val="single" w:color="auto" w:sz="4" w:space="0"/>
              <w:left w:val="single" w:color="auto" w:sz="4" w:space="0"/>
              <w:bottom w:val="single" w:color="auto" w:sz="4" w:space="0"/>
              <w:right w:val="single" w:color="auto" w:sz="4" w:space="0"/>
            </w:tcBorders>
            <w:noWrap/>
            <w:vAlign w:val="center"/>
          </w:tcPr>
          <w:p w14:paraId="36EBBA98">
            <w:pPr>
              <w:spacing w:before="50" w:after="50"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2</w:t>
            </w:r>
          </w:p>
        </w:tc>
        <w:tc>
          <w:tcPr>
            <w:tcW w:w="596" w:type="pct"/>
            <w:tcBorders>
              <w:top w:val="single" w:color="auto" w:sz="4" w:space="0"/>
              <w:left w:val="single" w:color="auto" w:sz="4" w:space="0"/>
              <w:bottom w:val="single" w:color="auto" w:sz="4" w:space="0"/>
              <w:right w:val="single" w:color="auto" w:sz="4" w:space="0"/>
            </w:tcBorders>
            <w:noWrap/>
            <w:vAlign w:val="center"/>
          </w:tcPr>
          <w:p w14:paraId="3BE92201">
            <w:pPr>
              <w:spacing w:before="50" w:after="50" w:line="360" w:lineRule="auto"/>
              <w:jc w:val="center"/>
              <w:rPr>
                <w:rFonts w:ascii="宋体" w:hAnsi="宋体"/>
                <w:b/>
                <w:color w:val="000000" w:themeColor="text1"/>
                <w:sz w:val="24"/>
                <w:highlight w:val="none"/>
                <w14:textFill>
                  <w14:solidFill>
                    <w14:schemeClr w14:val="tx1"/>
                  </w14:solidFill>
                </w14:textFill>
              </w:rPr>
            </w:pPr>
          </w:p>
        </w:tc>
        <w:tc>
          <w:tcPr>
            <w:tcW w:w="351" w:type="pct"/>
            <w:tcBorders>
              <w:top w:val="single" w:color="auto" w:sz="4" w:space="0"/>
              <w:left w:val="single" w:color="auto" w:sz="4" w:space="0"/>
              <w:bottom w:val="single" w:color="auto" w:sz="4" w:space="0"/>
              <w:right w:val="single" w:color="auto" w:sz="4" w:space="0"/>
            </w:tcBorders>
            <w:noWrap/>
            <w:vAlign w:val="center"/>
          </w:tcPr>
          <w:p w14:paraId="0525200F">
            <w:pPr>
              <w:spacing w:before="50" w:after="50" w:line="360" w:lineRule="auto"/>
              <w:rPr>
                <w:rFonts w:ascii="宋体" w:hAnsi="宋体"/>
                <w:color w:val="000000" w:themeColor="text1"/>
                <w:sz w:val="24"/>
                <w:highlight w:val="none"/>
                <w14:textFill>
                  <w14:solidFill>
                    <w14:schemeClr w14:val="tx1"/>
                  </w14:solidFill>
                </w14:textFill>
              </w:rPr>
            </w:pPr>
          </w:p>
        </w:tc>
        <w:tc>
          <w:tcPr>
            <w:tcW w:w="596" w:type="pct"/>
            <w:tcBorders>
              <w:top w:val="single" w:color="auto" w:sz="4" w:space="0"/>
              <w:left w:val="single" w:color="auto" w:sz="4" w:space="0"/>
              <w:bottom w:val="single" w:color="auto" w:sz="4" w:space="0"/>
              <w:right w:val="single" w:color="auto" w:sz="4" w:space="0"/>
            </w:tcBorders>
            <w:noWrap/>
          </w:tcPr>
          <w:p w14:paraId="449B71F1">
            <w:pPr>
              <w:spacing w:before="50" w:after="50" w:line="360" w:lineRule="auto"/>
              <w:rPr>
                <w:rFonts w:ascii="宋体" w:hAnsi="宋体"/>
                <w:color w:val="000000" w:themeColor="text1"/>
                <w:sz w:val="24"/>
                <w:highlight w:val="none"/>
                <w14:textFill>
                  <w14:solidFill>
                    <w14:schemeClr w14:val="tx1"/>
                  </w14:solidFill>
                </w14:textFill>
              </w:rPr>
            </w:pPr>
          </w:p>
        </w:tc>
        <w:tc>
          <w:tcPr>
            <w:tcW w:w="640" w:type="pct"/>
            <w:tcBorders>
              <w:top w:val="single" w:color="auto" w:sz="4" w:space="0"/>
              <w:left w:val="single" w:color="auto" w:sz="4" w:space="0"/>
              <w:bottom w:val="single" w:color="auto" w:sz="4" w:space="0"/>
              <w:right w:val="single" w:color="auto" w:sz="4" w:space="0"/>
            </w:tcBorders>
            <w:noWrap/>
            <w:vAlign w:val="center"/>
          </w:tcPr>
          <w:p w14:paraId="44DDFF7D">
            <w:pPr>
              <w:spacing w:before="50" w:after="50" w:line="360" w:lineRule="auto"/>
              <w:rPr>
                <w:rFonts w:ascii="宋体" w:hAnsi="宋体"/>
                <w:color w:val="000000" w:themeColor="text1"/>
                <w:sz w:val="24"/>
                <w:highlight w:val="none"/>
                <w14:textFill>
                  <w14:solidFill>
                    <w14:schemeClr w14:val="tx1"/>
                  </w14:solidFill>
                </w14:textFill>
              </w:rPr>
            </w:pPr>
          </w:p>
        </w:tc>
        <w:tc>
          <w:tcPr>
            <w:tcW w:w="467" w:type="pct"/>
            <w:tcBorders>
              <w:top w:val="single" w:color="auto" w:sz="4" w:space="0"/>
              <w:left w:val="single" w:color="auto" w:sz="4" w:space="0"/>
              <w:bottom w:val="single" w:color="auto" w:sz="4" w:space="0"/>
              <w:right w:val="single" w:color="auto" w:sz="4" w:space="0"/>
            </w:tcBorders>
            <w:noWrap/>
            <w:vAlign w:val="center"/>
          </w:tcPr>
          <w:p w14:paraId="1C8E857A">
            <w:pPr>
              <w:spacing w:before="50" w:after="50" w:line="360" w:lineRule="auto"/>
              <w:rPr>
                <w:rFonts w:ascii="宋体" w:hAnsi="宋体"/>
                <w:color w:val="000000" w:themeColor="text1"/>
                <w:sz w:val="24"/>
                <w:highlight w:val="none"/>
                <w14:textFill>
                  <w14:solidFill>
                    <w14:schemeClr w14:val="tx1"/>
                  </w14:solidFill>
                </w14:textFill>
              </w:rPr>
            </w:pPr>
          </w:p>
        </w:tc>
        <w:tc>
          <w:tcPr>
            <w:tcW w:w="844" w:type="pct"/>
            <w:tcBorders>
              <w:top w:val="single" w:color="auto" w:sz="4" w:space="0"/>
              <w:left w:val="single" w:color="auto" w:sz="4" w:space="0"/>
              <w:bottom w:val="single" w:color="auto" w:sz="4" w:space="0"/>
              <w:right w:val="single" w:color="auto" w:sz="4" w:space="0"/>
            </w:tcBorders>
            <w:noWrap/>
            <w:vAlign w:val="center"/>
          </w:tcPr>
          <w:p w14:paraId="53401AA2">
            <w:pPr>
              <w:spacing w:before="50" w:after="50" w:line="360" w:lineRule="auto"/>
              <w:rPr>
                <w:rFonts w:ascii="宋体" w:hAnsi="宋体"/>
                <w:color w:val="000000" w:themeColor="text1"/>
                <w:sz w:val="24"/>
                <w:highlight w:val="none"/>
                <w14:textFill>
                  <w14:solidFill>
                    <w14:schemeClr w14:val="tx1"/>
                  </w14:solidFill>
                </w14:textFill>
              </w:rPr>
            </w:pPr>
          </w:p>
        </w:tc>
        <w:tc>
          <w:tcPr>
            <w:tcW w:w="1149" w:type="pct"/>
            <w:tcBorders>
              <w:top w:val="single" w:color="auto" w:sz="4" w:space="0"/>
              <w:left w:val="single" w:color="auto" w:sz="4" w:space="0"/>
              <w:bottom w:val="single" w:color="auto" w:sz="4" w:space="0"/>
              <w:right w:val="single" w:color="auto" w:sz="4" w:space="0"/>
            </w:tcBorders>
            <w:noWrap/>
          </w:tcPr>
          <w:p w14:paraId="282BAB23">
            <w:pPr>
              <w:spacing w:before="50" w:after="50" w:line="360" w:lineRule="auto"/>
              <w:rPr>
                <w:rFonts w:ascii="宋体" w:hAnsi="宋体"/>
                <w:color w:val="000000" w:themeColor="text1"/>
                <w:sz w:val="24"/>
                <w:highlight w:val="none"/>
                <w14:textFill>
                  <w14:solidFill>
                    <w14:schemeClr w14:val="tx1"/>
                  </w14:solidFill>
                </w14:textFill>
              </w:rPr>
            </w:pPr>
          </w:p>
        </w:tc>
      </w:tr>
      <w:tr w14:paraId="44A87E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9" w:hRule="atLeast"/>
          <w:jc w:val="center"/>
        </w:trPr>
        <w:tc>
          <w:tcPr>
            <w:tcW w:w="351" w:type="pct"/>
            <w:tcBorders>
              <w:top w:val="single" w:color="auto" w:sz="4" w:space="0"/>
              <w:left w:val="single" w:color="auto" w:sz="4" w:space="0"/>
              <w:bottom w:val="single" w:color="auto" w:sz="4" w:space="0"/>
              <w:right w:val="single" w:color="auto" w:sz="4" w:space="0"/>
            </w:tcBorders>
            <w:noWrap/>
            <w:vAlign w:val="center"/>
          </w:tcPr>
          <w:p w14:paraId="10F5CEB3">
            <w:pPr>
              <w:spacing w:before="50" w:after="50"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w:t>
            </w:r>
          </w:p>
        </w:tc>
        <w:tc>
          <w:tcPr>
            <w:tcW w:w="596" w:type="pct"/>
            <w:tcBorders>
              <w:top w:val="single" w:color="auto" w:sz="4" w:space="0"/>
              <w:left w:val="single" w:color="auto" w:sz="4" w:space="0"/>
              <w:bottom w:val="single" w:color="auto" w:sz="4" w:space="0"/>
              <w:right w:val="single" w:color="auto" w:sz="4" w:space="0"/>
            </w:tcBorders>
            <w:noWrap/>
            <w:vAlign w:val="center"/>
          </w:tcPr>
          <w:p w14:paraId="39CDE610">
            <w:pPr>
              <w:spacing w:before="50" w:after="50"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w:t>
            </w:r>
          </w:p>
        </w:tc>
        <w:tc>
          <w:tcPr>
            <w:tcW w:w="351" w:type="pct"/>
            <w:tcBorders>
              <w:top w:val="single" w:color="auto" w:sz="4" w:space="0"/>
              <w:left w:val="single" w:color="auto" w:sz="4" w:space="0"/>
              <w:bottom w:val="single" w:color="auto" w:sz="4" w:space="0"/>
              <w:right w:val="single" w:color="auto" w:sz="4" w:space="0"/>
            </w:tcBorders>
            <w:noWrap/>
            <w:vAlign w:val="center"/>
          </w:tcPr>
          <w:p w14:paraId="1A12D1FC">
            <w:pPr>
              <w:spacing w:before="50" w:after="50" w:line="360" w:lineRule="auto"/>
              <w:rPr>
                <w:rFonts w:ascii="宋体" w:hAnsi="宋体"/>
                <w:color w:val="000000" w:themeColor="text1"/>
                <w:sz w:val="24"/>
                <w:highlight w:val="none"/>
                <w14:textFill>
                  <w14:solidFill>
                    <w14:schemeClr w14:val="tx1"/>
                  </w14:solidFill>
                </w14:textFill>
              </w:rPr>
            </w:pPr>
          </w:p>
        </w:tc>
        <w:tc>
          <w:tcPr>
            <w:tcW w:w="596" w:type="pct"/>
            <w:tcBorders>
              <w:top w:val="single" w:color="auto" w:sz="4" w:space="0"/>
              <w:left w:val="single" w:color="auto" w:sz="4" w:space="0"/>
              <w:bottom w:val="single" w:color="auto" w:sz="4" w:space="0"/>
              <w:right w:val="single" w:color="auto" w:sz="4" w:space="0"/>
            </w:tcBorders>
            <w:noWrap/>
          </w:tcPr>
          <w:p w14:paraId="64602D69">
            <w:pPr>
              <w:spacing w:before="50" w:after="50" w:line="360" w:lineRule="auto"/>
              <w:rPr>
                <w:rFonts w:ascii="宋体" w:hAnsi="宋体"/>
                <w:color w:val="000000" w:themeColor="text1"/>
                <w:sz w:val="24"/>
                <w:highlight w:val="none"/>
                <w14:textFill>
                  <w14:solidFill>
                    <w14:schemeClr w14:val="tx1"/>
                  </w14:solidFill>
                </w14:textFill>
              </w:rPr>
            </w:pPr>
          </w:p>
        </w:tc>
        <w:tc>
          <w:tcPr>
            <w:tcW w:w="640" w:type="pct"/>
            <w:tcBorders>
              <w:top w:val="single" w:color="auto" w:sz="4" w:space="0"/>
              <w:left w:val="single" w:color="auto" w:sz="4" w:space="0"/>
              <w:bottom w:val="single" w:color="auto" w:sz="4" w:space="0"/>
              <w:right w:val="single" w:color="auto" w:sz="4" w:space="0"/>
            </w:tcBorders>
            <w:noWrap/>
            <w:vAlign w:val="center"/>
          </w:tcPr>
          <w:p w14:paraId="61E0E451">
            <w:pPr>
              <w:spacing w:before="50" w:after="50" w:line="360" w:lineRule="auto"/>
              <w:rPr>
                <w:rFonts w:ascii="宋体" w:hAnsi="宋体"/>
                <w:color w:val="000000" w:themeColor="text1"/>
                <w:sz w:val="24"/>
                <w:highlight w:val="none"/>
                <w14:textFill>
                  <w14:solidFill>
                    <w14:schemeClr w14:val="tx1"/>
                  </w14:solidFill>
                </w14:textFill>
              </w:rPr>
            </w:pPr>
          </w:p>
        </w:tc>
        <w:tc>
          <w:tcPr>
            <w:tcW w:w="467" w:type="pct"/>
            <w:tcBorders>
              <w:top w:val="single" w:color="auto" w:sz="4" w:space="0"/>
              <w:left w:val="single" w:color="auto" w:sz="4" w:space="0"/>
              <w:bottom w:val="single" w:color="auto" w:sz="4" w:space="0"/>
              <w:right w:val="single" w:color="auto" w:sz="4" w:space="0"/>
            </w:tcBorders>
            <w:noWrap/>
            <w:vAlign w:val="center"/>
          </w:tcPr>
          <w:p w14:paraId="0A2561E3">
            <w:pPr>
              <w:spacing w:before="50" w:after="50" w:line="360" w:lineRule="auto"/>
              <w:rPr>
                <w:rFonts w:ascii="宋体" w:hAnsi="宋体"/>
                <w:color w:val="000000" w:themeColor="text1"/>
                <w:sz w:val="24"/>
                <w:highlight w:val="none"/>
                <w14:textFill>
                  <w14:solidFill>
                    <w14:schemeClr w14:val="tx1"/>
                  </w14:solidFill>
                </w14:textFill>
              </w:rPr>
            </w:pPr>
          </w:p>
        </w:tc>
        <w:tc>
          <w:tcPr>
            <w:tcW w:w="844" w:type="pct"/>
            <w:tcBorders>
              <w:top w:val="single" w:color="auto" w:sz="4" w:space="0"/>
              <w:left w:val="single" w:color="auto" w:sz="4" w:space="0"/>
              <w:bottom w:val="single" w:color="auto" w:sz="4" w:space="0"/>
              <w:right w:val="single" w:color="auto" w:sz="4" w:space="0"/>
            </w:tcBorders>
            <w:noWrap/>
            <w:vAlign w:val="center"/>
          </w:tcPr>
          <w:p w14:paraId="00AA7DA5">
            <w:pPr>
              <w:spacing w:before="50" w:after="50" w:line="360" w:lineRule="auto"/>
              <w:rPr>
                <w:rFonts w:ascii="宋体" w:hAnsi="宋体"/>
                <w:color w:val="000000" w:themeColor="text1"/>
                <w:sz w:val="24"/>
                <w:highlight w:val="none"/>
                <w14:textFill>
                  <w14:solidFill>
                    <w14:schemeClr w14:val="tx1"/>
                  </w14:solidFill>
                </w14:textFill>
              </w:rPr>
            </w:pPr>
          </w:p>
        </w:tc>
        <w:tc>
          <w:tcPr>
            <w:tcW w:w="1149" w:type="pct"/>
            <w:tcBorders>
              <w:top w:val="single" w:color="auto" w:sz="4" w:space="0"/>
              <w:left w:val="single" w:color="auto" w:sz="4" w:space="0"/>
              <w:bottom w:val="single" w:color="auto" w:sz="4" w:space="0"/>
              <w:right w:val="single" w:color="auto" w:sz="4" w:space="0"/>
            </w:tcBorders>
            <w:noWrap/>
          </w:tcPr>
          <w:p w14:paraId="6359EFFB">
            <w:pPr>
              <w:spacing w:before="50" w:after="50" w:line="360" w:lineRule="auto"/>
              <w:rPr>
                <w:rFonts w:ascii="宋体" w:hAnsi="宋体"/>
                <w:color w:val="000000" w:themeColor="text1"/>
                <w:sz w:val="24"/>
                <w:highlight w:val="none"/>
                <w14:textFill>
                  <w14:solidFill>
                    <w14:schemeClr w14:val="tx1"/>
                  </w14:solidFill>
                </w14:textFill>
              </w:rPr>
            </w:pPr>
          </w:p>
        </w:tc>
      </w:tr>
      <w:tr w14:paraId="0D6959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9" w:hRule="atLeast"/>
          <w:jc w:val="center"/>
        </w:trPr>
        <w:tc>
          <w:tcPr>
            <w:tcW w:w="5000" w:type="pct"/>
            <w:gridSpan w:val="8"/>
            <w:tcBorders>
              <w:top w:val="single" w:color="auto" w:sz="4" w:space="0"/>
              <w:left w:val="single" w:color="auto" w:sz="4" w:space="0"/>
              <w:bottom w:val="single" w:color="auto" w:sz="4" w:space="0"/>
              <w:right w:val="single" w:color="auto" w:sz="4" w:space="0"/>
            </w:tcBorders>
            <w:noWrap/>
            <w:vAlign w:val="center"/>
          </w:tcPr>
          <w:p w14:paraId="5D51E394">
            <w:pPr>
              <w:spacing w:before="50" w:after="50"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总报价：大写          （小写）</w:t>
            </w:r>
          </w:p>
        </w:tc>
      </w:tr>
      <w:tr w14:paraId="1CF98E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9" w:hRule="atLeast"/>
          <w:jc w:val="center"/>
        </w:trPr>
        <w:tc>
          <w:tcPr>
            <w:tcW w:w="5000" w:type="pct"/>
            <w:gridSpan w:val="8"/>
            <w:tcBorders>
              <w:top w:val="single" w:color="auto" w:sz="4" w:space="0"/>
              <w:left w:val="single" w:color="auto" w:sz="4" w:space="0"/>
              <w:bottom w:val="single" w:color="auto" w:sz="4" w:space="0"/>
              <w:right w:val="single" w:color="auto" w:sz="4" w:space="0"/>
            </w:tcBorders>
            <w:noWrap/>
            <w:vAlign w:val="center"/>
          </w:tcPr>
          <w:p w14:paraId="40072AA1">
            <w:pPr>
              <w:spacing w:before="50" w:after="50" w:line="360" w:lineRule="auto"/>
              <w:rPr>
                <w:rFonts w:hint="eastAsia" w:ascii="宋体" w:hAnsi="宋体" w:cs="仿宋_GB2312"/>
                <w:color w:val="000000" w:themeColor="text1"/>
                <w:sz w:val="24"/>
                <w:highlight w:val="none"/>
                <w:u w:val="single"/>
                <w14:textFill>
                  <w14:solidFill>
                    <w14:schemeClr w14:val="tx1"/>
                  </w14:solidFill>
                </w14:textFill>
              </w:rPr>
            </w:pPr>
            <w:r>
              <w:rPr>
                <w:rFonts w:hint="eastAsia" w:ascii="宋体" w:hAnsi="宋体" w:cs="仿宋_GB2312"/>
                <w:color w:val="000000" w:themeColor="text1"/>
                <w:sz w:val="24"/>
                <w:highlight w:val="none"/>
                <w:u w:val="single"/>
                <w14:textFill>
                  <w14:solidFill>
                    <w14:schemeClr w14:val="tx1"/>
                  </w14:solidFill>
                </w14:textFill>
              </w:rPr>
              <w:t>投标产品中，属于本国产品总值为¥       （具体明细详见附表，附表格式自拟），占投标产品报价的比例为    %。</w:t>
            </w:r>
          </w:p>
          <w:p w14:paraId="40ED8D66">
            <w:pPr>
              <w:spacing w:before="50" w:after="50" w:line="360" w:lineRule="auto"/>
              <w:rPr>
                <w:rFonts w:hint="eastAsia" w:ascii="宋体" w:hAnsi="宋体" w:cs="仿宋_GB2312"/>
                <w:color w:val="000000" w:themeColor="text1"/>
                <w:sz w:val="24"/>
                <w:highlight w:val="none"/>
                <w:u w:val="single"/>
                <w14:textFill>
                  <w14:solidFill>
                    <w14:schemeClr w14:val="tx1"/>
                  </w14:solidFill>
                </w14:textFill>
              </w:rPr>
            </w:pPr>
            <w:r>
              <w:rPr>
                <w:rFonts w:hint="eastAsia" w:ascii="宋体" w:hAnsi="宋体" w:cs="仿宋_GB2312"/>
                <w:color w:val="000000" w:themeColor="text1"/>
                <w:sz w:val="24"/>
                <w:highlight w:val="none"/>
                <w:u w:val="single"/>
                <w:lang w:val="en-US" w:eastAsia="zh-CN"/>
                <w14:textFill>
                  <w14:solidFill>
                    <w14:schemeClr w14:val="tx1"/>
                  </w14:solidFill>
                </w14:textFill>
              </w:rPr>
              <w:t>投</w:t>
            </w:r>
            <w:r>
              <w:rPr>
                <w:rFonts w:hint="eastAsia" w:ascii="宋体" w:hAnsi="宋体" w:cs="仿宋_GB2312"/>
                <w:color w:val="000000" w:themeColor="text1"/>
                <w:sz w:val="24"/>
                <w:highlight w:val="none"/>
                <w:u w:val="single"/>
                <w14:textFill>
                  <w14:solidFill>
                    <w14:schemeClr w14:val="tx1"/>
                  </w14:solidFill>
                </w14:textFill>
              </w:rPr>
              <w:t>标货物中，属于优先采购节能产品总值为¥       （具体明细详见附表，附表格式自拟），占本</w:t>
            </w:r>
            <w:r>
              <w:rPr>
                <w:rFonts w:hint="eastAsia" w:ascii="宋体" w:hAnsi="宋体" w:cs="仿宋_GB2312"/>
                <w:color w:val="000000" w:themeColor="text1"/>
                <w:sz w:val="24"/>
                <w:highlight w:val="none"/>
                <w:u w:val="single"/>
                <w:lang w:val="en-US" w:eastAsia="zh-CN"/>
                <w14:textFill>
                  <w14:solidFill>
                    <w14:schemeClr w14:val="tx1"/>
                  </w14:solidFill>
                </w14:textFill>
              </w:rPr>
              <w:t>投</w:t>
            </w:r>
            <w:r>
              <w:rPr>
                <w:rFonts w:hint="eastAsia" w:ascii="宋体" w:hAnsi="宋体" w:cs="仿宋_GB2312"/>
                <w:color w:val="000000" w:themeColor="text1"/>
                <w:sz w:val="24"/>
                <w:highlight w:val="none"/>
                <w:u w:val="single"/>
                <w14:textFill>
                  <w14:solidFill>
                    <w14:schemeClr w14:val="tx1"/>
                  </w14:solidFill>
                </w14:textFill>
              </w:rPr>
              <w:t>标报价的比例为    %；属于优先采购环境标志产品总值为¥          （具体明细详见附表，附表格式自拟），占本</w:t>
            </w:r>
            <w:r>
              <w:rPr>
                <w:rFonts w:hint="eastAsia" w:ascii="宋体" w:hAnsi="宋体" w:cs="仿宋_GB2312"/>
                <w:color w:val="000000" w:themeColor="text1"/>
                <w:sz w:val="24"/>
                <w:highlight w:val="none"/>
                <w:u w:val="single"/>
                <w:lang w:val="en-US" w:eastAsia="zh-CN"/>
                <w14:textFill>
                  <w14:solidFill>
                    <w14:schemeClr w14:val="tx1"/>
                  </w14:solidFill>
                </w14:textFill>
              </w:rPr>
              <w:t>投</w:t>
            </w:r>
            <w:r>
              <w:rPr>
                <w:rFonts w:hint="eastAsia" w:ascii="宋体" w:hAnsi="宋体" w:cs="仿宋_GB2312"/>
                <w:color w:val="000000" w:themeColor="text1"/>
                <w:sz w:val="24"/>
                <w:highlight w:val="none"/>
                <w:u w:val="single"/>
                <w14:textFill>
                  <w14:solidFill>
                    <w14:schemeClr w14:val="tx1"/>
                  </w14:solidFill>
                </w14:textFill>
              </w:rPr>
              <w:t>标报价的比例为   %。</w:t>
            </w:r>
          </w:p>
        </w:tc>
      </w:tr>
    </w:tbl>
    <w:p w14:paraId="75F04B9B">
      <w:pPr>
        <w:spacing w:line="360" w:lineRule="auto"/>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注： </w:t>
      </w:r>
    </w:p>
    <w:p w14:paraId="07B89770">
      <w:pPr>
        <w:spacing w:line="360" w:lineRule="auto"/>
        <w:ind w:firstLine="480"/>
        <w:jc w:val="left"/>
        <w:rPr>
          <w:rFonts w:ascii="宋体" w:hAnsi="宋体"/>
          <w:b/>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报价一经涂改，应在涂改处加盖投标人公章</w:t>
      </w:r>
      <w:r>
        <w:rPr>
          <w:rFonts w:hint="eastAsia" w:ascii="宋体" w:hAnsi="宋体" w:cs="仿宋_GB2312"/>
          <w:color w:val="000000" w:themeColor="text1"/>
          <w:sz w:val="24"/>
          <w:highlight w:val="none"/>
          <w14:textFill>
            <w14:solidFill>
              <w14:schemeClr w14:val="tx1"/>
            </w14:solidFill>
          </w14:textFill>
        </w:rPr>
        <w:t>或者加盖电子签章</w:t>
      </w:r>
      <w:r>
        <w:rPr>
          <w:rFonts w:hint="eastAsia" w:ascii="宋体" w:hAnsi="宋体"/>
          <w:color w:val="000000" w:themeColor="text1"/>
          <w:sz w:val="24"/>
          <w:highlight w:val="none"/>
          <w14:textFill>
            <w14:solidFill>
              <w14:schemeClr w14:val="tx1"/>
            </w14:solidFill>
          </w14:textFill>
        </w:rPr>
        <w:t>或者由法定代表人或者委托代理人签字（或者电子签名）</w:t>
      </w:r>
      <w:r>
        <w:rPr>
          <w:rFonts w:hint="eastAsia" w:ascii="宋体" w:hAnsi="宋体"/>
          <w:b/>
          <w:color w:val="000000" w:themeColor="text1"/>
          <w:sz w:val="24"/>
          <w:highlight w:val="none"/>
          <w14:textFill>
            <w14:solidFill>
              <w14:schemeClr w14:val="tx1"/>
            </w14:solidFill>
          </w14:textFill>
        </w:rPr>
        <w:t>，否则其投标作无效标处理。</w:t>
      </w:r>
    </w:p>
    <w:p w14:paraId="61A7539C">
      <w:pPr>
        <w:spacing w:line="360" w:lineRule="auto"/>
        <w:ind w:firstLine="48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2.招标文件中列明采购专用耗材的，应按招标文件规定的耗材量或者按耗材的常规使用量提供报价。</w:t>
      </w:r>
    </w:p>
    <w:p w14:paraId="168F479A">
      <w:pPr>
        <w:pStyle w:val="248"/>
        <w:ind w:firstLine="520"/>
        <w:rPr>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3.如有多分标，按分标分别提供开标一览表，</w:t>
      </w:r>
      <w:r>
        <w:rPr>
          <w:rFonts w:hint="eastAsia" w:ascii="宋体" w:hAnsi="宋体"/>
          <w:b/>
          <w:color w:val="000000" w:themeColor="text1"/>
          <w:highlight w:val="none"/>
          <w14:textFill>
            <w14:solidFill>
              <w14:schemeClr w14:val="tx1"/>
            </w14:solidFill>
          </w14:textFill>
        </w:rPr>
        <w:t>否则投标无效。</w:t>
      </w:r>
    </w:p>
    <w:p w14:paraId="53D2F28B">
      <w:pPr>
        <w:pStyle w:val="19"/>
        <w:rPr>
          <w:color w:val="000000" w:themeColor="text1"/>
          <w:highlight w:val="none"/>
          <w14:textFill>
            <w14:solidFill>
              <w14:schemeClr w14:val="tx1"/>
            </w14:solidFill>
          </w14:textFill>
        </w:rPr>
      </w:pPr>
    </w:p>
    <w:p w14:paraId="1AF3CB2A">
      <w:pPr>
        <w:spacing w:line="360" w:lineRule="auto"/>
        <w:ind w:left="-2" w:right="-817"/>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法定代表人或者委托代理人（签字或者电子签名）： </w:t>
      </w:r>
    </w:p>
    <w:p w14:paraId="0B7A1B11">
      <w:pPr>
        <w:spacing w:line="360" w:lineRule="auto"/>
        <w:ind w:left="-3" w:right="-817" w:hanging="28"/>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投标人名称（电子签章）：</w:t>
      </w:r>
    </w:p>
    <w:p w14:paraId="047CE7CA">
      <w:pPr>
        <w:spacing w:line="360" w:lineRule="auto"/>
        <w:ind w:left="-3" w:right="-817" w:hanging="28"/>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日期：    年   月   日</w:t>
      </w:r>
    </w:p>
    <w:p w14:paraId="01B2EA23">
      <w:pPr>
        <w:rPr>
          <w:b/>
          <w:color w:val="000000" w:themeColor="text1"/>
          <w:sz w:val="28"/>
          <w:szCs w:val="28"/>
          <w:highlight w:val="none"/>
          <w14:textFill>
            <w14:solidFill>
              <w14:schemeClr w14:val="tx1"/>
            </w14:solidFill>
          </w14:textFill>
        </w:rPr>
      </w:pPr>
    </w:p>
    <w:p w14:paraId="63F57F62">
      <w:pPr>
        <w:rPr>
          <w:b/>
          <w:color w:val="000000" w:themeColor="text1"/>
          <w:sz w:val="28"/>
          <w:szCs w:val="28"/>
          <w:highlight w:val="none"/>
          <w14:textFill>
            <w14:solidFill>
              <w14:schemeClr w14:val="tx1"/>
            </w14:solidFill>
          </w14:textFill>
        </w:rPr>
      </w:pPr>
      <w:r>
        <w:rPr>
          <w:rFonts w:hint="eastAsia"/>
          <w:b/>
          <w:color w:val="000000" w:themeColor="text1"/>
          <w:sz w:val="28"/>
          <w:szCs w:val="28"/>
          <w:highlight w:val="none"/>
          <w14:textFill>
            <w14:solidFill>
              <w14:schemeClr w14:val="tx1"/>
            </w14:solidFill>
          </w14:textFill>
        </w:rPr>
        <w:t>二、资格证明文件格式</w:t>
      </w:r>
    </w:p>
    <w:p w14:paraId="630AE119">
      <w:pPr>
        <w:spacing w:after="50" w:line="360" w:lineRule="auto"/>
        <w:jc w:val="lef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 xml:space="preserve">1.资格证明文件封面格式： </w:t>
      </w:r>
    </w:p>
    <w:p w14:paraId="3A4B2DE7">
      <w:pPr>
        <w:spacing w:after="50"/>
        <w:jc w:val="center"/>
        <w:rPr>
          <w:rFonts w:ascii="宋体" w:hAnsi="宋体" w:eastAsia="方正小标宋简体"/>
          <w:bCs/>
          <w:color w:val="000000" w:themeColor="text1"/>
          <w:sz w:val="48"/>
          <w:szCs w:val="48"/>
          <w:highlight w:val="none"/>
          <w14:textFill>
            <w14:solidFill>
              <w14:schemeClr w14:val="tx1"/>
            </w14:solidFill>
          </w14:textFill>
        </w:rPr>
      </w:pPr>
      <w:r>
        <w:rPr>
          <w:rFonts w:hint="eastAsia" w:ascii="宋体" w:hAnsi="宋体" w:eastAsia="方正小标宋简体"/>
          <w:bCs/>
          <w:color w:val="000000" w:themeColor="text1"/>
          <w:sz w:val="48"/>
          <w:szCs w:val="48"/>
          <w:highlight w:val="none"/>
          <w14:textFill>
            <w14:solidFill>
              <w14:schemeClr w14:val="tx1"/>
            </w14:solidFill>
          </w14:textFill>
        </w:rPr>
        <w:t>电子投标文件</w:t>
      </w:r>
    </w:p>
    <w:p w14:paraId="2AD6123F">
      <w:pPr>
        <w:spacing w:after="50"/>
        <w:jc w:val="center"/>
        <w:rPr>
          <w:rFonts w:ascii="宋体" w:hAnsi="宋体"/>
          <w:b/>
          <w:color w:val="000000" w:themeColor="text1"/>
          <w:sz w:val="24"/>
          <w:szCs w:val="20"/>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资格证明文件</w:t>
      </w:r>
    </w:p>
    <w:p w14:paraId="625E50CD">
      <w:pPr>
        <w:spacing w:after="50"/>
        <w:rPr>
          <w:rFonts w:ascii="宋体" w:hAnsi="宋体"/>
          <w:bCs/>
          <w:color w:val="000000" w:themeColor="text1"/>
          <w:sz w:val="24"/>
          <w:szCs w:val="20"/>
          <w:highlight w:val="none"/>
          <w14:textFill>
            <w14:solidFill>
              <w14:schemeClr w14:val="tx1"/>
            </w14:solidFill>
          </w14:textFill>
        </w:rPr>
      </w:pPr>
    </w:p>
    <w:p w14:paraId="473514F2">
      <w:pPr>
        <w:spacing w:after="50"/>
        <w:rPr>
          <w:rFonts w:ascii="宋体" w:hAnsi="宋体"/>
          <w:bCs/>
          <w:color w:val="000000" w:themeColor="text1"/>
          <w:sz w:val="24"/>
          <w:szCs w:val="20"/>
          <w:highlight w:val="none"/>
          <w14:textFill>
            <w14:solidFill>
              <w14:schemeClr w14:val="tx1"/>
            </w14:solidFill>
          </w14:textFill>
        </w:rPr>
      </w:pPr>
    </w:p>
    <w:p w14:paraId="3EB71CEE">
      <w:pPr>
        <w:spacing w:after="50"/>
        <w:rPr>
          <w:rFonts w:ascii="宋体" w:hAnsi="宋体"/>
          <w:bCs/>
          <w:color w:val="000000" w:themeColor="text1"/>
          <w:sz w:val="24"/>
          <w:szCs w:val="20"/>
          <w:highlight w:val="none"/>
          <w14:textFill>
            <w14:solidFill>
              <w14:schemeClr w14:val="tx1"/>
            </w14:solidFill>
          </w14:textFill>
        </w:rPr>
      </w:pPr>
    </w:p>
    <w:p w14:paraId="7C0E3DA1">
      <w:pPr>
        <w:spacing w:after="50"/>
        <w:rPr>
          <w:rFonts w:ascii="宋体" w:hAnsi="宋体"/>
          <w:bCs/>
          <w:color w:val="000000" w:themeColor="text1"/>
          <w:sz w:val="24"/>
          <w:szCs w:val="20"/>
          <w:highlight w:val="none"/>
          <w14:textFill>
            <w14:solidFill>
              <w14:schemeClr w14:val="tx1"/>
            </w14:solidFill>
          </w14:textFill>
        </w:rPr>
      </w:pPr>
    </w:p>
    <w:p w14:paraId="0F5C9920">
      <w:pPr>
        <w:spacing w:after="50"/>
        <w:rPr>
          <w:rFonts w:ascii="宋体" w:hAnsi="宋体"/>
          <w:bCs/>
          <w:color w:val="000000" w:themeColor="text1"/>
          <w:sz w:val="24"/>
          <w:szCs w:val="20"/>
          <w:highlight w:val="none"/>
          <w14:textFill>
            <w14:solidFill>
              <w14:schemeClr w14:val="tx1"/>
            </w14:solidFill>
          </w14:textFill>
        </w:rPr>
      </w:pPr>
    </w:p>
    <w:p w14:paraId="00CC2A35">
      <w:pPr>
        <w:spacing w:after="50"/>
        <w:rPr>
          <w:rFonts w:ascii="宋体" w:hAnsi="宋体"/>
          <w:bCs/>
          <w:color w:val="000000" w:themeColor="text1"/>
          <w:sz w:val="24"/>
          <w:szCs w:val="20"/>
          <w:highlight w:val="none"/>
          <w14:textFill>
            <w14:solidFill>
              <w14:schemeClr w14:val="tx1"/>
            </w14:solidFill>
          </w14:textFill>
        </w:rPr>
      </w:pPr>
    </w:p>
    <w:p w14:paraId="7141AEDE">
      <w:pPr>
        <w:spacing w:after="50"/>
        <w:rPr>
          <w:rFonts w:ascii="宋体" w:hAnsi="宋体"/>
          <w:bCs/>
          <w:color w:val="000000" w:themeColor="text1"/>
          <w:sz w:val="24"/>
          <w:szCs w:val="20"/>
          <w:highlight w:val="none"/>
          <w14:textFill>
            <w14:solidFill>
              <w14:schemeClr w14:val="tx1"/>
            </w14:solidFill>
          </w14:textFill>
        </w:rPr>
      </w:pPr>
    </w:p>
    <w:p w14:paraId="1D1F4ED1">
      <w:pPr>
        <w:spacing w:after="50"/>
        <w:ind w:firstLine="540"/>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项目名称：</w:t>
      </w:r>
    </w:p>
    <w:p w14:paraId="0F3089A9">
      <w:pPr>
        <w:spacing w:after="50"/>
        <w:ind w:firstLine="540"/>
        <w:rPr>
          <w:rFonts w:ascii="宋体" w:hAnsi="宋体"/>
          <w:bCs/>
          <w:color w:val="000000" w:themeColor="text1"/>
          <w:sz w:val="24"/>
          <w:szCs w:val="20"/>
          <w:highlight w:val="none"/>
          <w14:textFill>
            <w14:solidFill>
              <w14:schemeClr w14:val="tx1"/>
            </w14:solidFill>
          </w14:textFill>
        </w:rPr>
      </w:pPr>
    </w:p>
    <w:p w14:paraId="77EE3EC3">
      <w:pPr>
        <w:spacing w:after="50"/>
        <w:ind w:firstLine="540"/>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项目编号：</w:t>
      </w:r>
    </w:p>
    <w:p w14:paraId="481C5C36">
      <w:pPr>
        <w:spacing w:after="50"/>
        <w:ind w:firstLine="540"/>
        <w:rPr>
          <w:rFonts w:ascii="宋体" w:hAnsi="宋体"/>
          <w:bCs/>
          <w:color w:val="000000" w:themeColor="text1"/>
          <w:sz w:val="24"/>
          <w:szCs w:val="20"/>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 xml:space="preserve"> </w:t>
      </w:r>
    </w:p>
    <w:p w14:paraId="09A16D82">
      <w:pPr>
        <w:spacing w:after="50"/>
        <w:ind w:firstLine="540"/>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所投分标：</w:t>
      </w:r>
    </w:p>
    <w:p w14:paraId="21CB6FC2">
      <w:pPr>
        <w:pStyle w:val="7"/>
        <w:spacing w:before="50" w:after="50"/>
        <w:ind w:firstLine="540"/>
        <w:rPr>
          <w:rFonts w:ascii="宋体" w:hAnsi="宋体"/>
          <w:bCs/>
          <w:color w:val="000000" w:themeColor="text1"/>
          <w:sz w:val="24"/>
          <w:szCs w:val="24"/>
          <w:highlight w:val="none"/>
          <w14:textFill>
            <w14:solidFill>
              <w14:schemeClr w14:val="tx1"/>
            </w14:solidFill>
          </w14:textFill>
        </w:rPr>
      </w:pPr>
    </w:p>
    <w:p w14:paraId="5F951298">
      <w:pPr>
        <w:pStyle w:val="7"/>
        <w:spacing w:before="50" w:after="50"/>
        <w:ind w:firstLine="540"/>
        <w:rPr>
          <w:rFonts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投标人名称：</w:t>
      </w:r>
    </w:p>
    <w:p w14:paraId="32F635B6">
      <w:pPr>
        <w:pStyle w:val="7"/>
        <w:spacing w:before="50" w:after="50"/>
        <w:ind w:firstLine="540"/>
        <w:rPr>
          <w:rFonts w:ascii="宋体" w:hAnsi="宋体"/>
          <w:bCs/>
          <w:color w:val="000000" w:themeColor="text1"/>
          <w:sz w:val="24"/>
          <w:szCs w:val="24"/>
          <w:highlight w:val="none"/>
          <w14:textFill>
            <w14:solidFill>
              <w14:schemeClr w14:val="tx1"/>
            </w14:solidFill>
          </w14:textFill>
        </w:rPr>
      </w:pPr>
    </w:p>
    <w:p w14:paraId="2CF3078D">
      <w:pPr>
        <w:pStyle w:val="7"/>
        <w:spacing w:before="50" w:after="50"/>
        <w:ind w:firstLine="960"/>
        <w:rPr>
          <w:rFonts w:ascii="宋体" w:hAnsi="宋体"/>
          <w:bCs/>
          <w:color w:val="000000" w:themeColor="text1"/>
          <w:sz w:val="24"/>
          <w:szCs w:val="24"/>
          <w:highlight w:val="none"/>
          <w14:textFill>
            <w14:solidFill>
              <w14:schemeClr w14:val="tx1"/>
            </w14:solidFill>
          </w14:textFill>
        </w:rPr>
      </w:pPr>
    </w:p>
    <w:p w14:paraId="0F8FC67D">
      <w:pPr>
        <w:spacing w:after="50"/>
        <w:ind w:firstLine="645"/>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年  月  日</w:t>
      </w:r>
    </w:p>
    <w:p w14:paraId="5E9E18F5">
      <w:pPr>
        <w:spacing w:after="50"/>
        <w:rPr>
          <w:rFonts w:ascii="宋体" w:hAnsi="宋体"/>
          <w:color w:val="000000" w:themeColor="text1"/>
          <w:sz w:val="24"/>
          <w:szCs w:val="20"/>
          <w:highlight w:val="none"/>
          <w14:textFill>
            <w14:solidFill>
              <w14:schemeClr w14:val="tx1"/>
            </w14:solidFill>
          </w14:textFill>
        </w:rPr>
      </w:pPr>
      <w:r>
        <w:rPr>
          <w:rFonts w:ascii="宋体" w:hAnsi="宋体"/>
          <w:color w:val="000000" w:themeColor="text1"/>
          <w:sz w:val="24"/>
          <w:szCs w:val="20"/>
          <w:highlight w:val="none"/>
          <w14:textFill>
            <w14:solidFill>
              <w14:schemeClr w14:val="tx1"/>
            </w14:solidFill>
          </w14:textFill>
        </w:rPr>
        <w:t xml:space="preserve"> </w:t>
      </w:r>
    </w:p>
    <w:p w14:paraId="4E3F0DBC">
      <w:pPr>
        <w:spacing w:after="50"/>
        <w:rPr>
          <w:rFonts w:ascii="宋体" w:hAnsi="宋体"/>
          <w:color w:val="000000" w:themeColor="text1"/>
          <w:sz w:val="24"/>
          <w:szCs w:val="20"/>
          <w:highlight w:val="none"/>
          <w14:textFill>
            <w14:solidFill>
              <w14:schemeClr w14:val="tx1"/>
            </w14:solidFill>
          </w14:textFill>
        </w:rPr>
      </w:pPr>
    </w:p>
    <w:p w14:paraId="3C739532">
      <w:pPr>
        <w:spacing w:after="50" w:line="360" w:lineRule="auto"/>
        <w:jc w:val="left"/>
        <w:rPr>
          <w:rFonts w:ascii="宋体" w:hAnsi="宋体"/>
          <w:color w:val="000000" w:themeColor="text1"/>
          <w:sz w:val="24"/>
          <w:szCs w:val="20"/>
          <w:highlight w:val="none"/>
          <w14:textFill>
            <w14:solidFill>
              <w14:schemeClr w14:val="tx1"/>
            </w14:solidFill>
          </w14:textFill>
        </w:rPr>
      </w:pPr>
      <w:r>
        <w:rPr>
          <w:rFonts w:ascii="宋体" w:hAnsi="宋体"/>
          <w:b/>
          <w:bCs/>
          <w:color w:val="000000" w:themeColor="text1"/>
          <w:sz w:val="24"/>
          <w:highlight w:val="none"/>
          <w14:textFill>
            <w14:solidFill>
              <w14:schemeClr w14:val="tx1"/>
            </w14:solidFill>
          </w14:textFill>
        </w:rPr>
        <w:br w:type="page" w:clear="all"/>
      </w:r>
      <w:r>
        <w:rPr>
          <w:rFonts w:hint="eastAsia" w:ascii="宋体" w:hAnsi="宋体"/>
          <w:b/>
          <w:bCs/>
          <w:color w:val="000000" w:themeColor="text1"/>
          <w:sz w:val="24"/>
          <w:highlight w:val="none"/>
          <w14:textFill>
            <w14:solidFill>
              <w14:schemeClr w14:val="tx1"/>
            </w14:solidFill>
          </w14:textFill>
        </w:rPr>
        <w:t>2.资格证明文件目录</w:t>
      </w:r>
    </w:p>
    <w:p w14:paraId="3538F798">
      <w:pPr>
        <w:spacing w:line="360" w:lineRule="auto"/>
        <w:ind w:firstLine="42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根据招标文件规定及投标人提供的材料自行编写目录。</w:t>
      </w:r>
    </w:p>
    <w:p w14:paraId="566C34FA">
      <w:pPr>
        <w:spacing w:before="50"/>
        <w:jc w:val="left"/>
        <w:rPr>
          <w:rFonts w:ascii="宋体" w:hAnsi="宋体"/>
          <w:color w:val="000000" w:themeColor="text1"/>
          <w:sz w:val="24"/>
          <w:highlight w:val="none"/>
          <w14:textFill>
            <w14:solidFill>
              <w14:schemeClr w14:val="tx1"/>
            </w14:solidFill>
          </w14:textFill>
        </w:rPr>
      </w:pPr>
    </w:p>
    <w:p w14:paraId="320AD2D5">
      <w:pPr>
        <w:spacing w:before="50"/>
        <w:jc w:val="left"/>
        <w:rPr>
          <w:rFonts w:ascii="宋体" w:hAnsi="宋体"/>
          <w:color w:val="000000" w:themeColor="text1"/>
          <w:sz w:val="24"/>
          <w:highlight w:val="none"/>
          <w14:textFill>
            <w14:solidFill>
              <w14:schemeClr w14:val="tx1"/>
            </w14:solidFill>
          </w14:textFill>
        </w:rPr>
      </w:pPr>
    </w:p>
    <w:p w14:paraId="03EEC2E1">
      <w:pPr>
        <w:spacing w:after="50"/>
        <w:jc w:val="left"/>
        <w:rPr>
          <w:rFonts w:ascii="宋体" w:hAnsi="宋体"/>
          <w:b/>
          <w:color w:val="000000" w:themeColor="text1"/>
          <w:sz w:val="24"/>
          <w:highlight w:val="none"/>
          <w14:textFill>
            <w14:solidFill>
              <w14:schemeClr w14:val="tx1"/>
            </w14:solidFill>
          </w14:textFill>
        </w:rPr>
      </w:pPr>
      <w:r>
        <w:rPr>
          <w:rFonts w:ascii="宋体" w:hAnsi="宋体"/>
          <w:b/>
          <w:color w:val="000000" w:themeColor="text1"/>
          <w:sz w:val="24"/>
          <w:highlight w:val="none"/>
          <w14:textFill>
            <w14:solidFill>
              <w14:schemeClr w14:val="tx1"/>
            </w14:solidFill>
          </w14:textFill>
        </w:rPr>
        <w:br w:type="page" w:clear="all"/>
      </w:r>
      <w:r>
        <w:rPr>
          <w:rFonts w:hint="eastAsia" w:ascii="宋体" w:hAnsi="宋体"/>
          <w:b/>
          <w:color w:val="000000" w:themeColor="text1"/>
          <w:sz w:val="24"/>
          <w:highlight w:val="none"/>
          <w14:textFill>
            <w14:solidFill>
              <w14:schemeClr w14:val="tx1"/>
            </w14:solidFill>
          </w14:textFill>
        </w:rPr>
        <w:t>3.</w:t>
      </w:r>
      <w:r>
        <w:rPr>
          <w:rFonts w:hint="eastAsia" w:ascii="宋体" w:hAnsi="宋体"/>
          <w:b/>
          <w:color w:val="000000" w:themeColor="text1"/>
          <w:sz w:val="28"/>
          <w:szCs w:val="28"/>
          <w:highlight w:val="none"/>
          <w14:textFill>
            <w14:solidFill>
              <w14:schemeClr w14:val="tx1"/>
            </w14:solidFill>
          </w14:textFill>
        </w:rPr>
        <w:t>投标人直接控股股东信息表</w:t>
      </w:r>
    </w:p>
    <w:p w14:paraId="176E7D89">
      <w:pPr>
        <w:spacing w:before="50"/>
        <w:jc w:val="center"/>
        <w:rPr>
          <w:rFonts w:ascii="宋体" w:hAnsi="宋体"/>
          <w:b/>
          <w:color w:val="000000" w:themeColor="text1"/>
          <w:sz w:val="28"/>
          <w:szCs w:val="28"/>
          <w:highlight w:val="none"/>
          <w14:textFill>
            <w14:solidFill>
              <w14:schemeClr w14:val="tx1"/>
            </w14:solidFill>
          </w14:textFill>
        </w:rPr>
      </w:pPr>
    </w:p>
    <w:p w14:paraId="2E304CE9">
      <w:pPr>
        <w:spacing w:before="50" w:line="360" w:lineRule="auto"/>
        <w:jc w:val="center"/>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投标人直接控股股东信息表</w:t>
      </w:r>
    </w:p>
    <w:tbl>
      <w:tblPr>
        <w:tblStyle w:val="50"/>
        <w:tblW w:w="0" w:type="auto"/>
        <w:tblInd w:w="0" w:type="dxa"/>
        <w:shd w:val="clear" w:color="auto" w:fill="FBFBFB"/>
        <w:tblLayout w:type="fixed"/>
        <w:tblCellMar>
          <w:top w:w="0" w:type="dxa"/>
          <w:left w:w="0" w:type="dxa"/>
          <w:bottom w:w="0" w:type="dxa"/>
          <w:right w:w="0" w:type="dxa"/>
        </w:tblCellMar>
      </w:tblPr>
      <w:tblGrid>
        <w:gridCol w:w="828"/>
        <w:gridCol w:w="2269"/>
        <w:gridCol w:w="1239"/>
        <w:gridCol w:w="3722"/>
        <w:gridCol w:w="1418"/>
      </w:tblGrid>
      <w:tr w14:paraId="45FA574C">
        <w:tblPrEx>
          <w:shd w:val="clear" w:color="auto" w:fill="FBFBFB"/>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37925519">
            <w:pPr>
              <w:spacing w:line="360" w:lineRule="auto"/>
              <w:jc w:val="center"/>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DDDEA42">
            <w:pPr>
              <w:spacing w:line="360" w:lineRule="auto"/>
              <w:jc w:val="center"/>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BAC5A1C">
            <w:pPr>
              <w:spacing w:line="360" w:lineRule="auto"/>
              <w:jc w:val="center"/>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1237372">
            <w:pPr>
              <w:spacing w:line="360" w:lineRule="auto"/>
              <w:jc w:val="center"/>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35A26172">
            <w:pPr>
              <w:spacing w:line="360" w:lineRule="auto"/>
              <w:jc w:val="center"/>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备注</w:t>
            </w:r>
          </w:p>
        </w:tc>
      </w:tr>
      <w:tr w14:paraId="31DC72D9">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157F5D9">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BF2DDEC">
            <w:pPr>
              <w:spacing w:line="360" w:lineRule="auto"/>
              <w:jc w:val="center"/>
              <w:rPr>
                <w:rFonts w:ascii="宋体" w:hAnsi="宋体" w:cs="宋体"/>
                <w:color w:val="000000" w:themeColor="text1"/>
                <w:sz w:val="24"/>
                <w:highlight w:val="none"/>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C77EB19">
            <w:pPr>
              <w:spacing w:line="360" w:lineRule="auto"/>
              <w:jc w:val="center"/>
              <w:rPr>
                <w:rFonts w:ascii="宋体" w:hAnsi="宋体" w:cs="宋体"/>
                <w:color w:val="000000" w:themeColor="text1"/>
                <w:sz w:val="24"/>
                <w:highlight w:val="none"/>
                <w14:textFill>
                  <w14:solidFill>
                    <w14:schemeClr w14:val="tx1"/>
                  </w14:solidFill>
                </w14:textFill>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1A6BA47">
            <w:pPr>
              <w:spacing w:line="360" w:lineRule="auto"/>
              <w:jc w:val="center"/>
              <w:rPr>
                <w:rFonts w:ascii="宋体" w:hAnsi="宋体" w:cs="宋体"/>
                <w:color w:val="000000" w:themeColor="text1"/>
                <w:sz w:val="24"/>
                <w:highlight w:val="none"/>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C065DC1">
            <w:pPr>
              <w:spacing w:line="360" w:lineRule="auto"/>
              <w:jc w:val="center"/>
              <w:rPr>
                <w:rFonts w:ascii="宋体" w:hAnsi="宋体" w:cs="宋体"/>
                <w:color w:val="000000" w:themeColor="text1"/>
                <w:sz w:val="24"/>
                <w:highlight w:val="none"/>
                <w14:textFill>
                  <w14:solidFill>
                    <w14:schemeClr w14:val="tx1"/>
                  </w14:solidFill>
                </w14:textFill>
              </w:rPr>
            </w:pPr>
          </w:p>
        </w:tc>
      </w:tr>
      <w:tr w14:paraId="0F21C297">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D1FA44E">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1EBF892">
            <w:pPr>
              <w:spacing w:line="360" w:lineRule="auto"/>
              <w:jc w:val="center"/>
              <w:rPr>
                <w:rFonts w:ascii="宋体" w:hAnsi="宋体" w:cs="宋体"/>
                <w:color w:val="000000" w:themeColor="text1"/>
                <w:sz w:val="24"/>
                <w:highlight w:val="none"/>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84E8F82">
            <w:pPr>
              <w:spacing w:line="360" w:lineRule="auto"/>
              <w:jc w:val="center"/>
              <w:rPr>
                <w:rFonts w:ascii="宋体" w:hAnsi="宋体" w:cs="宋体"/>
                <w:color w:val="000000" w:themeColor="text1"/>
                <w:sz w:val="24"/>
                <w:highlight w:val="none"/>
                <w14:textFill>
                  <w14:solidFill>
                    <w14:schemeClr w14:val="tx1"/>
                  </w14:solidFill>
                </w14:textFill>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222281F">
            <w:pPr>
              <w:spacing w:line="360" w:lineRule="auto"/>
              <w:jc w:val="center"/>
              <w:rPr>
                <w:rFonts w:ascii="宋体" w:hAnsi="宋体" w:cs="宋体"/>
                <w:color w:val="000000" w:themeColor="text1"/>
                <w:sz w:val="24"/>
                <w:highlight w:val="none"/>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BF94088">
            <w:pPr>
              <w:spacing w:line="360" w:lineRule="auto"/>
              <w:jc w:val="center"/>
              <w:rPr>
                <w:rFonts w:ascii="宋体" w:hAnsi="宋体" w:cs="宋体"/>
                <w:color w:val="000000" w:themeColor="text1"/>
                <w:sz w:val="24"/>
                <w:highlight w:val="none"/>
                <w14:textFill>
                  <w14:solidFill>
                    <w14:schemeClr w14:val="tx1"/>
                  </w14:solidFill>
                </w14:textFill>
              </w:rPr>
            </w:pPr>
          </w:p>
        </w:tc>
      </w:tr>
      <w:tr w14:paraId="0C9651FB">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DEAC920">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411999C">
            <w:pPr>
              <w:spacing w:line="360" w:lineRule="auto"/>
              <w:jc w:val="center"/>
              <w:rPr>
                <w:rFonts w:ascii="宋体" w:hAnsi="宋体" w:cs="宋体"/>
                <w:color w:val="000000" w:themeColor="text1"/>
                <w:sz w:val="24"/>
                <w:highlight w:val="none"/>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135853">
            <w:pPr>
              <w:spacing w:line="360" w:lineRule="auto"/>
              <w:jc w:val="center"/>
              <w:rPr>
                <w:rFonts w:ascii="宋体" w:hAnsi="宋体" w:cs="宋体"/>
                <w:color w:val="000000" w:themeColor="text1"/>
                <w:sz w:val="24"/>
                <w:highlight w:val="none"/>
                <w14:textFill>
                  <w14:solidFill>
                    <w14:schemeClr w14:val="tx1"/>
                  </w14:solidFill>
                </w14:textFill>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7151B22">
            <w:pPr>
              <w:spacing w:line="360" w:lineRule="auto"/>
              <w:jc w:val="center"/>
              <w:rPr>
                <w:rFonts w:ascii="宋体" w:hAnsi="宋体" w:cs="宋体"/>
                <w:color w:val="000000" w:themeColor="text1"/>
                <w:sz w:val="24"/>
                <w:highlight w:val="none"/>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5C8053E">
            <w:pPr>
              <w:spacing w:line="360" w:lineRule="auto"/>
              <w:jc w:val="center"/>
              <w:rPr>
                <w:rFonts w:ascii="宋体" w:hAnsi="宋体" w:cs="宋体"/>
                <w:color w:val="000000" w:themeColor="text1"/>
                <w:sz w:val="24"/>
                <w:highlight w:val="none"/>
                <w14:textFill>
                  <w14:solidFill>
                    <w14:schemeClr w14:val="tx1"/>
                  </w14:solidFill>
                </w14:textFill>
              </w:rPr>
            </w:pPr>
          </w:p>
        </w:tc>
      </w:tr>
      <w:tr w14:paraId="3A5D7C39">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4CF08E">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092F5C4">
            <w:pPr>
              <w:spacing w:line="360" w:lineRule="auto"/>
              <w:jc w:val="center"/>
              <w:rPr>
                <w:rFonts w:ascii="宋体" w:hAnsi="宋体" w:cs="宋体"/>
                <w:color w:val="000000" w:themeColor="text1"/>
                <w:sz w:val="24"/>
                <w:highlight w:val="none"/>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0E843E5">
            <w:pPr>
              <w:spacing w:line="360" w:lineRule="auto"/>
              <w:jc w:val="center"/>
              <w:rPr>
                <w:rFonts w:ascii="宋体" w:hAnsi="宋体" w:cs="宋体"/>
                <w:color w:val="000000" w:themeColor="text1"/>
                <w:sz w:val="24"/>
                <w:highlight w:val="none"/>
                <w14:textFill>
                  <w14:solidFill>
                    <w14:schemeClr w14:val="tx1"/>
                  </w14:solidFill>
                </w14:textFill>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261333F">
            <w:pPr>
              <w:spacing w:line="360" w:lineRule="auto"/>
              <w:jc w:val="center"/>
              <w:rPr>
                <w:rFonts w:ascii="宋体" w:hAnsi="宋体" w:cs="宋体"/>
                <w:color w:val="000000" w:themeColor="text1"/>
                <w:sz w:val="24"/>
                <w:highlight w:val="none"/>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FEB0004">
            <w:pPr>
              <w:spacing w:line="360" w:lineRule="auto"/>
              <w:jc w:val="center"/>
              <w:rPr>
                <w:rFonts w:ascii="宋体" w:hAnsi="宋体" w:cs="宋体"/>
                <w:color w:val="000000" w:themeColor="text1"/>
                <w:sz w:val="24"/>
                <w:highlight w:val="none"/>
                <w14:textFill>
                  <w14:solidFill>
                    <w14:schemeClr w14:val="tx1"/>
                  </w14:solidFill>
                </w14:textFill>
              </w:rPr>
            </w:pPr>
          </w:p>
        </w:tc>
      </w:tr>
    </w:tbl>
    <w:p w14:paraId="373E9840">
      <w:pPr>
        <w:spacing w:line="360" w:lineRule="auto"/>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注：</w:t>
      </w:r>
    </w:p>
    <w:p w14:paraId="1AC9DCF7">
      <w:pPr>
        <w:spacing w:line="360" w:lineRule="auto"/>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367D8974">
      <w:pPr>
        <w:spacing w:line="360" w:lineRule="auto"/>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2.本表所指的控股关系仅限于直接控股关系，不包括间接的控股关系。公司实际控制人与公司之间的关系不属于本表所指的直接控股关系。</w:t>
      </w:r>
    </w:p>
    <w:p w14:paraId="67AE7252">
      <w:pPr>
        <w:spacing w:line="360" w:lineRule="auto"/>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3.供应商不存在直接控股股东的，则在“</w:t>
      </w:r>
      <w:r>
        <w:rPr>
          <w:rFonts w:hint="eastAsia" w:ascii="宋体" w:hAnsi="宋体" w:cs="宋体"/>
          <w:b/>
          <w:bCs/>
          <w:color w:val="000000" w:themeColor="text1"/>
          <w:sz w:val="24"/>
          <w:highlight w:val="none"/>
          <w14:textFill>
            <w14:solidFill>
              <w14:schemeClr w14:val="tx1"/>
            </w14:solidFill>
          </w14:textFill>
        </w:rPr>
        <w:t>直接控股股东名称</w:t>
      </w:r>
      <w:r>
        <w:rPr>
          <w:rFonts w:hint="eastAsia" w:ascii="宋体" w:hAnsi="宋体"/>
          <w:color w:val="000000" w:themeColor="text1"/>
          <w:sz w:val="24"/>
          <w:highlight w:val="none"/>
          <w14:textFill>
            <w14:solidFill>
              <w14:schemeClr w14:val="tx1"/>
            </w14:solidFill>
          </w14:textFill>
        </w:rPr>
        <w:t>”中填“无”。</w:t>
      </w:r>
    </w:p>
    <w:p w14:paraId="0C858D0D">
      <w:pPr>
        <w:spacing w:line="360" w:lineRule="auto"/>
        <w:jc w:val="left"/>
        <w:rPr>
          <w:rFonts w:ascii="宋体" w:hAnsi="宋体"/>
          <w:color w:val="000000" w:themeColor="text1"/>
          <w:sz w:val="24"/>
          <w:highlight w:val="none"/>
          <w14:textFill>
            <w14:solidFill>
              <w14:schemeClr w14:val="tx1"/>
            </w14:solidFill>
          </w14:textFill>
        </w:rPr>
      </w:pPr>
    </w:p>
    <w:p w14:paraId="7E942533">
      <w:pPr>
        <w:spacing w:line="360" w:lineRule="auto"/>
        <w:jc w:val="left"/>
        <w:rPr>
          <w:rFonts w:ascii="宋体" w:hAnsi="宋体"/>
          <w:color w:val="000000" w:themeColor="text1"/>
          <w:sz w:val="24"/>
          <w:highlight w:val="none"/>
          <w14:textFill>
            <w14:solidFill>
              <w14:schemeClr w14:val="tx1"/>
            </w14:solidFill>
          </w14:textFill>
        </w:rPr>
      </w:pPr>
    </w:p>
    <w:p w14:paraId="0D6D7099">
      <w:pPr>
        <w:spacing w:line="360" w:lineRule="auto"/>
        <w:jc w:val="left"/>
        <w:rPr>
          <w:rFonts w:ascii="宋体" w:hAnsi="宋体"/>
          <w:color w:val="000000" w:themeColor="text1"/>
          <w:sz w:val="24"/>
          <w:highlight w:val="none"/>
          <w14:textFill>
            <w14:solidFill>
              <w14:schemeClr w14:val="tx1"/>
            </w14:solidFill>
          </w14:textFill>
        </w:rPr>
      </w:pPr>
    </w:p>
    <w:p w14:paraId="3498FD69">
      <w:pPr>
        <w:spacing w:line="360" w:lineRule="auto"/>
        <w:ind w:left="-2" w:right="-817"/>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法定代表人或者委托代理人（签字或者电子签名）：</w:t>
      </w:r>
    </w:p>
    <w:p w14:paraId="19C838F6">
      <w:pPr>
        <w:spacing w:line="360" w:lineRule="auto"/>
        <w:ind w:left="-3" w:right="-817" w:hanging="28"/>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投标人名称（电子签章）：</w:t>
      </w:r>
    </w:p>
    <w:p w14:paraId="49BE8382">
      <w:pPr>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日期：    年   月   日</w:t>
      </w:r>
    </w:p>
    <w:p w14:paraId="33C86E90">
      <w:pPr>
        <w:jc w:val="center"/>
        <w:rPr>
          <w:rFonts w:ascii="宋体" w:hAnsi="宋体"/>
          <w:b/>
          <w:color w:val="000000" w:themeColor="text1"/>
          <w:sz w:val="28"/>
          <w:szCs w:val="28"/>
          <w:highlight w:val="none"/>
          <w14:textFill>
            <w14:solidFill>
              <w14:schemeClr w14:val="tx1"/>
            </w14:solidFill>
          </w14:textFill>
        </w:rPr>
      </w:pPr>
    </w:p>
    <w:p w14:paraId="7D0A597F">
      <w:pPr>
        <w:spacing w:line="360" w:lineRule="auto"/>
        <w:jc w:val="left"/>
        <w:rPr>
          <w:rFonts w:ascii="宋体" w:hAnsi="宋体"/>
          <w:b/>
          <w:color w:val="000000" w:themeColor="text1"/>
          <w:sz w:val="32"/>
          <w:szCs w:val="32"/>
          <w:highlight w:val="none"/>
          <w14:textFill>
            <w14:solidFill>
              <w14:schemeClr w14:val="tx1"/>
            </w14:solidFill>
          </w14:textFill>
        </w:rPr>
      </w:pPr>
      <w:r>
        <w:rPr>
          <w:rFonts w:ascii="宋体" w:hAnsi="宋体"/>
          <w:b/>
          <w:color w:val="000000" w:themeColor="text1"/>
          <w:sz w:val="32"/>
          <w:szCs w:val="32"/>
          <w:highlight w:val="none"/>
          <w14:textFill>
            <w14:solidFill>
              <w14:schemeClr w14:val="tx1"/>
            </w14:solidFill>
          </w14:textFill>
        </w:rPr>
        <w:br w:type="page" w:clear="all"/>
      </w:r>
      <w:r>
        <w:rPr>
          <w:rFonts w:hint="eastAsia" w:ascii="宋体" w:hAnsi="宋体"/>
          <w:b/>
          <w:color w:val="000000" w:themeColor="text1"/>
          <w:sz w:val="24"/>
          <w:highlight w:val="none"/>
          <w14:textFill>
            <w14:solidFill>
              <w14:schemeClr w14:val="tx1"/>
            </w14:solidFill>
          </w14:textFill>
        </w:rPr>
        <w:t>4.</w:t>
      </w:r>
      <w:r>
        <w:rPr>
          <w:rFonts w:hint="eastAsia"/>
          <w:color w:val="000000" w:themeColor="text1"/>
          <w:highlight w:val="none"/>
          <w14:textFill>
            <w14:solidFill>
              <w14:schemeClr w14:val="tx1"/>
            </w14:solidFill>
          </w14:textFill>
        </w:rPr>
        <w:t xml:space="preserve"> </w:t>
      </w:r>
      <w:r>
        <w:rPr>
          <w:rFonts w:hint="eastAsia" w:ascii="宋体" w:hAnsi="宋体"/>
          <w:b/>
          <w:color w:val="000000" w:themeColor="text1"/>
          <w:sz w:val="28"/>
          <w:szCs w:val="28"/>
          <w:highlight w:val="none"/>
          <w14:textFill>
            <w14:solidFill>
              <w14:schemeClr w14:val="tx1"/>
            </w14:solidFill>
          </w14:textFill>
        </w:rPr>
        <w:t>投标人直接管理关系信息表</w:t>
      </w:r>
    </w:p>
    <w:p w14:paraId="135A9838">
      <w:pPr>
        <w:spacing w:line="360" w:lineRule="auto"/>
        <w:jc w:val="center"/>
        <w:rPr>
          <w:rFonts w:ascii="宋体" w:hAnsi="宋体"/>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投标人直接管理关系信息表</w:t>
      </w:r>
    </w:p>
    <w:tbl>
      <w:tblPr>
        <w:tblStyle w:val="50"/>
        <w:tblW w:w="0" w:type="auto"/>
        <w:tblInd w:w="0" w:type="dxa"/>
        <w:shd w:val="clear" w:color="auto" w:fill="FBFBFB"/>
        <w:tblLayout w:type="fixed"/>
        <w:tblCellMar>
          <w:top w:w="0" w:type="dxa"/>
          <w:left w:w="0" w:type="dxa"/>
          <w:bottom w:w="0" w:type="dxa"/>
          <w:right w:w="0" w:type="dxa"/>
        </w:tblCellMar>
      </w:tblPr>
      <w:tblGrid>
        <w:gridCol w:w="1005"/>
        <w:gridCol w:w="2659"/>
        <w:gridCol w:w="3924"/>
        <w:gridCol w:w="2064"/>
      </w:tblGrid>
      <w:tr w14:paraId="428FAD6F">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57F9E7E">
            <w:pPr>
              <w:spacing w:line="360" w:lineRule="auto"/>
              <w:jc w:val="center"/>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CDC32A2">
            <w:pPr>
              <w:spacing w:line="360" w:lineRule="auto"/>
              <w:jc w:val="center"/>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4CAC26E">
            <w:pPr>
              <w:spacing w:line="360" w:lineRule="auto"/>
              <w:jc w:val="center"/>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433FE1C">
            <w:pPr>
              <w:spacing w:line="360" w:lineRule="auto"/>
              <w:jc w:val="center"/>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备注</w:t>
            </w:r>
          </w:p>
        </w:tc>
      </w:tr>
      <w:tr w14:paraId="2345990F">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E46206">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7E5C830">
            <w:pPr>
              <w:spacing w:line="360" w:lineRule="auto"/>
              <w:jc w:val="center"/>
              <w:rPr>
                <w:rFonts w:ascii="宋体" w:hAnsi="宋体" w:cs="宋体"/>
                <w:color w:val="000000" w:themeColor="text1"/>
                <w:sz w:val="24"/>
                <w:highlight w:val="none"/>
                <w14:textFill>
                  <w14:solidFill>
                    <w14:schemeClr w14:val="tx1"/>
                  </w14:solidFill>
                </w14:textFill>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96957F7">
            <w:pPr>
              <w:spacing w:line="360" w:lineRule="auto"/>
              <w:jc w:val="center"/>
              <w:rPr>
                <w:rFonts w:ascii="宋体" w:hAnsi="宋体" w:cs="宋体"/>
                <w:color w:val="000000" w:themeColor="text1"/>
                <w:sz w:val="24"/>
                <w:highlight w:val="none"/>
                <w14:textFill>
                  <w14:solidFill>
                    <w14:schemeClr w14:val="tx1"/>
                  </w14:solidFill>
                </w14:textFill>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17C4FA">
            <w:pPr>
              <w:spacing w:line="360" w:lineRule="auto"/>
              <w:jc w:val="center"/>
              <w:rPr>
                <w:rFonts w:ascii="宋体" w:hAnsi="宋体" w:cs="宋体"/>
                <w:color w:val="000000" w:themeColor="text1"/>
                <w:sz w:val="24"/>
                <w:highlight w:val="none"/>
                <w14:textFill>
                  <w14:solidFill>
                    <w14:schemeClr w14:val="tx1"/>
                  </w14:solidFill>
                </w14:textFill>
              </w:rPr>
            </w:pPr>
          </w:p>
        </w:tc>
      </w:tr>
      <w:tr w14:paraId="6DB5B277">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83B56B">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C8B9AB2">
            <w:pPr>
              <w:spacing w:line="360" w:lineRule="auto"/>
              <w:jc w:val="center"/>
              <w:rPr>
                <w:rFonts w:ascii="宋体" w:hAnsi="宋体" w:cs="宋体"/>
                <w:color w:val="000000" w:themeColor="text1"/>
                <w:sz w:val="24"/>
                <w:highlight w:val="none"/>
                <w14:textFill>
                  <w14:solidFill>
                    <w14:schemeClr w14:val="tx1"/>
                  </w14:solidFill>
                </w14:textFill>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0A7C262">
            <w:pPr>
              <w:spacing w:line="360" w:lineRule="auto"/>
              <w:jc w:val="center"/>
              <w:rPr>
                <w:rFonts w:ascii="宋体" w:hAnsi="宋体" w:cs="宋体"/>
                <w:color w:val="000000" w:themeColor="text1"/>
                <w:sz w:val="24"/>
                <w:highlight w:val="none"/>
                <w14:textFill>
                  <w14:solidFill>
                    <w14:schemeClr w14:val="tx1"/>
                  </w14:solidFill>
                </w14:textFill>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895075">
            <w:pPr>
              <w:spacing w:line="360" w:lineRule="auto"/>
              <w:jc w:val="center"/>
              <w:rPr>
                <w:rFonts w:ascii="宋体" w:hAnsi="宋体" w:cs="宋体"/>
                <w:color w:val="000000" w:themeColor="text1"/>
                <w:sz w:val="24"/>
                <w:highlight w:val="none"/>
                <w14:textFill>
                  <w14:solidFill>
                    <w14:schemeClr w14:val="tx1"/>
                  </w14:solidFill>
                </w14:textFill>
              </w:rPr>
            </w:pPr>
          </w:p>
        </w:tc>
      </w:tr>
      <w:tr w14:paraId="485D86A4">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88405F3">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9D7AB5">
            <w:pPr>
              <w:spacing w:line="360" w:lineRule="auto"/>
              <w:jc w:val="center"/>
              <w:rPr>
                <w:rFonts w:ascii="宋体" w:hAnsi="宋体" w:cs="宋体"/>
                <w:color w:val="000000" w:themeColor="text1"/>
                <w:sz w:val="24"/>
                <w:highlight w:val="none"/>
                <w14:textFill>
                  <w14:solidFill>
                    <w14:schemeClr w14:val="tx1"/>
                  </w14:solidFill>
                </w14:textFill>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236CA4">
            <w:pPr>
              <w:spacing w:line="360" w:lineRule="auto"/>
              <w:jc w:val="center"/>
              <w:rPr>
                <w:rFonts w:ascii="宋体" w:hAnsi="宋体" w:cs="宋体"/>
                <w:color w:val="000000" w:themeColor="text1"/>
                <w:sz w:val="24"/>
                <w:highlight w:val="none"/>
                <w14:textFill>
                  <w14:solidFill>
                    <w14:schemeClr w14:val="tx1"/>
                  </w14:solidFill>
                </w14:textFill>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F547266">
            <w:pPr>
              <w:spacing w:line="360" w:lineRule="auto"/>
              <w:jc w:val="center"/>
              <w:rPr>
                <w:rFonts w:ascii="宋体" w:hAnsi="宋体" w:cs="宋体"/>
                <w:color w:val="000000" w:themeColor="text1"/>
                <w:sz w:val="24"/>
                <w:highlight w:val="none"/>
                <w14:textFill>
                  <w14:solidFill>
                    <w14:schemeClr w14:val="tx1"/>
                  </w14:solidFill>
                </w14:textFill>
              </w:rPr>
            </w:pPr>
          </w:p>
        </w:tc>
      </w:tr>
      <w:tr w14:paraId="13272426">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B660F85">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D024622">
            <w:pPr>
              <w:spacing w:line="360" w:lineRule="auto"/>
              <w:jc w:val="center"/>
              <w:rPr>
                <w:rFonts w:ascii="宋体" w:hAnsi="宋体" w:cs="宋体"/>
                <w:color w:val="000000" w:themeColor="text1"/>
                <w:sz w:val="24"/>
                <w:highlight w:val="none"/>
                <w14:textFill>
                  <w14:solidFill>
                    <w14:schemeClr w14:val="tx1"/>
                  </w14:solidFill>
                </w14:textFill>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9D4760E">
            <w:pPr>
              <w:spacing w:line="360" w:lineRule="auto"/>
              <w:jc w:val="center"/>
              <w:rPr>
                <w:rFonts w:ascii="宋体" w:hAnsi="宋体" w:cs="宋体"/>
                <w:color w:val="000000" w:themeColor="text1"/>
                <w:sz w:val="24"/>
                <w:highlight w:val="none"/>
                <w14:textFill>
                  <w14:solidFill>
                    <w14:schemeClr w14:val="tx1"/>
                  </w14:solidFill>
                </w14:textFill>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9B1119B">
            <w:pPr>
              <w:spacing w:line="360" w:lineRule="auto"/>
              <w:jc w:val="center"/>
              <w:rPr>
                <w:rFonts w:ascii="宋体" w:hAnsi="宋体" w:cs="宋体"/>
                <w:color w:val="000000" w:themeColor="text1"/>
                <w:sz w:val="24"/>
                <w:highlight w:val="none"/>
                <w14:textFill>
                  <w14:solidFill>
                    <w14:schemeClr w14:val="tx1"/>
                  </w14:solidFill>
                </w14:textFill>
              </w:rPr>
            </w:pPr>
          </w:p>
        </w:tc>
      </w:tr>
    </w:tbl>
    <w:p w14:paraId="5C760E48">
      <w:pPr>
        <w:spacing w:line="360" w:lineRule="auto"/>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注：</w:t>
      </w:r>
    </w:p>
    <w:p w14:paraId="6707CD20">
      <w:pPr>
        <w:spacing w:line="360" w:lineRule="auto"/>
        <w:ind w:firstLine="48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1.管理关系：是指不具有出资持股关系的其他单位之间存在的管理与被管理关系，如一些上下级关系的事业单位和团体组织。</w:t>
      </w:r>
    </w:p>
    <w:p w14:paraId="19BB31E2">
      <w:pPr>
        <w:spacing w:line="360" w:lineRule="auto"/>
        <w:ind w:firstLine="48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w:t>
      </w:r>
      <w:r>
        <w:rPr>
          <w:rFonts w:hint="eastAsia" w:ascii="宋体" w:hAnsi="宋体"/>
          <w:color w:val="000000" w:themeColor="text1"/>
          <w:spacing w:val="-6"/>
          <w:sz w:val="24"/>
          <w:highlight w:val="none"/>
          <w14:textFill>
            <w14:solidFill>
              <w14:schemeClr w14:val="tx1"/>
            </w14:solidFill>
          </w14:textFill>
        </w:rPr>
        <w:t>本表所指的管理关系仅限于直接管理关系，不包括间接的管理关系。</w:t>
      </w:r>
    </w:p>
    <w:p w14:paraId="5E74B6CE">
      <w:pPr>
        <w:spacing w:line="360" w:lineRule="auto"/>
        <w:ind w:firstLine="48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3.供应商不存在直接管理关系的，则在“</w:t>
      </w:r>
      <w:r>
        <w:rPr>
          <w:rFonts w:hint="eastAsia" w:ascii="宋体" w:hAnsi="宋体" w:cs="宋体"/>
          <w:b/>
          <w:bCs/>
          <w:color w:val="000000" w:themeColor="text1"/>
          <w:sz w:val="24"/>
          <w:highlight w:val="none"/>
          <w14:textFill>
            <w14:solidFill>
              <w14:schemeClr w14:val="tx1"/>
            </w14:solidFill>
          </w14:textFill>
        </w:rPr>
        <w:t>直接管理关系单位名称</w:t>
      </w:r>
      <w:r>
        <w:rPr>
          <w:rFonts w:hint="eastAsia" w:ascii="宋体" w:hAnsi="宋体"/>
          <w:color w:val="000000" w:themeColor="text1"/>
          <w:sz w:val="24"/>
          <w:highlight w:val="none"/>
          <w14:textFill>
            <w14:solidFill>
              <w14:schemeClr w14:val="tx1"/>
            </w14:solidFill>
          </w14:textFill>
        </w:rPr>
        <w:t>”中填“无”。</w:t>
      </w:r>
    </w:p>
    <w:p w14:paraId="6CD6F06B">
      <w:pPr>
        <w:spacing w:line="360" w:lineRule="auto"/>
        <w:jc w:val="left"/>
        <w:rPr>
          <w:rFonts w:ascii="宋体" w:hAnsi="宋体"/>
          <w:color w:val="000000" w:themeColor="text1"/>
          <w:sz w:val="24"/>
          <w:highlight w:val="none"/>
          <w14:textFill>
            <w14:solidFill>
              <w14:schemeClr w14:val="tx1"/>
            </w14:solidFill>
          </w14:textFill>
        </w:rPr>
      </w:pPr>
    </w:p>
    <w:p w14:paraId="2DC5FBC6">
      <w:pPr>
        <w:spacing w:line="360" w:lineRule="auto"/>
        <w:jc w:val="left"/>
        <w:rPr>
          <w:rFonts w:ascii="宋体" w:hAnsi="宋体"/>
          <w:color w:val="000000" w:themeColor="text1"/>
          <w:sz w:val="24"/>
          <w:highlight w:val="none"/>
          <w14:textFill>
            <w14:solidFill>
              <w14:schemeClr w14:val="tx1"/>
            </w14:solidFill>
          </w14:textFill>
        </w:rPr>
      </w:pPr>
    </w:p>
    <w:p w14:paraId="28BD30AD">
      <w:pPr>
        <w:spacing w:line="360" w:lineRule="auto"/>
        <w:jc w:val="left"/>
        <w:rPr>
          <w:rFonts w:ascii="宋体" w:hAnsi="宋体"/>
          <w:color w:val="000000" w:themeColor="text1"/>
          <w:sz w:val="24"/>
          <w:highlight w:val="none"/>
          <w14:textFill>
            <w14:solidFill>
              <w14:schemeClr w14:val="tx1"/>
            </w14:solidFill>
          </w14:textFill>
        </w:rPr>
      </w:pPr>
    </w:p>
    <w:p w14:paraId="176C264D">
      <w:pPr>
        <w:spacing w:line="360" w:lineRule="auto"/>
        <w:jc w:val="left"/>
        <w:rPr>
          <w:color w:val="000000" w:themeColor="text1"/>
          <w:sz w:val="24"/>
          <w:highlight w:val="none"/>
          <w14:textFill>
            <w14:solidFill>
              <w14:schemeClr w14:val="tx1"/>
            </w14:solidFill>
          </w14:textFill>
        </w:rPr>
      </w:pPr>
    </w:p>
    <w:p w14:paraId="1875B20A">
      <w:pPr>
        <w:spacing w:line="360" w:lineRule="auto"/>
        <w:ind w:left="-2" w:right="-817"/>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法定代表人或者委托代理人（签字或者电子签名）：</w:t>
      </w:r>
    </w:p>
    <w:p w14:paraId="73E556A3">
      <w:pPr>
        <w:spacing w:line="360" w:lineRule="auto"/>
        <w:ind w:left="-3" w:right="-817" w:hanging="28"/>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投标人名称（电子签章）：</w:t>
      </w:r>
    </w:p>
    <w:p w14:paraId="3F7111E8">
      <w:pPr>
        <w:spacing w:line="360" w:lineRule="auto"/>
        <w:ind w:right="480" w:firstLine="24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日期：    年   月   日</w:t>
      </w:r>
    </w:p>
    <w:p w14:paraId="13A56227">
      <w:pPr>
        <w:spacing w:after="50"/>
        <w:jc w:val="left"/>
        <w:rPr>
          <w:rFonts w:ascii="宋体" w:hAnsi="宋体"/>
          <w:b/>
          <w:color w:val="000000" w:themeColor="text1"/>
          <w:sz w:val="24"/>
          <w:szCs w:val="20"/>
          <w:highlight w:val="none"/>
          <w14:textFill>
            <w14:solidFill>
              <w14:schemeClr w14:val="tx1"/>
            </w14:solidFill>
          </w14:textFill>
        </w:rPr>
      </w:pPr>
    </w:p>
    <w:p w14:paraId="09615D39">
      <w:pPr>
        <w:spacing w:after="50"/>
        <w:jc w:val="left"/>
        <w:rPr>
          <w:rFonts w:ascii="宋体" w:hAnsi="宋体"/>
          <w:b/>
          <w:color w:val="000000" w:themeColor="text1"/>
          <w:sz w:val="24"/>
          <w:szCs w:val="20"/>
          <w:highlight w:val="none"/>
          <w14:textFill>
            <w14:solidFill>
              <w14:schemeClr w14:val="tx1"/>
            </w14:solidFill>
          </w14:textFill>
        </w:rPr>
      </w:pPr>
      <w:r>
        <w:rPr>
          <w:rFonts w:ascii="宋体" w:hAnsi="宋体"/>
          <w:b/>
          <w:color w:val="000000" w:themeColor="text1"/>
          <w:sz w:val="24"/>
          <w:highlight w:val="none"/>
          <w14:textFill>
            <w14:solidFill>
              <w14:schemeClr w14:val="tx1"/>
            </w14:solidFill>
          </w14:textFill>
        </w:rPr>
        <w:br w:type="page" w:clear="all"/>
      </w:r>
      <w:r>
        <w:rPr>
          <w:rFonts w:hint="eastAsia" w:ascii="宋体" w:hAnsi="宋体"/>
          <w:b/>
          <w:color w:val="000000" w:themeColor="text1"/>
          <w:sz w:val="24"/>
          <w:highlight w:val="none"/>
          <w14:textFill>
            <w14:solidFill>
              <w14:schemeClr w14:val="tx1"/>
            </w14:solidFill>
          </w14:textFill>
        </w:rPr>
        <w:t>5.投标声明</w:t>
      </w:r>
    </w:p>
    <w:p w14:paraId="678DD3B4">
      <w:pPr>
        <w:spacing w:before="50"/>
        <w:jc w:val="left"/>
        <w:rPr>
          <w:rFonts w:ascii="宋体" w:hAnsi="宋体"/>
          <w:color w:val="000000" w:themeColor="text1"/>
          <w:highlight w:val="none"/>
          <w14:textFill>
            <w14:solidFill>
              <w14:schemeClr w14:val="tx1"/>
            </w14:solidFill>
          </w14:textFill>
        </w:rPr>
      </w:pPr>
    </w:p>
    <w:p w14:paraId="3AF98394">
      <w:pPr>
        <w:spacing w:before="50"/>
        <w:jc w:val="center"/>
        <w:rPr>
          <w:rFonts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t>投标声明</w:t>
      </w:r>
    </w:p>
    <w:p w14:paraId="2430741A">
      <w:pPr>
        <w:spacing w:line="400" w:lineRule="exact"/>
        <w:contextualSpacing/>
        <w:jc w:val="left"/>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（采购人名称）：</w:t>
      </w:r>
    </w:p>
    <w:p w14:paraId="6AC54E02">
      <w:pPr>
        <w:spacing w:line="400" w:lineRule="exact"/>
        <w:ind w:firstLine="523"/>
        <w:contextualSpacing/>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我方参加贵单位组织</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项目（项目编号：</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）的政府采购活动。我方在此郑重声明：</w:t>
      </w:r>
    </w:p>
    <w:p w14:paraId="28B46A2C">
      <w:pPr>
        <w:spacing w:line="400" w:lineRule="exact"/>
        <w:ind w:firstLine="480"/>
        <w:contextualSpacing/>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我方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455A6793">
      <w:pPr>
        <w:spacing w:line="400" w:lineRule="exact"/>
        <w:ind w:firstLine="480"/>
        <w:contextualSpacing/>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2.我方不是为本次采购项目提供整体设计、规范编制或者项目管理、监理、检测等服务的供应商。</w:t>
      </w:r>
    </w:p>
    <w:p w14:paraId="611092DA">
      <w:pPr>
        <w:spacing w:line="400" w:lineRule="exact"/>
        <w:ind w:firstLine="480"/>
        <w:contextualSpacing/>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 我方承诺符合《中华人民共和国政府采购法》第二十二条规定：</w:t>
      </w:r>
    </w:p>
    <w:p w14:paraId="673BE7FB">
      <w:pPr>
        <w:spacing w:line="400" w:lineRule="exact"/>
        <w:ind w:firstLine="480"/>
        <w:contextualSpacing/>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（一）具有独立承担民事责任的能力；</w:t>
      </w:r>
    </w:p>
    <w:p w14:paraId="09386888">
      <w:pPr>
        <w:spacing w:line="400" w:lineRule="exact"/>
        <w:ind w:firstLine="480"/>
        <w:contextualSpacing/>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（二）具有良好的商业信誉和健全的财务会计制度；</w:t>
      </w:r>
    </w:p>
    <w:p w14:paraId="7A0CF463">
      <w:pPr>
        <w:spacing w:line="400" w:lineRule="exact"/>
        <w:ind w:firstLine="480"/>
        <w:contextualSpacing/>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（三）具有履行合同所必需的设备和专业技术能力；</w:t>
      </w:r>
    </w:p>
    <w:p w14:paraId="29218F4B">
      <w:pPr>
        <w:spacing w:line="400" w:lineRule="exact"/>
        <w:ind w:firstLine="480"/>
        <w:contextualSpacing/>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（四）有依法缴纳税收和社会保障资金的良好记录；</w:t>
      </w:r>
    </w:p>
    <w:p w14:paraId="35A5A753">
      <w:pPr>
        <w:spacing w:line="400" w:lineRule="exact"/>
        <w:ind w:firstLine="480"/>
        <w:contextualSpacing/>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（五）参加政府采购活动前三年内，在经营活动中没有重大违法记录；</w:t>
      </w:r>
    </w:p>
    <w:p w14:paraId="6C090B1E">
      <w:pPr>
        <w:spacing w:line="400" w:lineRule="exact"/>
        <w:ind w:firstLine="480"/>
        <w:contextualSpacing/>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（六）法律、行政法规规定的其他条件。</w:t>
      </w:r>
    </w:p>
    <w:p w14:paraId="77DE95D0">
      <w:pPr>
        <w:spacing w:line="400" w:lineRule="exact"/>
        <w:ind w:firstLine="480"/>
        <w:contextualSpacing/>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4.以上事项如有虚假或者隐瞒，我方愿意承担一切后果，并不再寻求任何旨在减轻或者免除法律责任的辩解。</w:t>
      </w:r>
    </w:p>
    <w:p w14:paraId="24EFB17B">
      <w:pPr>
        <w:spacing w:line="400" w:lineRule="exact"/>
        <w:contextualSpacing/>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特此承诺。</w:t>
      </w:r>
    </w:p>
    <w:p w14:paraId="44601013">
      <w:pPr>
        <w:spacing w:before="50" w:after="50"/>
        <w:rPr>
          <w:rFonts w:ascii="宋体" w:hAnsi="宋体"/>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            </w:t>
      </w:r>
    </w:p>
    <w:p w14:paraId="74B1B229">
      <w:pPr>
        <w:spacing w:before="50" w:after="50"/>
        <w:ind w:firstLine="840"/>
        <w:rPr>
          <w:rFonts w:ascii="宋体" w:hAnsi="宋体"/>
          <w:color w:val="000000" w:themeColor="text1"/>
          <w:spacing w:val="20"/>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法定代表人或者委托代理人</w:t>
      </w:r>
      <w:r>
        <w:rPr>
          <w:rFonts w:hint="eastAsia" w:ascii="宋体" w:hAnsi="宋体"/>
          <w:color w:val="000000" w:themeColor="text1"/>
          <w:spacing w:val="20"/>
          <w:sz w:val="24"/>
          <w:highlight w:val="none"/>
          <w14:textFill>
            <w14:solidFill>
              <w14:schemeClr w14:val="tx1"/>
            </w14:solidFill>
          </w14:textFill>
        </w:rPr>
        <w:t>（签字或者电子签名）：</w:t>
      </w:r>
      <w:r>
        <w:rPr>
          <w:rFonts w:hint="eastAsia" w:ascii="宋体" w:hAnsi="宋体"/>
          <w:color w:val="000000" w:themeColor="text1"/>
          <w:spacing w:val="20"/>
          <w:sz w:val="24"/>
          <w:highlight w:val="none"/>
          <w:u w:val="single"/>
          <w14:textFill>
            <w14:solidFill>
              <w14:schemeClr w14:val="tx1"/>
            </w14:solidFill>
          </w14:textFill>
        </w:rPr>
        <w:t xml:space="preserve">        </w:t>
      </w:r>
    </w:p>
    <w:p w14:paraId="056D7304">
      <w:pPr>
        <w:spacing w:line="400" w:lineRule="exact"/>
        <w:contextualSpacing/>
        <w:jc w:val="left"/>
        <w:rPr>
          <w:rFonts w:ascii="宋体" w:hAnsi="宋体"/>
          <w:color w:val="000000" w:themeColor="text1"/>
          <w:sz w:val="24"/>
          <w:highlight w:val="none"/>
          <w14:textFill>
            <w14:solidFill>
              <w14:schemeClr w14:val="tx1"/>
            </w14:solidFill>
          </w14:textFill>
        </w:rPr>
      </w:pPr>
    </w:p>
    <w:p w14:paraId="23BB1A58">
      <w:pPr>
        <w:spacing w:line="400" w:lineRule="exact"/>
        <w:contextualSpacing/>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投标人名称（电子签章）：</w:t>
      </w:r>
      <w:r>
        <w:rPr>
          <w:rFonts w:hint="eastAsia" w:ascii="宋体" w:hAnsi="宋体"/>
          <w:color w:val="000000" w:themeColor="text1"/>
          <w:sz w:val="24"/>
          <w:highlight w:val="none"/>
          <w:u w:val="single"/>
          <w14:textFill>
            <w14:solidFill>
              <w14:schemeClr w14:val="tx1"/>
            </w14:solidFill>
          </w14:textFill>
        </w:rPr>
        <w:t xml:space="preserve">                 </w:t>
      </w:r>
    </w:p>
    <w:p w14:paraId="0DCDDF2E">
      <w:pPr>
        <w:spacing w:line="400" w:lineRule="exact"/>
        <w:contextualSpacing/>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年    月    日</w:t>
      </w:r>
    </w:p>
    <w:p w14:paraId="36A8495C">
      <w:pPr>
        <w:spacing w:line="440" w:lineRule="exact"/>
        <w:contextualSpacing/>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注：如为联合体投标，盖章处须加盖联合体牵头人电子签章并由联合体牵头人法定代表人签字或者盖章或者电子签名，否则投标无效。</w:t>
      </w:r>
    </w:p>
    <w:p w14:paraId="16C9BE93">
      <w:pPr>
        <w:rPr>
          <w:b/>
          <w:color w:val="000000" w:themeColor="text1"/>
          <w:sz w:val="28"/>
          <w:szCs w:val="28"/>
          <w:highlight w:val="none"/>
          <w14:textFill>
            <w14:solidFill>
              <w14:schemeClr w14:val="tx1"/>
            </w14:solidFill>
          </w14:textFill>
        </w:rPr>
      </w:pPr>
      <w:r>
        <w:rPr>
          <w:b/>
          <w:color w:val="000000" w:themeColor="text1"/>
          <w:sz w:val="28"/>
          <w:szCs w:val="28"/>
          <w:highlight w:val="none"/>
          <w14:textFill>
            <w14:solidFill>
              <w14:schemeClr w14:val="tx1"/>
            </w14:solidFill>
          </w14:textFill>
        </w:rPr>
        <w:br w:type="page" w:clear="all"/>
      </w:r>
      <w:r>
        <w:rPr>
          <w:rFonts w:hint="eastAsia"/>
          <w:b/>
          <w:color w:val="000000" w:themeColor="text1"/>
          <w:sz w:val="28"/>
          <w:szCs w:val="28"/>
          <w:highlight w:val="none"/>
          <w14:textFill>
            <w14:solidFill>
              <w14:schemeClr w14:val="tx1"/>
            </w14:solidFill>
          </w14:textFill>
        </w:rPr>
        <w:t>三、商务及技术文件格式</w:t>
      </w:r>
    </w:p>
    <w:p w14:paraId="435001D7">
      <w:pPr>
        <w:spacing w:after="50" w:line="360" w:lineRule="auto"/>
        <w:jc w:val="lef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 xml:space="preserve">1.商务及技术文件封面格式： </w:t>
      </w:r>
    </w:p>
    <w:p w14:paraId="72F6C4BA">
      <w:pPr>
        <w:spacing w:after="50"/>
        <w:jc w:val="center"/>
        <w:rPr>
          <w:rFonts w:ascii="宋体" w:hAnsi="宋体"/>
          <w:color w:val="000000" w:themeColor="text1"/>
          <w:sz w:val="24"/>
          <w:highlight w:val="none"/>
          <w14:textFill>
            <w14:solidFill>
              <w14:schemeClr w14:val="tx1"/>
            </w14:solidFill>
          </w14:textFill>
        </w:rPr>
      </w:pPr>
      <w:r>
        <w:rPr>
          <w:rFonts w:hint="eastAsia" w:ascii="宋体" w:hAnsi="宋体" w:eastAsia="方正小标宋简体"/>
          <w:bCs/>
          <w:color w:val="000000" w:themeColor="text1"/>
          <w:sz w:val="48"/>
          <w:szCs w:val="48"/>
          <w:highlight w:val="none"/>
          <w14:textFill>
            <w14:solidFill>
              <w14:schemeClr w14:val="tx1"/>
            </w14:solidFill>
          </w14:textFill>
        </w:rPr>
        <w:t>电子投标文件</w:t>
      </w:r>
    </w:p>
    <w:p w14:paraId="129A14C0">
      <w:pPr>
        <w:spacing w:after="50"/>
        <w:jc w:val="center"/>
        <w:rPr>
          <w:rFonts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t>商务及技术文件</w:t>
      </w:r>
    </w:p>
    <w:p w14:paraId="0C427D1B">
      <w:pPr>
        <w:spacing w:after="50"/>
        <w:rPr>
          <w:rFonts w:ascii="宋体" w:hAnsi="宋体"/>
          <w:bCs/>
          <w:color w:val="000000" w:themeColor="text1"/>
          <w:sz w:val="24"/>
          <w:szCs w:val="20"/>
          <w:highlight w:val="none"/>
          <w14:textFill>
            <w14:solidFill>
              <w14:schemeClr w14:val="tx1"/>
            </w14:solidFill>
          </w14:textFill>
        </w:rPr>
      </w:pPr>
    </w:p>
    <w:p w14:paraId="40141D27">
      <w:pPr>
        <w:spacing w:after="50"/>
        <w:ind w:firstLine="540"/>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项目名称：</w:t>
      </w:r>
    </w:p>
    <w:p w14:paraId="1665EDB0">
      <w:pPr>
        <w:spacing w:after="50"/>
        <w:ind w:firstLine="540"/>
        <w:rPr>
          <w:rFonts w:ascii="宋体" w:hAnsi="宋体"/>
          <w:bCs/>
          <w:color w:val="000000" w:themeColor="text1"/>
          <w:sz w:val="24"/>
          <w:szCs w:val="20"/>
          <w:highlight w:val="none"/>
          <w14:textFill>
            <w14:solidFill>
              <w14:schemeClr w14:val="tx1"/>
            </w14:solidFill>
          </w14:textFill>
        </w:rPr>
      </w:pPr>
    </w:p>
    <w:p w14:paraId="43DEC902">
      <w:pPr>
        <w:spacing w:after="50"/>
        <w:ind w:firstLine="540"/>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项目编号：</w:t>
      </w:r>
    </w:p>
    <w:p w14:paraId="7BB98120">
      <w:pPr>
        <w:spacing w:after="50"/>
        <w:ind w:firstLine="540"/>
        <w:rPr>
          <w:rFonts w:ascii="宋体" w:hAnsi="宋体"/>
          <w:bCs/>
          <w:color w:val="000000" w:themeColor="text1"/>
          <w:sz w:val="24"/>
          <w:szCs w:val="20"/>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 xml:space="preserve"> </w:t>
      </w:r>
    </w:p>
    <w:p w14:paraId="0E43264C">
      <w:pPr>
        <w:spacing w:after="50"/>
        <w:ind w:firstLine="540"/>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所投分标：</w:t>
      </w:r>
    </w:p>
    <w:p w14:paraId="12020C2E">
      <w:pPr>
        <w:spacing w:after="50"/>
        <w:ind w:firstLine="540"/>
        <w:rPr>
          <w:rFonts w:ascii="宋体" w:hAnsi="宋体"/>
          <w:bCs/>
          <w:color w:val="000000" w:themeColor="text1"/>
          <w:sz w:val="24"/>
          <w:szCs w:val="20"/>
          <w:highlight w:val="none"/>
          <w14:textFill>
            <w14:solidFill>
              <w14:schemeClr w14:val="tx1"/>
            </w14:solidFill>
          </w14:textFill>
        </w:rPr>
      </w:pPr>
    </w:p>
    <w:p w14:paraId="02A8DF49">
      <w:pPr>
        <w:pStyle w:val="7"/>
        <w:spacing w:before="50" w:after="50"/>
        <w:ind w:firstLine="540"/>
        <w:rPr>
          <w:rFonts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投标人名称：</w:t>
      </w:r>
    </w:p>
    <w:p w14:paraId="689A326B">
      <w:pPr>
        <w:pStyle w:val="7"/>
        <w:spacing w:before="50" w:after="50"/>
        <w:ind w:firstLine="540"/>
        <w:rPr>
          <w:rFonts w:ascii="宋体" w:hAnsi="宋体"/>
          <w:bCs/>
          <w:color w:val="000000" w:themeColor="text1"/>
          <w:sz w:val="24"/>
          <w:szCs w:val="24"/>
          <w:highlight w:val="none"/>
          <w14:textFill>
            <w14:solidFill>
              <w14:schemeClr w14:val="tx1"/>
            </w14:solidFill>
          </w14:textFill>
        </w:rPr>
      </w:pPr>
    </w:p>
    <w:p w14:paraId="19C3D176">
      <w:pPr>
        <w:pStyle w:val="7"/>
        <w:spacing w:before="50" w:after="50"/>
        <w:ind w:firstLine="540"/>
        <w:rPr>
          <w:rFonts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投标人地址：</w:t>
      </w:r>
    </w:p>
    <w:p w14:paraId="245AF7DF">
      <w:pPr>
        <w:pStyle w:val="7"/>
        <w:spacing w:before="50" w:after="50"/>
        <w:ind w:firstLine="960"/>
        <w:rPr>
          <w:rFonts w:ascii="宋体" w:hAnsi="宋体"/>
          <w:bCs/>
          <w:color w:val="000000" w:themeColor="text1"/>
          <w:sz w:val="24"/>
          <w:szCs w:val="24"/>
          <w:highlight w:val="none"/>
          <w14:textFill>
            <w14:solidFill>
              <w14:schemeClr w14:val="tx1"/>
            </w14:solidFill>
          </w14:textFill>
        </w:rPr>
      </w:pPr>
    </w:p>
    <w:p w14:paraId="4102780C">
      <w:pPr>
        <w:spacing w:after="50"/>
        <w:ind w:firstLine="645"/>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年  月  日</w:t>
      </w:r>
    </w:p>
    <w:p w14:paraId="036EDA18">
      <w:pPr>
        <w:spacing w:after="50"/>
        <w:rPr>
          <w:rFonts w:ascii="宋体" w:hAnsi="宋体"/>
          <w:color w:val="000000" w:themeColor="text1"/>
          <w:sz w:val="24"/>
          <w:szCs w:val="20"/>
          <w:highlight w:val="none"/>
          <w14:textFill>
            <w14:solidFill>
              <w14:schemeClr w14:val="tx1"/>
            </w14:solidFill>
          </w14:textFill>
        </w:rPr>
      </w:pPr>
      <w:r>
        <w:rPr>
          <w:rFonts w:ascii="宋体" w:hAnsi="宋体"/>
          <w:color w:val="000000" w:themeColor="text1"/>
          <w:sz w:val="24"/>
          <w:szCs w:val="20"/>
          <w:highlight w:val="none"/>
          <w14:textFill>
            <w14:solidFill>
              <w14:schemeClr w14:val="tx1"/>
            </w14:solidFill>
          </w14:textFill>
        </w:rPr>
        <w:t xml:space="preserve"> </w:t>
      </w:r>
    </w:p>
    <w:p w14:paraId="0820DEF2">
      <w:pPr>
        <w:spacing w:line="360" w:lineRule="auto"/>
        <w:jc w:val="left"/>
        <w:rPr>
          <w:rFonts w:ascii="宋体" w:hAnsi="宋体"/>
          <w:b/>
          <w:color w:val="000000" w:themeColor="text1"/>
          <w:sz w:val="24"/>
          <w:highlight w:val="none"/>
          <w14:textFill>
            <w14:solidFill>
              <w14:schemeClr w14:val="tx1"/>
            </w14:solidFill>
          </w14:textFill>
        </w:rPr>
      </w:pPr>
      <w:r>
        <w:rPr>
          <w:rFonts w:ascii="宋体" w:hAnsi="宋体"/>
          <w:color w:val="000000" w:themeColor="text1"/>
          <w:sz w:val="24"/>
          <w:szCs w:val="20"/>
          <w:highlight w:val="none"/>
          <w14:textFill>
            <w14:solidFill>
              <w14:schemeClr w14:val="tx1"/>
            </w14:solidFill>
          </w14:textFill>
        </w:rPr>
        <w:br w:type="page" w:clear="all"/>
      </w:r>
      <w:r>
        <w:rPr>
          <w:rFonts w:hint="eastAsia" w:ascii="宋体" w:hAnsi="宋体"/>
          <w:b/>
          <w:color w:val="000000" w:themeColor="text1"/>
          <w:sz w:val="24"/>
          <w:highlight w:val="none"/>
          <w14:textFill>
            <w14:solidFill>
              <w14:schemeClr w14:val="tx1"/>
            </w14:solidFill>
          </w14:textFill>
        </w:rPr>
        <w:t>2.商务及技术文件目录</w:t>
      </w:r>
    </w:p>
    <w:p w14:paraId="7B4482AC">
      <w:pPr>
        <w:spacing w:before="50" w:line="360" w:lineRule="auto"/>
        <w:ind w:firstLine="560"/>
        <w:jc w:val="left"/>
        <w:rPr>
          <w:rFonts w:ascii="微软雅黑" w:hAnsi="微软雅黑" w:eastAsia="微软雅黑"/>
          <w:b/>
          <w:bCs/>
          <w:color w:val="000000" w:themeColor="text1"/>
          <w:sz w:val="32"/>
          <w:szCs w:val="32"/>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根据招标文件规定及投标人提供的材料自行编写目录。</w:t>
      </w:r>
    </w:p>
    <w:p w14:paraId="32B85B55">
      <w:pPr>
        <w:spacing w:before="50"/>
        <w:jc w:val="left"/>
        <w:rPr>
          <w:rFonts w:ascii="宋体" w:hAnsi="宋体"/>
          <w:color w:val="000000" w:themeColor="text1"/>
          <w:highlight w:val="none"/>
          <w14:textFill>
            <w14:solidFill>
              <w14:schemeClr w14:val="tx1"/>
            </w14:solidFill>
          </w14:textFill>
        </w:rPr>
      </w:pPr>
    </w:p>
    <w:p w14:paraId="5743A250">
      <w:pPr>
        <w:spacing w:after="50"/>
        <w:jc w:val="left"/>
        <w:rPr>
          <w:rFonts w:ascii="宋体" w:hAnsi="宋体"/>
          <w:b/>
          <w:color w:val="000000" w:themeColor="text1"/>
          <w:sz w:val="24"/>
          <w:highlight w:val="none"/>
          <w14:textFill>
            <w14:solidFill>
              <w14:schemeClr w14:val="tx1"/>
            </w14:solidFill>
          </w14:textFill>
        </w:rPr>
      </w:pPr>
      <w:r>
        <w:rPr>
          <w:rFonts w:ascii="宋体" w:hAnsi="宋体"/>
          <w:b/>
          <w:color w:val="000000" w:themeColor="text1"/>
          <w:sz w:val="24"/>
          <w:highlight w:val="none"/>
          <w14:textFill>
            <w14:solidFill>
              <w14:schemeClr w14:val="tx1"/>
            </w14:solidFill>
          </w14:textFill>
        </w:rPr>
        <w:br w:type="page" w:clear="all"/>
      </w:r>
      <w:r>
        <w:rPr>
          <w:rFonts w:hint="eastAsia" w:ascii="宋体" w:hAnsi="宋体"/>
          <w:b/>
          <w:color w:val="000000" w:themeColor="text1"/>
          <w:sz w:val="24"/>
          <w:highlight w:val="none"/>
          <w14:textFill>
            <w14:solidFill>
              <w14:schemeClr w14:val="tx1"/>
            </w14:solidFill>
          </w14:textFill>
        </w:rPr>
        <w:t>3.投标人参加本项目无围标串标行为的承诺</w:t>
      </w:r>
    </w:p>
    <w:p w14:paraId="715351BB">
      <w:pPr>
        <w:spacing w:after="50"/>
        <w:jc w:val="left"/>
        <w:rPr>
          <w:rFonts w:ascii="宋体" w:hAnsi="宋体"/>
          <w:b/>
          <w:color w:val="000000" w:themeColor="text1"/>
          <w:sz w:val="24"/>
          <w:highlight w:val="none"/>
          <w14:textFill>
            <w14:solidFill>
              <w14:schemeClr w14:val="tx1"/>
            </w14:solidFill>
          </w14:textFill>
        </w:rPr>
      </w:pPr>
    </w:p>
    <w:p w14:paraId="3BC28643">
      <w:pPr>
        <w:spacing w:line="360" w:lineRule="auto"/>
        <w:ind w:left="420"/>
        <w:contextualSpacing/>
        <w:jc w:val="center"/>
        <w:rPr>
          <w:rFonts w:ascii="宋体" w:hAnsi="宋体"/>
          <w:b/>
          <w:color w:val="000000" w:themeColor="text1"/>
          <w:sz w:val="24"/>
          <w:highlight w:val="none"/>
          <w14:textFill>
            <w14:solidFill>
              <w14:schemeClr w14:val="tx1"/>
            </w14:solidFill>
          </w14:textFill>
        </w:rPr>
      </w:pPr>
      <w:r>
        <w:rPr>
          <w:rFonts w:hint="eastAsia" w:ascii="方正小标宋简体" w:hAnsi="方正小标宋简体" w:eastAsia="方正小标宋简体" w:cs="方正小标宋简体"/>
          <w:bCs/>
          <w:color w:val="000000" w:themeColor="text1"/>
          <w:spacing w:val="-11"/>
          <w:sz w:val="44"/>
          <w:szCs w:val="44"/>
          <w:highlight w:val="none"/>
          <w14:textFill>
            <w14:solidFill>
              <w14:schemeClr w14:val="tx1"/>
            </w14:solidFill>
          </w14:textFill>
        </w:rPr>
        <w:t>投标人参加本项目无围标串标行为的承诺函</w:t>
      </w:r>
    </w:p>
    <w:p w14:paraId="0E1F17F8">
      <w:pPr>
        <w:spacing w:line="420" w:lineRule="exact"/>
        <w:contextualSpacing/>
        <w:jc w:val="lef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一、我方承诺无下列相互串通投标的情形：</w:t>
      </w:r>
    </w:p>
    <w:p w14:paraId="51011099">
      <w:pPr>
        <w:spacing w:line="420" w:lineRule="exact"/>
        <w:ind w:firstLine="470"/>
        <w:contextualSpacing/>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1.不同投标人的投标文件由同一单位或者个人编制；或不同投标人报名的IP地址一致的；</w:t>
      </w:r>
    </w:p>
    <w:p w14:paraId="489FA3CF">
      <w:pPr>
        <w:spacing w:line="420" w:lineRule="exact"/>
        <w:ind w:firstLine="470"/>
        <w:contextualSpacing/>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2.不同投标人委托同一单位或者个人办理投标事宜；</w:t>
      </w:r>
    </w:p>
    <w:p w14:paraId="278BC5A0">
      <w:pPr>
        <w:spacing w:line="420" w:lineRule="exact"/>
        <w:ind w:firstLine="470"/>
        <w:contextualSpacing/>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3.不同的投标人的投标文件载明的项目管理员为同一个人；</w:t>
      </w:r>
    </w:p>
    <w:p w14:paraId="06B243FF">
      <w:pPr>
        <w:spacing w:line="420" w:lineRule="exact"/>
        <w:ind w:firstLine="470"/>
        <w:contextualSpacing/>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4.不同投标人的投标文件异常一致或者投标报价呈规律性差异；</w:t>
      </w:r>
    </w:p>
    <w:p w14:paraId="238E8157">
      <w:pPr>
        <w:spacing w:line="420" w:lineRule="exact"/>
        <w:ind w:firstLine="470"/>
        <w:contextualSpacing/>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5.不同投标人的投标文件相互混装；</w:t>
      </w:r>
    </w:p>
    <w:p w14:paraId="11E8767F">
      <w:pPr>
        <w:spacing w:line="420" w:lineRule="exact"/>
        <w:ind w:firstLine="470"/>
        <w:contextualSpacing/>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6.不同投标人的投标保证金从同一单位或者个人账户转出。</w:t>
      </w:r>
    </w:p>
    <w:p w14:paraId="64932426">
      <w:pPr>
        <w:spacing w:line="420" w:lineRule="exact"/>
        <w:contextualSpacing/>
        <w:jc w:val="left"/>
        <w:rPr>
          <w:rFonts w:ascii="宋体" w:hAnsi="宋体"/>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二、我方承诺无下列恶意串通的情形：</w:t>
      </w:r>
    </w:p>
    <w:p w14:paraId="7908F9F2">
      <w:pPr>
        <w:spacing w:line="420" w:lineRule="exact"/>
        <w:ind w:firstLine="470"/>
        <w:contextualSpacing/>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1.投标人直接或者间接从采购人或者采购代理机构处获得其他投标人的相关信息并修改其投标文件或者投标文件；</w:t>
      </w:r>
    </w:p>
    <w:p w14:paraId="54992514">
      <w:pPr>
        <w:spacing w:line="420" w:lineRule="exact"/>
        <w:ind w:firstLine="470"/>
        <w:contextualSpacing/>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2.投标人按照采购人或者采购代理机构的授意撤换、修改投标文件或者投标文件；</w:t>
      </w:r>
    </w:p>
    <w:p w14:paraId="0A5E13CB">
      <w:pPr>
        <w:spacing w:line="420" w:lineRule="exact"/>
        <w:ind w:firstLine="470"/>
        <w:contextualSpacing/>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3.投标人之间协商报价、技术方案等投标文件或者投标文件的实质性内容；</w:t>
      </w:r>
    </w:p>
    <w:p w14:paraId="44DA214C">
      <w:pPr>
        <w:spacing w:line="420" w:lineRule="exact"/>
        <w:ind w:firstLine="470"/>
        <w:contextualSpacing/>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4.属于同一集团、协会、商会等组织成员的投标人按照该组织要求协同参加政府采购活动；</w:t>
      </w:r>
    </w:p>
    <w:p w14:paraId="6E9543E4">
      <w:pPr>
        <w:spacing w:line="420" w:lineRule="exact"/>
        <w:ind w:firstLine="470"/>
        <w:contextualSpacing/>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5.投标人之间事先约定一致抬高或者压低投标报价，或者在招标项目中事先约定轮流以高价位或者低价位中标，或者事先约定由某一特定投标人中标，然后再参加投标；</w:t>
      </w:r>
    </w:p>
    <w:p w14:paraId="4B6184D9">
      <w:pPr>
        <w:spacing w:line="420" w:lineRule="exact"/>
        <w:ind w:firstLine="470"/>
        <w:contextualSpacing/>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6.投标人之间商定部分投标人放弃参加政府采购活动或者放弃中标；</w:t>
      </w:r>
    </w:p>
    <w:p w14:paraId="2C60D4B6">
      <w:pPr>
        <w:spacing w:line="420" w:lineRule="exact"/>
        <w:ind w:firstLine="470"/>
        <w:contextualSpacing/>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7.投标人与采购人或者采购代理机构之间、投标人相互之间，为谋求特定投标人中标或者排斥其他投标人的其他串通行为。</w:t>
      </w:r>
    </w:p>
    <w:p w14:paraId="2282631D">
      <w:pPr>
        <w:spacing w:line="420" w:lineRule="exact"/>
        <w:ind w:firstLine="472"/>
        <w:contextualSpacing/>
        <w:jc w:val="lef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以上情形一经核查属实，我方愿意承担一切后果，并不再寻求任何旨在减轻或者免除法律责任的辩解。</w:t>
      </w:r>
    </w:p>
    <w:p w14:paraId="6E8BED1A">
      <w:pPr>
        <w:pStyle w:val="25"/>
        <w:spacing w:line="420" w:lineRule="exact"/>
        <w:ind w:firstLine="960"/>
        <w:contextualSpacing/>
        <w:rPr>
          <w:rFonts w:hAnsi="宋体"/>
          <w:color w:val="000000" w:themeColor="text1"/>
          <w:sz w:val="24"/>
          <w:szCs w:val="24"/>
          <w:highlight w:val="none"/>
          <w14:textFill>
            <w14:solidFill>
              <w14:schemeClr w14:val="tx1"/>
            </w14:solidFill>
          </w14:textFill>
        </w:rPr>
      </w:pPr>
      <w:r>
        <w:rPr>
          <w:rFonts w:hint="eastAsia" w:hAnsi="宋体"/>
          <w:color w:val="000000" w:themeColor="text1"/>
          <w:sz w:val="24"/>
          <w:highlight w:val="none"/>
          <w14:textFill>
            <w14:solidFill>
              <w14:schemeClr w14:val="tx1"/>
            </w14:solidFill>
          </w14:textFill>
        </w:rPr>
        <w:t>法定代表人或者委托代理人</w:t>
      </w:r>
      <w:r>
        <w:rPr>
          <w:rFonts w:hint="eastAsia" w:hAnsi="宋体"/>
          <w:color w:val="000000" w:themeColor="text1"/>
          <w:spacing w:val="20"/>
          <w:sz w:val="24"/>
          <w:highlight w:val="none"/>
          <w14:textFill>
            <w14:solidFill>
              <w14:schemeClr w14:val="tx1"/>
            </w14:solidFill>
          </w14:textFill>
        </w:rPr>
        <w:t>（签字或者电子签名）：</w:t>
      </w:r>
      <w:r>
        <w:rPr>
          <w:rFonts w:hint="eastAsia" w:hAnsi="宋体"/>
          <w:color w:val="000000" w:themeColor="text1"/>
          <w:spacing w:val="20"/>
          <w:sz w:val="24"/>
          <w:highlight w:val="none"/>
          <w:u w:val="single"/>
          <w14:textFill>
            <w14:solidFill>
              <w14:schemeClr w14:val="tx1"/>
            </w14:solidFill>
          </w14:textFill>
        </w:rPr>
        <w:t xml:space="preserve">        </w:t>
      </w:r>
    </w:p>
    <w:p w14:paraId="78EE7184">
      <w:pPr>
        <w:pStyle w:val="25"/>
        <w:spacing w:line="420" w:lineRule="exact"/>
        <w:contextualSpacing/>
        <w:jc w:val="center"/>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 xml:space="preserve"> </w:t>
      </w:r>
      <w:r>
        <w:rPr>
          <w:rFonts w:hAnsi="宋体"/>
          <w:color w:val="000000" w:themeColor="text1"/>
          <w:sz w:val="24"/>
          <w:szCs w:val="24"/>
          <w:highlight w:val="none"/>
          <w14:textFill>
            <w14:solidFill>
              <w14:schemeClr w14:val="tx1"/>
            </w14:solidFill>
          </w14:textFill>
        </w:rPr>
        <w:t xml:space="preserve">                                   </w:t>
      </w:r>
      <w:r>
        <w:rPr>
          <w:rFonts w:hint="eastAsia" w:hAnsi="宋体"/>
          <w:color w:val="000000" w:themeColor="text1"/>
          <w:sz w:val="24"/>
          <w:szCs w:val="24"/>
          <w:highlight w:val="none"/>
          <w14:textFill>
            <w14:solidFill>
              <w14:schemeClr w14:val="tx1"/>
            </w14:solidFill>
          </w14:textFill>
        </w:rPr>
        <w:t>投标人名称（电子签章）</w:t>
      </w:r>
    </w:p>
    <w:p w14:paraId="69BEFEFA">
      <w:pPr>
        <w:pStyle w:val="25"/>
        <w:spacing w:line="420" w:lineRule="exact"/>
        <w:contextualSpacing/>
        <w:rPr>
          <w:rFonts w:hAnsi="宋体"/>
          <w:color w:val="000000" w:themeColor="text1"/>
          <w:sz w:val="24"/>
          <w:highlight w:val="none"/>
          <w14:textFill>
            <w14:solidFill>
              <w14:schemeClr w14:val="tx1"/>
            </w14:solidFill>
          </w14:textFill>
        </w:rPr>
      </w:pPr>
      <w:r>
        <w:rPr>
          <w:rFonts w:hint="eastAsia" w:hAnsi="宋体"/>
          <w:color w:val="000000" w:themeColor="text1"/>
          <w:sz w:val="24"/>
          <w:highlight w:val="none"/>
          <w14:textFill>
            <w14:solidFill>
              <w14:schemeClr w14:val="tx1"/>
            </w14:solidFill>
          </w14:textFill>
        </w:rPr>
        <w:t xml:space="preserve">                                                </w:t>
      </w:r>
      <w:r>
        <w:rPr>
          <w:rFonts w:hint="eastAsia" w:hAnsi="宋体"/>
          <w:color w:val="000000" w:themeColor="text1"/>
          <w:sz w:val="24"/>
          <w:highlight w:val="none"/>
          <w:u w:val="single"/>
          <w14:textFill>
            <w14:solidFill>
              <w14:schemeClr w14:val="tx1"/>
            </w14:solidFill>
          </w14:textFill>
        </w:rPr>
        <w:t xml:space="preserve">      </w:t>
      </w:r>
      <w:r>
        <w:rPr>
          <w:rFonts w:hint="eastAsia" w:hAnsi="宋体"/>
          <w:color w:val="000000" w:themeColor="text1"/>
          <w:sz w:val="24"/>
          <w:highlight w:val="none"/>
          <w14:textFill>
            <w14:solidFill>
              <w14:schemeClr w14:val="tx1"/>
            </w14:solidFill>
          </w14:textFill>
        </w:rPr>
        <w:t>年</w:t>
      </w:r>
      <w:r>
        <w:rPr>
          <w:rFonts w:hint="eastAsia" w:hAnsi="宋体"/>
          <w:color w:val="000000" w:themeColor="text1"/>
          <w:sz w:val="24"/>
          <w:highlight w:val="none"/>
          <w:u w:val="single"/>
          <w14:textFill>
            <w14:solidFill>
              <w14:schemeClr w14:val="tx1"/>
            </w14:solidFill>
          </w14:textFill>
        </w:rPr>
        <w:t xml:space="preserve">    </w:t>
      </w:r>
      <w:r>
        <w:rPr>
          <w:rFonts w:hint="eastAsia" w:hAnsi="宋体"/>
          <w:color w:val="000000" w:themeColor="text1"/>
          <w:sz w:val="24"/>
          <w:highlight w:val="none"/>
          <w14:textFill>
            <w14:solidFill>
              <w14:schemeClr w14:val="tx1"/>
            </w14:solidFill>
          </w14:textFill>
        </w:rPr>
        <w:t>月</w:t>
      </w:r>
      <w:r>
        <w:rPr>
          <w:rFonts w:hint="eastAsia" w:hAnsi="宋体"/>
          <w:color w:val="000000" w:themeColor="text1"/>
          <w:sz w:val="24"/>
          <w:highlight w:val="none"/>
          <w:u w:val="single"/>
          <w14:textFill>
            <w14:solidFill>
              <w14:schemeClr w14:val="tx1"/>
            </w14:solidFill>
          </w14:textFill>
        </w:rPr>
        <w:t xml:space="preserve">     </w:t>
      </w:r>
      <w:r>
        <w:rPr>
          <w:rFonts w:hint="eastAsia" w:hAnsi="宋体"/>
          <w:color w:val="000000" w:themeColor="text1"/>
          <w:sz w:val="24"/>
          <w:highlight w:val="none"/>
          <w14:textFill>
            <w14:solidFill>
              <w14:schemeClr w14:val="tx1"/>
            </w14:solidFill>
          </w14:textFill>
        </w:rPr>
        <w:t>日</w:t>
      </w:r>
    </w:p>
    <w:p w14:paraId="6FDAC344">
      <w:pPr>
        <w:spacing w:after="50"/>
        <w:jc w:val="left"/>
        <w:rPr>
          <w:rFonts w:ascii="宋体" w:hAnsi="宋体"/>
          <w:b/>
          <w:color w:val="000000" w:themeColor="text1"/>
          <w:sz w:val="24"/>
          <w:szCs w:val="20"/>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4.法定代表人身份证明</w:t>
      </w:r>
    </w:p>
    <w:p w14:paraId="2CF94EF0">
      <w:pPr>
        <w:ind w:left="540"/>
        <w:jc w:val="center"/>
        <w:rPr>
          <w:rFonts w:ascii="宋体" w:hAnsi="Courier New"/>
          <w:b/>
          <w:color w:val="000000" w:themeColor="text1"/>
          <w:sz w:val="32"/>
          <w:szCs w:val="32"/>
          <w:highlight w:val="none"/>
          <w14:textFill>
            <w14:solidFill>
              <w14:schemeClr w14:val="tx1"/>
            </w14:solidFill>
          </w14:textFill>
        </w:rPr>
      </w:pPr>
    </w:p>
    <w:p w14:paraId="3DCEE074">
      <w:pPr>
        <w:ind w:left="540"/>
        <w:jc w:val="center"/>
        <w:rPr>
          <w:rFonts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t>法定代表人身份证明</w:t>
      </w:r>
    </w:p>
    <w:p w14:paraId="18562DFA">
      <w:pPr>
        <w:spacing w:line="500" w:lineRule="exact"/>
        <w:ind w:left="54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投 标 人：</w:t>
      </w:r>
      <w:r>
        <w:rPr>
          <w:rFonts w:hint="eastAsia" w:ascii="宋体" w:hAnsi="宋体"/>
          <w:color w:val="000000" w:themeColor="text1"/>
          <w:sz w:val="24"/>
          <w:highlight w:val="none"/>
          <w:u w:val="single"/>
          <w14:textFill>
            <w14:solidFill>
              <w14:schemeClr w14:val="tx1"/>
            </w14:solidFill>
          </w14:textFill>
        </w:rPr>
        <w:t xml:space="preserve">                                                        </w:t>
      </w:r>
    </w:p>
    <w:p w14:paraId="7428157B">
      <w:pPr>
        <w:spacing w:line="500" w:lineRule="exact"/>
        <w:ind w:left="54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地    址：</w:t>
      </w:r>
      <w:r>
        <w:rPr>
          <w:rFonts w:hint="eastAsia" w:ascii="宋体" w:hAnsi="宋体"/>
          <w:color w:val="000000" w:themeColor="text1"/>
          <w:sz w:val="24"/>
          <w:highlight w:val="none"/>
          <w:u w:val="single"/>
          <w14:textFill>
            <w14:solidFill>
              <w14:schemeClr w14:val="tx1"/>
            </w14:solidFill>
          </w14:textFill>
        </w:rPr>
        <w:t xml:space="preserve">                                                        </w:t>
      </w:r>
    </w:p>
    <w:p w14:paraId="49A0058F">
      <w:pPr>
        <w:spacing w:line="500" w:lineRule="exact"/>
        <w:ind w:left="54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姓    名：</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性      别：</w:t>
      </w:r>
      <w:r>
        <w:rPr>
          <w:rFonts w:hint="eastAsia" w:ascii="宋体" w:hAnsi="宋体"/>
          <w:color w:val="000000" w:themeColor="text1"/>
          <w:sz w:val="24"/>
          <w:highlight w:val="none"/>
          <w:u w:val="single"/>
          <w14:textFill>
            <w14:solidFill>
              <w14:schemeClr w14:val="tx1"/>
            </w14:solidFill>
          </w14:textFill>
        </w:rPr>
        <w:t xml:space="preserve">                </w:t>
      </w:r>
    </w:p>
    <w:p w14:paraId="4FDCFFD6">
      <w:pPr>
        <w:spacing w:line="500" w:lineRule="exact"/>
        <w:ind w:left="540"/>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年    龄：</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职      务：</w:t>
      </w:r>
      <w:r>
        <w:rPr>
          <w:rFonts w:hint="eastAsia" w:ascii="宋体" w:hAnsi="宋体"/>
          <w:color w:val="000000" w:themeColor="text1"/>
          <w:sz w:val="24"/>
          <w:highlight w:val="none"/>
          <w:u w:val="single"/>
          <w14:textFill>
            <w14:solidFill>
              <w14:schemeClr w14:val="tx1"/>
            </w14:solidFill>
          </w14:textFill>
        </w:rPr>
        <w:t xml:space="preserve">                </w:t>
      </w:r>
    </w:p>
    <w:p w14:paraId="772BE39D">
      <w:pPr>
        <w:spacing w:line="500" w:lineRule="exact"/>
        <w:ind w:left="54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身份证</w:t>
      </w:r>
      <w:r>
        <w:rPr>
          <w:rFonts w:hint="eastAsia"/>
          <w:color w:val="000000" w:themeColor="text1"/>
          <w:sz w:val="24"/>
          <w:highlight w:val="none"/>
          <w14:textFill>
            <w14:solidFill>
              <w14:schemeClr w14:val="tx1"/>
            </w14:solidFill>
          </w14:textFill>
        </w:rPr>
        <w:t>号码：</w:t>
      </w:r>
      <w:r>
        <w:rPr>
          <w:rFonts w:hint="eastAsia"/>
          <w:color w:val="000000" w:themeColor="text1"/>
          <w:sz w:val="24"/>
          <w:highlight w:val="none"/>
          <w:u w:val="single"/>
          <w14:textFill>
            <w14:solidFill>
              <w14:schemeClr w14:val="tx1"/>
            </w14:solidFill>
          </w14:textFill>
        </w:rPr>
        <w:t xml:space="preserve">                                 </w:t>
      </w:r>
    </w:p>
    <w:p w14:paraId="78C3B267">
      <w:pPr>
        <w:spacing w:line="500" w:lineRule="exact"/>
        <w:ind w:left="54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系</w:t>
      </w:r>
      <w:r>
        <w:rPr>
          <w:rFonts w:hint="eastAsia" w:ascii="宋体" w:hAnsi="宋体"/>
          <w:color w:val="000000" w:themeColor="text1"/>
          <w:sz w:val="24"/>
          <w:highlight w:val="none"/>
          <w:u w:val="single"/>
          <w14:textFill>
            <w14:solidFill>
              <w14:schemeClr w14:val="tx1"/>
            </w14:solidFill>
          </w14:textFill>
        </w:rPr>
        <w:t xml:space="preserve">            （投标人名称）              </w:t>
      </w:r>
      <w:r>
        <w:rPr>
          <w:rFonts w:hint="eastAsia" w:ascii="宋体" w:hAnsi="宋体"/>
          <w:color w:val="000000" w:themeColor="text1"/>
          <w:sz w:val="24"/>
          <w:highlight w:val="none"/>
          <w14:textFill>
            <w14:solidFill>
              <w14:schemeClr w14:val="tx1"/>
            </w14:solidFill>
          </w14:textFill>
        </w:rPr>
        <w:t>的法定代表人。</w:t>
      </w:r>
    </w:p>
    <w:p w14:paraId="3A010740">
      <w:pPr>
        <w:spacing w:line="500" w:lineRule="exact"/>
        <w:ind w:left="54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特此证明。</w:t>
      </w:r>
    </w:p>
    <w:p w14:paraId="57F6AF3E">
      <w:pPr>
        <w:spacing w:line="500" w:lineRule="exact"/>
        <w:ind w:left="540"/>
        <w:rPr>
          <w:rFonts w:ascii="宋体" w:hAnsi="宋体"/>
          <w:color w:val="000000" w:themeColor="text1"/>
          <w:sz w:val="24"/>
          <w:highlight w:val="none"/>
          <w14:textFill>
            <w14:solidFill>
              <w14:schemeClr w14:val="tx1"/>
            </w14:solidFill>
          </w14:textFill>
        </w:rPr>
      </w:pPr>
    </w:p>
    <w:p w14:paraId="6F956354">
      <w:pPr>
        <w:spacing w:line="500" w:lineRule="exact"/>
        <w:ind w:left="540"/>
        <w:rPr>
          <w:rFonts w:ascii="宋体" w:hAnsi="宋体"/>
          <w:color w:val="000000" w:themeColor="text1"/>
          <w:sz w:val="24"/>
          <w:highlight w:val="none"/>
          <w14:textFill>
            <w14:solidFill>
              <w14:schemeClr w14:val="tx1"/>
            </w14:solidFill>
          </w14:textFill>
        </w:rPr>
      </w:pPr>
    </w:p>
    <w:p w14:paraId="558EA7AC">
      <w:pPr>
        <w:spacing w:line="500" w:lineRule="exact"/>
        <w:ind w:left="54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附件：法定代表人有效身份证正反面复印件</w:t>
      </w:r>
    </w:p>
    <w:p w14:paraId="4B6CAC79">
      <w:pPr>
        <w:spacing w:line="500" w:lineRule="exact"/>
        <w:ind w:left="540"/>
        <w:rPr>
          <w:rFonts w:ascii="宋体" w:hAnsi="宋体"/>
          <w:color w:val="000000" w:themeColor="text1"/>
          <w:sz w:val="24"/>
          <w:highlight w:val="none"/>
          <w14:textFill>
            <w14:solidFill>
              <w14:schemeClr w14:val="tx1"/>
            </w14:solidFill>
          </w14:textFill>
        </w:rPr>
      </w:pPr>
    </w:p>
    <w:p w14:paraId="628BF258">
      <w:pPr>
        <w:spacing w:line="500" w:lineRule="exact"/>
        <w:ind w:left="540"/>
        <w:jc w:val="righ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投标人名称（电子签章）</w:t>
      </w:r>
    </w:p>
    <w:p w14:paraId="0A960909">
      <w:pPr>
        <w:spacing w:line="500" w:lineRule="exact"/>
        <w:ind w:left="540"/>
        <w:jc w:val="right"/>
        <w:rPr>
          <w:rFonts w:ascii="宋体" w:hAnsi="宋体"/>
          <w:color w:val="000000" w:themeColor="text1"/>
          <w:sz w:val="24"/>
          <w:highlight w:val="none"/>
          <w14:textFill>
            <w14:solidFill>
              <w14:schemeClr w14:val="tx1"/>
            </w14:solidFill>
          </w14:textFill>
        </w:rPr>
      </w:pPr>
    </w:p>
    <w:p w14:paraId="1E513207">
      <w:pPr>
        <w:spacing w:after="50"/>
        <w:ind w:left="540"/>
        <w:jc w:val="righ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年</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月</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日</w:t>
      </w:r>
    </w:p>
    <w:p w14:paraId="2E591E4F">
      <w:pPr>
        <w:spacing w:after="50"/>
        <w:jc w:val="center"/>
        <w:rPr>
          <w:rFonts w:ascii="宋体" w:hAnsi="宋体"/>
          <w:b/>
          <w:color w:val="000000" w:themeColor="text1"/>
          <w:sz w:val="24"/>
          <w:highlight w:val="none"/>
          <w14:textFill>
            <w14:solidFill>
              <w14:schemeClr w14:val="tx1"/>
            </w14:solidFill>
          </w14:textFill>
        </w:rPr>
      </w:pPr>
    </w:p>
    <w:p w14:paraId="32370421">
      <w:pPr>
        <w:spacing w:after="50"/>
        <w:jc w:val="left"/>
        <w:rPr>
          <w:rFonts w:ascii="宋体" w:hAnsi="宋体"/>
          <w:b/>
          <w:color w:val="000000" w:themeColor="text1"/>
          <w:sz w:val="24"/>
          <w:szCs w:val="20"/>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注：自然人投标的无需提供</w:t>
      </w:r>
    </w:p>
    <w:p w14:paraId="750253B6">
      <w:pPr>
        <w:spacing w:after="50"/>
        <w:jc w:val="left"/>
        <w:rPr>
          <w:rFonts w:ascii="宋体" w:hAnsi="宋体"/>
          <w:b/>
          <w:color w:val="000000" w:themeColor="text1"/>
          <w:sz w:val="24"/>
          <w:szCs w:val="20"/>
          <w:highlight w:val="none"/>
          <w14:textFill>
            <w14:solidFill>
              <w14:schemeClr w14:val="tx1"/>
            </w14:solidFill>
          </w14:textFill>
        </w:rPr>
      </w:pPr>
      <w:r>
        <w:rPr>
          <w:rFonts w:ascii="宋体" w:hAnsi="宋体"/>
          <w:b/>
          <w:color w:val="000000" w:themeColor="text1"/>
          <w:sz w:val="24"/>
          <w:highlight w:val="none"/>
          <w14:textFill>
            <w14:solidFill>
              <w14:schemeClr w14:val="tx1"/>
            </w14:solidFill>
          </w14:textFill>
        </w:rPr>
        <w:br w:type="page" w:clear="all"/>
      </w:r>
      <w:r>
        <w:rPr>
          <w:rFonts w:hint="eastAsia" w:ascii="宋体" w:hAnsi="宋体"/>
          <w:b/>
          <w:color w:val="000000" w:themeColor="text1"/>
          <w:sz w:val="24"/>
          <w:highlight w:val="none"/>
          <w14:textFill>
            <w14:solidFill>
              <w14:schemeClr w14:val="tx1"/>
            </w14:solidFill>
          </w14:textFill>
        </w:rPr>
        <w:t>5.授权委托书格式</w:t>
      </w:r>
    </w:p>
    <w:p w14:paraId="39AE0DB8">
      <w:pPr>
        <w:spacing w:after="50"/>
        <w:jc w:val="center"/>
        <w:rPr>
          <w:rFonts w:ascii="宋体" w:hAnsi="宋体"/>
          <w:b/>
          <w:color w:val="000000" w:themeColor="text1"/>
          <w:sz w:val="44"/>
          <w:szCs w:val="44"/>
          <w:highlight w:val="none"/>
          <w14:textFill>
            <w14:solidFill>
              <w14:schemeClr w14:val="tx1"/>
            </w14:solidFill>
          </w14:textFill>
        </w:rPr>
      </w:pPr>
    </w:p>
    <w:p w14:paraId="5BD4CF2B">
      <w:pPr>
        <w:spacing w:line="360" w:lineRule="auto"/>
        <w:contextualSpacing/>
        <w:jc w:val="center"/>
        <w:rPr>
          <w:rFonts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t>授权委托书</w:t>
      </w:r>
    </w:p>
    <w:p w14:paraId="69B844A4">
      <w:pPr>
        <w:spacing w:line="360" w:lineRule="auto"/>
        <w:contextualSpacing/>
        <w:jc w:val="center"/>
        <w:rPr>
          <w:rFonts w:ascii="方正小标宋简体" w:hAnsi="方正小标宋简体" w:eastAsia="方正小标宋简体" w:cs="方正小标宋简体"/>
          <w:bCs/>
          <w:color w:val="000000" w:themeColor="text1"/>
          <w:sz w:val="32"/>
          <w:szCs w:val="32"/>
          <w:highlight w:val="none"/>
          <w14:textFill>
            <w14:solidFill>
              <w14:schemeClr w14:val="tx1"/>
            </w14:solidFill>
          </w14:textFill>
        </w:rPr>
      </w:pPr>
      <w:r>
        <w:rPr>
          <w:rFonts w:hint="eastAsia" w:ascii="方正小标宋简体" w:hAnsi="方正小标宋简体" w:eastAsia="方正小标宋简体" w:cs="方正小标宋简体"/>
          <w:bCs/>
          <w:color w:val="000000" w:themeColor="text1"/>
          <w:sz w:val="32"/>
          <w:szCs w:val="32"/>
          <w:highlight w:val="none"/>
          <w14:textFill>
            <w14:solidFill>
              <w14:schemeClr w14:val="tx1"/>
            </w14:solidFill>
          </w14:textFill>
        </w:rPr>
        <w:t>（非联合体投标格式）</w:t>
      </w:r>
    </w:p>
    <w:p w14:paraId="2403B768">
      <w:pPr>
        <w:spacing w:line="360" w:lineRule="auto"/>
        <w:contextualSpacing/>
        <w:jc w:val="center"/>
        <w:rPr>
          <w:rFonts w:ascii="方正小标宋简体" w:hAnsi="方正小标宋简体" w:eastAsia="方正小标宋简体" w:cs="方正小标宋简体"/>
          <w:bCs/>
          <w:color w:val="000000" w:themeColor="text1"/>
          <w:sz w:val="24"/>
          <w:highlight w:val="none"/>
          <w14:textFill>
            <w14:solidFill>
              <w14:schemeClr w14:val="tx1"/>
            </w14:solidFill>
          </w14:textFill>
        </w:rPr>
      </w:pPr>
      <w:r>
        <w:rPr>
          <w:rFonts w:hint="eastAsia" w:ascii="方正小标宋简体" w:hAnsi="方正小标宋简体" w:eastAsia="方正小标宋简体" w:cs="方正小标宋简体"/>
          <w:bCs/>
          <w:color w:val="000000" w:themeColor="text1"/>
          <w:sz w:val="32"/>
          <w:szCs w:val="32"/>
          <w:highlight w:val="none"/>
          <w14:textFill>
            <w14:solidFill>
              <w14:schemeClr w14:val="tx1"/>
            </w14:solidFill>
          </w14:textFill>
        </w:rPr>
        <w:t>（如有委托时）</w:t>
      </w:r>
    </w:p>
    <w:p w14:paraId="0A4BF70D">
      <w:pPr>
        <w:spacing w:line="440" w:lineRule="exact"/>
        <w:contextualSpacing/>
        <w:jc w:val="center"/>
        <w:rPr>
          <w:rFonts w:ascii="宋体" w:hAnsi="宋体"/>
          <w:b/>
          <w:color w:val="000000" w:themeColor="text1"/>
          <w:sz w:val="24"/>
          <w:highlight w:val="none"/>
          <w14:textFill>
            <w14:solidFill>
              <w14:schemeClr w14:val="tx1"/>
            </w14:solidFill>
          </w14:textFill>
        </w:rPr>
      </w:pPr>
    </w:p>
    <w:p w14:paraId="5070AA93">
      <w:pPr>
        <w:spacing w:line="440" w:lineRule="exact"/>
        <w:contextualSpacing/>
        <w:rPr>
          <w:rFonts w:ascii="宋体" w:hAnsi="宋体"/>
          <w:b/>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致：</w:t>
      </w:r>
      <w:r>
        <w:rPr>
          <w:rFonts w:hint="eastAsia" w:ascii="宋体" w:hAnsi="宋体"/>
          <w:color w:val="000000" w:themeColor="text1"/>
          <w:sz w:val="24"/>
          <w:highlight w:val="none"/>
          <w:u w:val="single"/>
          <w14:textFill>
            <w14:solidFill>
              <w14:schemeClr w14:val="tx1"/>
            </w14:solidFill>
          </w14:textFill>
        </w:rPr>
        <w:t>采购人名称</w:t>
      </w:r>
      <w:r>
        <w:rPr>
          <w:rFonts w:hint="eastAsia" w:ascii="宋体" w:hAnsi="宋体"/>
          <w:color w:val="000000" w:themeColor="text1"/>
          <w:sz w:val="24"/>
          <w:highlight w:val="none"/>
          <w14:textFill>
            <w14:solidFill>
              <w14:schemeClr w14:val="tx1"/>
            </w14:solidFill>
          </w14:textFill>
        </w:rPr>
        <w:t>：</w:t>
      </w:r>
    </w:p>
    <w:p w14:paraId="537F68B6">
      <w:pPr>
        <w:spacing w:line="440" w:lineRule="exact"/>
        <w:ind w:firstLine="566"/>
        <w:contextualSpacing/>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我</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（姓名）系</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（投标人名称）的法定代表人，现授权委托</w:t>
      </w:r>
      <w:r>
        <w:rPr>
          <w:rFonts w:hint="eastAsia" w:ascii="宋体" w:hAnsi="宋体"/>
          <w:color w:val="000000" w:themeColor="text1"/>
          <w:sz w:val="24"/>
          <w:highlight w:val="none"/>
          <w:u w:val="single"/>
          <w14:textFill>
            <w14:solidFill>
              <w14:schemeClr w14:val="tx1"/>
            </w14:solidFill>
          </w14:textFill>
        </w:rPr>
        <w:t xml:space="preserve">              （姓名）</w:t>
      </w:r>
      <w:r>
        <w:rPr>
          <w:rFonts w:hint="eastAsia" w:ascii="宋体" w:hAnsi="宋体"/>
          <w:color w:val="000000" w:themeColor="text1"/>
          <w:sz w:val="24"/>
          <w:highlight w:val="none"/>
          <w14:textFill>
            <w14:solidFill>
              <w14:schemeClr w14:val="tx1"/>
            </w14:solidFill>
          </w14:textFill>
        </w:rPr>
        <w:t>以我方的名义参加</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项目的投标活动，并代表我方全权办理针对上述项目的所有采购程序和环节的具体事务和签署相关文件。</w:t>
      </w:r>
    </w:p>
    <w:p w14:paraId="73CAD210">
      <w:pPr>
        <w:spacing w:line="440" w:lineRule="exact"/>
        <w:contextualSpacing/>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我方对委托代理人的签字或者电子签名事项负全部责任。</w:t>
      </w:r>
    </w:p>
    <w:p w14:paraId="4BFB3B90">
      <w:pPr>
        <w:spacing w:line="440" w:lineRule="exact"/>
        <w:ind w:firstLine="480"/>
        <w:contextualSpacing/>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u w:val="single"/>
          <w14:textFill>
            <w14:solidFill>
              <w14:schemeClr w14:val="tx1"/>
            </w14:solidFill>
          </w14:textFill>
        </w:rPr>
        <w:t>本授权书自签署之日起生效，在撤销授权的书面通知以前，本授权书一直有效。委托代理人在授权书有效期内签署的所有文件不因授权的撤销而失效。</w:t>
      </w:r>
    </w:p>
    <w:p w14:paraId="5276874A">
      <w:pPr>
        <w:spacing w:line="440" w:lineRule="exact"/>
        <w:ind w:firstLine="480"/>
        <w:contextualSpacing/>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委托代理人无转委托权，特此委托。</w:t>
      </w:r>
    </w:p>
    <w:p w14:paraId="10C6746E">
      <w:pPr>
        <w:spacing w:line="440" w:lineRule="exact"/>
        <w:ind w:firstLine="480"/>
        <w:contextualSpacing/>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附：法定代表人身份证明及委托代理人有效身份证正反面复印件</w:t>
      </w:r>
    </w:p>
    <w:p w14:paraId="60A792D4">
      <w:pPr>
        <w:spacing w:line="440" w:lineRule="exact"/>
        <w:contextualSpacing/>
        <w:rPr>
          <w:rFonts w:ascii="宋体" w:hAnsi="宋体"/>
          <w:color w:val="000000" w:themeColor="text1"/>
          <w:sz w:val="24"/>
          <w:highlight w:val="none"/>
          <w14:textFill>
            <w14:solidFill>
              <w14:schemeClr w14:val="tx1"/>
            </w14:solidFill>
          </w14:textFill>
        </w:rPr>
      </w:pPr>
    </w:p>
    <w:p w14:paraId="627BF9E3">
      <w:pPr>
        <w:spacing w:line="440" w:lineRule="exact"/>
        <w:contextualSpacing/>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委托代理人（签字或者电子签名）：</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            </w:t>
      </w:r>
    </w:p>
    <w:p w14:paraId="728F1F8D">
      <w:pPr>
        <w:spacing w:line="440" w:lineRule="exact"/>
        <w:contextualSpacing/>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委托代理人身份证号码：</w:t>
      </w:r>
      <w:r>
        <w:rPr>
          <w:rFonts w:hint="eastAsia" w:ascii="宋体" w:hAnsi="宋体"/>
          <w:color w:val="000000" w:themeColor="text1"/>
          <w:sz w:val="24"/>
          <w:highlight w:val="none"/>
          <w:u w:val="single"/>
          <w14:textFill>
            <w14:solidFill>
              <w14:schemeClr w14:val="tx1"/>
            </w14:solidFill>
          </w14:textFill>
        </w:rPr>
        <w:t xml:space="preserve">                             </w:t>
      </w:r>
    </w:p>
    <w:p w14:paraId="1D576883">
      <w:pPr>
        <w:spacing w:line="440" w:lineRule="exact"/>
        <w:contextualSpacing/>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法定代表人（签字或者盖章或者电子签名）：</w:t>
      </w:r>
      <w:r>
        <w:rPr>
          <w:rFonts w:hint="eastAsia" w:ascii="宋体" w:hAnsi="宋体"/>
          <w:color w:val="000000" w:themeColor="text1"/>
          <w:sz w:val="24"/>
          <w:highlight w:val="none"/>
          <w:u w:val="single"/>
          <w14:textFill>
            <w14:solidFill>
              <w14:schemeClr w14:val="tx1"/>
            </w14:solidFill>
          </w14:textFill>
        </w:rPr>
        <w:t xml:space="preserve">              </w:t>
      </w:r>
    </w:p>
    <w:p w14:paraId="24717107">
      <w:pPr>
        <w:spacing w:line="440" w:lineRule="exact"/>
        <w:contextualSpacing/>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w:t>
      </w:r>
    </w:p>
    <w:p w14:paraId="1D655227">
      <w:pPr>
        <w:spacing w:line="440" w:lineRule="exact"/>
        <w:contextualSpacing/>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投标人名称（电子签章）：</w:t>
      </w:r>
    </w:p>
    <w:p w14:paraId="0AA55FBE">
      <w:pPr>
        <w:spacing w:line="440" w:lineRule="exact"/>
        <w:contextualSpacing/>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年    月    日</w:t>
      </w:r>
    </w:p>
    <w:p w14:paraId="41814EBA">
      <w:pPr>
        <w:spacing w:line="440" w:lineRule="exact"/>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注：1.法定代表人必须在授权委托书上签字或者盖章</w:t>
      </w:r>
      <w:r>
        <w:rPr>
          <w:rFonts w:hint="eastAsia" w:ascii="宋体" w:hAnsi="宋体"/>
          <w:color w:val="000000" w:themeColor="text1"/>
          <w:sz w:val="24"/>
          <w:highlight w:val="none"/>
          <w14:textFill>
            <w14:solidFill>
              <w14:schemeClr w14:val="tx1"/>
            </w14:solidFill>
          </w14:textFill>
        </w:rPr>
        <w:t>或者电子签名</w:t>
      </w:r>
      <w:r>
        <w:rPr>
          <w:rFonts w:hint="eastAsia" w:ascii="宋体" w:hAnsi="宋体" w:cs="仿宋_GB2312"/>
          <w:color w:val="000000" w:themeColor="text1"/>
          <w:sz w:val="24"/>
          <w:highlight w:val="none"/>
          <w14:textFill>
            <w14:solidFill>
              <w14:schemeClr w14:val="tx1"/>
            </w14:solidFill>
          </w14:textFill>
        </w:rPr>
        <w:t>，委托代理人必须在授权委托书上签字</w:t>
      </w:r>
      <w:r>
        <w:rPr>
          <w:rFonts w:hint="eastAsia" w:ascii="宋体" w:hAnsi="宋体"/>
          <w:color w:val="000000" w:themeColor="text1"/>
          <w:sz w:val="24"/>
          <w:highlight w:val="none"/>
          <w14:textFill>
            <w14:solidFill>
              <w14:schemeClr w14:val="tx1"/>
            </w14:solidFill>
          </w14:textFill>
        </w:rPr>
        <w:t>或者电子签名</w:t>
      </w:r>
      <w:r>
        <w:rPr>
          <w:rFonts w:hint="eastAsia" w:ascii="宋体" w:hAnsi="宋体" w:cs="仿宋_GB2312"/>
          <w:color w:val="000000" w:themeColor="text1"/>
          <w:sz w:val="24"/>
          <w:highlight w:val="none"/>
          <w14:textFill>
            <w14:solidFill>
              <w14:schemeClr w14:val="tx1"/>
            </w14:solidFill>
          </w14:textFill>
        </w:rPr>
        <w:t>，</w:t>
      </w:r>
      <w:r>
        <w:rPr>
          <w:rFonts w:hint="eastAsia" w:ascii="宋体" w:hAnsi="宋体" w:cs="仿宋_GB2312"/>
          <w:b/>
          <w:bCs/>
          <w:color w:val="000000" w:themeColor="text1"/>
          <w:sz w:val="24"/>
          <w:highlight w:val="none"/>
          <w14:textFill>
            <w14:solidFill>
              <w14:schemeClr w14:val="tx1"/>
            </w14:solidFill>
          </w14:textFill>
        </w:rPr>
        <w:t>否则按无效投标处理</w:t>
      </w:r>
      <w:r>
        <w:rPr>
          <w:rFonts w:hint="eastAsia" w:ascii="宋体" w:hAnsi="宋体" w:cs="仿宋_GB2312"/>
          <w:color w:val="000000" w:themeColor="text1"/>
          <w:sz w:val="24"/>
          <w:highlight w:val="none"/>
          <w14:textFill>
            <w14:solidFill>
              <w14:schemeClr w14:val="tx1"/>
            </w14:solidFill>
          </w14:textFill>
        </w:rPr>
        <w:t>；</w:t>
      </w:r>
    </w:p>
    <w:p w14:paraId="16CB82D7">
      <w:pPr>
        <w:spacing w:line="440" w:lineRule="exact"/>
        <w:ind w:firstLine="480"/>
        <w:contextualSpacing/>
        <w:jc w:val="left"/>
        <w:rPr>
          <w:rFonts w:ascii="宋体" w:hAnsi="宋体"/>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2.法人、其他组织投标时“我方”是指“我单位”，自然人投标时“我方”是指“本人”。</w:t>
      </w:r>
      <w:r>
        <w:rPr>
          <w:rFonts w:hint="eastAsia" w:ascii="宋体" w:hAnsi="宋体"/>
          <w:color w:val="000000" w:themeColor="text1"/>
          <w:sz w:val="24"/>
          <w:highlight w:val="none"/>
          <w14:textFill>
            <w14:solidFill>
              <w14:schemeClr w14:val="tx1"/>
            </w14:solidFill>
          </w14:textFill>
        </w:rPr>
        <w:t xml:space="preserve"> </w:t>
      </w:r>
    </w:p>
    <w:p w14:paraId="1058E4DF">
      <w:pPr>
        <w:spacing w:before="50"/>
        <w:ind w:firstLine="480"/>
        <w:jc w:val="left"/>
        <w:rPr>
          <w:rFonts w:ascii="宋体" w:hAnsi="宋体"/>
          <w:color w:val="000000" w:themeColor="text1"/>
          <w:sz w:val="24"/>
          <w:highlight w:val="none"/>
          <w14:textFill>
            <w14:solidFill>
              <w14:schemeClr w14:val="tx1"/>
            </w14:solidFill>
          </w14:textFill>
        </w:rPr>
        <w:sectPr>
          <w:footerReference r:id="rId6" w:type="first"/>
          <w:headerReference r:id="rId3" w:type="default"/>
          <w:footerReference r:id="rId4" w:type="default"/>
          <w:footerReference r:id="rId5" w:type="even"/>
          <w:pgSz w:w="11906" w:h="16838"/>
          <w:pgMar w:top="1701" w:right="1701" w:bottom="1701" w:left="1701" w:header="851" w:footer="992" w:gutter="0"/>
          <w:cols w:space="720" w:num="1"/>
          <w:titlePg/>
        </w:sectPr>
      </w:pPr>
    </w:p>
    <w:p w14:paraId="5DAB8F17">
      <w:pPr>
        <w:rPr>
          <w:rFonts w:ascii="宋体" w:hAnsi="宋体"/>
          <w:color w:val="000000" w:themeColor="text1"/>
          <w:sz w:val="24"/>
          <w:highlight w:val="none"/>
          <w14:textFill>
            <w14:solidFill>
              <w14:schemeClr w14:val="tx1"/>
            </w14:solidFill>
          </w14:textFill>
        </w:rPr>
      </w:pPr>
    </w:p>
    <w:p w14:paraId="0E3F1CF5">
      <w:pPr>
        <w:rPr>
          <w:rFonts w:ascii="宋体" w:hAnsi="宋体"/>
          <w:b/>
          <w:color w:val="000000" w:themeColor="text1"/>
          <w:sz w:val="24"/>
          <w:szCs w:val="20"/>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6.商务要求偏离表格式（注：按项目需求表具体项目修改）</w:t>
      </w:r>
    </w:p>
    <w:p w14:paraId="0A1C7C6F">
      <w:pPr>
        <w:spacing w:before="50"/>
        <w:jc w:val="left"/>
        <w:rPr>
          <w:rFonts w:ascii="宋体" w:hAnsi="宋体"/>
          <w:color w:val="000000" w:themeColor="text1"/>
          <w:sz w:val="24"/>
          <w:highlight w:val="none"/>
          <w14:textFill>
            <w14:solidFill>
              <w14:schemeClr w14:val="tx1"/>
            </w14:solidFill>
          </w14:textFill>
        </w:rPr>
      </w:pPr>
    </w:p>
    <w:p w14:paraId="152C4CC9">
      <w:pPr>
        <w:pStyle w:val="25"/>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所投分标：</w:t>
      </w:r>
      <w:r>
        <w:rPr>
          <w:rFonts w:hint="eastAsia" w:hAnsi="宋体"/>
          <w:color w:val="000000" w:themeColor="text1"/>
          <w:sz w:val="24"/>
          <w:szCs w:val="24"/>
          <w:highlight w:val="none"/>
          <w:u w:val="single"/>
          <w14:textFill>
            <w14:solidFill>
              <w14:schemeClr w14:val="tx1"/>
            </w14:solidFill>
          </w14:textFill>
        </w:rPr>
        <w:t xml:space="preserve">     </w:t>
      </w:r>
      <w:r>
        <w:rPr>
          <w:rFonts w:hint="eastAsia" w:hAnsi="宋体"/>
          <w:color w:val="000000" w:themeColor="text1"/>
          <w:sz w:val="24"/>
          <w:szCs w:val="24"/>
          <w:highlight w:val="none"/>
          <w14:textFill>
            <w14:solidFill>
              <w14:schemeClr w14:val="tx1"/>
            </w14:solidFill>
          </w14:textFill>
        </w:rPr>
        <w:t>分标</w:t>
      </w:r>
    </w:p>
    <w:p w14:paraId="266FA865">
      <w:pPr>
        <w:spacing w:before="50"/>
        <w:jc w:val="left"/>
        <w:rPr>
          <w:rFonts w:ascii="宋体" w:hAnsi="宋体"/>
          <w:color w:val="000000" w:themeColor="text1"/>
          <w:sz w:val="24"/>
          <w:highlight w:val="none"/>
          <w:u w:val="single"/>
          <w14:textFill>
            <w14:solidFill>
              <w14:schemeClr w14:val="tx1"/>
            </w14:solidFill>
          </w14:textFill>
        </w:rPr>
      </w:pPr>
    </w:p>
    <w:tbl>
      <w:tblPr>
        <w:tblStyle w:val="50"/>
        <w:tblW w:w="0" w:type="auto"/>
        <w:tblInd w:w="-119"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10"/>
        <w:gridCol w:w="3336"/>
        <w:gridCol w:w="1760"/>
        <w:gridCol w:w="2035"/>
      </w:tblGrid>
      <w:tr w14:paraId="66E7F4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1510" w:type="dxa"/>
            <w:tcBorders>
              <w:top w:val="single" w:color="auto" w:sz="4" w:space="0"/>
              <w:left w:val="single" w:color="auto" w:sz="4" w:space="0"/>
              <w:bottom w:val="single" w:color="auto" w:sz="4" w:space="0"/>
              <w:right w:val="single" w:color="auto" w:sz="4" w:space="0"/>
            </w:tcBorders>
            <w:noWrap w:val="0"/>
          </w:tcPr>
          <w:p w14:paraId="6DA94494">
            <w:pPr>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项目</w:t>
            </w:r>
          </w:p>
        </w:tc>
        <w:tc>
          <w:tcPr>
            <w:tcW w:w="3336" w:type="dxa"/>
            <w:tcBorders>
              <w:top w:val="single" w:color="auto" w:sz="4" w:space="0"/>
              <w:left w:val="single" w:color="auto" w:sz="4" w:space="0"/>
              <w:bottom w:val="single" w:color="auto" w:sz="4" w:space="0"/>
              <w:right w:val="single" w:color="auto" w:sz="4" w:space="0"/>
            </w:tcBorders>
            <w:noWrap w:val="0"/>
          </w:tcPr>
          <w:p w14:paraId="304588BF">
            <w:pPr>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招标文件商务要求</w:t>
            </w:r>
          </w:p>
        </w:tc>
        <w:tc>
          <w:tcPr>
            <w:tcW w:w="1760" w:type="dxa"/>
            <w:tcBorders>
              <w:top w:val="single" w:color="auto" w:sz="4" w:space="0"/>
              <w:left w:val="single" w:color="auto" w:sz="4" w:space="0"/>
              <w:bottom w:val="single" w:color="auto" w:sz="4" w:space="0"/>
              <w:right w:val="single" w:color="auto" w:sz="4" w:space="0"/>
            </w:tcBorders>
            <w:noWrap w:val="0"/>
          </w:tcPr>
          <w:p w14:paraId="1FE224F0">
            <w:pPr>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投标人的承诺</w:t>
            </w:r>
          </w:p>
        </w:tc>
        <w:tc>
          <w:tcPr>
            <w:tcW w:w="2035" w:type="dxa"/>
            <w:tcBorders>
              <w:top w:val="single" w:color="auto" w:sz="4" w:space="0"/>
              <w:left w:val="single" w:color="auto" w:sz="4" w:space="0"/>
              <w:bottom w:val="single" w:color="auto" w:sz="4" w:space="0"/>
              <w:right w:val="single" w:color="auto" w:sz="4" w:space="0"/>
            </w:tcBorders>
            <w:noWrap w:val="0"/>
          </w:tcPr>
          <w:p w14:paraId="292F5E86">
            <w:pPr>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偏离说明</w:t>
            </w:r>
          </w:p>
        </w:tc>
      </w:tr>
      <w:tr w14:paraId="7D61AF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1510" w:type="dxa"/>
            <w:tcBorders>
              <w:top w:val="single" w:color="auto" w:sz="4" w:space="0"/>
              <w:left w:val="single" w:color="auto" w:sz="4" w:space="0"/>
              <w:bottom w:val="single" w:color="auto" w:sz="4" w:space="0"/>
              <w:right w:val="single" w:color="auto" w:sz="4" w:space="0"/>
            </w:tcBorders>
            <w:noWrap w:val="0"/>
            <w:vAlign w:val="center"/>
          </w:tcPr>
          <w:p w14:paraId="7DB80AC6">
            <w:pPr>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质保期</w:t>
            </w:r>
          </w:p>
        </w:tc>
        <w:tc>
          <w:tcPr>
            <w:tcW w:w="3336" w:type="dxa"/>
            <w:tcBorders>
              <w:top w:val="single" w:color="auto" w:sz="4" w:space="0"/>
              <w:left w:val="single" w:color="auto" w:sz="4" w:space="0"/>
              <w:bottom w:val="single" w:color="auto" w:sz="4" w:space="0"/>
              <w:right w:val="single" w:color="auto" w:sz="4" w:space="0"/>
            </w:tcBorders>
            <w:noWrap w:val="0"/>
          </w:tcPr>
          <w:p w14:paraId="54763D13">
            <w:pPr>
              <w:jc w:val="center"/>
              <w:rPr>
                <w:rFonts w:ascii="宋体" w:hAnsi="宋体"/>
                <w:color w:val="000000" w:themeColor="text1"/>
                <w:sz w:val="24"/>
                <w:highlight w:val="none"/>
                <w14:textFill>
                  <w14:solidFill>
                    <w14:schemeClr w14:val="tx1"/>
                  </w14:solidFill>
                </w14:textFill>
              </w:rPr>
            </w:pPr>
          </w:p>
        </w:tc>
        <w:tc>
          <w:tcPr>
            <w:tcW w:w="1760" w:type="dxa"/>
            <w:tcBorders>
              <w:top w:val="single" w:color="auto" w:sz="4" w:space="0"/>
              <w:left w:val="single" w:color="auto" w:sz="4" w:space="0"/>
              <w:bottom w:val="single" w:color="auto" w:sz="4" w:space="0"/>
              <w:right w:val="single" w:color="auto" w:sz="4" w:space="0"/>
            </w:tcBorders>
            <w:noWrap w:val="0"/>
          </w:tcPr>
          <w:p w14:paraId="54148F5F">
            <w:pPr>
              <w:jc w:val="center"/>
              <w:rPr>
                <w:rFonts w:ascii="宋体" w:hAnsi="宋体"/>
                <w:color w:val="000000" w:themeColor="text1"/>
                <w:sz w:val="24"/>
                <w:highlight w:val="none"/>
                <w14:textFill>
                  <w14:solidFill>
                    <w14:schemeClr w14:val="tx1"/>
                  </w14:solidFill>
                </w14:textFill>
              </w:rPr>
            </w:pPr>
          </w:p>
        </w:tc>
        <w:tc>
          <w:tcPr>
            <w:tcW w:w="2035" w:type="dxa"/>
            <w:tcBorders>
              <w:top w:val="single" w:color="auto" w:sz="4" w:space="0"/>
              <w:left w:val="single" w:color="auto" w:sz="4" w:space="0"/>
              <w:bottom w:val="single" w:color="auto" w:sz="4" w:space="0"/>
              <w:right w:val="single" w:color="auto" w:sz="4" w:space="0"/>
            </w:tcBorders>
            <w:noWrap w:val="0"/>
          </w:tcPr>
          <w:p w14:paraId="40D9A6AF">
            <w:pPr>
              <w:jc w:val="center"/>
              <w:rPr>
                <w:rFonts w:ascii="宋体" w:hAnsi="宋体"/>
                <w:color w:val="000000" w:themeColor="text1"/>
                <w:sz w:val="24"/>
                <w:highlight w:val="none"/>
                <w14:textFill>
                  <w14:solidFill>
                    <w14:schemeClr w14:val="tx1"/>
                  </w14:solidFill>
                </w14:textFill>
              </w:rPr>
            </w:pPr>
          </w:p>
        </w:tc>
      </w:tr>
      <w:tr w14:paraId="1BB25A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1510" w:type="dxa"/>
            <w:tcBorders>
              <w:top w:val="single" w:color="auto" w:sz="4" w:space="0"/>
              <w:left w:val="single" w:color="auto" w:sz="4" w:space="0"/>
              <w:bottom w:val="single" w:color="auto" w:sz="4" w:space="0"/>
              <w:right w:val="single" w:color="auto" w:sz="4" w:space="0"/>
            </w:tcBorders>
            <w:noWrap w:val="0"/>
            <w:vAlign w:val="center"/>
          </w:tcPr>
          <w:p w14:paraId="4A34E6C9">
            <w:pPr>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售后服务要求</w:t>
            </w:r>
          </w:p>
        </w:tc>
        <w:tc>
          <w:tcPr>
            <w:tcW w:w="3336" w:type="dxa"/>
            <w:tcBorders>
              <w:top w:val="single" w:color="auto" w:sz="4" w:space="0"/>
              <w:left w:val="single" w:color="auto" w:sz="4" w:space="0"/>
              <w:bottom w:val="single" w:color="auto" w:sz="4" w:space="0"/>
              <w:right w:val="single" w:color="auto" w:sz="4" w:space="0"/>
            </w:tcBorders>
            <w:noWrap w:val="0"/>
          </w:tcPr>
          <w:p w14:paraId="6AF3A8EB">
            <w:pPr>
              <w:rPr>
                <w:rFonts w:ascii="宋体" w:hAnsi="宋体"/>
                <w:color w:val="000000" w:themeColor="text1"/>
                <w:sz w:val="24"/>
                <w:highlight w:val="none"/>
                <w:u w:val="single"/>
                <w14:textFill>
                  <w14:solidFill>
                    <w14:schemeClr w14:val="tx1"/>
                  </w14:solidFill>
                </w14:textFill>
              </w:rPr>
            </w:pPr>
          </w:p>
        </w:tc>
        <w:tc>
          <w:tcPr>
            <w:tcW w:w="1760" w:type="dxa"/>
            <w:tcBorders>
              <w:top w:val="single" w:color="auto" w:sz="4" w:space="0"/>
              <w:left w:val="single" w:color="auto" w:sz="4" w:space="0"/>
              <w:bottom w:val="single" w:color="auto" w:sz="4" w:space="0"/>
              <w:right w:val="single" w:color="auto" w:sz="4" w:space="0"/>
            </w:tcBorders>
            <w:noWrap w:val="0"/>
          </w:tcPr>
          <w:p w14:paraId="10F7224C">
            <w:pPr>
              <w:ind w:left="43"/>
              <w:jc w:val="center"/>
              <w:rPr>
                <w:rFonts w:ascii="宋体" w:hAnsi="宋体"/>
                <w:color w:val="000000" w:themeColor="text1"/>
                <w:sz w:val="24"/>
                <w:highlight w:val="none"/>
                <w14:textFill>
                  <w14:solidFill>
                    <w14:schemeClr w14:val="tx1"/>
                  </w14:solidFill>
                </w14:textFill>
              </w:rPr>
            </w:pPr>
          </w:p>
        </w:tc>
        <w:tc>
          <w:tcPr>
            <w:tcW w:w="2035" w:type="dxa"/>
            <w:tcBorders>
              <w:top w:val="single" w:color="auto" w:sz="4" w:space="0"/>
              <w:left w:val="single" w:color="auto" w:sz="4" w:space="0"/>
              <w:bottom w:val="single" w:color="auto" w:sz="4" w:space="0"/>
              <w:right w:val="single" w:color="auto" w:sz="4" w:space="0"/>
            </w:tcBorders>
            <w:noWrap w:val="0"/>
          </w:tcPr>
          <w:p w14:paraId="2862E6B2">
            <w:pPr>
              <w:ind w:left="43"/>
              <w:jc w:val="center"/>
              <w:rPr>
                <w:rFonts w:ascii="宋体" w:hAnsi="宋体"/>
                <w:color w:val="000000" w:themeColor="text1"/>
                <w:sz w:val="24"/>
                <w:highlight w:val="none"/>
                <w14:textFill>
                  <w14:solidFill>
                    <w14:schemeClr w14:val="tx1"/>
                  </w14:solidFill>
                </w14:textFill>
              </w:rPr>
            </w:pPr>
          </w:p>
        </w:tc>
      </w:tr>
      <w:tr w14:paraId="2D31A0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510" w:type="dxa"/>
            <w:tcBorders>
              <w:top w:val="single" w:color="auto" w:sz="4" w:space="0"/>
              <w:left w:val="single" w:color="auto" w:sz="4" w:space="0"/>
              <w:bottom w:val="single" w:color="auto" w:sz="4" w:space="0"/>
              <w:right w:val="single" w:color="auto" w:sz="4" w:space="0"/>
            </w:tcBorders>
            <w:noWrap w:val="0"/>
          </w:tcPr>
          <w:p w14:paraId="3221FBD0">
            <w:pPr>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p>
        </w:tc>
        <w:tc>
          <w:tcPr>
            <w:tcW w:w="3336" w:type="dxa"/>
            <w:tcBorders>
              <w:top w:val="single" w:color="auto" w:sz="4" w:space="0"/>
              <w:left w:val="single" w:color="auto" w:sz="4" w:space="0"/>
              <w:bottom w:val="single" w:color="auto" w:sz="4" w:space="0"/>
              <w:right w:val="single" w:color="auto" w:sz="4" w:space="0"/>
            </w:tcBorders>
            <w:noWrap w:val="0"/>
          </w:tcPr>
          <w:p w14:paraId="0CA793CC">
            <w:pPr>
              <w:jc w:val="center"/>
              <w:rPr>
                <w:rFonts w:ascii="宋体" w:hAnsi="宋体"/>
                <w:color w:val="000000" w:themeColor="text1"/>
                <w:sz w:val="24"/>
                <w:highlight w:val="none"/>
                <w14:textFill>
                  <w14:solidFill>
                    <w14:schemeClr w14:val="tx1"/>
                  </w14:solidFill>
                </w14:textFill>
              </w:rPr>
            </w:pPr>
          </w:p>
        </w:tc>
        <w:tc>
          <w:tcPr>
            <w:tcW w:w="1760" w:type="dxa"/>
            <w:tcBorders>
              <w:top w:val="single" w:color="auto" w:sz="4" w:space="0"/>
              <w:left w:val="single" w:color="auto" w:sz="4" w:space="0"/>
              <w:bottom w:val="single" w:color="auto" w:sz="4" w:space="0"/>
              <w:right w:val="single" w:color="auto" w:sz="4" w:space="0"/>
            </w:tcBorders>
            <w:noWrap w:val="0"/>
          </w:tcPr>
          <w:p w14:paraId="505F2831">
            <w:pPr>
              <w:jc w:val="center"/>
              <w:rPr>
                <w:rFonts w:ascii="宋体" w:hAnsi="宋体"/>
                <w:color w:val="000000" w:themeColor="text1"/>
                <w:sz w:val="24"/>
                <w:highlight w:val="none"/>
                <w14:textFill>
                  <w14:solidFill>
                    <w14:schemeClr w14:val="tx1"/>
                  </w14:solidFill>
                </w14:textFill>
              </w:rPr>
            </w:pPr>
          </w:p>
        </w:tc>
        <w:tc>
          <w:tcPr>
            <w:tcW w:w="2035" w:type="dxa"/>
            <w:tcBorders>
              <w:top w:val="single" w:color="auto" w:sz="4" w:space="0"/>
              <w:left w:val="single" w:color="auto" w:sz="4" w:space="0"/>
              <w:bottom w:val="single" w:color="auto" w:sz="4" w:space="0"/>
              <w:right w:val="single" w:color="auto" w:sz="4" w:space="0"/>
            </w:tcBorders>
            <w:noWrap w:val="0"/>
          </w:tcPr>
          <w:p w14:paraId="00E702F0">
            <w:pPr>
              <w:jc w:val="center"/>
              <w:rPr>
                <w:rFonts w:ascii="宋体" w:hAnsi="宋体"/>
                <w:color w:val="000000" w:themeColor="text1"/>
                <w:sz w:val="24"/>
                <w:highlight w:val="none"/>
                <w14:textFill>
                  <w14:solidFill>
                    <w14:schemeClr w14:val="tx1"/>
                  </w14:solidFill>
                </w14:textFill>
              </w:rPr>
            </w:pPr>
          </w:p>
        </w:tc>
      </w:tr>
    </w:tbl>
    <w:p w14:paraId="4EFFCF39">
      <w:pPr>
        <w:pStyle w:val="18"/>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注：</w:t>
      </w:r>
    </w:p>
    <w:p w14:paraId="7F13109F">
      <w:pPr>
        <w:pStyle w:val="20"/>
        <w:spacing w:line="520" w:lineRule="exact"/>
        <w:ind w:firstLine="0"/>
        <w:rPr>
          <w:rFonts w:hAnsi="仿宋_GB2312" w:cs="仿宋_GB2312"/>
          <w:color w:val="000000" w:themeColor="text1"/>
          <w:szCs w:val="32"/>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w:t>
      </w:r>
      <w:r>
        <w:rPr>
          <w:rFonts w:hint="eastAsia"/>
          <w:color w:val="000000" w:themeColor="text1"/>
          <w:highlight w:val="none"/>
          <w14:textFill>
            <w14:solidFill>
              <w14:schemeClr w14:val="tx1"/>
            </w14:solidFill>
          </w14:textFill>
        </w:rPr>
        <w:t xml:space="preserve"> </w:t>
      </w:r>
      <w:r>
        <w:rPr>
          <w:rFonts w:hint="eastAsia" w:ascii="宋体" w:hAnsi="宋体" w:eastAsia="宋体"/>
          <w:color w:val="000000" w:themeColor="text1"/>
          <w:sz w:val="24"/>
          <w:szCs w:val="24"/>
          <w:highlight w:val="none"/>
          <w14:textFill>
            <w14:solidFill>
              <w14:schemeClr w14:val="tx1"/>
            </w14:solidFill>
          </w14:textFill>
        </w:rPr>
        <w:t>说明：应对照招标文件“第二章 采购需求”中的商务要求逐条作明确的投标响应，并作出偏离说明。</w:t>
      </w:r>
    </w:p>
    <w:p w14:paraId="479E0210">
      <w:pPr>
        <w:pStyle w:val="18"/>
        <w:rPr>
          <w:rFonts w:ascii="宋体" w:hAnsi="宋体"/>
          <w:b w:val="0"/>
          <w:bCs w:val="0"/>
          <w:color w:val="000000" w:themeColor="text1"/>
          <w:highlight w:val="none"/>
          <w14:textFill>
            <w14:solidFill>
              <w14:schemeClr w14:val="tx1"/>
            </w14:solidFill>
          </w14:textFill>
        </w:rPr>
      </w:pPr>
      <w:r>
        <w:rPr>
          <w:rFonts w:ascii="宋体" w:hAnsi="宋体"/>
          <w:b w:val="0"/>
          <w:bCs w:val="0"/>
          <w:color w:val="000000" w:themeColor="text1"/>
          <w:highlight w:val="none"/>
          <w14:textFill>
            <w14:solidFill>
              <w14:schemeClr w14:val="tx1"/>
            </w14:solidFill>
          </w14:textFill>
        </w:rPr>
        <w:t>2.</w:t>
      </w:r>
      <w:r>
        <w:rPr>
          <w:rFonts w:hint="eastAsia" w:ascii="宋体" w:hAnsi="宋体"/>
          <w:b w:val="0"/>
          <w:bCs w:val="0"/>
          <w:color w:val="000000" w:themeColor="text1"/>
          <w:highlight w:val="none"/>
          <w14:textFill>
            <w14:solidFill>
              <w14:schemeClr w14:val="tx1"/>
            </w14:solidFill>
          </w14:textFill>
        </w:rPr>
        <w:t>投标人应根据自身的承诺，对照招标文件要求在“偏离说明”中注明“</w:t>
      </w:r>
      <w:r>
        <w:rPr>
          <w:rFonts w:hint="eastAsia" w:ascii="宋体" w:hAnsi="宋体"/>
          <w:color w:val="000000" w:themeColor="text1"/>
          <w:highlight w:val="none"/>
          <w14:textFill>
            <w14:solidFill>
              <w14:schemeClr w14:val="tx1"/>
            </w14:solidFill>
          </w14:textFill>
        </w:rPr>
        <w:t>正偏离</w:t>
      </w:r>
      <w:r>
        <w:rPr>
          <w:rFonts w:hint="eastAsia" w:ascii="宋体" w:hAnsi="宋体"/>
          <w:b w:val="0"/>
          <w:bCs w:val="0"/>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负偏离</w:t>
      </w:r>
      <w:r>
        <w:rPr>
          <w:rFonts w:hint="eastAsia" w:ascii="宋体" w:hAnsi="宋体"/>
          <w:b w:val="0"/>
          <w:bCs w:val="0"/>
          <w:color w:val="000000" w:themeColor="text1"/>
          <w:highlight w:val="none"/>
          <w14:textFill>
            <w14:solidFill>
              <w14:schemeClr w14:val="tx1"/>
            </w14:solidFill>
          </w14:textFill>
        </w:rPr>
        <w:t>”或者“</w:t>
      </w:r>
      <w:r>
        <w:rPr>
          <w:rFonts w:hint="eastAsia" w:ascii="宋体" w:hAnsi="宋体"/>
          <w:color w:val="000000" w:themeColor="text1"/>
          <w:highlight w:val="none"/>
          <w14:textFill>
            <w14:solidFill>
              <w14:schemeClr w14:val="tx1"/>
            </w14:solidFill>
          </w14:textFill>
        </w:rPr>
        <w:t>无偏离</w:t>
      </w:r>
      <w:r>
        <w:rPr>
          <w:rFonts w:hint="eastAsia" w:ascii="宋体" w:hAnsi="宋体"/>
          <w:b w:val="0"/>
          <w:bCs w:val="0"/>
          <w:color w:val="000000" w:themeColor="text1"/>
          <w:highlight w:val="none"/>
          <w14:textFill>
            <w14:solidFill>
              <w14:schemeClr w14:val="tx1"/>
            </w14:solidFill>
          </w14:textFill>
        </w:rPr>
        <w:t>”。既不属于“</w:t>
      </w:r>
      <w:r>
        <w:rPr>
          <w:rFonts w:hint="eastAsia" w:ascii="宋体" w:hAnsi="宋体"/>
          <w:color w:val="000000" w:themeColor="text1"/>
          <w:highlight w:val="none"/>
          <w14:textFill>
            <w14:solidFill>
              <w14:schemeClr w14:val="tx1"/>
            </w14:solidFill>
          </w14:textFill>
        </w:rPr>
        <w:t>正偏离</w:t>
      </w:r>
      <w:r>
        <w:rPr>
          <w:rFonts w:hint="eastAsia" w:ascii="宋体" w:hAnsi="宋体"/>
          <w:b w:val="0"/>
          <w:bCs w:val="0"/>
          <w:color w:val="000000" w:themeColor="text1"/>
          <w:highlight w:val="none"/>
          <w14:textFill>
            <w14:solidFill>
              <w14:schemeClr w14:val="tx1"/>
            </w14:solidFill>
          </w14:textFill>
        </w:rPr>
        <w:t>”也不属于“</w:t>
      </w:r>
      <w:r>
        <w:rPr>
          <w:rFonts w:hint="eastAsia" w:ascii="宋体" w:hAnsi="宋体"/>
          <w:color w:val="000000" w:themeColor="text1"/>
          <w:highlight w:val="none"/>
          <w14:textFill>
            <w14:solidFill>
              <w14:schemeClr w14:val="tx1"/>
            </w14:solidFill>
          </w14:textFill>
        </w:rPr>
        <w:t>负偏离</w:t>
      </w:r>
      <w:r>
        <w:rPr>
          <w:rFonts w:hint="eastAsia" w:ascii="宋体" w:hAnsi="宋体"/>
          <w:b w:val="0"/>
          <w:bCs w:val="0"/>
          <w:color w:val="000000" w:themeColor="text1"/>
          <w:highlight w:val="none"/>
          <w14:textFill>
            <w14:solidFill>
              <w14:schemeClr w14:val="tx1"/>
            </w14:solidFill>
          </w14:textFill>
        </w:rPr>
        <w:t>”即为“</w:t>
      </w:r>
      <w:r>
        <w:rPr>
          <w:rFonts w:hint="eastAsia" w:ascii="宋体" w:hAnsi="宋体"/>
          <w:color w:val="000000" w:themeColor="text1"/>
          <w:highlight w:val="none"/>
          <w14:textFill>
            <w14:solidFill>
              <w14:schemeClr w14:val="tx1"/>
            </w14:solidFill>
          </w14:textFill>
        </w:rPr>
        <w:t>无偏离</w:t>
      </w:r>
      <w:r>
        <w:rPr>
          <w:rFonts w:hint="eastAsia" w:ascii="宋体" w:hAnsi="宋体"/>
          <w:b w:val="0"/>
          <w:bCs w:val="0"/>
          <w:color w:val="000000" w:themeColor="text1"/>
          <w:highlight w:val="none"/>
          <w14:textFill>
            <w14:solidFill>
              <w14:schemeClr w14:val="tx1"/>
            </w14:solidFill>
          </w14:textFill>
        </w:rPr>
        <w:t>”。</w:t>
      </w:r>
    </w:p>
    <w:p w14:paraId="2903E5D3">
      <w:pPr>
        <w:spacing w:before="50" w:after="50"/>
        <w:rPr>
          <w:rFonts w:ascii="宋体" w:hAnsi="宋体"/>
          <w:color w:val="000000" w:themeColor="text1"/>
          <w:sz w:val="24"/>
          <w:highlight w:val="none"/>
          <w14:textFill>
            <w14:solidFill>
              <w14:schemeClr w14:val="tx1"/>
            </w14:solidFill>
          </w14:textFill>
        </w:rPr>
      </w:pPr>
    </w:p>
    <w:p w14:paraId="05DC3A49">
      <w:pPr>
        <w:spacing w:before="50" w:after="50"/>
        <w:rPr>
          <w:rFonts w:ascii="宋体" w:hAnsi="宋体"/>
          <w:color w:val="000000" w:themeColor="text1"/>
          <w:spacing w:val="20"/>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法定代表人或者委托代理人</w:t>
      </w:r>
      <w:r>
        <w:rPr>
          <w:rFonts w:hint="eastAsia" w:ascii="宋体" w:hAnsi="宋体"/>
          <w:color w:val="000000" w:themeColor="text1"/>
          <w:spacing w:val="20"/>
          <w:sz w:val="24"/>
          <w:highlight w:val="none"/>
          <w14:textFill>
            <w14:solidFill>
              <w14:schemeClr w14:val="tx1"/>
            </w14:solidFill>
          </w14:textFill>
        </w:rPr>
        <w:t>（签字或者电子签名）：</w:t>
      </w:r>
      <w:r>
        <w:rPr>
          <w:rFonts w:hint="eastAsia" w:ascii="宋体" w:hAnsi="宋体"/>
          <w:color w:val="000000" w:themeColor="text1"/>
          <w:spacing w:val="20"/>
          <w:sz w:val="24"/>
          <w:highlight w:val="none"/>
          <w:u w:val="single"/>
          <w14:textFill>
            <w14:solidFill>
              <w14:schemeClr w14:val="tx1"/>
            </w14:solidFill>
          </w14:textFill>
        </w:rPr>
        <w:t xml:space="preserve">        </w:t>
      </w:r>
    </w:p>
    <w:p w14:paraId="5ED629D5">
      <w:pPr>
        <w:rPr>
          <w:rFonts w:ascii="宋体" w:hAnsi="宋体"/>
          <w:color w:val="000000" w:themeColor="text1"/>
          <w:spacing w:val="20"/>
          <w:sz w:val="24"/>
          <w:highlight w:val="none"/>
          <w14:textFill>
            <w14:solidFill>
              <w14:schemeClr w14:val="tx1"/>
            </w14:solidFill>
          </w14:textFill>
        </w:rPr>
      </w:pPr>
      <w:r>
        <w:rPr>
          <w:rFonts w:hint="eastAsia" w:ascii="宋体" w:hAnsi="宋体"/>
          <w:color w:val="000000" w:themeColor="text1"/>
          <w:spacing w:val="20"/>
          <w:sz w:val="24"/>
          <w:highlight w:val="none"/>
          <w14:textFill>
            <w14:solidFill>
              <w14:schemeClr w14:val="tx1"/>
            </w14:solidFill>
          </w14:textFill>
        </w:rPr>
        <w:t>投标人名称（电子签章）：</w:t>
      </w:r>
      <w:r>
        <w:rPr>
          <w:rFonts w:hint="eastAsia" w:ascii="宋体" w:hAnsi="宋体"/>
          <w:color w:val="000000" w:themeColor="text1"/>
          <w:spacing w:val="20"/>
          <w:sz w:val="24"/>
          <w:highlight w:val="none"/>
          <w:u w:val="single"/>
          <w14:textFill>
            <w14:solidFill>
              <w14:schemeClr w14:val="tx1"/>
            </w14:solidFill>
          </w14:textFill>
        </w:rPr>
        <w:t xml:space="preserve">            </w:t>
      </w:r>
      <w:r>
        <w:rPr>
          <w:rFonts w:hint="eastAsia" w:ascii="宋体" w:hAnsi="宋体"/>
          <w:color w:val="000000" w:themeColor="text1"/>
          <w:spacing w:val="20"/>
          <w:sz w:val="24"/>
          <w:highlight w:val="none"/>
          <w14:textFill>
            <w14:solidFill>
              <w14:schemeClr w14:val="tx1"/>
            </w14:solidFill>
          </w14:textFill>
        </w:rPr>
        <w:t xml:space="preserve">   </w:t>
      </w:r>
    </w:p>
    <w:p w14:paraId="47772C86">
      <w:pPr>
        <w:rPr>
          <w:rFonts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pacing w:val="20"/>
          <w:sz w:val="24"/>
          <w:highlight w:val="none"/>
          <w14:textFill>
            <w14:solidFill>
              <w14:schemeClr w14:val="tx1"/>
            </w14:solidFill>
          </w14:textFill>
        </w:rPr>
        <w:t>日  期：</w:t>
      </w:r>
      <w:r>
        <w:rPr>
          <w:rFonts w:hint="eastAsia" w:ascii="宋体" w:hAnsi="宋体"/>
          <w:color w:val="000000" w:themeColor="text1"/>
          <w:spacing w:val="20"/>
          <w:sz w:val="24"/>
          <w:highlight w:val="none"/>
          <w:u w:val="single"/>
          <w14:textFill>
            <w14:solidFill>
              <w14:schemeClr w14:val="tx1"/>
            </w14:solidFill>
          </w14:textFill>
        </w:rPr>
        <w:t xml:space="preserve">         </w:t>
      </w:r>
    </w:p>
    <w:p w14:paraId="1DAF29A2">
      <w:pPr>
        <w:rPr>
          <w:rFonts w:ascii="宋体" w:hAnsi="宋体"/>
          <w:color w:val="000000" w:themeColor="text1"/>
          <w:sz w:val="24"/>
          <w:szCs w:val="20"/>
          <w:highlight w:val="none"/>
          <w14:textFill>
            <w14:solidFill>
              <w14:schemeClr w14:val="tx1"/>
            </w14:solidFill>
          </w14:textFill>
        </w:rPr>
      </w:pPr>
    </w:p>
    <w:p w14:paraId="774DF0C5">
      <w:pPr>
        <w:spacing w:after="50"/>
        <w:jc w:val="left"/>
        <w:rPr>
          <w:rFonts w:ascii="宋体" w:hAnsi="宋体"/>
          <w:color w:val="000000" w:themeColor="text1"/>
          <w:sz w:val="24"/>
          <w:szCs w:val="20"/>
          <w:highlight w:val="none"/>
          <w14:textFill>
            <w14:solidFill>
              <w14:schemeClr w14:val="tx1"/>
            </w14:solidFill>
          </w14:textFill>
        </w:rPr>
      </w:pPr>
    </w:p>
    <w:p w14:paraId="5B4D0DC2">
      <w:pPr>
        <w:spacing w:after="50"/>
        <w:jc w:val="left"/>
        <w:rPr>
          <w:rFonts w:ascii="宋体" w:hAnsi="宋体"/>
          <w:b/>
          <w:color w:val="000000" w:themeColor="text1"/>
          <w:sz w:val="24"/>
          <w:highlight w:val="none"/>
          <w14:textFill>
            <w14:solidFill>
              <w14:schemeClr w14:val="tx1"/>
            </w14:solidFill>
          </w14:textFill>
        </w:rPr>
      </w:pPr>
      <w:r>
        <w:rPr>
          <w:rFonts w:ascii="宋体" w:hAnsi="宋体"/>
          <w:color w:val="000000" w:themeColor="text1"/>
          <w:sz w:val="24"/>
          <w:szCs w:val="20"/>
          <w:highlight w:val="none"/>
          <w14:textFill>
            <w14:solidFill>
              <w14:schemeClr w14:val="tx1"/>
            </w14:solidFill>
          </w14:textFill>
        </w:rPr>
        <w:br w:type="page" w:clear="all"/>
      </w:r>
      <w:r>
        <w:rPr>
          <w:rFonts w:hint="eastAsia" w:ascii="宋体" w:hAnsi="宋体"/>
          <w:b/>
          <w:color w:val="000000" w:themeColor="text1"/>
          <w:sz w:val="24"/>
          <w:highlight w:val="none"/>
          <w14:textFill>
            <w14:solidFill>
              <w14:schemeClr w14:val="tx1"/>
            </w14:solidFill>
          </w14:textFill>
        </w:rPr>
        <w:t>7.投标人业绩证明材料</w:t>
      </w:r>
    </w:p>
    <w:p w14:paraId="1522C1E5">
      <w:pPr>
        <w:pStyle w:val="36"/>
        <w:ind w:left="480" w:hanging="480"/>
        <w:rPr>
          <w:rFonts w:ascii="宋体" w:hAnsi="宋体"/>
          <w:color w:val="000000" w:themeColor="text1"/>
          <w:sz w:val="24"/>
          <w:highlight w:val="none"/>
          <w14:textFill>
            <w14:solidFill>
              <w14:schemeClr w14:val="tx1"/>
            </w14:solidFill>
          </w14:textFill>
        </w:rPr>
      </w:pPr>
    </w:p>
    <w:p w14:paraId="5EDCC031">
      <w:pPr>
        <w:pStyle w:val="36"/>
        <w:ind w:left="480" w:hanging="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投标人业绩情况一览表格式： </w:t>
      </w:r>
    </w:p>
    <w:tbl>
      <w:tblPr>
        <w:tblStyle w:val="50"/>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2076"/>
        <w:gridCol w:w="1723"/>
        <w:gridCol w:w="1723"/>
        <w:gridCol w:w="2780"/>
      </w:tblGrid>
      <w:tr w14:paraId="531E73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1250" w:type="pct"/>
            <w:vMerge w:val="restart"/>
            <w:tcBorders>
              <w:top w:val="single" w:color="auto" w:sz="4" w:space="0"/>
              <w:left w:val="single" w:color="auto" w:sz="4" w:space="0"/>
              <w:bottom w:val="single" w:color="auto" w:sz="4" w:space="0"/>
              <w:right w:val="single" w:color="auto" w:sz="4" w:space="0"/>
            </w:tcBorders>
            <w:noWrap w:val="0"/>
            <w:vAlign w:val="center"/>
          </w:tcPr>
          <w:p w14:paraId="0935F548">
            <w:pPr>
              <w:spacing w:line="24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采购人名称</w:t>
            </w:r>
          </w:p>
        </w:tc>
        <w:tc>
          <w:tcPr>
            <w:tcW w:w="1038" w:type="pct"/>
            <w:vMerge w:val="restart"/>
            <w:tcBorders>
              <w:top w:val="single" w:color="auto" w:sz="4" w:space="0"/>
              <w:left w:val="single" w:color="auto" w:sz="4" w:space="0"/>
              <w:bottom w:val="single" w:color="auto" w:sz="4" w:space="0"/>
              <w:right w:val="single" w:color="auto" w:sz="4" w:space="0"/>
            </w:tcBorders>
            <w:noWrap w:val="0"/>
            <w:vAlign w:val="center"/>
          </w:tcPr>
          <w:p w14:paraId="252A5738">
            <w:pPr>
              <w:spacing w:line="24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项目名称</w:t>
            </w:r>
          </w:p>
        </w:tc>
        <w:tc>
          <w:tcPr>
            <w:tcW w:w="1038" w:type="pct"/>
            <w:vMerge w:val="restart"/>
            <w:tcBorders>
              <w:top w:val="single" w:color="auto" w:sz="4" w:space="0"/>
              <w:left w:val="single" w:color="auto" w:sz="4" w:space="0"/>
              <w:bottom w:val="single" w:color="auto" w:sz="4" w:space="0"/>
              <w:right w:val="single" w:color="auto" w:sz="4" w:space="0"/>
            </w:tcBorders>
            <w:noWrap w:val="0"/>
            <w:vAlign w:val="center"/>
          </w:tcPr>
          <w:p w14:paraId="450DABB2">
            <w:pPr>
              <w:spacing w:line="24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合同金额</w:t>
            </w:r>
          </w:p>
          <w:p w14:paraId="6D60DCDC">
            <w:pPr>
              <w:spacing w:line="24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（万元）</w:t>
            </w:r>
          </w:p>
        </w:tc>
        <w:tc>
          <w:tcPr>
            <w:tcW w:w="1674" w:type="pct"/>
            <w:vMerge w:val="restart"/>
            <w:tcBorders>
              <w:top w:val="single" w:color="auto" w:sz="4" w:space="0"/>
              <w:left w:val="single" w:color="auto" w:sz="4" w:space="0"/>
              <w:bottom w:val="single" w:color="auto" w:sz="4" w:space="0"/>
              <w:right w:val="single" w:color="auto" w:sz="4" w:space="0"/>
            </w:tcBorders>
            <w:noWrap w:val="0"/>
            <w:vAlign w:val="center"/>
          </w:tcPr>
          <w:p w14:paraId="02F7ADF2">
            <w:pPr>
              <w:spacing w:line="24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采购人联系人及</w:t>
            </w:r>
          </w:p>
          <w:p w14:paraId="760088CA">
            <w:pPr>
              <w:spacing w:line="24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联系电话</w:t>
            </w:r>
          </w:p>
        </w:tc>
      </w:tr>
      <w:tr w14:paraId="118141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250" w:type="pct"/>
            <w:tcBorders>
              <w:top w:val="single" w:color="auto" w:sz="4" w:space="0"/>
              <w:left w:val="single" w:color="auto" w:sz="4" w:space="0"/>
              <w:bottom w:val="single" w:color="auto" w:sz="4" w:space="0"/>
              <w:right w:val="single" w:color="auto" w:sz="4" w:space="0"/>
            </w:tcBorders>
            <w:noWrap w:val="0"/>
          </w:tcPr>
          <w:p w14:paraId="345B10F2">
            <w:pPr>
              <w:spacing w:line="240" w:lineRule="exact"/>
              <w:jc w:val="left"/>
              <w:rPr>
                <w:rFonts w:ascii="宋体" w:hAnsi="宋体"/>
                <w:color w:val="000000" w:themeColor="text1"/>
                <w:sz w:val="24"/>
                <w:highlight w:val="none"/>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noWrap w:val="0"/>
          </w:tcPr>
          <w:p w14:paraId="64FE6EA4">
            <w:pPr>
              <w:spacing w:line="240" w:lineRule="exact"/>
              <w:jc w:val="left"/>
              <w:rPr>
                <w:rFonts w:ascii="宋体" w:hAnsi="宋体"/>
                <w:color w:val="000000" w:themeColor="text1"/>
                <w:sz w:val="24"/>
                <w:highlight w:val="none"/>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noWrap w:val="0"/>
          </w:tcPr>
          <w:p w14:paraId="5C998A4A">
            <w:pPr>
              <w:spacing w:line="240" w:lineRule="exact"/>
              <w:jc w:val="left"/>
              <w:rPr>
                <w:rFonts w:ascii="宋体" w:hAnsi="宋体"/>
                <w:color w:val="000000" w:themeColor="text1"/>
                <w:sz w:val="24"/>
                <w:highlight w:val="none"/>
                <w14:textFill>
                  <w14:solidFill>
                    <w14:schemeClr w14:val="tx1"/>
                  </w14:solidFill>
                </w14:textFill>
              </w:rPr>
            </w:pPr>
          </w:p>
        </w:tc>
        <w:tc>
          <w:tcPr>
            <w:tcW w:w="1674" w:type="pct"/>
            <w:tcBorders>
              <w:top w:val="single" w:color="auto" w:sz="4" w:space="0"/>
              <w:left w:val="single" w:color="auto" w:sz="4" w:space="0"/>
              <w:bottom w:val="single" w:color="auto" w:sz="4" w:space="0"/>
              <w:right w:val="single" w:color="auto" w:sz="4" w:space="0"/>
            </w:tcBorders>
            <w:noWrap w:val="0"/>
          </w:tcPr>
          <w:p w14:paraId="598235A5">
            <w:pPr>
              <w:spacing w:line="240" w:lineRule="exact"/>
              <w:jc w:val="left"/>
              <w:rPr>
                <w:rFonts w:ascii="宋体" w:hAnsi="宋体"/>
                <w:color w:val="000000" w:themeColor="text1"/>
                <w:sz w:val="24"/>
                <w:highlight w:val="none"/>
                <w14:textFill>
                  <w14:solidFill>
                    <w14:schemeClr w14:val="tx1"/>
                  </w14:solidFill>
                </w14:textFill>
              </w:rPr>
            </w:pPr>
          </w:p>
        </w:tc>
      </w:tr>
      <w:tr w14:paraId="02F1C7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50" w:type="pct"/>
            <w:tcBorders>
              <w:top w:val="single" w:color="auto" w:sz="4" w:space="0"/>
              <w:left w:val="single" w:color="auto" w:sz="4" w:space="0"/>
              <w:bottom w:val="single" w:color="auto" w:sz="4" w:space="0"/>
              <w:right w:val="single" w:color="auto" w:sz="4" w:space="0"/>
            </w:tcBorders>
            <w:noWrap w:val="0"/>
          </w:tcPr>
          <w:p w14:paraId="70E70E58">
            <w:pPr>
              <w:spacing w:before="50" w:line="400" w:lineRule="exact"/>
              <w:jc w:val="left"/>
              <w:rPr>
                <w:rFonts w:ascii="宋体" w:hAnsi="宋体"/>
                <w:color w:val="000000" w:themeColor="text1"/>
                <w:sz w:val="24"/>
                <w:highlight w:val="none"/>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noWrap w:val="0"/>
          </w:tcPr>
          <w:p w14:paraId="65160AAD">
            <w:pPr>
              <w:spacing w:before="50" w:line="400" w:lineRule="exact"/>
              <w:jc w:val="left"/>
              <w:rPr>
                <w:rFonts w:ascii="宋体" w:hAnsi="宋体"/>
                <w:color w:val="000000" w:themeColor="text1"/>
                <w:sz w:val="24"/>
                <w:highlight w:val="none"/>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noWrap w:val="0"/>
          </w:tcPr>
          <w:p w14:paraId="6EAED76A">
            <w:pPr>
              <w:spacing w:before="50" w:line="400" w:lineRule="exact"/>
              <w:jc w:val="left"/>
              <w:rPr>
                <w:rFonts w:ascii="宋体" w:hAnsi="宋体"/>
                <w:color w:val="000000" w:themeColor="text1"/>
                <w:sz w:val="24"/>
                <w:highlight w:val="none"/>
                <w14:textFill>
                  <w14:solidFill>
                    <w14:schemeClr w14:val="tx1"/>
                  </w14:solidFill>
                </w14:textFill>
              </w:rPr>
            </w:pPr>
          </w:p>
        </w:tc>
        <w:tc>
          <w:tcPr>
            <w:tcW w:w="1674" w:type="pct"/>
            <w:tcBorders>
              <w:top w:val="single" w:color="auto" w:sz="4" w:space="0"/>
              <w:left w:val="single" w:color="auto" w:sz="4" w:space="0"/>
              <w:bottom w:val="single" w:color="auto" w:sz="4" w:space="0"/>
              <w:right w:val="single" w:color="auto" w:sz="4" w:space="0"/>
            </w:tcBorders>
            <w:noWrap w:val="0"/>
          </w:tcPr>
          <w:p w14:paraId="361ACCDA">
            <w:pPr>
              <w:spacing w:before="50" w:line="400" w:lineRule="exact"/>
              <w:jc w:val="left"/>
              <w:rPr>
                <w:rFonts w:ascii="宋体" w:hAnsi="宋体"/>
                <w:color w:val="000000" w:themeColor="text1"/>
                <w:sz w:val="24"/>
                <w:highlight w:val="none"/>
                <w14:textFill>
                  <w14:solidFill>
                    <w14:schemeClr w14:val="tx1"/>
                  </w14:solidFill>
                </w14:textFill>
              </w:rPr>
            </w:pPr>
          </w:p>
        </w:tc>
      </w:tr>
      <w:tr w14:paraId="0DF156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250" w:type="pct"/>
            <w:tcBorders>
              <w:top w:val="single" w:color="auto" w:sz="4" w:space="0"/>
              <w:left w:val="single" w:color="auto" w:sz="4" w:space="0"/>
              <w:bottom w:val="single" w:color="auto" w:sz="4" w:space="0"/>
              <w:right w:val="single" w:color="auto" w:sz="4" w:space="0"/>
            </w:tcBorders>
            <w:noWrap w:val="0"/>
          </w:tcPr>
          <w:p w14:paraId="5D69ADD2">
            <w:pPr>
              <w:spacing w:before="50" w:line="400" w:lineRule="exact"/>
              <w:jc w:val="left"/>
              <w:rPr>
                <w:rFonts w:ascii="宋体" w:hAnsi="宋体"/>
                <w:color w:val="000000" w:themeColor="text1"/>
                <w:sz w:val="24"/>
                <w:highlight w:val="none"/>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noWrap w:val="0"/>
          </w:tcPr>
          <w:p w14:paraId="503277FF">
            <w:pPr>
              <w:spacing w:before="50" w:line="400" w:lineRule="exact"/>
              <w:jc w:val="left"/>
              <w:rPr>
                <w:rFonts w:ascii="宋体" w:hAnsi="宋体"/>
                <w:color w:val="000000" w:themeColor="text1"/>
                <w:sz w:val="24"/>
                <w:highlight w:val="none"/>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noWrap w:val="0"/>
          </w:tcPr>
          <w:p w14:paraId="6AFB6976">
            <w:pPr>
              <w:spacing w:before="50" w:line="400" w:lineRule="exact"/>
              <w:jc w:val="left"/>
              <w:rPr>
                <w:rFonts w:ascii="宋体" w:hAnsi="宋体"/>
                <w:color w:val="000000" w:themeColor="text1"/>
                <w:sz w:val="24"/>
                <w:highlight w:val="none"/>
                <w14:textFill>
                  <w14:solidFill>
                    <w14:schemeClr w14:val="tx1"/>
                  </w14:solidFill>
                </w14:textFill>
              </w:rPr>
            </w:pPr>
          </w:p>
        </w:tc>
        <w:tc>
          <w:tcPr>
            <w:tcW w:w="1674" w:type="pct"/>
            <w:tcBorders>
              <w:top w:val="single" w:color="auto" w:sz="4" w:space="0"/>
              <w:left w:val="single" w:color="auto" w:sz="4" w:space="0"/>
              <w:bottom w:val="single" w:color="auto" w:sz="4" w:space="0"/>
              <w:right w:val="single" w:color="auto" w:sz="4" w:space="0"/>
            </w:tcBorders>
            <w:noWrap w:val="0"/>
          </w:tcPr>
          <w:p w14:paraId="762A9812">
            <w:pPr>
              <w:spacing w:before="50" w:line="400" w:lineRule="exact"/>
              <w:jc w:val="left"/>
              <w:rPr>
                <w:rFonts w:ascii="宋体" w:hAnsi="宋体"/>
                <w:color w:val="000000" w:themeColor="text1"/>
                <w:sz w:val="24"/>
                <w:highlight w:val="none"/>
                <w14:textFill>
                  <w14:solidFill>
                    <w14:schemeClr w14:val="tx1"/>
                  </w14:solidFill>
                </w14:textFill>
              </w:rPr>
            </w:pPr>
          </w:p>
        </w:tc>
      </w:tr>
      <w:tr w14:paraId="4B77DE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50" w:type="pct"/>
            <w:tcBorders>
              <w:top w:val="single" w:color="auto" w:sz="4" w:space="0"/>
              <w:left w:val="single" w:color="auto" w:sz="4" w:space="0"/>
              <w:bottom w:val="single" w:color="auto" w:sz="4" w:space="0"/>
              <w:right w:val="single" w:color="auto" w:sz="4" w:space="0"/>
            </w:tcBorders>
            <w:noWrap w:val="0"/>
          </w:tcPr>
          <w:p w14:paraId="443976AD">
            <w:pPr>
              <w:spacing w:before="50" w:line="400" w:lineRule="exact"/>
              <w:jc w:val="left"/>
              <w:rPr>
                <w:rFonts w:ascii="宋体" w:hAnsi="宋体"/>
                <w:color w:val="000000" w:themeColor="text1"/>
                <w:sz w:val="24"/>
                <w:highlight w:val="none"/>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noWrap w:val="0"/>
          </w:tcPr>
          <w:p w14:paraId="2FDF9CBC">
            <w:pPr>
              <w:spacing w:before="50" w:line="400" w:lineRule="exact"/>
              <w:jc w:val="left"/>
              <w:rPr>
                <w:rFonts w:ascii="宋体" w:hAnsi="宋体"/>
                <w:color w:val="000000" w:themeColor="text1"/>
                <w:sz w:val="24"/>
                <w:highlight w:val="none"/>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noWrap w:val="0"/>
          </w:tcPr>
          <w:p w14:paraId="32D5620B">
            <w:pPr>
              <w:spacing w:before="50" w:line="400" w:lineRule="exact"/>
              <w:jc w:val="left"/>
              <w:rPr>
                <w:rFonts w:ascii="宋体" w:hAnsi="宋体"/>
                <w:color w:val="000000" w:themeColor="text1"/>
                <w:sz w:val="24"/>
                <w:highlight w:val="none"/>
                <w14:textFill>
                  <w14:solidFill>
                    <w14:schemeClr w14:val="tx1"/>
                  </w14:solidFill>
                </w14:textFill>
              </w:rPr>
            </w:pPr>
          </w:p>
        </w:tc>
        <w:tc>
          <w:tcPr>
            <w:tcW w:w="1674" w:type="pct"/>
            <w:tcBorders>
              <w:top w:val="single" w:color="auto" w:sz="4" w:space="0"/>
              <w:left w:val="single" w:color="auto" w:sz="4" w:space="0"/>
              <w:bottom w:val="single" w:color="auto" w:sz="4" w:space="0"/>
              <w:right w:val="single" w:color="auto" w:sz="4" w:space="0"/>
            </w:tcBorders>
            <w:noWrap w:val="0"/>
          </w:tcPr>
          <w:p w14:paraId="54C833F4">
            <w:pPr>
              <w:spacing w:before="50" w:line="400" w:lineRule="exact"/>
              <w:jc w:val="left"/>
              <w:rPr>
                <w:rFonts w:ascii="宋体" w:hAnsi="宋体"/>
                <w:color w:val="000000" w:themeColor="text1"/>
                <w:sz w:val="24"/>
                <w:highlight w:val="none"/>
                <w14:textFill>
                  <w14:solidFill>
                    <w14:schemeClr w14:val="tx1"/>
                  </w14:solidFill>
                </w14:textFill>
              </w:rPr>
            </w:pPr>
          </w:p>
        </w:tc>
      </w:tr>
      <w:tr w14:paraId="3A5704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50" w:type="pct"/>
            <w:tcBorders>
              <w:top w:val="single" w:color="auto" w:sz="4" w:space="0"/>
              <w:left w:val="single" w:color="auto" w:sz="4" w:space="0"/>
              <w:bottom w:val="single" w:color="auto" w:sz="4" w:space="0"/>
              <w:right w:val="single" w:color="auto" w:sz="4" w:space="0"/>
            </w:tcBorders>
            <w:noWrap w:val="0"/>
          </w:tcPr>
          <w:p w14:paraId="3C7EE4DC">
            <w:pPr>
              <w:spacing w:before="50" w:line="400" w:lineRule="exact"/>
              <w:jc w:val="left"/>
              <w:rPr>
                <w:rFonts w:ascii="宋体" w:hAnsi="宋体"/>
                <w:color w:val="000000" w:themeColor="text1"/>
                <w:sz w:val="24"/>
                <w:highlight w:val="none"/>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noWrap w:val="0"/>
          </w:tcPr>
          <w:p w14:paraId="0C9F3AC4">
            <w:pPr>
              <w:spacing w:before="50" w:line="400" w:lineRule="exact"/>
              <w:jc w:val="left"/>
              <w:rPr>
                <w:rFonts w:ascii="宋体" w:hAnsi="宋体"/>
                <w:color w:val="000000" w:themeColor="text1"/>
                <w:sz w:val="24"/>
                <w:highlight w:val="none"/>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noWrap w:val="0"/>
          </w:tcPr>
          <w:p w14:paraId="3329119C">
            <w:pPr>
              <w:spacing w:before="50" w:line="400" w:lineRule="exact"/>
              <w:jc w:val="left"/>
              <w:rPr>
                <w:rFonts w:ascii="宋体" w:hAnsi="宋体"/>
                <w:color w:val="000000" w:themeColor="text1"/>
                <w:sz w:val="24"/>
                <w:highlight w:val="none"/>
                <w14:textFill>
                  <w14:solidFill>
                    <w14:schemeClr w14:val="tx1"/>
                  </w14:solidFill>
                </w14:textFill>
              </w:rPr>
            </w:pPr>
          </w:p>
        </w:tc>
        <w:tc>
          <w:tcPr>
            <w:tcW w:w="1674" w:type="pct"/>
            <w:tcBorders>
              <w:top w:val="single" w:color="auto" w:sz="4" w:space="0"/>
              <w:left w:val="single" w:color="auto" w:sz="4" w:space="0"/>
              <w:bottom w:val="single" w:color="auto" w:sz="4" w:space="0"/>
              <w:right w:val="single" w:color="auto" w:sz="4" w:space="0"/>
            </w:tcBorders>
            <w:noWrap w:val="0"/>
          </w:tcPr>
          <w:p w14:paraId="53CFDC88">
            <w:pPr>
              <w:spacing w:before="50" w:line="400" w:lineRule="exact"/>
              <w:jc w:val="left"/>
              <w:rPr>
                <w:rFonts w:ascii="宋体" w:hAnsi="宋体"/>
                <w:color w:val="000000" w:themeColor="text1"/>
                <w:sz w:val="24"/>
                <w:highlight w:val="none"/>
                <w14:textFill>
                  <w14:solidFill>
                    <w14:schemeClr w14:val="tx1"/>
                  </w14:solidFill>
                </w14:textFill>
              </w:rPr>
            </w:pPr>
          </w:p>
        </w:tc>
      </w:tr>
    </w:tbl>
    <w:p w14:paraId="3059A715">
      <w:pPr>
        <w:pStyle w:val="15"/>
        <w:spacing w:before="0" w:after="0" w:line="360" w:lineRule="auto"/>
        <w:contextualSpacing/>
        <w:rPr>
          <w:rFonts w:ascii="宋体" w:hAnsi="宋体" w:eastAsia="宋体"/>
          <w:color w:val="000000" w:themeColor="text1"/>
          <w:sz w:val="24"/>
          <w:szCs w:val="24"/>
          <w:highlight w:val="none"/>
          <w14:textFill>
            <w14:solidFill>
              <w14:schemeClr w14:val="tx1"/>
            </w14:solidFill>
          </w14:textFill>
        </w:rPr>
      </w:pPr>
    </w:p>
    <w:p w14:paraId="4B628D80">
      <w:pPr>
        <w:pStyle w:val="15"/>
        <w:spacing w:before="0" w:after="0" w:line="360" w:lineRule="auto"/>
        <w:contextualSpacing/>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注：</w:t>
      </w:r>
      <w:r>
        <w:rPr>
          <w:rFonts w:hint="eastAsia" w:ascii="宋体" w:hAnsi="宋体"/>
          <w:color w:val="000000" w:themeColor="text1"/>
          <w:sz w:val="24"/>
          <w:highlight w:val="none"/>
          <w14:textFill>
            <w14:solidFill>
              <w14:schemeClr w14:val="tx1"/>
            </w14:solidFill>
          </w14:textFill>
        </w:rPr>
        <w:t>投标人根据评标标准具体要求附业绩证明材料。</w:t>
      </w:r>
    </w:p>
    <w:p w14:paraId="51DAB219">
      <w:pPr>
        <w:pStyle w:val="15"/>
        <w:spacing w:before="0" w:after="0" w:line="360" w:lineRule="auto"/>
        <w:contextualSpacing/>
        <w:jc w:val="left"/>
        <w:rPr>
          <w:rFonts w:ascii="宋体" w:hAnsi="宋体" w:eastAsia="宋体"/>
          <w:color w:val="000000" w:themeColor="text1"/>
          <w:sz w:val="24"/>
          <w:szCs w:val="24"/>
          <w:highlight w:val="none"/>
          <w:u w:val="singl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法定代表人或者委托代理人（签字或者电子签名）：</w:t>
      </w:r>
      <w:r>
        <w:rPr>
          <w:rFonts w:hint="eastAsia" w:ascii="宋体" w:hAnsi="宋体" w:eastAsia="宋体"/>
          <w:color w:val="000000" w:themeColor="text1"/>
          <w:sz w:val="24"/>
          <w:szCs w:val="24"/>
          <w:highlight w:val="none"/>
          <w:u w:val="single"/>
          <w14:textFill>
            <w14:solidFill>
              <w14:schemeClr w14:val="tx1"/>
            </w14:solidFill>
          </w14:textFill>
        </w:rPr>
        <w:t>　　　　　</w:t>
      </w:r>
    </w:p>
    <w:p w14:paraId="00ECDCE4">
      <w:pPr>
        <w:spacing w:line="360" w:lineRule="auto"/>
        <w:ind w:right="480"/>
        <w:contextualSpacing/>
        <w:jc w:val="left"/>
        <w:rPr>
          <w:rFonts w:ascii="宋体" w:hAnsi="宋体"/>
          <w:color w:val="000000" w:themeColor="text1"/>
          <w:sz w:val="24"/>
          <w:szCs w:val="20"/>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 xml:space="preserve">投标人名称（电子签章）： </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                                                              年    月    日</w:t>
      </w:r>
    </w:p>
    <w:p w14:paraId="3E0B443C">
      <w:pPr>
        <w:spacing w:before="50"/>
        <w:ind w:firstLine="480"/>
        <w:jc w:val="left"/>
        <w:rPr>
          <w:rFonts w:ascii="宋体" w:hAnsi="宋体"/>
          <w:color w:val="000000" w:themeColor="text1"/>
          <w:sz w:val="24"/>
          <w:szCs w:val="20"/>
          <w:highlight w:val="none"/>
          <w14:textFill>
            <w14:solidFill>
              <w14:schemeClr w14:val="tx1"/>
            </w14:solidFill>
          </w14:textFill>
        </w:rPr>
      </w:pPr>
    </w:p>
    <w:p w14:paraId="68857B69">
      <w:pPr>
        <w:spacing w:after="50"/>
        <w:jc w:val="left"/>
        <w:rPr>
          <w:rFonts w:ascii="方正小标宋简体" w:hAnsi="方正小标宋简体" w:eastAsia="方正小标宋简体" w:cs="方正小标宋简体"/>
          <w:bCs/>
          <w:color w:val="000000" w:themeColor="text1"/>
          <w:szCs w:val="21"/>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br w:type="page" w:clear="all"/>
      </w:r>
      <w:r>
        <w:rPr>
          <w:rFonts w:hint="eastAsia" w:ascii="宋体" w:hAnsi="宋体"/>
          <w:color w:val="000000" w:themeColor="text1"/>
          <w:sz w:val="24"/>
          <w:highlight w:val="none"/>
          <w14:textFill>
            <w14:solidFill>
              <w14:schemeClr w14:val="tx1"/>
            </w14:solidFill>
          </w14:textFill>
        </w:rPr>
        <w:t>8.</w:t>
      </w:r>
      <w:r>
        <w:rPr>
          <w:rFonts w:hint="eastAsia" w:ascii="方正小标宋简体" w:hAnsi="方正小标宋简体" w:eastAsia="方正小标宋简体" w:cs="方正小标宋简体"/>
          <w:bCs/>
          <w:color w:val="000000" w:themeColor="text1"/>
          <w:szCs w:val="21"/>
          <w:highlight w:val="none"/>
          <w14:textFill>
            <w14:solidFill>
              <w14:schemeClr w14:val="tx1"/>
            </w14:solidFill>
          </w14:textFill>
        </w:rPr>
        <w:t xml:space="preserve"> 代理服务费承诺书（如本项目为采购人支付代理服务费的，无需提供）</w:t>
      </w:r>
    </w:p>
    <w:p w14:paraId="6DD1058A">
      <w:pPr>
        <w:spacing w:after="50"/>
        <w:jc w:val="left"/>
        <w:rPr>
          <w:rFonts w:ascii="方正小标宋简体" w:hAnsi="方正小标宋简体" w:eastAsia="方正小标宋简体" w:cs="方正小标宋简体"/>
          <w:bCs/>
          <w:color w:val="000000" w:themeColor="text1"/>
          <w:szCs w:val="21"/>
          <w:highlight w:val="none"/>
          <w14:textFill>
            <w14:solidFill>
              <w14:schemeClr w14:val="tx1"/>
            </w14:solidFill>
          </w14:textFill>
        </w:rPr>
      </w:pPr>
    </w:p>
    <w:p w14:paraId="20028CB8">
      <w:pPr>
        <w:spacing w:after="50"/>
        <w:jc w:val="center"/>
        <w:rPr>
          <w:rFonts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t>代理服务费承诺书</w:t>
      </w:r>
    </w:p>
    <w:p w14:paraId="424CAF43">
      <w:pPr>
        <w:spacing w:after="50"/>
        <w:jc w:val="center"/>
        <w:rPr>
          <w:rFonts w:ascii="宋体" w:hAnsi="宋体"/>
          <w:b/>
          <w:color w:val="000000" w:themeColor="text1"/>
          <w:sz w:val="24"/>
          <w:highlight w:val="none"/>
          <w14:textFill>
            <w14:solidFill>
              <w14:schemeClr w14:val="tx1"/>
            </w14:solidFill>
          </w14:textFill>
        </w:rPr>
      </w:pPr>
    </w:p>
    <w:p w14:paraId="3E6B5835">
      <w:pPr>
        <w:spacing w:line="360" w:lineRule="auto"/>
        <w:rPr>
          <w:rFonts w:ascii="宋体" w:hAnsi="宋体"/>
          <w:b/>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致：</w:t>
      </w:r>
      <w:r>
        <w:rPr>
          <w:rFonts w:hint="eastAsia" w:ascii="宋体" w:hAnsi="宋体"/>
          <w:color w:val="000000" w:themeColor="text1"/>
          <w:sz w:val="24"/>
          <w:highlight w:val="none"/>
          <w:u w:val="single"/>
          <w14:textFill>
            <w14:solidFill>
              <w14:schemeClr w14:val="tx1"/>
            </w14:solidFill>
          </w14:textFill>
        </w:rPr>
        <w:t>招标代理机构名称</w:t>
      </w:r>
      <w:r>
        <w:rPr>
          <w:rFonts w:hint="eastAsia" w:ascii="宋体" w:hAnsi="宋体"/>
          <w:color w:val="000000" w:themeColor="text1"/>
          <w:sz w:val="24"/>
          <w:highlight w:val="none"/>
          <w14:textFill>
            <w14:solidFill>
              <w14:schemeClr w14:val="tx1"/>
            </w14:solidFill>
          </w14:textFill>
        </w:rPr>
        <w:t>：</w:t>
      </w:r>
    </w:p>
    <w:p w14:paraId="1FCE53DA">
      <w:pPr>
        <w:spacing w:line="360" w:lineRule="auto"/>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本单位参加了贵方组织的</w:t>
      </w:r>
      <w:r>
        <w:rPr>
          <w:rFonts w:hint="eastAsia" w:ascii="宋体" w:hAnsi="宋体"/>
          <w:color w:val="000000" w:themeColor="text1"/>
          <w:sz w:val="24"/>
          <w:highlight w:val="none"/>
          <w:u w:val="single"/>
          <w14:textFill>
            <w14:solidFill>
              <w14:schemeClr w14:val="tx1"/>
            </w14:solidFill>
          </w14:textFill>
        </w:rPr>
        <w:t xml:space="preserve">  项目名称（项目编号）  </w:t>
      </w:r>
      <w:r>
        <w:rPr>
          <w:rFonts w:hint="eastAsia" w:ascii="宋体" w:hAnsi="宋体"/>
          <w:color w:val="000000" w:themeColor="text1"/>
          <w:sz w:val="24"/>
          <w:highlight w:val="none"/>
          <w14:textFill>
            <w14:solidFill>
              <w14:schemeClr w14:val="tx1"/>
            </w14:solidFill>
          </w14:textFill>
        </w:rPr>
        <w:t>项目， 在此说明如下：</w:t>
      </w:r>
    </w:p>
    <w:p w14:paraId="355D90DA">
      <w:pPr>
        <w:spacing w:line="360" w:lineRule="auto"/>
        <w:ind w:firstLine="36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1.我方承诺，若本单位中标，保证在发出中标通知书之后，按本项目招标文件的规定标准向贵单位一次性足额支付代理服务费, 在领取中标通知书后，由于被质疑、投诉或者其他原因而导致中标结果改变，我方将放弃对已缴纳的中标服务费追还的一切权利。</w:t>
      </w:r>
    </w:p>
    <w:p w14:paraId="3A8540FD">
      <w:pPr>
        <w:spacing w:line="360" w:lineRule="auto"/>
        <w:ind w:firstLine="36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2.本单位选择第</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种方式作为代理服务费开票类型：</w:t>
      </w:r>
    </w:p>
    <w:p w14:paraId="3A6E3CFC">
      <w:pPr>
        <w:spacing w:line="360" w:lineRule="auto"/>
        <w:ind w:firstLine="36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第一种方式：开具增值税普通发票。开票信息如下：</w:t>
      </w:r>
    </w:p>
    <w:p w14:paraId="26D672B4">
      <w:pPr>
        <w:spacing w:line="360" w:lineRule="auto"/>
        <w:ind w:firstLine="36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（1）公司名称</w:t>
      </w:r>
      <w:r>
        <w:rPr>
          <w:rFonts w:hint="eastAsia" w:ascii="宋体" w:hAnsi="宋体"/>
          <w:color w:val="000000" w:themeColor="text1"/>
          <w:sz w:val="24"/>
          <w:highlight w:val="none"/>
          <w:u w:val="single"/>
          <w14:textFill>
            <w14:solidFill>
              <w14:schemeClr w14:val="tx1"/>
            </w14:solidFill>
          </w14:textFill>
        </w:rPr>
        <w:t xml:space="preserve">_                       </w:t>
      </w:r>
      <w:r>
        <w:rPr>
          <w:rFonts w:hint="eastAsia" w:ascii="宋体" w:hAnsi="宋体"/>
          <w:color w:val="000000" w:themeColor="text1"/>
          <w:sz w:val="24"/>
          <w:highlight w:val="none"/>
          <w14:textFill>
            <w14:solidFill>
              <w14:schemeClr w14:val="tx1"/>
            </w14:solidFill>
          </w14:textFill>
        </w:rPr>
        <w:t>；</w:t>
      </w:r>
    </w:p>
    <w:p w14:paraId="1ACD9C88">
      <w:pPr>
        <w:spacing w:line="360" w:lineRule="auto"/>
        <w:ind w:firstLine="36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（2）纳税人识别号</w:t>
      </w:r>
      <w:r>
        <w:rPr>
          <w:rFonts w:hint="eastAsia" w:ascii="宋体" w:hAnsi="宋体"/>
          <w:color w:val="000000" w:themeColor="text1"/>
          <w:sz w:val="24"/>
          <w:highlight w:val="none"/>
          <w:u w:val="single"/>
          <w14:textFill>
            <w14:solidFill>
              <w14:schemeClr w14:val="tx1"/>
            </w14:solidFill>
          </w14:textFill>
        </w:rPr>
        <w:t xml:space="preserve">_                   </w:t>
      </w:r>
      <w:r>
        <w:rPr>
          <w:rFonts w:hint="eastAsia" w:ascii="宋体" w:hAnsi="宋体"/>
          <w:color w:val="000000" w:themeColor="text1"/>
          <w:sz w:val="24"/>
          <w:highlight w:val="none"/>
          <w14:textFill>
            <w14:solidFill>
              <w14:schemeClr w14:val="tx1"/>
            </w14:solidFill>
          </w14:textFill>
        </w:rPr>
        <w:t>。</w:t>
      </w:r>
    </w:p>
    <w:p w14:paraId="4347BFBF">
      <w:pPr>
        <w:spacing w:line="360" w:lineRule="auto"/>
        <w:ind w:firstLine="36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第二种方式：开具增值税专用发票，开票信息如下：</w:t>
      </w:r>
    </w:p>
    <w:p w14:paraId="79D1F38E">
      <w:pPr>
        <w:spacing w:line="360" w:lineRule="auto"/>
        <w:ind w:firstLine="36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（1）公司名称</w:t>
      </w:r>
      <w:r>
        <w:rPr>
          <w:rFonts w:hint="eastAsia" w:ascii="宋体" w:hAnsi="宋体"/>
          <w:color w:val="000000" w:themeColor="text1"/>
          <w:sz w:val="24"/>
          <w:highlight w:val="none"/>
          <w:u w:val="single"/>
          <w14:textFill>
            <w14:solidFill>
              <w14:schemeClr w14:val="tx1"/>
            </w14:solidFill>
          </w14:textFill>
        </w:rPr>
        <w:t xml:space="preserve">_                           </w:t>
      </w:r>
      <w:r>
        <w:rPr>
          <w:rFonts w:hint="eastAsia" w:ascii="宋体" w:hAnsi="宋体"/>
          <w:color w:val="000000" w:themeColor="text1"/>
          <w:sz w:val="24"/>
          <w:highlight w:val="none"/>
          <w14:textFill>
            <w14:solidFill>
              <w14:schemeClr w14:val="tx1"/>
            </w14:solidFill>
          </w14:textFill>
        </w:rPr>
        <w:t>；</w:t>
      </w:r>
    </w:p>
    <w:p w14:paraId="44ACA45A">
      <w:pPr>
        <w:spacing w:line="360" w:lineRule="auto"/>
        <w:ind w:firstLine="36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（2）纳税人识别号</w:t>
      </w:r>
      <w:r>
        <w:rPr>
          <w:rFonts w:hint="eastAsia" w:ascii="宋体" w:hAnsi="宋体"/>
          <w:color w:val="000000" w:themeColor="text1"/>
          <w:sz w:val="24"/>
          <w:highlight w:val="none"/>
          <w:u w:val="single"/>
          <w14:textFill>
            <w14:solidFill>
              <w14:schemeClr w14:val="tx1"/>
            </w14:solidFill>
          </w14:textFill>
        </w:rPr>
        <w:t xml:space="preserve">_                       </w:t>
      </w:r>
      <w:r>
        <w:rPr>
          <w:rFonts w:hint="eastAsia" w:ascii="宋体" w:hAnsi="宋体"/>
          <w:color w:val="000000" w:themeColor="text1"/>
          <w:sz w:val="24"/>
          <w:highlight w:val="none"/>
          <w14:textFill>
            <w14:solidFill>
              <w14:schemeClr w14:val="tx1"/>
            </w14:solidFill>
          </w14:textFill>
        </w:rPr>
        <w:t>；</w:t>
      </w:r>
    </w:p>
    <w:p w14:paraId="55BDD8F9">
      <w:pPr>
        <w:spacing w:line="360" w:lineRule="auto"/>
        <w:ind w:firstLine="36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（3）在税务局登记的地址</w:t>
      </w:r>
      <w:r>
        <w:rPr>
          <w:rFonts w:hint="eastAsia" w:ascii="宋体" w:hAnsi="宋体"/>
          <w:color w:val="000000" w:themeColor="text1"/>
          <w:sz w:val="24"/>
          <w:highlight w:val="none"/>
          <w:u w:val="single"/>
          <w14:textFill>
            <w14:solidFill>
              <w14:schemeClr w14:val="tx1"/>
            </w14:solidFill>
          </w14:textFill>
        </w:rPr>
        <w:t xml:space="preserve">_                   </w:t>
      </w:r>
      <w:r>
        <w:rPr>
          <w:rFonts w:hint="eastAsia" w:ascii="宋体" w:hAnsi="宋体"/>
          <w:color w:val="000000" w:themeColor="text1"/>
          <w:sz w:val="24"/>
          <w:highlight w:val="none"/>
          <w14:textFill>
            <w14:solidFill>
              <w14:schemeClr w14:val="tx1"/>
            </w14:solidFill>
          </w14:textFill>
        </w:rPr>
        <w:t>；</w:t>
      </w:r>
    </w:p>
    <w:p w14:paraId="0A6F6AB3">
      <w:pPr>
        <w:spacing w:line="360" w:lineRule="auto"/>
        <w:ind w:firstLine="36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（4）在税务局登记的电话</w:t>
      </w:r>
      <w:r>
        <w:rPr>
          <w:rFonts w:hint="eastAsia" w:ascii="宋体" w:hAnsi="宋体"/>
          <w:color w:val="000000" w:themeColor="text1"/>
          <w:sz w:val="24"/>
          <w:highlight w:val="none"/>
          <w:u w:val="single"/>
          <w14:textFill>
            <w14:solidFill>
              <w14:schemeClr w14:val="tx1"/>
            </w14:solidFill>
          </w14:textFill>
        </w:rPr>
        <w:t xml:space="preserve">_                   </w:t>
      </w:r>
      <w:r>
        <w:rPr>
          <w:rFonts w:hint="eastAsia" w:ascii="宋体" w:hAnsi="宋体"/>
          <w:color w:val="000000" w:themeColor="text1"/>
          <w:sz w:val="24"/>
          <w:highlight w:val="none"/>
          <w14:textFill>
            <w14:solidFill>
              <w14:schemeClr w14:val="tx1"/>
            </w14:solidFill>
          </w14:textFill>
        </w:rPr>
        <w:t>；</w:t>
      </w:r>
    </w:p>
    <w:p w14:paraId="7160D354">
      <w:pPr>
        <w:spacing w:line="360" w:lineRule="auto"/>
        <w:ind w:firstLine="36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（5）开户银行</w:t>
      </w:r>
      <w:r>
        <w:rPr>
          <w:rFonts w:hint="eastAsia" w:ascii="宋体" w:hAnsi="宋体"/>
          <w:color w:val="000000" w:themeColor="text1"/>
          <w:sz w:val="24"/>
          <w:highlight w:val="none"/>
          <w:u w:val="single"/>
          <w14:textFill>
            <w14:solidFill>
              <w14:schemeClr w14:val="tx1"/>
            </w14:solidFill>
          </w14:textFill>
        </w:rPr>
        <w:t xml:space="preserve">_                           </w:t>
      </w:r>
      <w:r>
        <w:rPr>
          <w:rFonts w:hint="eastAsia" w:ascii="宋体" w:hAnsi="宋体"/>
          <w:color w:val="000000" w:themeColor="text1"/>
          <w:sz w:val="24"/>
          <w:highlight w:val="none"/>
          <w14:textFill>
            <w14:solidFill>
              <w14:schemeClr w14:val="tx1"/>
            </w14:solidFill>
          </w14:textFill>
        </w:rPr>
        <w:t>；</w:t>
      </w:r>
    </w:p>
    <w:p w14:paraId="2B916F6E">
      <w:pPr>
        <w:spacing w:line="360" w:lineRule="auto"/>
        <w:ind w:firstLine="36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（6）银行账户</w:t>
      </w:r>
      <w:r>
        <w:rPr>
          <w:rFonts w:hint="eastAsia" w:ascii="宋体" w:hAnsi="宋体"/>
          <w:color w:val="000000" w:themeColor="text1"/>
          <w:sz w:val="24"/>
          <w:highlight w:val="none"/>
          <w:u w:val="single"/>
          <w14:textFill>
            <w14:solidFill>
              <w14:schemeClr w14:val="tx1"/>
            </w14:solidFill>
          </w14:textFill>
        </w:rPr>
        <w:t xml:space="preserve">_                           </w:t>
      </w:r>
      <w:r>
        <w:rPr>
          <w:rFonts w:hint="eastAsia" w:ascii="宋体" w:hAnsi="宋体"/>
          <w:color w:val="000000" w:themeColor="text1"/>
          <w:sz w:val="24"/>
          <w:highlight w:val="none"/>
          <w14:textFill>
            <w14:solidFill>
              <w14:schemeClr w14:val="tx1"/>
            </w14:solidFill>
          </w14:textFill>
        </w:rPr>
        <w:t>。</w:t>
      </w:r>
    </w:p>
    <w:p w14:paraId="110B335D">
      <w:pPr>
        <w:spacing w:line="440" w:lineRule="exact"/>
        <w:rPr>
          <w:rFonts w:ascii="宋体" w:hAnsi="宋体"/>
          <w:color w:val="000000" w:themeColor="text1"/>
          <w:sz w:val="24"/>
          <w:highlight w:val="none"/>
          <w14:textFill>
            <w14:solidFill>
              <w14:schemeClr w14:val="tx1"/>
            </w14:solidFill>
          </w14:textFill>
        </w:rPr>
      </w:pPr>
    </w:p>
    <w:p w14:paraId="60A5C3CC">
      <w:pPr>
        <w:spacing w:line="440" w:lineRule="exact"/>
        <w:rPr>
          <w:rFonts w:ascii="宋体" w:hAnsi="宋体"/>
          <w:color w:val="000000" w:themeColor="text1"/>
          <w:sz w:val="24"/>
          <w:highlight w:val="none"/>
          <w14:textFill>
            <w14:solidFill>
              <w14:schemeClr w14:val="tx1"/>
            </w14:solidFill>
          </w14:textFill>
        </w:rPr>
      </w:pPr>
    </w:p>
    <w:p w14:paraId="75A5C939">
      <w:pPr>
        <w:spacing w:line="440" w:lineRule="exact"/>
        <w:rPr>
          <w:rFonts w:ascii="宋体" w:hAnsi="宋体"/>
          <w:color w:val="000000" w:themeColor="text1"/>
          <w:sz w:val="24"/>
          <w:highlight w:val="none"/>
          <w14:textFill>
            <w14:solidFill>
              <w14:schemeClr w14:val="tx1"/>
            </w14:solidFill>
          </w14:textFill>
        </w:rPr>
      </w:pPr>
    </w:p>
    <w:p w14:paraId="77066004">
      <w:pPr>
        <w:spacing w:line="360" w:lineRule="auto"/>
        <w:ind w:left="-2" w:right="-817" w:firstLine="192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法定代表人或者委托代理人（签字或者电子签名）： </w:t>
      </w:r>
    </w:p>
    <w:p w14:paraId="3580AF2B">
      <w:pPr>
        <w:spacing w:line="360" w:lineRule="auto"/>
        <w:ind w:left="-3" w:right="-817" w:hanging="28"/>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供应商公章（电子签章）：</w:t>
      </w:r>
    </w:p>
    <w:p w14:paraId="60BB9B21">
      <w:pPr>
        <w:spacing w:line="360" w:lineRule="auto"/>
        <w:ind w:right="480" w:firstLine="24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日期：    年   月   日</w:t>
      </w:r>
    </w:p>
    <w:p w14:paraId="662CA083">
      <w:pPr>
        <w:rPr>
          <w:color w:val="000000" w:themeColor="text1"/>
          <w:highlight w:val="none"/>
          <w14:textFill>
            <w14:solidFill>
              <w14:schemeClr w14:val="tx1"/>
            </w14:solidFill>
          </w14:textFill>
        </w:rPr>
      </w:pPr>
    </w:p>
    <w:p w14:paraId="4F24A21D">
      <w:pPr>
        <w:spacing w:before="50"/>
        <w:jc w:val="left"/>
        <w:rPr>
          <w:rFonts w:ascii="宋体" w:hAnsi="宋体"/>
          <w:color w:val="000000" w:themeColor="text1"/>
          <w:sz w:val="24"/>
          <w:highlight w:val="none"/>
          <w14:textFill>
            <w14:solidFill>
              <w14:schemeClr w14:val="tx1"/>
            </w14:solidFill>
          </w14:textFill>
        </w:rPr>
      </w:pPr>
    </w:p>
    <w:p w14:paraId="36198A77">
      <w:pPr>
        <w:rPr>
          <w:rFonts w:ascii="宋体" w:hAnsi="宋体"/>
          <w:color w:val="000000" w:themeColor="text1"/>
          <w:sz w:val="24"/>
          <w:szCs w:val="20"/>
          <w:highlight w:val="none"/>
          <w14:textFill>
            <w14:solidFill>
              <w14:schemeClr w14:val="tx1"/>
            </w14:solidFill>
          </w14:textFill>
        </w:rPr>
        <w:sectPr>
          <w:pgSz w:w="11906" w:h="16838"/>
          <w:pgMar w:top="1440" w:right="1797" w:bottom="1440" w:left="1797" w:header="851" w:footer="992" w:gutter="0"/>
          <w:cols w:space="720" w:num="1"/>
        </w:sectPr>
      </w:pPr>
    </w:p>
    <w:p w14:paraId="48D5EB52">
      <w:pPr>
        <w:spacing w:after="50"/>
        <w:jc w:val="lef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9. 设备性能配置清单格式</w:t>
      </w:r>
    </w:p>
    <w:p w14:paraId="220C52DD">
      <w:pPr>
        <w:spacing w:after="50"/>
        <w:ind w:left="142"/>
        <w:jc w:val="left"/>
        <w:rPr>
          <w:rFonts w:ascii="宋体" w:hAnsi="宋体"/>
          <w:b/>
          <w:color w:val="000000" w:themeColor="text1"/>
          <w:sz w:val="24"/>
          <w:highlight w:val="none"/>
          <w14:textFill>
            <w14:solidFill>
              <w14:schemeClr w14:val="tx1"/>
            </w14:solidFill>
          </w14:textFill>
        </w:rPr>
      </w:pPr>
    </w:p>
    <w:p w14:paraId="3A1610D7">
      <w:pPr>
        <w:spacing w:after="50"/>
        <w:ind w:left="142"/>
        <w:jc w:val="center"/>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设备性能配置清单</w:t>
      </w:r>
    </w:p>
    <w:p w14:paraId="28BCBA16">
      <w:pPr>
        <w:pStyle w:val="25"/>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所投分标：</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分标</w:t>
      </w:r>
    </w:p>
    <w:tbl>
      <w:tblPr>
        <w:tblStyle w:val="50"/>
        <w:tblW w:w="500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456"/>
        <w:gridCol w:w="1454"/>
        <w:gridCol w:w="964"/>
        <w:gridCol w:w="687"/>
        <w:gridCol w:w="1517"/>
        <w:gridCol w:w="1154"/>
        <w:gridCol w:w="683"/>
        <w:gridCol w:w="1387"/>
      </w:tblGrid>
      <w:tr w14:paraId="1C0860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267" w:type="pct"/>
            <w:tcBorders>
              <w:top w:val="single" w:color="auto" w:sz="4" w:space="0"/>
              <w:left w:val="single" w:color="auto" w:sz="4" w:space="0"/>
              <w:bottom w:val="single" w:color="auto" w:sz="4" w:space="0"/>
              <w:right w:val="single" w:color="auto" w:sz="4" w:space="0"/>
            </w:tcBorders>
            <w:noWrap w:val="0"/>
            <w:vAlign w:val="center"/>
          </w:tcPr>
          <w:p w14:paraId="1B5F7592">
            <w:pPr>
              <w:spacing w:before="50" w:after="50"/>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序号</w:t>
            </w:r>
          </w:p>
        </w:tc>
        <w:tc>
          <w:tcPr>
            <w:tcW w:w="877" w:type="pct"/>
            <w:tcBorders>
              <w:top w:val="single" w:color="auto" w:sz="4" w:space="0"/>
              <w:left w:val="single" w:color="auto" w:sz="4" w:space="0"/>
              <w:bottom w:val="single" w:color="auto" w:sz="4" w:space="0"/>
              <w:right w:val="single" w:color="auto" w:sz="4" w:space="0"/>
            </w:tcBorders>
            <w:noWrap w:val="0"/>
            <w:vAlign w:val="center"/>
          </w:tcPr>
          <w:p w14:paraId="0CCDD678">
            <w:pPr>
              <w:spacing w:before="50" w:after="50"/>
              <w:jc w:val="center"/>
              <w:rPr>
                <w:rFonts w:ascii="宋体" w:hAnsi="宋体"/>
                <w:color w:val="000000" w:themeColor="text1"/>
                <w:sz w:val="24"/>
                <w:highlight w:val="none"/>
                <w14:textFill>
                  <w14:solidFill>
                    <w14:schemeClr w14:val="tx1"/>
                  </w14:solidFill>
                </w14:textFill>
              </w:rPr>
            </w:pPr>
            <w:r>
              <w:rPr>
                <w:rFonts w:hint="eastAsia" w:hAnsi="宋体" w:cs="Courier New"/>
                <w:color w:val="000000" w:themeColor="text1"/>
                <w:sz w:val="24"/>
                <w:highlight w:val="none"/>
                <w14:textFill>
                  <w14:solidFill>
                    <w14:schemeClr w14:val="tx1"/>
                  </w14:solidFill>
                </w14:textFill>
              </w:rPr>
              <w:t>标的的名称</w:t>
            </w:r>
          </w:p>
        </w:tc>
        <w:tc>
          <w:tcPr>
            <w:tcW w:w="582" w:type="pct"/>
            <w:tcBorders>
              <w:top w:val="single" w:color="auto" w:sz="4" w:space="0"/>
              <w:left w:val="single" w:color="auto" w:sz="4" w:space="0"/>
              <w:bottom w:val="single" w:color="auto" w:sz="4" w:space="0"/>
              <w:right w:val="single" w:color="auto" w:sz="4" w:space="0"/>
            </w:tcBorders>
            <w:noWrap w:val="0"/>
            <w:vAlign w:val="center"/>
          </w:tcPr>
          <w:p w14:paraId="5442CEFA">
            <w:pPr>
              <w:spacing w:before="50" w:after="50"/>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数量及单位</w:t>
            </w:r>
          </w:p>
        </w:tc>
        <w:tc>
          <w:tcPr>
            <w:tcW w:w="415" w:type="pct"/>
            <w:tcBorders>
              <w:top w:val="single" w:color="auto" w:sz="4" w:space="0"/>
              <w:left w:val="single" w:color="auto" w:sz="4" w:space="0"/>
              <w:bottom w:val="single" w:color="auto" w:sz="4" w:space="0"/>
              <w:right w:val="single" w:color="auto" w:sz="4" w:space="0"/>
            </w:tcBorders>
            <w:noWrap w:val="0"/>
            <w:vAlign w:val="center"/>
          </w:tcPr>
          <w:p w14:paraId="687835D6">
            <w:pPr>
              <w:spacing w:before="50" w:after="50"/>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品牌</w:t>
            </w:r>
          </w:p>
        </w:tc>
        <w:tc>
          <w:tcPr>
            <w:tcW w:w="915" w:type="pct"/>
            <w:tcBorders>
              <w:top w:val="single" w:color="auto" w:sz="4" w:space="0"/>
              <w:left w:val="single" w:color="auto" w:sz="4" w:space="0"/>
              <w:bottom w:val="single" w:color="auto" w:sz="4" w:space="0"/>
              <w:right w:val="single" w:color="auto" w:sz="4" w:space="0"/>
            </w:tcBorders>
            <w:noWrap w:val="0"/>
          </w:tcPr>
          <w:p w14:paraId="03AF0C66">
            <w:pPr>
              <w:spacing w:before="50" w:after="50"/>
              <w:jc w:val="center"/>
              <w:rPr>
                <w:rFonts w:ascii="宋体" w:hAnsi="宋体"/>
                <w:color w:val="000000" w:themeColor="text1"/>
                <w:sz w:val="24"/>
                <w:highlight w:val="none"/>
                <w14:textFill>
                  <w14:solidFill>
                    <w14:schemeClr w14:val="tx1"/>
                  </w14:solidFill>
                </w14:textFill>
              </w:rPr>
            </w:pPr>
          </w:p>
          <w:p w14:paraId="2B6E28F4">
            <w:pPr>
              <w:spacing w:before="50" w:after="50"/>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规格型号</w:t>
            </w:r>
          </w:p>
        </w:tc>
        <w:tc>
          <w:tcPr>
            <w:tcW w:w="696" w:type="pct"/>
            <w:tcBorders>
              <w:top w:val="single" w:color="auto" w:sz="4" w:space="0"/>
              <w:left w:val="single" w:color="auto" w:sz="4" w:space="0"/>
              <w:bottom w:val="single" w:color="auto" w:sz="4" w:space="0"/>
              <w:right w:val="single" w:color="auto" w:sz="4" w:space="0"/>
            </w:tcBorders>
            <w:noWrap w:val="0"/>
            <w:vAlign w:val="center"/>
          </w:tcPr>
          <w:p w14:paraId="26AE1BCA">
            <w:pPr>
              <w:spacing w:before="50" w:after="50"/>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生产厂家</w:t>
            </w:r>
          </w:p>
        </w:tc>
        <w:tc>
          <w:tcPr>
            <w:tcW w:w="412" w:type="pct"/>
            <w:tcBorders>
              <w:top w:val="single" w:color="auto" w:sz="4" w:space="0"/>
              <w:left w:val="single" w:color="auto" w:sz="4" w:space="0"/>
              <w:bottom w:val="single" w:color="auto" w:sz="4" w:space="0"/>
              <w:right w:val="single" w:color="auto" w:sz="4" w:space="0"/>
            </w:tcBorders>
            <w:noWrap w:val="0"/>
            <w:vAlign w:val="center"/>
          </w:tcPr>
          <w:p w14:paraId="60D5A9A2">
            <w:pPr>
              <w:spacing w:before="50" w:after="50"/>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原产地</w:t>
            </w:r>
          </w:p>
        </w:tc>
        <w:tc>
          <w:tcPr>
            <w:tcW w:w="836" w:type="pct"/>
            <w:tcBorders>
              <w:top w:val="single" w:color="auto" w:sz="4" w:space="0"/>
              <w:left w:val="single" w:color="auto" w:sz="4" w:space="0"/>
              <w:bottom w:val="single" w:color="auto" w:sz="4" w:space="0"/>
              <w:right w:val="single" w:color="auto" w:sz="4" w:space="0"/>
            </w:tcBorders>
            <w:noWrap w:val="0"/>
            <w:vAlign w:val="center"/>
          </w:tcPr>
          <w:p w14:paraId="26665A03">
            <w:pPr>
              <w:spacing w:before="50" w:after="50"/>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参数性能、指标及配置</w:t>
            </w:r>
          </w:p>
        </w:tc>
      </w:tr>
      <w:tr w14:paraId="04278C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267" w:type="pct"/>
            <w:tcBorders>
              <w:top w:val="single" w:color="auto" w:sz="4" w:space="0"/>
              <w:left w:val="single" w:color="auto" w:sz="4" w:space="0"/>
              <w:bottom w:val="single" w:color="auto" w:sz="4" w:space="0"/>
              <w:right w:val="single" w:color="auto" w:sz="4" w:space="0"/>
            </w:tcBorders>
            <w:noWrap w:val="0"/>
            <w:vAlign w:val="center"/>
          </w:tcPr>
          <w:p w14:paraId="5AC6A51F">
            <w:pPr>
              <w:spacing w:before="50" w:after="50"/>
              <w:jc w:val="center"/>
              <w:rPr>
                <w:rFonts w:ascii="宋体" w:hAnsi="宋体"/>
                <w:color w:val="000000" w:themeColor="text1"/>
                <w:sz w:val="24"/>
                <w:highlight w:val="none"/>
                <w14:textFill>
                  <w14:solidFill>
                    <w14:schemeClr w14:val="tx1"/>
                  </w14:solidFill>
                </w14:textFill>
              </w:rPr>
            </w:pPr>
          </w:p>
        </w:tc>
        <w:tc>
          <w:tcPr>
            <w:tcW w:w="877" w:type="pct"/>
            <w:tcBorders>
              <w:top w:val="single" w:color="auto" w:sz="4" w:space="0"/>
              <w:left w:val="single" w:color="auto" w:sz="4" w:space="0"/>
              <w:bottom w:val="single" w:color="auto" w:sz="4" w:space="0"/>
              <w:right w:val="single" w:color="auto" w:sz="4" w:space="0"/>
            </w:tcBorders>
            <w:noWrap w:val="0"/>
            <w:vAlign w:val="center"/>
          </w:tcPr>
          <w:p w14:paraId="27F2BEC8">
            <w:pPr>
              <w:spacing w:before="50" w:after="50"/>
              <w:jc w:val="center"/>
              <w:rPr>
                <w:rFonts w:ascii="宋体" w:hAnsi="宋体"/>
                <w:color w:val="000000" w:themeColor="text1"/>
                <w:sz w:val="24"/>
                <w:highlight w:val="none"/>
                <w14:textFill>
                  <w14:solidFill>
                    <w14:schemeClr w14:val="tx1"/>
                  </w14:solidFill>
                </w14:textFill>
              </w:rPr>
            </w:pPr>
          </w:p>
        </w:tc>
        <w:tc>
          <w:tcPr>
            <w:tcW w:w="582" w:type="pct"/>
            <w:tcBorders>
              <w:top w:val="single" w:color="auto" w:sz="4" w:space="0"/>
              <w:left w:val="single" w:color="auto" w:sz="4" w:space="0"/>
              <w:bottom w:val="single" w:color="auto" w:sz="4" w:space="0"/>
              <w:right w:val="single" w:color="auto" w:sz="4" w:space="0"/>
            </w:tcBorders>
            <w:noWrap w:val="0"/>
            <w:vAlign w:val="center"/>
          </w:tcPr>
          <w:p w14:paraId="2910C60B">
            <w:pPr>
              <w:spacing w:before="50" w:after="50"/>
              <w:jc w:val="center"/>
              <w:rPr>
                <w:rFonts w:ascii="宋体" w:hAnsi="宋体"/>
                <w:color w:val="000000" w:themeColor="text1"/>
                <w:sz w:val="24"/>
                <w:highlight w:val="none"/>
                <w14:textFill>
                  <w14:solidFill>
                    <w14:schemeClr w14:val="tx1"/>
                  </w14:solidFill>
                </w14:textFill>
              </w:rPr>
            </w:pPr>
          </w:p>
        </w:tc>
        <w:tc>
          <w:tcPr>
            <w:tcW w:w="415" w:type="pct"/>
            <w:tcBorders>
              <w:top w:val="single" w:color="auto" w:sz="4" w:space="0"/>
              <w:left w:val="single" w:color="auto" w:sz="4" w:space="0"/>
              <w:bottom w:val="single" w:color="auto" w:sz="4" w:space="0"/>
              <w:right w:val="single" w:color="auto" w:sz="4" w:space="0"/>
            </w:tcBorders>
            <w:noWrap w:val="0"/>
            <w:vAlign w:val="center"/>
          </w:tcPr>
          <w:p w14:paraId="6728C7C5">
            <w:pPr>
              <w:spacing w:before="50" w:after="50"/>
              <w:jc w:val="center"/>
              <w:rPr>
                <w:rFonts w:ascii="宋体" w:hAnsi="宋体"/>
                <w:color w:val="000000" w:themeColor="text1"/>
                <w:sz w:val="24"/>
                <w:highlight w:val="none"/>
                <w14:textFill>
                  <w14:solidFill>
                    <w14:schemeClr w14:val="tx1"/>
                  </w14:solidFill>
                </w14:textFill>
              </w:rPr>
            </w:pPr>
          </w:p>
        </w:tc>
        <w:tc>
          <w:tcPr>
            <w:tcW w:w="915" w:type="pct"/>
            <w:tcBorders>
              <w:top w:val="single" w:color="auto" w:sz="4" w:space="0"/>
              <w:left w:val="single" w:color="auto" w:sz="4" w:space="0"/>
              <w:bottom w:val="single" w:color="auto" w:sz="4" w:space="0"/>
              <w:right w:val="single" w:color="auto" w:sz="4" w:space="0"/>
            </w:tcBorders>
            <w:noWrap w:val="0"/>
          </w:tcPr>
          <w:p w14:paraId="36FBCEC7">
            <w:pPr>
              <w:spacing w:before="50" w:after="50"/>
              <w:jc w:val="center"/>
              <w:rPr>
                <w:rFonts w:ascii="宋体" w:hAnsi="宋体"/>
                <w:color w:val="000000" w:themeColor="text1"/>
                <w:sz w:val="24"/>
                <w:highlight w:val="none"/>
                <w14:textFill>
                  <w14:solidFill>
                    <w14:schemeClr w14:val="tx1"/>
                  </w14:solidFill>
                </w14:textFill>
              </w:rPr>
            </w:pPr>
          </w:p>
        </w:tc>
        <w:tc>
          <w:tcPr>
            <w:tcW w:w="696" w:type="pct"/>
            <w:tcBorders>
              <w:top w:val="single" w:color="auto" w:sz="4" w:space="0"/>
              <w:left w:val="single" w:color="auto" w:sz="4" w:space="0"/>
              <w:bottom w:val="single" w:color="auto" w:sz="4" w:space="0"/>
              <w:right w:val="single" w:color="auto" w:sz="4" w:space="0"/>
            </w:tcBorders>
            <w:noWrap w:val="0"/>
            <w:vAlign w:val="center"/>
          </w:tcPr>
          <w:p w14:paraId="03C3F95B">
            <w:pPr>
              <w:spacing w:before="50" w:after="50"/>
              <w:jc w:val="center"/>
              <w:rPr>
                <w:rFonts w:ascii="宋体" w:hAnsi="宋体"/>
                <w:color w:val="000000" w:themeColor="text1"/>
                <w:sz w:val="24"/>
                <w:highlight w:val="none"/>
                <w14:textFill>
                  <w14:solidFill>
                    <w14:schemeClr w14:val="tx1"/>
                  </w14:solidFill>
                </w14:textFill>
              </w:rPr>
            </w:pPr>
          </w:p>
        </w:tc>
        <w:tc>
          <w:tcPr>
            <w:tcW w:w="412" w:type="pct"/>
            <w:tcBorders>
              <w:top w:val="single" w:color="auto" w:sz="4" w:space="0"/>
              <w:left w:val="single" w:color="auto" w:sz="4" w:space="0"/>
              <w:bottom w:val="single" w:color="auto" w:sz="4" w:space="0"/>
              <w:right w:val="single" w:color="auto" w:sz="4" w:space="0"/>
            </w:tcBorders>
            <w:noWrap w:val="0"/>
            <w:vAlign w:val="center"/>
          </w:tcPr>
          <w:p w14:paraId="5B31B86B">
            <w:pPr>
              <w:spacing w:before="50" w:after="50"/>
              <w:jc w:val="center"/>
              <w:rPr>
                <w:rFonts w:ascii="宋体" w:hAnsi="宋体"/>
                <w:color w:val="000000" w:themeColor="text1"/>
                <w:sz w:val="24"/>
                <w:highlight w:val="none"/>
                <w14:textFill>
                  <w14:solidFill>
                    <w14:schemeClr w14:val="tx1"/>
                  </w14:solidFill>
                </w14:textFill>
              </w:rPr>
            </w:pPr>
          </w:p>
        </w:tc>
        <w:tc>
          <w:tcPr>
            <w:tcW w:w="836" w:type="pct"/>
            <w:tcBorders>
              <w:top w:val="single" w:color="auto" w:sz="4" w:space="0"/>
              <w:left w:val="single" w:color="auto" w:sz="4" w:space="0"/>
              <w:bottom w:val="single" w:color="auto" w:sz="4" w:space="0"/>
              <w:right w:val="single" w:color="auto" w:sz="4" w:space="0"/>
            </w:tcBorders>
            <w:noWrap w:val="0"/>
            <w:vAlign w:val="center"/>
          </w:tcPr>
          <w:p w14:paraId="66E39BE9">
            <w:pPr>
              <w:spacing w:before="50" w:after="50"/>
              <w:jc w:val="center"/>
              <w:rPr>
                <w:rFonts w:ascii="宋体" w:hAnsi="宋体"/>
                <w:color w:val="000000" w:themeColor="text1"/>
                <w:sz w:val="24"/>
                <w:highlight w:val="none"/>
                <w14:textFill>
                  <w14:solidFill>
                    <w14:schemeClr w14:val="tx1"/>
                  </w14:solidFill>
                </w14:textFill>
              </w:rPr>
            </w:pPr>
          </w:p>
        </w:tc>
      </w:tr>
      <w:tr w14:paraId="50A6A7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267" w:type="pct"/>
            <w:tcBorders>
              <w:top w:val="single" w:color="auto" w:sz="4" w:space="0"/>
              <w:left w:val="single" w:color="auto" w:sz="4" w:space="0"/>
              <w:bottom w:val="single" w:color="auto" w:sz="4" w:space="0"/>
              <w:right w:val="single" w:color="auto" w:sz="4" w:space="0"/>
            </w:tcBorders>
            <w:noWrap w:val="0"/>
            <w:vAlign w:val="center"/>
          </w:tcPr>
          <w:p w14:paraId="7148CF86">
            <w:pPr>
              <w:spacing w:before="50" w:after="50"/>
              <w:jc w:val="center"/>
              <w:rPr>
                <w:rFonts w:ascii="宋体" w:hAnsi="宋体"/>
                <w:color w:val="000000" w:themeColor="text1"/>
                <w:sz w:val="24"/>
                <w:highlight w:val="none"/>
                <w14:textFill>
                  <w14:solidFill>
                    <w14:schemeClr w14:val="tx1"/>
                  </w14:solidFill>
                </w14:textFill>
              </w:rPr>
            </w:pPr>
          </w:p>
        </w:tc>
        <w:tc>
          <w:tcPr>
            <w:tcW w:w="877" w:type="pct"/>
            <w:tcBorders>
              <w:top w:val="single" w:color="auto" w:sz="4" w:space="0"/>
              <w:left w:val="single" w:color="auto" w:sz="4" w:space="0"/>
              <w:bottom w:val="single" w:color="auto" w:sz="4" w:space="0"/>
              <w:right w:val="single" w:color="auto" w:sz="4" w:space="0"/>
            </w:tcBorders>
            <w:noWrap w:val="0"/>
            <w:vAlign w:val="center"/>
          </w:tcPr>
          <w:p w14:paraId="2741B7BD">
            <w:pPr>
              <w:spacing w:before="50" w:after="50"/>
              <w:jc w:val="center"/>
              <w:rPr>
                <w:rFonts w:ascii="宋体" w:hAnsi="宋体"/>
                <w:color w:val="000000" w:themeColor="text1"/>
                <w:sz w:val="24"/>
                <w:highlight w:val="none"/>
                <w14:textFill>
                  <w14:solidFill>
                    <w14:schemeClr w14:val="tx1"/>
                  </w14:solidFill>
                </w14:textFill>
              </w:rPr>
            </w:pPr>
          </w:p>
        </w:tc>
        <w:tc>
          <w:tcPr>
            <w:tcW w:w="582" w:type="pct"/>
            <w:tcBorders>
              <w:top w:val="single" w:color="auto" w:sz="4" w:space="0"/>
              <w:left w:val="single" w:color="auto" w:sz="4" w:space="0"/>
              <w:bottom w:val="single" w:color="auto" w:sz="4" w:space="0"/>
              <w:right w:val="single" w:color="auto" w:sz="4" w:space="0"/>
            </w:tcBorders>
            <w:noWrap w:val="0"/>
            <w:vAlign w:val="center"/>
          </w:tcPr>
          <w:p w14:paraId="01B4FF95">
            <w:pPr>
              <w:spacing w:before="50" w:after="50"/>
              <w:jc w:val="center"/>
              <w:rPr>
                <w:rFonts w:ascii="宋体" w:hAnsi="宋体"/>
                <w:color w:val="000000" w:themeColor="text1"/>
                <w:sz w:val="24"/>
                <w:highlight w:val="none"/>
                <w14:textFill>
                  <w14:solidFill>
                    <w14:schemeClr w14:val="tx1"/>
                  </w14:solidFill>
                </w14:textFill>
              </w:rPr>
            </w:pPr>
          </w:p>
        </w:tc>
        <w:tc>
          <w:tcPr>
            <w:tcW w:w="415" w:type="pct"/>
            <w:tcBorders>
              <w:top w:val="single" w:color="auto" w:sz="4" w:space="0"/>
              <w:left w:val="single" w:color="auto" w:sz="4" w:space="0"/>
              <w:bottom w:val="single" w:color="auto" w:sz="4" w:space="0"/>
              <w:right w:val="single" w:color="auto" w:sz="4" w:space="0"/>
            </w:tcBorders>
            <w:noWrap w:val="0"/>
            <w:vAlign w:val="center"/>
          </w:tcPr>
          <w:p w14:paraId="65BEFC55">
            <w:pPr>
              <w:spacing w:before="50" w:after="50"/>
              <w:jc w:val="center"/>
              <w:rPr>
                <w:rFonts w:ascii="宋体" w:hAnsi="宋体"/>
                <w:color w:val="000000" w:themeColor="text1"/>
                <w:sz w:val="24"/>
                <w:highlight w:val="none"/>
                <w14:textFill>
                  <w14:solidFill>
                    <w14:schemeClr w14:val="tx1"/>
                  </w14:solidFill>
                </w14:textFill>
              </w:rPr>
            </w:pPr>
          </w:p>
        </w:tc>
        <w:tc>
          <w:tcPr>
            <w:tcW w:w="915" w:type="pct"/>
            <w:tcBorders>
              <w:top w:val="single" w:color="auto" w:sz="4" w:space="0"/>
              <w:left w:val="single" w:color="auto" w:sz="4" w:space="0"/>
              <w:bottom w:val="single" w:color="auto" w:sz="4" w:space="0"/>
              <w:right w:val="single" w:color="auto" w:sz="4" w:space="0"/>
            </w:tcBorders>
            <w:noWrap w:val="0"/>
          </w:tcPr>
          <w:p w14:paraId="14915D1F">
            <w:pPr>
              <w:spacing w:before="50" w:after="50"/>
              <w:jc w:val="center"/>
              <w:rPr>
                <w:rFonts w:ascii="宋体" w:hAnsi="宋体"/>
                <w:color w:val="000000" w:themeColor="text1"/>
                <w:sz w:val="24"/>
                <w:highlight w:val="none"/>
                <w14:textFill>
                  <w14:solidFill>
                    <w14:schemeClr w14:val="tx1"/>
                  </w14:solidFill>
                </w14:textFill>
              </w:rPr>
            </w:pPr>
          </w:p>
        </w:tc>
        <w:tc>
          <w:tcPr>
            <w:tcW w:w="696" w:type="pct"/>
            <w:tcBorders>
              <w:top w:val="single" w:color="auto" w:sz="4" w:space="0"/>
              <w:left w:val="single" w:color="auto" w:sz="4" w:space="0"/>
              <w:bottom w:val="single" w:color="auto" w:sz="4" w:space="0"/>
              <w:right w:val="single" w:color="auto" w:sz="4" w:space="0"/>
            </w:tcBorders>
            <w:noWrap w:val="0"/>
            <w:vAlign w:val="center"/>
          </w:tcPr>
          <w:p w14:paraId="6BF969C7">
            <w:pPr>
              <w:spacing w:before="50" w:after="50"/>
              <w:jc w:val="center"/>
              <w:rPr>
                <w:rFonts w:ascii="宋体" w:hAnsi="宋体"/>
                <w:color w:val="000000" w:themeColor="text1"/>
                <w:sz w:val="24"/>
                <w:highlight w:val="none"/>
                <w14:textFill>
                  <w14:solidFill>
                    <w14:schemeClr w14:val="tx1"/>
                  </w14:solidFill>
                </w14:textFill>
              </w:rPr>
            </w:pPr>
          </w:p>
        </w:tc>
        <w:tc>
          <w:tcPr>
            <w:tcW w:w="412" w:type="pct"/>
            <w:tcBorders>
              <w:top w:val="single" w:color="auto" w:sz="4" w:space="0"/>
              <w:left w:val="single" w:color="auto" w:sz="4" w:space="0"/>
              <w:bottom w:val="single" w:color="auto" w:sz="4" w:space="0"/>
              <w:right w:val="single" w:color="auto" w:sz="4" w:space="0"/>
            </w:tcBorders>
            <w:noWrap w:val="0"/>
            <w:vAlign w:val="center"/>
          </w:tcPr>
          <w:p w14:paraId="52DCA4C7">
            <w:pPr>
              <w:spacing w:before="50" w:after="50"/>
              <w:jc w:val="center"/>
              <w:rPr>
                <w:rFonts w:ascii="宋体" w:hAnsi="宋体"/>
                <w:color w:val="000000" w:themeColor="text1"/>
                <w:sz w:val="24"/>
                <w:highlight w:val="none"/>
                <w14:textFill>
                  <w14:solidFill>
                    <w14:schemeClr w14:val="tx1"/>
                  </w14:solidFill>
                </w14:textFill>
              </w:rPr>
            </w:pPr>
          </w:p>
        </w:tc>
        <w:tc>
          <w:tcPr>
            <w:tcW w:w="836" w:type="pct"/>
            <w:tcBorders>
              <w:top w:val="single" w:color="auto" w:sz="4" w:space="0"/>
              <w:left w:val="single" w:color="auto" w:sz="4" w:space="0"/>
              <w:bottom w:val="single" w:color="auto" w:sz="4" w:space="0"/>
              <w:right w:val="single" w:color="auto" w:sz="4" w:space="0"/>
            </w:tcBorders>
            <w:noWrap w:val="0"/>
            <w:vAlign w:val="center"/>
          </w:tcPr>
          <w:p w14:paraId="743AA125">
            <w:pPr>
              <w:spacing w:before="50" w:after="50"/>
              <w:jc w:val="center"/>
              <w:rPr>
                <w:rFonts w:ascii="宋体" w:hAnsi="宋体"/>
                <w:color w:val="000000" w:themeColor="text1"/>
                <w:sz w:val="24"/>
                <w:highlight w:val="none"/>
                <w14:textFill>
                  <w14:solidFill>
                    <w14:schemeClr w14:val="tx1"/>
                  </w14:solidFill>
                </w14:textFill>
              </w:rPr>
            </w:pPr>
          </w:p>
        </w:tc>
      </w:tr>
      <w:tr w14:paraId="35AACD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5" w:hRule="atLeast"/>
          <w:jc w:val="center"/>
        </w:trPr>
        <w:tc>
          <w:tcPr>
            <w:tcW w:w="267" w:type="pct"/>
            <w:tcBorders>
              <w:top w:val="single" w:color="auto" w:sz="4" w:space="0"/>
              <w:left w:val="single" w:color="auto" w:sz="4" w:space="0"/>
              <w:bottom w:val="single" w:color="auto" w:sz="4" w:space="0"/>
              <w:right w:val="single" w:color="auto" w:sz="4" w:space="0"/>
            </w:tcBorders>
            <w:noWrap w:val="0"/>
            <w:vAlign w:val="center"/>
          </w:tcPr>
          <w:p w14:paraId="4FEC6C6A">
            <w:pPr>
              <w:spacing w:before="50" w:after="50"/>
              <w:jc w:val="center"/>
              <w:rPr>
                <w:rFonts w:ascii="宋体" w:hAnsi="宋体"/>
                <w:color w:val="000000" w:themeColor="text1"/>
                <w:sz w:val="24"/>
                <w:highlight w:val="none"/>
                <w14:textFill>
                  <w14:solidFill>
                    <w14:schemeClr w14:val="tx1"/>
                  </w14:solidFill>
                </w14:textFill>
              </w:rPr>
            </w:pPr>
          </w:p>
        </w:tc>
        <w:tc>
          <w:tcPr>
            <w:tcW w:w="877" w:type="pct"/>
            <w:tcBorders>
              <w:top w:val="single" w:color="auto" w:sz="4" w:space="0"/>
              <w:left w:val="single" w:color="auto" w:sz="4" w:space="0"/>
              <w:bottom w:val="single" w:color="auto" w:sz="4" w:space="0"/>
              <w:right w:val="single" w:color="auto" w:sz="4" w:space="0"/>
            </w:tcBorders>
            <w:noWrap w:val="0"/>
            <w:vAlign w:val="center"/>
          </w:tcPr>
          <w:p w14:paraId="3DAF48EF">
            <w:pPr>
              <w:spacing w:before="50" w:after="50"/>
              <w:jc w:val="center"/>
              <w:rPr>
                <w:rFonts w:ascii="宋体" w:hAnsi="宋体"/>
                <w:color w:val="000000" w:themeColor="text1"/>
                <w:sz w:val="24"/>
                <w:highlight w:val="none"/>
                <w14:textFill>
                  <w14:solidFill>
                    <w14:schemeClr w14:val="tx1"/>
                  </w14:solidFill>
                </w14:textFill>
              </w:rPr>
            </w:pPr>
          </w:p>
        </w:tc>
        <w:tc>
          <w:tcPr>
            <w:tcW w:w="582" w:type="pct"/>
            <w:tcBorders>
              <w:top w:val="single" w:color="auto" w:sz="4" w:space="0"/>
              <w:left w:val="single" w:color="auto" w:sz="4" w:space="0"/>
              <w:bottom w:val="single" w:color="auto" w:sz="4" w:space="0"/>
              <w:right w:val="single" w:color="auto" w:sz="4" w:space="0"/>
            </w:tcBorders>
            <w:noWrap w:val="0"/>
            <w:vAlign w:val="center"/>
          </w:tcPr>
          <w:p w14:paraId="2AA7D885">
            <w:pPr>
              <w:spacing w:before="50" w:after="50"/>
              <w:jc w:val="center"/>
              <w:rPr>
                <w:rFonts w:ascii="宋体" w:hAnsi="宋体"/>
                <w:color w:val="000000" w:themeColor="text1"/>
                <w:sz w:val="24"/>
                <w:highlight w:val="none"/>
                <w14:textFill>
                  <w14:solidFill>
                    <w14:schemeClr w14:val="tx1"/>
                  </w14:solidFill>
                </w14:textFill>
              </w:rPr>
            </w:pPr>
          </w:p>
        </w:tc>
        <w:tc>
          <w:tcPr>
            <w:tcW w:w="415" w:type="pct"/>
            <w:tcBorders>
              <w:top w:val="single" w:color="auto" w:sz="4" w:space="0"/>
              <w:left w:val="single" w:color="auto" w:sz="4" w:space="0"/>
              <w:bottom w:val="single" w:color="auto" w:sz="4" w:space="0"/>
              <w:right w:val="single" w:color="auto" w:sz="4" w:space="0"/>
            </w:tcBorders>
            <w:noWrap w:val="0"/>
            <w:vAlign w:val="center"/>
          </w:tcPr>
          <w:p w14:paraId="4EE0719C">
            <w:pPr>
              <w:spacing w:before="50" w:after="50"/>
              <w:jc w:val="center"/>
              <w:rPr>
                <w:rFonts w:ascii="宋体" w:hAnsi="宋体"/>
                <w:color w:val="000000" w:themeColor="text1"/>
                <w:sz w:val="24"/>
                <w:highlight w:val="none"/>
                <w14:textFill>
                  <w14:solidFill>
                    <w14:schemeClr w14:val="tx1"/>
                  </w14:solidFill>
                </w14:textFill>
              </w:rPr>
            </w:pPr>
          </w:p>
        </w:tc>
        <w:tc>
          <w:tcPr>
            <w:tcW w:w="915" w:type="pct"/>
            <w:tcBorders>
              <w:top w:val="single" w:color="auto" w:sz="4" w:space="0"/>
              <w:left w:val="single" w:color="auto" w:sz="4" w:space="0"/>
              <w:bottom w:val="single" w:color="auto" w:sz="4" w:space="0"/>
              <w:right w:val="single" w:color="auto" w:sz="4" w:space="0"/>
            </w:tcBorders>
            <w:noWrap w:val="0"/>
          </w:tcPr>
          <w:p w14:paraId="524C7B83">
            <w:pPr>
              <w:spacing w:before="50" w:after="50"/>
              <w:jc w:val="center"/>
              <w:rPr>
                <w:rFonts w:ascii="宋体" w:hAnsi="宋体"/>
                <w:color w:val="000000" w:themeColor="text1"/>
                <w:sz w:val="24"/>
                <w:highlight w:val="none"/>
                <w14:textFill>
                  <w14:solidFill>
                    <w14:schemeClr w14:val="tx1"/>
                  </w14:solidFill>
                </w14:textFill>
              </w:rPr>
            </w:pPr>
          </w:p>
        </w:tc>
        <w:tc>
          <w:tcPr>
            <w:tcW w:w="696" w:type="pct"/>
            <w:tcBorders>
              <w:top w:val="single" w:color="auto" w:sz="4" w:space="0"/>
              <w:left w:val="single" w:color="auto" w:sz="4" w:space="0"/>
              <w:bottom w:val="single" w:color="auto" w:sz="4" w:space="0"/>
              <w:right w:val="single" w:color="auto" w:sz="4" w:space="0"/>
            </w:tcBorders>
            <w:noWrap w:val="0"/>
            <w:vAlign w:val="center"/>
          </w:tcPr>
          <w:p w14:paraId="1D4B7855">
            <w:pPr>
              <w:spacing w:before="50" w:after="50"/>
              <w:jc w:val="center"/>
              <w:rPr>
                <w:rFonts w:ascii="宋体" w:hAnsi="宋体"/>
                <w:color w:val="000000" w:themeColor="text1"/>
                <w:sz w:val="24"/>
                <w:highlight w:val="none"/>
                <w14:textFill>
                  <w14:solidFill>
                    <w14:schemeClr w14:val="tx1"/>
                  </w14:solidFill>
                </w14:textFill>
              </w:rPr>
            </w:pPr>
          </w:p>
        </w:tc>
        <w:tc>
          <w:tcPr>
            <w:tcW w:w="412" w:type="pct"/>
            <w:tcBorders>
              <w:top w:val="single" w:color="auto" w:sz="4" w:space="0"/>
              <w:left w:val="single" w:color="auto" w:sz="4" w:space="0"/>
              <w:bottom w:val="single" w:color="auto" w:sz="4" w:space="0"/>
              <w:right w:val="single" w:color="auto" w:sz="4" w:space="0"/>
            </w:tcBorders>
            <w:noWrap w:val="0"/>
            <w:vAlign w:val="center"/>
          </w:tcPr>
          <w:p w14:paraId="2BE35A1D">
            <w:pPr>
              <w:spacing w:before="50" w:after="50"/>
              <w:jc w:val="center"/>
              <w:rPr>
                <w:rFonts w:ascii="宋体" w:hAnsi="宋体"/>
                <w:color w:val="000000" w:themeColor="text1"/>
                <w:sz w:val="24"/>
                <w:highlight w:val="none"/>
                <w14:textFill>
                  <w14:solidFill>
                    <w14:schemeClr w14:val="tx1"/>
                  </w14:solidFill>
                </w14:textFill>
              </w:rPr>
            </w:pPr>
          </w:p>
        </w:tc>
        <w:tc>
          <w:tcPr>
            <w:tcW w:w="836" w:type="pct"/>
            <w:tcBorders>
              <w:top w:val="single" w:color="auto" w:sz="4" w:space="0"/>
              <w:left w:val="single" w:color="auto" w:sz="4" w:space="0"/>
              <w:bottom w:val="single" w:color="auto" w:sz="4" w:space="0"/>
              <w:right w:val="single" w:color="auto" w:sz="4" w:space="0"/>
            </w:tcBorders>
            <w:noWrap w:val="0"/>
            <w:vAlign w:val="center"/>
          </w:tcPr>
          <w:p w14:paraId="6299CA21">
            <w:pPr>
              <w:spacing w:before="50" w:after="50"/>
              <w:jc w:val="center"/>
              <w:rPr>
                <w:rFonts w:ascii="宋体" w:hAnsi="宋体"/>
                <w:color w:val="000000" w:themeColor="text1"/>
                <w:sz w:val="24"/>
                <w:highlight w:val="none"/>
                <w14:textFill>
                  <w14:solidFill>
                    <w14:schemeClr w14:val="tx1"/>
                  </w14:solidFill>
                </w14:textFill>
              </w:rPr>
            </w:pPr>
          </w:p>
        </w:tc>
      </w:tr>
    </w:tbl>
    <w:p w14:paraId="406AC585">
      <w:pPr>
        <w:spacing w:line="360" w:lineRule="auto"/>
        <w:contextualSpacing/>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备注：</w:t>
      </w:r>
    </w:p>
    <w:p w14:paraId="2C0825B3">
      <w:pPr>
        <w:spacing w:line="360" w:lineRule="auto"/>
        <w:ind w:firstLine="480"/>
        <w:contextualSpacing/>
        <w:rPr>
          <w:rFonts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以上设备性能配置清单中“货物名称、数量及单位、品牌、规格型号、生产厂家、原产地、参数性能、指标及配置”必须如实填写完整，品牌、规格型号没有则填无，填写有缺漏</w:t>
      </w:r>
      <w:r>
        <w:rPr>
          <w:rFonts w:hint="eastAsia" w:ascii="宋体" w:hAnsi="宋体"/>
          <w:bCs/>
          <w:color w:val="000000" w:themeColor="text1"/>
          <w:sz w:val="24"/>
          <w:highlight w:val="none"/>
          <w14:textFill>
            <w14:solidFill>
              <w14:schemeClr w14:val="tx1"/>
            </w14:solidFill>
          </w14:textFill>
        </w:rPr>
        <w:t>的，</w:t>
      </w:r>
      <w:r>
        <w:rPr>
          <w:rFonts w:hint="eastAsia" w:ascii="宋体" w:hAnsi="宋体"/>
          <w:b/>
          <w:color w:val="000000" w:themeColor="text1"/>
          <w:sz w:val="24"/>
          <w:highlight w:val="none"/>
          <w14:textFill>
            <w14:solidFill>
              <w14:schemeClr w14:val="tx1"/>
            </w14:solidFill>
          </w14:textFill>
        </w:rPr>
        <w:t>作无效投标处理。</w:t>
      </w:r>
      <w:r>
        <w:rPr>
          <w:rFonts w:hint="eastAsia" w:hAnsi="宋体" w:cs="Courier New"/>
          <w:color w:val="000000" w:themeColor="text1"/>
          <w:sz w:val="24"/>
          <w:highlight w:val="none"/>
          <w14:textFill>
            <w14:solidFill>
              <w14:schemeClr w14:val="tx1"/>
            </w14:solidFill>
          </w14:textFill>
        </w:rPr>
        <w:t>标的的名称</w:t>
      </w:r>
      <w:r>
        <w:rPr>
          <w:rFonts w:hint="eastAsia" w:ascii="宋体" w:hAnsi="宋体"/>
          <w:color w:val="000000" w:themeColor="text1"/>
          <w:sz w:val="24"/>
          <w:highlight w:val="none"/>
          <w14:textFill>
            <w14:solidFill>
              <w14:schemeClr w14:val="tx1"/>
            </w14:solidFill>
          </w14:textFill>
        </w:rPr>
        <w:t>、数量及单位、品牌必须与“开标一览表”一致，</w:t>
      </w:r>
      <w:r>
        <w:rPr>
          <w:rFonts w:hint="eastAsia" w:ascii="宋体" w:hAnsi="宋体"/>
          <w:b/>
          <w:color w:val="000000" w:themeColor="text1"/>
          <w:sz w:val="24"/>
          <w:highlight w:val="none"/>
          <w14:textFill>
            <w14:solidFill>
              <w14:schemeClr w14:val="tx1"/>
            </w14:solidFill>
          </w14:textFill>
        </w:rPr>
        <w:t>否则按无效投标处理。</w:t>
      </w:r>
    </w:p>
    <w:p w14:paraId="57582373">
      <w:pPr>
        <w:spacing w:line="360" w:lineRule="auto"/>
        <w:ind w:firstLine="480"/>
        <w:contextualSpacing/>
        <w:rPr>
          <w:rFonts w:ascii="宋体" w:hAnsi="宋体"/>
          <w:color w:val="000000" w:themeColor="text1"/>
          <w:sz w:val="24"/>
          <w:highlight w:val="none"/>
          <w14:textFill>
            <w14:solidFill>
              <w14:schemeClr w14:val="tx1"/>
            </w14:solidFill>
          </w14:textFill>
        </w:rPr>
      </w:pPr>
    </w:p>
    <w:p w14:paraId="1D6DB09D">
      <w:pPr>
        <w:spacing w:line="360" w:lineRule="auto"/>
        <w:contextualSpacing/>
        <w:rPr>
          <w:rFonts w:ascii="宋体" w:hAnsi="宋体"/>
          <w:color w:val="000000" w:themeColor="text1"/>
          <w:spacing w:val="20"/>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法定代表人或者委托代理人</w:t>
      </w:r>
      <w:r>
        <w:rPr>
          <w:rFonts w:hint="eastAsia" w:ascii="宋体" w:hAnsi="宋体"/>
          <w:color w:val="000000" w:themeColor="text1"/>
          <w:spacing w:val="20"/>
          <w:sz w:val="24"/>
          <w:highlight w:val="none"/>
          <w14:textFill>
            <w14:solidFill>
              <w14:schemeClr w14:val="tx1"/>
            </w14:solidFill>
          </w14:textFill>
        </w:rPr>
        <w:t>（签字或者电子签名）：</w:t>
      </w:r>
      <w:r>
        <w:rPr>
          <w:rFonts w:hint="eastAsia" w:ascii="宋体" w:hAnsi="宋体"/>
          <w:color w:val="000000" w:themeColor="text1"/>
          <w:spacing w:val="20"/>
          <w:sz w:val="24"/>
          <w:highlight w:val="none"/>
          <w:u w:val="single"/>
          <w14:textFill>
            <w14:solidFill>
              <w14:schemeClr w14:val="tx1"/>
            </w14:solidFill>
          </w14:textFill>
        </w:rPr>
        <w:t xml:space="preserve">        </w:t>
      </w:r>
    </w:p>
    <w:p w14:paraId="68A099CE">
      <w:pPr>
        <w:spacing w:line="360" w:lineRule="auto"/>
        <w:contextualSpacing/>
        <w:rPr>
          <w:rFonts w:ascii="宋体" w:hAnsi="宋体"/>
          <w:color w:val="000000" w:themeColor="text1"/>
          <w:spacing w:val="20"/>
          <w:sz w:val="24"/>
          <w:highlight w:val="none"/>
          <w14:textFill>
            <w14:solidFill>
              <w14:schemeClr w14:val="tx1"/>
            </w14:solidFill>
          </w14:textFill>
        </w:rPr>
      </w:pPr>
      <w:r>
        <w:rPr>
          <w:rFonts w:hint="eastAsia" w:ascii="宋体" w:hAnsi="宋体"/>
          <w:color w:val="000000" w:themeColor="text1"/>
          <w:spacing w:val="20"/>
          <w:sz w:val="24"/>
          <w:highlight w:val="none"/>
          <w14:textFill>
            <w14:solidFill>
              <w14:schemeClr w14:val="tx1"/>
            </w14:solidFill>
          </w14:textFill>
        </w:rPr>
        <w:t>投标人名称（电子签章）：</w:t>
      </w:r>
      <w:r>
        <w:rPr>
          <w:rFonts w:hint="eastAsia" w:ascii="宋体" w:hAnsi="宋体"/>
          <w:color w:val="000000" w:themeColor="text1"/>
          <w:spacing w:val="20"/>
          <w:sz w:val="24"/>
          <w:highlight w:val="none"/>
          <w:u w:val="single"/>
          <w14:textFill>
            <w14:solidFill>
              <w14:schemeClr w14:val="tx1"/>
            </w14:solidFill>
          </w14:textFill>
        </w:rPr>
        <w:t xml:space="preserve">            </w:t>
      </w:r>
      <w:r>
        <w:rPr>
          <w:rFonts w:hint="eastAsia" w:ascii="宋体" w:hAnsi="宋体"/>
          <w:color w:val="000000" w:themeColor="text1"/>
          <w:spacing w:val="20"/>
          <w:sz w:val="24"/>
          <w:highlight w:val="none"/>
          <w14:textFill>
            <w14:solidFill>
              <w14:schemeClr w14:val="tx1"/>
            </w14:solidFill>
          </w14:textFill>
        </w:rPr>
        <w:t xml:space="preserve">              </w:t>
      </w:r>
    </w:p>
    <w:p w14:paraId="4EE3B420">
      <w:pPr>
        <w:spacing w:line="360" w:lineRule="auto"/>
        <w:contextualSpacing/>
        <w:rPr>
          <w:rFonts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pacing w:val="20"/>
          <w:sz w:val="24"/>
          <w:highlight w:val="none"/>
          <w14:textFill>
            <w14:solidFill>
              <w14:schemeClr w14:val="tx1"/>
            </w14:solidFill>
          </w14:textFill>
        </w:rPr>
        <w:t>日  期：</w:t>
      </w:r>
      <w:r>
        <w:rPr>
          <w:rFonts w:hint="eastAsia" w:ascii="宋体" w:hAnsi="宋体"/>
          <w:color w:val="000000" w:themeColor="text1"/>
          <w:spacing w:val="20"/>
          <w:sz w:val="24"/>
          <w:highlight w:val="none"/>
          <w:u w:val="single"/>
          <w14:textFill>
            <w14:solidFill>
              <w14:schemeClr w14:val="tx1"/>
            </w14:solidFill>
          </w14:textFill>
        </w:rPr>
        <w:t xml:space="preserve">          </w:t>
      </w:r>
    </w:p>
    <w:p w14:paraId="6DFF289A">
      <w:pPr>
        <w:spacing w:before="50"/>
        <w:jc w:val="left"/>
        <w:rPr>
          <w:rFonts w:ascii="宋体" w:hAnsi="宋体"/>
          <w:color w:val="000000" w:themeColor="text1"/>
          <w:sz w:val="24"/>
          <w:szCs w:val="20"/>
          <w:highlight w:val="none"/>
          <w14:textFill>
            <w14:solidFill>
              <w14:schemeClr w14:val="tx1"/>
            </w14:solidFill>
          </w14:textFill>
        </w:rPr>
      </w:pPr>
    </w:p>
    <w:p w14:paraId="7FAFA8C2">
      <w:pPr>
        <w:spacing w:before="50"/>
        <w:jc w:val="left"/>
        <w:rPr>
          <w:rFonts w:ascii="宋体" w:hAnsi="宋体"/>
          <w:color w:val="000000" w:themeColor="text1"/>
          <w:sz w:val="24"/>
          <w:szCs w:val="20"/>
          <w:highlight w:val="none"/>
          <w14:textFill>
            <w14:solidFill>
              <w14:schemeClr w14:val="tx1"/>
            </w14:solidFill>
          </w14:textFill>
        </w:rPr>
      </w:pPr>
    </w:p>
    <w:p w14:paraId="090906ED">
      <w:pPr>
        <w:spacing w:after="50"/>
        <w:ind w:left="142"/>
        <w:jc w:val="left"/>
        <w:rPr>
          <w:rFonts w:ascii="宋体" w:hAnsi="宋体"/>
          <w:b/>
          <w:color w:val="000000" w:themeColor="text1"/>
          <w:sz w:val="24"/>
          <w:highlight w:val="none"/>
          <w14:textFill>
            <w14:solidFill>
              <w14:schemeClr w14:val="tx1"/>
            </w14:solidFill>
          </w14:textFill>
        </w:rPr>
      </w:pPr>
      <w:r>
        <w:rPr>
          <w:rFonts w:ascii="宋体" w:hAnsi="宋体"/>
          <w:b/>
          <w:color w:val="000000" w:themeColor="text1"/>
          <w:sz w:val="24"/>
          <w:highlight w:val="none"/>
          <w14:textFill>
            <w14:solidFill>
              <w14:schemeClr w14:val="tx1"/>
            </w14:solidFill>
          </w14:textFill>
        </w:rPr>
        <w:br w:type="page" w:clear="all"/>
      </w:r>
      <w:r>
        <w:rPr>
          <w:rFonts w:hint="eastAsia" w:ascii="宋体" w:hAnsi="宋体"/>
          <w:b/>
          <w:color w:val="000000" w:themeColor="text1"/>
          <w:sz w:val="24"/>
          <w:highlight w:val="none"/>
          <w14:textFill>
            <w14:solidFill>
              <w14:schemeClr w14:val="tx1"/>
            </w14:solidFill>
          </w14:textFill>
        </w:rPr>
        <w:t>10. 技术要求偏离表格式</w:t>
      </w:r>
    </w:p>
    <w:p w14:paraId="6FE66157">
      <w:pPr>
        <w:spacing w:after="50"/>
        <w:ind w:left="142"/>
        <w:jc w:val="left"/>
        <w:rPr>
          <w:rFonts w:ascii="宋体" w:hAnsi="宋体"/>
          <w:b/>
          <w:color w:val="000000" w:themeColor="text1"/>
          <w:sz w:val="24"/>
          <w:highlight w:val="none"/>
          <w14:textFill>
            <w14:solidFill>
              <w14:schemeClr w14:val="tx1"/>
            </w14:solidFill>
          </w14:textFill>
        </w:rPr>
      </w:pPr>
    </w:p>
    <w:p w14:paraId="40A8F4FC">
      <w:pPr>
        <w:spacing w:after="50"/>
        <w:ind w:left="142"/>
        <w:jc w:val="center"/>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技术要求偏离表</w:t>
      </w:r>
    </w:p>
    <w:p w14:paraId="06724C35">
      <w:pPr>
        <w:pStyle w:val="25"/>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所投分标：</w:t>
      </w:r>
      <w:r>
        <w:rPr>
          <w:rFonts w:hint="eastAsia" w:hAnsi="宋体"/>
          <w:color w:val="000000" w:themeColor="text1"/>
          <w:sz w:val="24"/>
          <w:szCs w:val="24"/>
          <w:highlight w:val="none"/>
          <w:u w:val="single"/>
          <w14:textFill>
            <w14:solidFill>
              <w14:schemeClr w14:val="tx1"/>
            </w14:solidFill>
          </w14:textFill>
        </w:rPr>
        <w:t xml:space="preserve">     </w:t>
      </w:r>
      <w:r>
        <w:rPr>
          <w:rFonts w:hint="eastAsia" w:hAnsi="宋体"/>
          <w:color w:val="000000" w:themeColor="text1"/>
          <w:sz w:val="24"/>
          <w:szCs w:val="24"/>
          <w:highlight w:val="none"/>
          <w14:textFill>
            <w14:solidFill>
              <w14:schemeClr w14:val="tx1"/>
            </w14:solidFill>
          </w14:textFill>
        </w:rPr>
        <w:t>分标</w:t>
      </w:r>
    </w:p>
    <w:tbl>
      <w:tblPr>
        <w:tblStyle w:val="50"/>
        <w:tblW w:w="89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2143"/>
        <w:gridCol w:w="1834"/>
        <w:gridCol w:w="2181"/>
        <w:gridCol w:w="1934"/>
      </w:tblGrid>
      <w:tr w14:paraId="1E0D1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852" w:type="dxa"/>
            <w:noWrap w:val="0"/>
            <w:vAlign w:val="center"/>
          </w:tcPr>
          <w:p w14:paraId="3F2FF3F8">
            <w:pPr>
              <w:pStyle w:val="25"/>
              <w:spacing w:line="400" w:lineRule="exact"/>
              <w:jc w:val="center"/>
              <w:rPr>
                <w:rFonts w:hAnsi="宋体" w:cs="Courier New"/>
                <w:color w:val="000000" w:themeColor="text1"/>
                <w:sz w:val="24"/>
                <w:szCs w:val="24"/>
                <w:highlight w:val="none"/>
                <w14:textFill>
                  <w14:solidFill>
                    <w14:schemeClr w14:val="tx1"/>
                  </w14:solidFill>
                </w14:textFill>
              </w:rPr>
            </w:pPr>
            <w:r>
              <w:rPr>
                <w:rFonts w:hint="eastAsia" w:hAnsi="宋体" w:cs="Courier New"/>
                <w:color w:val="000000" w:themeColor="text1"/>
                <w:sz w:val="24"/>
                <w:szCs w:val="24"/>
                <w:highlight w:val="none"/>
                <w14:textFill>
                  <w14:solidFill>
                    <w14:schemeClr w14:val="tx1"/>
                  </w14:solidFill>
                </w14:textFill>
              </w:rPr>
              <w:t>项号</w:t>
            </w:r>
          </w:p>
        </w:tc>
        <w:tc>
          <w:tcPr>
            <w:tcW w:w="2143" w:type="dxa"/>
            <w:noWrap w:val="0"/>
            <w:vAlign w:val="center"/>
          </w:tcPr>
          <w:p w14:paraId="6DF24199">
            <w:pPr>
              <w:pStyle w:val="25"/>
              <w:spacing w:line="400" w:lineRule="exact"/>
              <w:jc w:val="center"/>
              <w:rPr>
                <w:rFonts w:hAnsi="宋体" w:cs="Courier New"/>
                <w:color w:val="000000" w:themeColor="text1"/>
                <w:sz w:val="24"/>
                <w:szCs w:val="24"/>
                <w:highlight w:val="none"/>
                <w14:textFill>
                  <w14:solidFill>
                    <w14:schemeClr w14:val="tx1"/>
                  </w14:solidFill>
                </w14:textFill>
              </w:rPr>
            </w:pPr>
            <w:r>
              <w:rPr>
                <w:rFonts w:hint="eastAsia" w:hAnsi="宋体" w:cs="Courier New"/>
                <w:color w:val="000000" w:themeColor="text1"/>
                <w:sz w:val="24"/>
                <w:szCs w:val="24"/>
                <w:highlight w:val="none"/>
                <w14:textFill>
                  <w14:solidFill>
                    <w14:schemeClr w14:val="tx1"/>
                  </w14:solidFill>
                </w14:textFill>
              </w:rPr>
              <w:t>标的的名称</w:t>
            </w:r>
          </w:p>
        </w:tc>
        <w:tc>
          <w:tcPr>
            <w:tcW w:w="1834" w:type="dxa"/>
            <w:noWrap w:val="0"/>
            <w:vAlign w:val="center"/>
          </w:tcPr>
          <w:p w14:paraId="5918C7DE">
            <w:pPr>
              <w:pStyle w:val="25"/>
              <w:spacing w:line="400" w:lineRule="exact"/>
              <w:jc w:val="center"/>
              <w:rPr>
                <w:rFonts w:hAnsi="宋体" w:cs="Courier New"/>
                <w:color w:val="000000" w:themeColor="text1"/>
                <w:sz w:val="24"/>
                <w:szCs w:val="24"/>
                <w:highlight w:val="none"/>
                <w14:textFill>
                  <w14:solidFill>
                    <w14:schemeClr w14:val="tx1"/>
                  </w14:solidFill>
                </w14:textFill>
              </w:rPr>
            </w:pPr>
            <w:r>
              <w:rPr>
                <w:rFonts w:hint="eastAsia" w:hAnsi="宋体" w:cs="Courier New"/>
                <w:color w:val="000000" w:themeColor="text1"/>
                <w:sz w:val="24"/>
                <w:szCs w:val="24"/>
                <w:highlight w:val="none"/>
                <w14:textFill>
                  <w14:solidFill>
                    <w14:schemeClr w14:val="tx1"/>
                  </w14:solidFill>
                </w14:textFill>
              </w:rPr>
              <w:t>技术要求</w:t>
            </w:r>
          </w:p>
        </w:tc>
        <w:tc>
          <w:tcPr>
            <w:tcW w:w="2181" w:type="dxa"/>
            <w:noWrap w:val="0"/>
            <w:vAlign w:val="center"/>
          </w:tcPr>
          <w:p w14:paraId="71EE2640">
            <w:pPr>
              <w:pStyle w:val="25"/>
              <w:spacing w:line="400" w:lineRule="exact"/>
              <w:jc w:val="center"/>
              <w:rPr>
                <w:rFonts w:hAnsi="宋体" w:cs="Courier New"/>
                <w:color w:val="000000" w:themeColor="text1"/>
                <w:sz w:val="24"/>
                <w:szCs w:val="24"/>
                <w:highlight w:val="none"/>
                <w14:textFill>
                  <w14:solidFill>
                    <w14:schemeClr w14:val="tx1"/>
                  </w14:solidFill>
                </w14:textFill>
              </w:rPr>
            </w:pPr>
            <w:r>
              <w:rPr>
                <w:rFonts w:hint="eastAsia" w:hAnsi="宋体" w:cs="Courier New"/>
                <w:color w:val="000000" w:themeColor="text1"/>
                <w:sz w:val="24"/>
                <w:szCs w:val="24"/>
                <w:highlight w:val="none"/>
                <w14:textFill>
                  <w14:solidFill>
                    <w14:schemeClr w14:val="tx1"/>
                  </w14:solidFill>
                </w14:textFill>
              </w:rPr>
              <w:t>投标响应</w:t>
            </w:r>
          </w:p>
        </w:tc>
        <w:tc>
          <w:tcPr>
            <w:tcW w:w="1934" w:type="dxa"/>
            <w:noWrap w:val="0"/>
            <w:vAlign w:val="center"/>
          </w:tcPr>
          <w:p w14:paraId="75C6B357">
            <w:pPr>
              <w:pStyle w:val="25"/>
              <w:spacing w:line="400" w:lineRule="exact"/>
              <w:jc w:val="center"/>
              <w:rPr>
                <w:rFonts w:hAnsi="宋体" w:cs="Courier New"/>
                <w:color w:val="000000" w:themeColor="text1"/>
                <w:sz w:val="24"/>
                <w:szCs w:val="24"/>
                <w:highlight w:val="none"/>
                <w14:textFill>
                  <w14:solidFill>
                    <w14:schemeClr w14:val="tx1"/>
                  </w14:solidFill>
                </w14:textFill>
              </w:rPr>
            </w:pPr>
            <w:r>
              <w:rPr>
                <w:rFonts w:hint="eastAsia" w:hAnsi="宋体" w:cs="Courier New"/>
                <w:color w:val="000000" w:themeColor="text1"/>
                <w:sz w:val="24"/>
                <w:szCs w:val="24"/>
                <w:highlight w:val="none"/>
                <w14:textFill>
                  <w14:solidFill>
                    <w14:schemeClr w14:val="tx1"/>
                  </w14:solidFill>
                </w14:textFill>
              </w:rPr>
              <w:t>偏离说明</w:t>
            </w:r>
          </w:p>
        </w:tc>
      </w:tr>
      <w:tr w14:paraId="4FB2E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noWrap w:val="0"/>
          </w:tcPr>
          <w:p w14:paraId="52727C8D">
            <w:pPr>
              <w:pStyle w:val="25"/>
              <w:spacing w:line="600" w:lineRule="exact"/>
              <w:jc w:val="center"/>
              <w:rPr>
                <w:rFonts w:hAnsi="宋体" w:cs="Courier New"/>
                <w:color w:val="000000" w:themeColor="text1"/>
                <w:sz w:val="24"/>
                <w:szCs w:val="24"/>
                <w:highlight w:val="none"/>
                <w14:textFill>
                  <w14:solidFill>
                    <w14:schemeClr w14:val="tx1"/>
                  </w14:solidFill>
                </w14:textFill>
              </w:rPr>
            </w:pPr>
          </w:p>
        </w:tc>
        <w:tc>
          <w:tcPr>
            <w:tcW w:w="2143" w:type="dxa"/>
            <w:noWrap w:val="0"/>
            <w:vAlign w:val="center"/>
          </w:tcPr>
          <w:p w14:paraId="5C2822F9">
            <w:pPr>
              <w:pStyle w:val="25"/>
              <w:spacing w:line="600" w:lineRule="exact"/>
              <w:jc w:val="center"/>
              <w:rPr>
                <w:rFonts w:hAnsi="宋体" w:cs="Courier New"/>
                <w:color w:val="000000" w:themeColor="text1"/>
                <w:sz w:val="24"/>
                <w:szCs w:val="24"/>
                <w:highlight w:val="none"/>
                <w14:textFill>
                  <w14:solidFill>
                    <w14:schemeClr w14:val="tx1"/>
                  </w14:solidFill>
                </w14:textFill>
              </w:rPr>
            </w:pPr>
          </w:p>
        </w:tc>
        <w:tc>
          <w:tcPr>
            <w:tcW w:w="1834" w:type="dxa"/>
            <w:noWrap w:val="0"/>
            <w:vAlign w:val="center"/>
          </w:tcPr>
          <w:p w14:paraId="4F4B4496">
            <w:pPr>
              <w:pStyle w:val="25"/>
              <w:spacing w:line="600" w:lineRule="exact"/>
              <w:jc w:val="center"/>
              <w:rPr>
                <w:rFonts w:hAnsi="宋体" w:cs="Courier New"/>
                <w:color w:val="000000" w:themeColor="text1"/>
                <w:sz w:val="24"/>
                <w:szCs w:val="24"/>
                <w:highlight w:val="none"/>
                <w14:textFill>
                  <w14:solidFill>
                    <w14:schemeClr w14:val="tx1"/>
                  </w14:solidFill>
                </w14:textFill>
              </w:rPr>
            </w:pPr>
          </w:p>
        </w:tc>
        <w:tc>
          <w:tcPr>
            <w:tcW w:w="2181" w:type="dxa"/>
            <w:noWrap w:val="0"/>
            <w:vAlign w:val="center"/>
          </w:tcPr>
          <w:p w14:paraId="24FD6604">
            <w:pPr>
              <w:pStyle w:val="25"/>
              <w:spacing w:line="600" w:lineRule="exact"/>
              <w:jc w:val="center"/>
              <w:rPr>
                <w:rFonts w:hAnsi="宋体" w:cs="Courier New"/>
                <w:color w:val="000000" w:themeColor="text1"/>
                <w:sz w:val="24"/>
                <w:szCs w:val="24"/>
                <w:highlight w:val="none"/>
                <w14:textFill>
                  <w14:solidFill>
                    <w14:schemeClr w14:val="tx1"/>
                  </w14:solidFill>
                </w14:textFill>
              </w:rPr>
            </w:pPr>
          </w:p>
        </w:tc>
        <w:tc>
          <w:tcPr>
            <w:tcW w:w="1934" w:type="dxa"/>
            <w:noWrap w:val="0"/>
            <w:vAlign w:val="center"/>
          </w:tcPr>
          <w:p w14:paraId="45C9E53E">
            <w:pPr>
              <w:pStyle w:val="25"/>
              <w:spacing w:line="600" w:lineRule="exact"/>
              <w:jc w:val="center"/>
              <w:rPr>
                <w:rFonts w:hAnsi="宋体" w:cs="Courier New"/>
                <w:color w:val="000000" w:themeColor="text1"/>
                <w:sz w:val="24"/>
                <w:szCs w:val="24"/>
                <w:highlight w:val="none"/>
                <w14:textFill>
                  <w14:solidFill>
                    <w14:schemeClr w14:val="tx1"/>
                  </w14:solidFill>
                </w14:textFill>
              </w:rPr>
            </w:pPr>
          </w:p>
        </w:tc>
      </w:tr>
      <w:tr w14:paraId="59B14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noWrap w:val="0"/>
          </w:tcPr>
          <w:p w14:paraId="60C741CC">
            <w:pPr>
              <w:pStyle w:val="25"/>
              <w:spacing w:line="600" w:lineRule="exact"/>
              <w:rPr>
                <w:rFonts w:hAnsi="宋体" w:cs="Courier New"/>
                <w:color w:val="000000" w:themeColor="text1"/>
                <w:sz w:val="24"/>
                <w:szCs w:val="24"/>
                <w:highlight w:val="none"/>
                <w14:textFill>
                  <w14:solidFill>
                    <w14:schemeClr w14:val="tx1"/>
                  </w14:solidFill>
                </w14:textFill>
              </w:rPr>
            </w:pPr>
          </w:p>
        </w:tc>
        <w:tc>
          <w:tcPr>
            <w:tcW w:w="2143" w:type="dxa"/>
            <w:noWrap w:val="0"/>
          </w:tcPr>
          <w:p w14:paraId="3E8FB2C0">
            <w:pPr>
              <w:pStyle w:val="25"/>
              <w:spacing w:line="600" w:lineRule="exact"/>
              <w:rPr>
                <w:rFonts w:hAnsi="宋体" w:cs="Courier New"/>
                <w:color w:val="000000" w:themeColor="text1"/>
                <w:sz w:val="24"/>
                <w:szCs w:val="24"/>
                <w:highlight w:val="none"/>
                <w14:textFill>
                  <w14:solidFill>
                    <w14:schemeClr w14:val="tx1"/>
                  </w14:solidFill>
                </w14:textFill>
              </w:rPr>
            </w:pPr>
          </w:p>
        </w:tc>
        <w:tc>
          <w:tcPr>
            <w:tcW w:w="1834" w:type="dxa"/>
            <w:noWrap w:val="0"/>
          </w:tcPr>
          <w:p w14:paraId="352406F7">
            <w:pPr>
              <w:pStyle w:val="25"/>
              <w:spacing w:line="600" w:lineRule="exact"/>
              <w:rPr>
                <w:rFonts w:hAnsi="宋体" w:cs="Courier New"/>
                <w:color w:val="000000" w:themeColor="text1"/>
                <w:sz w:val="24"/>
                <w:szCs w:val="24"/>
                <w:highlight w:val="none"/>
                <w14:textFill>
                  <w14:solidFill>
                    <w14:schemeClr w14:val="tx1"/>
                  </w14:solidFill>
                </w14:textFill>
              </w:rPr>
            </w:pPr>
          </w:p>
        </w:tc>
        <w:tc>
          <w:tcPr>
            <w:tcW w:w="2181" w:type="dxa"/>
            <w:noWrap w:val="0"/>
          </w:tcPr>
          <w:p w14:paraId="0DC2B63F">
            <w:pPr>
              <w:pStyle w:val="25"/>
              <w:spacing w:line="600" w:lineRule="exact"/>
              <w:rPr>
                <w:rFonts w:hAnsi="宋体" w:cs="Courier New"/>
                <w:color w:val="000000" w:themeColor="text1"/>
                <w:sz w:val="24"/>
                <w:szCs w:val="24"/>
                <w:highlight w:val="none"/>
                <w14:textFill>
                  <w14:solidFill>
                    <w14:schemeClr w14:val="tx1"/>
                  </w14:solidFill>
                </w14:textFill>
              </w:rPr>
            </w:pPr>
          </w:p>
        </w:tc>
        <w:tc>
          <w:tcPr>
            <w:tcW w:w="1934" w:type="dxa"/>
            <w:noWrap w:val="0"/>
          </w:tcPr>
          <w:p w14:paraId="4AD1E16B">
            <w:pPr>
              <w:pStyle w:val="25"/>
              <w:spacing w:line="600" w:lineRule="exact"/>
              <w:rPr>
                <w:rFonts w:hAnsi="宋体" w:cs="Courier New"/>
                <w:color w:val="000000" w:themeColor="text1"/>
                <w:sz w:val="24"/>
                <w:szCs w:val="24"/>
                <w:highlight w:val="none"/>
                <w14:textFill>
                  <w14:solidFill>
                    <w14:schemeClr w14:val="tx1"/>
                  </w14:solidFill>
                </w14:textFill>
              </w:rPr>
            </w:pPr>
          </w:p>
        </w:tc>
      </w:tr>
      <w:tr w14:paraId="051D3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noWrap w:val="0"/>
          </w:tcPr>
          <w:p w14:paraId="1152BCDE">
            <w:pPr>
              <w:pStyle w:val="25"/>
              <w:spacing w:line="600" w:lineRule="exact"/>
              <w:rPr>
                <w:rFonts w:hAnsi="宋体" w:cs="Courier New"/>
                <w:color w:val="000000" w:themeColor="text1"/>
                <w:sz w:val="24"/>
                <w:szCs w:val="24"/>
                <w:highlight w:val="none"/>
                <w14:textFill>
                  <w14:solidFill>
                    <w14:schemeClr w14:val="tx1"/>
                  </w14:solidFill>
                </w14:textFill>
              </w:rPr>
            </w:pPr>
          </w:p>
        </w:tc>
        <w:tc>
          <w:tcPr>
            <w:tcW w:w="2143" w:type="dxa"/>
            <w:noWrap w:val="0"/>
          </w:tcPr>
          <w:p w14:paraId="026AE685">
            <w:pPr>
              <w:pStyle w:val="25"/>
              <w:spacing w:line="600" w:lineRule="exact"/>
              <w:rPr>
                <w:rFonts w:hAnsi="宋体" w:cs="Courier New"/>
                <w:color w:val="000000" w:themeColor="text1"/>
                <w:sz w:val="24"/>
                <w:szCs w:val="24"/>
                <w:highlight w:val="none"/>
                <w14:textFill>
                  <w14:solidFill>
                    <w14:schemeClr w14:val="tx1"/>
                  </w14:solidFill>
                </w14:textFill>
              </w:rPr>
            </w:pPr>
          </w:p>
        </w:tc>
        <w:tc>
          <w:tcPr>
            <w:tcW w:w="1834" w:type="dxa"/>
            <w:noWrap w:val="0"/>
          </w:tcPr>
          <w:p w14:paraId="3B786E36">
            <w:pPr>
              <w:pStyle w:val="25"/>
              <w:spacing w:line="600" w:lineRule="exact"/>
              <w:rPr>
                <w:rFonts w:hAnsi="宋体" w:cs="Courier New"/>
                <w:color w:val="000000" w:themeColor="text1"/>
                <w:sz w:val="24"/>
                <w:szCs w:val="24"/>
                <w:highlight w:val="none"/>
                <w14:textFill>
                  <w14:solidFill>
                    <w14:schemeClr w14:val="tx1"/>
                  </w14:solidFill>
                </w14:textFill>
              </w:rPr>
            </w:pPr>
          </w:p>
        </w:tc>
        <w:tc>
          <w:tcPr>
            <w:tcW w:w="2181" w:type="dxa"/>
            <w:noWrap w:val="0"/>
          </w:tcPr>
          <w:p w14:paraId="58CFB295">
            <w:pPr>
              <w:pStyle w:val="25"/>
              <w:spacing w:line="600" w:lineRule="exact"/>
              <w:rPr>
                <w:rFonts w:hAnsi="宋体" w:cs="Courier New"/>
                <w:color w:val="000000" w:themeColor="text1"/>
                <w:sz w:val="24"/>
                <w:szCs w:val="24"/>
                <w:highlight w:val="none"/>
                <w14:textFill>
                  <w14:solidFill>
                    <w14:schemeClr w14:val="tx1"/>
                  </w14:solidFill>
                </w14:textFill>
              </w:rPr>
            </w:pPr>
          </w:p>
        </w:tc>
        <w:tc>
          <w:tcPr>
            <w:tcW w:w="1934" w:type="dxa"/>
            <w:noWrap w:val="0"/>
          </w:tcPr>
          <w:p w14:paraId="2B74DAE1">
            <w:pPr>
              <w:pStyle w:val="25"/>
              <w:spacing w:line="600" w:lineRule="exact"/>
              <w:rPr>
                <w:rFonts w:hAnsi="宋体" w:cs="Courier New"/>
                <w:color w:val="000000" w:themeColor="text1"/>
                <w:sz w:val="24"/>
                <w:szCs w:val="24"/>
                <w:highlight w:val="none"/>
                <w14:textFill>
                  <w14:solidFill>
                    <w14:schemeClr w14:val="tx1"/>
                  </w14:solidFill>
                </w14:textFill>
              </w:rPr>
            </w:pPr>
          </w:p>
        </w:tc>
      </w:tr>
      <w:tr w14:paraId="05079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noWrap w:val="0"/>
          </w:tcPr>
          <w:p w14:paraId="0E02C8D6">
            <w:pPr>
              <w:pStyle w:val="25"/>
              <w:spacing w:line="600" w:lineRule="exact"/>
              <w:rPr>
                <w:rFonts w:hAnsi="宋体" w:cs="Courier New"/>
                <w:color w:val="000000" w:themeColor="text1"/>
                <w:sz w:val="24"/>
                <w:szCs w:val="24"/>
                <w:highlight w:val="none"/>
                <w14:textFill>
                  <w14:solidFill>
                    <w14:schemeClr w14:val="tx1"/>
                  </w14:solidFill>
                </w14:textFill>
              </w:rPr>
            </w:pPr>
          </w:p>
        </w:tc>
        <w:tc>
          <w:tcPr>
            <w:tcW w:w="2143" w:type="dxa"/>
            <w:noWrap w:val="0"/>
          </w:tcPr>
          <w:p w14:paraId="46AF0388">
            <w:pPr>
              <w:pStyle w:val="25"/>
              <w:spacing w:line="600" w:lineRule="exact"/>
              <w:rPr>
                <w:rFonts w:hAnsi="宋体" w:cs="Courier New"/>
                <w:color w:val="000000" w:themeColor="text1"/>
                <w:sz w:val="24"/>
                <w:szCs w:val="24"/>
                <w:highlight w:val="none"/>
                <w14:textFill>
                  <w14:solidFill>
                    <w14:schemeClr w14:val="tx1"/>
                  </w14:solidFill>
                </w14:textFill>
              </w:rPr>
            </w:pPr>
          </w:p>
        </w:tc>
        <w:tc>
          <w:tcPr>
            <w:tcW w:w="1834" w:type="dxa"/>
            <w:noWrap w:val="0"/>
          </w:tcPr>
          <w:p w14:paraId="22BBDA44">
            <w:pPr>
              <w:pStyle w:val="25"/>
              <w:spacing w:line="600" w:lineRule="exact"/>
              <w:rPr>
                <w:rFonts w:hAnsi="宋体" w:cs="Courier New"/>
                <w:color w:val="000000" w:themeColor="text1"/>
                <w:sz w:val="24"/>
                <w:szCs w:val="24"/>
                <w:highlight w:val="none"/>
                <w14:textFill>
                  <w14:solidFill>
                    <w14:schemeClr w14:val="tx1"/>
                  </w14:solidFill>
                </w14:textFill>
              </w:rPr>
            </w:pPr>
          </w:p>
        </w:tc>
        <w:tc>
          <w:tcPr>
            <w:tcW w:w="2181" w:type="dxa"/>
            <w:noWrap w:val="0"/>
          </w:tcPr>
          <w:p w14:paraId="42D0A3BC">
            <w:pPr>
              <w:pStyle w:val="25"/>
              <w:spacing w:line="600" w:lineRule="exact"/>
              <w:rPr>
                <w:rFonts w:hAnsi="宋体" w:cs="Courier New"/>
                <w:color w:val="000000" w:themeColor="text1"/>
                <w:sz w:val="24"/>
                <w:szCs w:val="24"/>
                <w:highlight w:val="none"/>
                <w14:textFill>
                  <w14:solidFill>
                    <w14:schemeClr w14:val="tx1"/>
                  </w14:solidFill>
                </w14:textFill>
              </w:rPr>
            </w:pPr>
          </w:p>
        </w:tc>
        <w:tc>
          <w:tcPr>
            <w:tcW w:w="1934" w:type="dxa"/>
            <w:noWrap w:val="0"/>
          </w:tcPr>
          <w:p w14:paraId="37A3D161">
            <w:pPr>
              <w:pStyle w:val="25"/>
              <w:spacing w:line="600" w:lineRule="exact"/>
              <w:rPr>
                <w:rFonts w:hAnsi="宋体" w:cs="Courier New"/>
                <w:color w:val="000000" w:themeColor="text1"/>
                <w:sz w:val="24"/>
                <w:szCs w:val="24"/>
                <w:highlight w:val="none"/>
                <w14:textFill>
                  <w14:solidFill>
                    <w14:schemeClr w14:val="tx1"/>
                  </w14:solidFill>
                </w14:textFill>
              </w:rPr>
            </w:pPr>
          </w:p>
        </w:tc>
      </w:tr>
      <w:tr w14:paraId="10608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noWrap w:val="0"/>
          </w:tcPr>
          <w:p w14:paraId="35DFDD45">
            <w:pPr>
              <w:pStyle w:val="25"/>
              <w:spacing w:line="600" w:lineRule="exact"/>
              <w:rPr>
                <w:rFonts w:hAnsi="宋体" w:cs="Courier New"/>
                <w:color w:val="000000" w:themeColor="text1"/>
                <w:sz w:val="24"/>
                <w:szCs w:val="24"/>
                <w:highlight w:val="none"/>
                <w14:textFill>
                  <w14:solidFill>
                    <w14:schemeClr w14:val="tx1"/>
                  </w14:solidFill>
                </w14:textFill>
              </w:rPr>
            </w:pPr>
          </w:p>
        </w:tc>
        <w:tc>
          <w:tcPr>
            <w:tcW w:w="2143" w:type="dxa"/>
            <w:noWrap w:val="0"/>
          </w:tcPr>
          <w:p w14:paraId="43C77263">
            <w:pPr>
              <w:pStyle w:val="25"/>
              <w:spacing w:line="600" w:lineRule="exact"/>
              <w:rPr>
                <w:rFonts w:hAnsi="宋体" w:cs="Courier New"/>
                <w:color w:val="000000" w:themeColor="text1"/>
                <w:sz w:val="24"/>
                <w:szCs w:val="24"/>
                <w:highlight w:val="none"/>
                <w14:textFill>
                  <w14:solidFill>
                    <w14:schemeClr w14:val="tx1"/>
                  </w14:solidFill>
                </w14:textFill>
              </w:rPr>
            </w:pPr>
          </w:p>
        </w:tc>
        <w:tc>
          <w:tcPr>
            <w:tcW w:w="1834" w:type="dxa"/>
            <w:noWrap w:val="0"/>
          </w:tcPr>
          <w:p w14:paraId="7F702EDA">
            <w:pPr>
              <w:pStyle w:val="25"/>
              <w:spacing w:line="600" w:lineRule="exact"/>
              <w:rPr>
                <w:rFonts w:hAnsi="宋体" w:cs="Courier New"/>
                <w:color w:val="000000" w:themeColor="text1"/>
                <w:sz w:val="24"/>
                <w:szCs w:val="24"/>
                <w:highlight w:val="none"/>
                <w14:textFill>
                  <w14:solidFill>
                    <w14:schemeClr w14:val="tx1"/>
                  </w14:solidFill>
                </w14:textFill>
              </w:rPr>
            </w:pPr>
          </w:p>
        </w:tc>
        <w:tc>
          <w:tcPr>
            <w:tcW w:w="2181" w:type="dxa"/>
            <w:noWrap w:val="0"/>
          </w:tcPr>
          <w:p w14:paraId="0266646E">
            <w:pPr>
              <w:pStyle w:val="25"/>
              <w:spacing w:line="600" w:lineRule="exact"/>
              <w:rPr>
                <w:rFonts w:hAnsi="宋体" w:cs="Courier New"/>
                <w:color w:val="000000" w:themeColor="text1"/>
                <w:sz w:val="24"/>
                <w:szCs w:val="24"/>
                <w:highlight w:val="none"/>
                <w14:textFill>
                  <w14:solidFill>
                    <w14:schemeClr w14:val="tx1"/>
                  </w14:solidFill>
                </w14:textFill>
              </w:rPr>
            </w:pPr>
          </w:p>
        </w:tc>
        <w:tc>
          <w:tcPr>
            <w:tcW w:w="1934" w:type="dxa"/>
            <w:noWrap w:val="0"/>
          </w:tcPr>
          <w:p w14:paraId="70AD3449">
            <w:pPr>
              <w:pStyle w:val="25"/>
              <w:spacing w:line="600" w:lineRule="exact"/>
              <w:rPr>
                <w:rFonts w:hAnsi="宋体" w:cs="Courier New"/>
                <w:color w:val="000000" w:themeColor="text1"/>
                <w:sz w:val="24"/>
                <w:szCs w:val="24"/>
                <w:highlight w:val="none"/>
                <w14:textFill>
                  <w14:solidFill>
                    <w14:schemeClr w14:val="tx1"/>
                  </w14:solidFill>
                </w14:textFill>
              </w:rPr>
            </w:pPr>
          </w:p>
        </w:tc>
      </w:tr>
      <w:tr w14:paraId="01B23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noWrap w:val="0"/>
          </w:tcPr>
          <w:p w14:paraId="17B5A3B4">
            <w:pPr>
              <w:pStyle w:val="25"/>
              <w:spacing w:line="600" w:lineRule="exact"/>
              <w:rPr>
                <w:rFonts w:hAnsi="宋体" w:cs="Courier New"/>
                <w:color w:val="000000" w:themeColor="text1"/>
                <w:sz w:val="24"/>
                <w:szCs w:val="24"/>
                <w:highlight w:val="none"/>
                <w14:textFill>
                  <w14:solidFill>
                    <w14:schemeClr w14:val="tx1"/>
                  </w14:solidFill>
                </w14:textFill>
              </w:rPr>
            </w:pPr>
          </w:p>
        </w:tc>
        <w:tc>
          <w:tcPr>
            <w:tcW w:w="2143" w:type="dxa"/>
            <w:noWrap w:val="0"/>
          </w:tcPr>
          <w:p w14:paraId="62907DB0">
            <w:pPr>
              <w:pStyle w:val="25"/>
              <w:spacing w:line="600" w:lineRule="exact"/>
              <w:rPr>
                <w:rFonts w:hAnsi="宋体" w:cs="Courier New"/>
                <w:color w:val="000000" w:themeColor="text1"/>
                <w:sz w:val="24"/>
                <w:szCs w:val="24"/>
                <w:highlight w:val="none"/>
                <w14:textFill>
                  <w14:solidFill>
                    <w14:schemeClr w14:val="tx1"/>
                  </w14:solidFill>
                </w14:textFill>
              </w:rPr>
            </w:pPr>
          </w:p>
        </w:tc>
        <w:tc>
          <w:tcPr>
            <w:tcW w:w="1834" w:type="dxa"/>
            <w:noWrap w:val="0"/>
          </w:tcPr>
          <w:p w14:paraId="4FB666F9">
            <w:pPr>
              <w:pStyle w:val="25"/>
              <w:spacing w:line="600" w:lineRule="exact"/>
              <w:rPr>
                <w:rFonts w:hAnsi="宋体" w:cs="Courier New"/>
                <w:color w:val="000000" w:themeColor="text1"/>
                <w:sz w:val="24"/>
                <w:szCs w:val="24"/>
                <w:highlight w:val="none"/>
                <w14:textFill>
                  <w14:solidFill>
                    <w14:schemeClr w14:val="tx1"/>
                  </w14:solidFill>
                </w14:textFill>
              </w:rPr>
            </w:pPr>
          </w:p>
        </w:tc>
        <w:tc>
          <w:tcPr>
            <w:tcW w:w="2181" w:type="dxa"/>
            <w:noWrap w:val="0"/>
          </w:tcPr>
          <w:p w14:paraId="4F9D2FBA">
            <w:pPr>
              <w:pStyle w:val="25"/>
              <w:spacing w:line="600" w:lineRule="exact"/>
              <w:rPr>
                <w:rFonts w:hAnsi="宋体" w:cs="Courier New"/>
                <w:color w:val="000000" w:themeColor="text1"/>
                <w:sz w:val="24"/>
                <w:szCs w:val="24"/>
                <w:highlight w:val="none"/>
                <w14:textFill>
                  <w14:solidFill>
                    <w14:schemeClr w14:val="tx1"/>
                  </w14:solidFill>
                </w14:textFill>
              </w:rPr>
            </w:pPr>
          </w:p>
        </w:tc>
        <w:tc>
          <w:tcPr>
            <w:tcW w:w="1934" w:type="dxa"/>
            <w:noWrap w:val="0"/>
          </w:tcPr>
          <w:p w14:paraId="1BCF3E9B">
            <w:pPr>
              <w:pStyle w:val="25"/>
              <w:spacing w:line="600" w:lineRule="exact"/>
              <w:rPr>
                <w:rFonts w:hAnsi="宋体" w:cs="Courier New"/>
                <w:color w:val="000000" w:themeColor="text1"/>
                <w:sz w:val="24"/>
                <w:szCs w:val="24"/>
                <w:highlight w:val="none"/>
                <w14:textFill>
                  <w14:solidFill>
                    <w14:schemeClr w14:val="tx1"/>
                  </w14:solidFill>
                </w14:textFill>
              </w:rPr>
            </w:pPr>
          </w:p>
        </w:tc>
      </w:tr>
    </w:tbl>
    <w:p w14:paraId="2FF1758B">
      <w:pPr>
        <w:pStyle w:val="18"/>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注：</w:t>
      </w:r>
    </w:p>
    <w:p w14:paraId="51368772">
      <w:pPr>
        <w:pStyle w:val="20"/>
        <w:spacing w:line="360" w:lineRule="auto"/>
        <w:ind w:firstLine="0"/>
        <w:rPr>
          <w:rFonts w:hAnsi="仿宋_GB2312" w:cs="仿宋_GB2312"/>
          <w:color w:val="000000" w:themeColor="text1"/>
          <w:szCs w:val="32"/>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 说明：应对照招标文件“第二章 采购需求”中的“技术要求”逐条作明确的投标响应，并作出偏离说明。</w:t>
      </w:r>
    </w:p>
    <w:p w14:paraId="11BAFCC7">
      <w:pPr>
        <w:pStyle w:val="18"/>
        <w:spacing w:line="360" w:lineRule="auto"/>
        <w:rPr>
          <w:rFonts w:ascii="宋体" w:hAnsi="宋体"/>
          <w:b w:val="0"/>
          <w:bCs w:val="0"/>
          <w:color w:val="000000" w:themeColor="text1"/>
          <w:highlight w:val="none"/>
          <w14:textFill>
            <w14:solidFill>
              <w14:schemeClr w14:val="tx1"/>
            </w14:solidFill>
          </w14:textFill>
        </w:rPr>
      </w:pPr>
      <w:r>
        <w:rPr>
          <w:rFonts w:ascii="宋体" w:hAnsi="宋体"/>
          <w:b w:val="0"/>
          <w:bCs w:val="0"/>
          <w:color w:val="000000" w:themeColor="text1"/>
          <w:highlight w:val="none"/>
          <w14:textFill>
            <w14:solidFill>
              <w14:schemeClr w14:val="tx1"/>
            </w14:solidFill>
          </w14:textFill>
        </w:rPr>
        <w:t>2.</w:t>
      </w:r>
      <w:r>
        <w:rPr>
          <w:rFonts w:hint="eastAsia" w:ascii="宋体" w:hAnsi="宋体"/>
          <w:b w:val="0"/>
          <w:bCs w:val="0"/>
          <w:color w:val="000000" w:themeColor="text1"/>
          <w:highlight w:val="none"/>
          <w14:textFill>
            <w14:solidFill>
              <w14:schemeClr w14:val="tx1"/>
            </w14:solidFill>
          </w14:textFill>
        </w:rPr>
        <w:t>投标人根据投标货物的性能指标，对照招标文件技术要求，在“偏离说明”中注明“</w:t>
      </w:r>
      <w:r>
        <w:rPr>
          <w:rFonts w:hint="eastAsia" w:ascii="宋体" w:hAnsi="宋体"/>
          <w:color w:val="000000" w:themeColor="text1"/>
          <w:highlight w:val="none"/>
          <w14:textFill>
            <w14:solidFill>
              <w14:schemeClr w14:val="tx1"/>
            </w14:solidFill>
          </w14:textFill>
        </w:rPr>
        <w:t>正偏离</w:t>
      </w:r>
      <w:r>
        <w:rPr>
          <w:rFonts w:hint="eastAsia" w:ascii="宋体" w:hAnsi="宋体"/>
          <w:b w:val="0"/>
          <w:bCs w:val="0"/>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负偏离</w:t>
      </w:r>
      <w:r>
        <w:rPr>
          <w:rFonts w:hint="eastAsia" w:ascii="宋体" w:hAnsi="宋体"/>
          <w:b w:val="0"/>
          <w:bCs w:val="0"/>
          <w:color w:val="000000" w:themeColor="text1"/>
          <w:highlight w:val="none"/>
          <w14:textFill>
            <w14:solidFill>
              <w14:schemeClr w14:val="tx1"/>
            </w14:solidFill>
          </w14:textFill>
        </w:rPr>
        <w:t>”或者“</w:t>
      </w:r>
      <w:r>
        <w:rPr>
          <w:rFonts w:hint="eastAsia" w:ascii="宋体" w:hAnsi="宋体"/>
          <w:color w:val="000000" w:themeColor="text1"/>
          <w:highlight w:val="none"/>
          <w14:textFill>
            <w14:solidFill>
              <w14:schemeClr w14:val="tx1"/>
            </w14:solidFill>
          </w14:textFill>
        </w:rPr>
        <w:t>无偏离</w:t>
      </w:r>
      <w:r>
        <w:rPr>
          <w:rFonts w:hint="eastAsia" w:ascii="宋体" w:hAnsi="宋体"/>
          <w:b w:val="0"/>
          <w:bCs w:val="0"/>
          <w:color w:val="000000" w:themeColor="text1"/>
          <w:highlight w:val="none"/>
          <w14:textFill>
            <w14:solidFill>
              <w14:schemeClr w14:val="tx1"/>
            </w14:solidFill>
          </w14:textFill>
        </w:rPr>
        <w:t>”。既不属于“</w:t>
      </w:r>
      <w:r>
        <w:rPr>
          <w:rFonts w:hint="eastAsia" w:ascii="宋体" w:hAnsi="宋体"/>
          <w:color w:val="000000" w:themeColor="text1"/>
          <w:highlight w:val="none"/>
          <w14:textFill>
            <w14:solidFill>
              <w14:schemeClr w14:val="tx1"/>
            </w14:solidFill>
          </w14:textFill>
        </w:rPr>
        <w:t>正偏离</w:t>
      </w:r>
      <w:r>
        <w:rPr>
          <w:rFonts w:hint="eastAsia" w:ascii="宋体" w:hAnsi="宋体"/>
          <w:b w:val="0"/>
          <w:bCs w:val="0"/>
          <w:color w:val="000000" w:themeColor="text1"/>
          <w:highlight w:val="none"/>
          <w14:textFill>
            <w14:solidFill>
              <w14:schemeClr w14:val="tx1"/>
            </w14:solidFill>
          </w14:textFill>
        </w:rPr>
        <w:t>”也不属于“</w:t>
      </w:r>
      <w:r>
        <w:rPr>
          <w:rFonts w:hint="eastAsia" w:ascii="宋体" w:hAnsi="宋体"/>
          <w:color w:val="000000" w:themeColor="text1"/>
          <w:highlight w:val="none"/>
          <w14:textFill>
            <w14:solidFill>
              <w14:schemeClr w14:val="tx1"/>
            </w14:solidFill>
          </w14:textFill>
        </w:rPr>
        <w:t>负偏离</w:t>
      </w:r>
      <w:r>
        <w:rPr>
          <w:rFonts w:hint="eastAsia" w:ascii="宋体" w:hAnsi="宋体"/>
          <w:b w:val="0"/>
          <w:bCs w:val="0"/>
          <w:color w:val="000000" w:themeColor="text1"/>
          <w:highlight w:val="none"/>
          <w14:textFill>
            <w14:solidFill>
              <w14:schemeClr w14:val="tx1"/>
            </w14:solidFill>
          </w14:textFill>
        </w:rPr>
        <w:t>”即为“</w:t>
      </w:r>
      <w:r>
        <w:rPr>
          <w:rFonts w:hint="eastAsia" w:ascii="宋体" w:hAnsi="宋体"/>
          <w:color w:val="000000" w:themeColor="text1"/>
          <w:highlight w:val="none"/>
          <w14:textFill>
            <w14:solidFill>
              <w14:schemeClr w14:val="tx1"/>
            </w14:solidFill>
          </w14:textFill>
        </w:rPr>
        <w:t>无偏离</w:t>
      </w:r>
      <w:r>
        <w:rPr>
          <w:rFonts w:hint="eastAsia" w:ascii="宋体" w:hAnsi="宋体"/>
          <w:b w:val="0"/>
          <w:bCs w:val="0"/>
          <w:color w:val="000000" w:themeColor="text1"/>
          <w:highlight w:val="none"/>
          <w14:textFill>
            <w14:solidFill>
              <w14:schemeClr w14:val="tx1"/>
            </w14:solidFill>
          </w14:textFill>
        </w:rPr>
        <w:t>”。</w:t>
      </w:r>
    </w:p>
    <w:p w14:paraId="66D715D7">
      <w:pPr>
        <w:pStyle w:val="20"/>
        <w:spacing w:line="360" w:lineRule="auto"/>
        <w:ind w:firstLine="0"/>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3</w:t>
      </w:r>
      <w:r>
        <w:rPr>
          <w:rFonts w:ascii="宋体" w:hAnsi="宋体" w:eastAsia="宋体"/>
          <w:color w:val="000000" w:themeColor="text1"/>
          <w:sz w:val="24"/>
          <w:szCs w:val="24"/>
          <w:highlight w:val="none"/>
          <w14:textFill>
            <w14:solidFill>
              <w14:schemeClr w14:val="tx1"/>
            </w14:solidFill>
          </w14:textFill>
        </w:rPr>
        <w:t>.</w:t>
      </w:r>
      <w:r>
        <w:rPr>
          <w:rFonts w:hint="eastAsia" w:ascii="宋体" w:hAnsi="宋体" w:eastAsia="宋体"/>
          <w:color w:val="000000" w:themeColor="text1"/>
          <w:sz w:val="24"/>
          <w:szCs w:val="24"/>
          <w:highlight w:val="none"/>
          <w14:textFill>
            <w14:solidFill>
              <w14:schemeClr w14:val="tx1"/>
            </w14:solidFill>
          </w14:textFill>
        </w:rPr>
        <w:t xml:space="preserve"> 如技术要求偏离表中的投标响应与佐证材料不一致的，以佐证材料为准。</w:t>
      </w:r>
    </w:p>
    <w:p w14:paraId="74DE2D66">
      <w:pPr>
        <w:spacing w:before="50" w:after="50" w:line="360" w:lineRule="auto"/>
        <w:rPr>
          <w:rFonts w:ascii="宋体" w:hAnsi="宋体"/>
          <w:color w:val="000000" w:themeColor="text1"/>
          <w:sz w:val="24"/>
          <w:highlight w:val="none"/>
          <w14:textFill>
            <w14:solidFill>
              <w14:schemeClr w14:val="tx1"/>
            </w14:solidFill>
          </w14:textFill>
        </w:rPr>
      </w:pPr>
    </w:p>
    <w:p w14:paraId="316F6BF4">
      <w:pPr>
        <w:spacing w:before="50" w:after="50" w:line="360" w:lineRule="auto"/>
        <w:rPr>
          <w:rFonts w:ascii="宋体" w:hAnsi="宋体"/>
          <w:color w:val="000000" w:themeColor="text1"/>
          <w:spacing w:val="20"/>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法定代表人或者委托代理人</w:t>
      </w:r>
      <w:r>
        <w:rPr>
          <w:rFonts w:hint="eastAsia" w:ascii="宋体" w:hAnsi="宋体"/>
          <w:color w:val="000000" w:themeColor="text1"/>
          <w:spacing w:val="20"/>
          <w:sz w:val="24"/>
          <w:highlight w:val="none"/>
          <w14:textFill>
            <w14:solidFill>
              <w14:schemeClr w14:val="tx1"/>
            </w14:solidFill>
          </w14:textFill>
        </w:rPr>
        <w:t>（签字或者电子签名）：</w:t>
      </w:r>
      <w:r>
        <w:rPr>
          <w:rFonts w:hint="eastAsia" w:ascii="宋体" w:hAnsi="宋体"/>
          <w:color w:val="000000" w:themeColor="text1"/>
          <w:spacing w:val="20"/>
          <w:sz w:val="24"/>
          <w:highlight w:val="none"/>
          <w:u w:val="single"/>
          <w14:textFill>
            <w14:solidFill>
              <w14:schemeClr w14:val="tx1"/>
            </w14:solidFill>
          </w14:textFill>
        </w:rPr>
        <w:t xml:space="preserve">        </w:t>
      </w:r>
    </w:p>
    <w:p w14:paraId="01523E9D">
      <w:pPr>
        <w:spacing w:before="50" w:after="50" w:line="360" w:lineRule="auto"/>
        <w:rPr>
          <w:rFonts w:ascii="宋体" w:hAnsi="宋体"/>
          <w:color w:val="000000" w:themeColor="text1"/>
          <w:spacing w:val="20"/>
          <w:sz w:val="24"/>
          <w:highlight w:val="none"/>
          <w14:textFill>
            <w14:solidFill>
              <w14:schemeClr w14:val="tx1"/>
            </w14:solidFill>
          </w14:textFill>
        </w:rPr>
      </w:pPr>
      <w:r>
        <w:rPr>
          <w:rFonts w:hint="eastAsia" w:ascii="宋体" w:hAnsi="宋体"/>
          <w:color w:val="000000" w:themeColor="text1"/>
          <w:spacing w:val="20"/>
          <w:sz w:val="24"/>
          <w:highlight w:val="none"/>
          <w14:textFill>
            <w14:solidFill>
              <w14:schemeClr w14:val="tx1"/>
            </w14:solidFill>
          </w14:textFill>
        </w:rPr>
        <w:t>投标人名称（电子签章）：</w:t>
      </w:r>
      <w:r>
        <w:rPr>
          <w:rFonts w:hint="eastAsia" w:ascii="宋体" w:hAnsi="宋体"/>
          <w:color w:val="000000" w:themeColor="text1"/>
          <w:spacing w:val="20"/>
          <w:sz w:val="24"/>
          <w:highlight w:val="none"/>
          <w:u w:val="single"/>
          <w14:textFill>
            <w14:solidFill>
              <w14:schemeClr w14:val="tx1"/>
            </w14:solidFill>
          </w14:textFill>
        </w:rPr>
        <w:t xml:space="preserve">            </w:t>
      </w:r>
      <w:r>
        <w:rPr>
          <w:rFonts w:hint="eastAsia" w:ascii="宋体" w:hAnsi="宋体"/>
          <w:color w:val="000000" w:themeColor="text1"/>
          <w:spacing w:val="20"/>
          <w:sz w:val="24"/>
          <w:highlight w:val="none"/>
          <w14:textFill>
            <w14:solidFill>
              <w14:schemeClr w14:val="tx1"/>
            </w14:solidFill>
          </w14:textFill>
        </w:rPr>
        <w:t xml:space="preserve">              </w:t>
      </w:r>
    </w:p>
    <w:p w14:paraId="43C9576E">
      <w:pPr>
        <w:spacing w:before="50" w:after="50" w:line="360" w:lineRule="auto"/>
        <w:rPr>
          <w:rFonts w:ascii="宋体" w:hAnsi="宋体"/>
          <w:color w:val="000000" w:themeColor="text1"/>
          <w:spacing w:val="20"/>
          <w:sz w:val="24"/>
          <w:highlight w:val="none"/>
          <w:u w:val="single"/>
          <w14:textFill>
            <w14:solidFill>
              <w14:schemeClr w14:val="tx1"/>
            </w14:solidFill>
          </w14:textFill>
        </w:rPr>
      </w:pPr>
      <w:r>
        <w:rPr>
          <w:rFonts w:hint="eastAsia" w:ascii="宋体" w:hAnsi="宋体"/>
          <w:color w:val="000000" w:themeColor="text1"/>
          <w:spacing w:val="20"/>
          <w:sz w:val="24"/>
          <w:highlight w:val="none"/>
          <w14:textFill>
            <w14:solidFill>
              <w14:schemeClr w14:val="tx1"/>
            </w14:solidFill>
          </w14:textFill>
        </w:rPr>
        <w:t>日 期：</w:t>
      </w:r>
      <w:r>
        <w:rPr>
          <w:rFonts w:hint="eastAsia" w:ascii="宋体" w:hAnsi="宋体"/>
          <w:color w:val="000000" w:themeColor="text1"/>
          <w:spacing w:val="20"/>
          <w:sz w:val="24"/>
          <w:highlight w:val="none"/>
          <w:u w:val="single"/>
          <w14:textFill>
            <w14:solidFill>
              <w14:schemeClr w14:val="tx1"/>
            </w14:solidFill>
          </w14:textFill>
        </w:rPr>
        <w:t xml:space="preserve">        </w:t>
      </w:r>
    </w:p>
    <w:p w14:paraId="39EC2154">
      <w:pPr>
        <w:spacing w:before="50" w:after="50" w:line="360" w:lineRule="auto"/>
        <w:rPr>
          <w:rFonts w:ascii="宋体" w:hAnsi="宋体"/>
          <w:color w:val="000000" w:themeColor="text1"/>
          <w:sz w:val="24"/>
          <w:szCs w:val="20"/>
          <w:highlight w:val="none"/>
          <w14:textFill>
            <w14:solidFill>
              <w14:schemeClr w14:val="tx1"/>
            </w14:solidFill>
          </w14:textFill>
        </w:rPr>
      </w:pPr>
    </w:p>
    <w:p w14:paraId="5CC3EB24">
      <w:pPr>
        <w:spacing w:after="50"/>
        <w:ind w:left="142"/>
        <w:jc w:val="left"/>
        <w:rPr>
          <w:rFonts w:ascii="宋体" w:hAnsi="宋体"/>
          <w:b/>
          <w:color w:val="000000" w:themeColor="text1"/>
          <w:sz w:val="24"/>
          <w:highlight w:val="none"/>
          <w14:textFill>
            <w14:solidFill>
              <w14:schemeClr w14:val="tx1"/>
            </w14:solidFill>
          </w14:textFill>
        </w:rPr>
      </w:pPr>
      <w:r>
        <w:rPr>
          <w:rFonts w:ascii="宋体" w:hAnsi="宋体"/>
          <w:b/>
          <w:color w:val="000000" w:themeColor="text1"/>
          <w:sz w:val="24"/>
          <w:highlight w:val="none"/>
          <w14:textFill>
            <w14:solidFill>
              <w14:schemeClr w14:val="tx1"/>
            </w14:solidFill>
          </w14:textFill>
        </w:rPr>
        <w:br w:type="page" w:clear="all"/>
      </w:r>
      <w:r>
        <w:rPr>
          <w:rFonts w:hint="eastAsia" w:ascii="宋体" w:hAnsi="宋体"/>
          <w:b/>
          <w:color w:val="000000" w:themeColor="text1"/>
          <w:sz w:val="24"/>
          <w:highlight w:val="none"/>
          <w14:textFill>
            <w14:solidFill>
              <w14:schemeClr w14:val="tx1"/>
            </w14:solidFill>
          </w14:textFill>
        </w:rPr>
        <w:t>11. 项目实施人员一览表格式</w:t>
      </w:r>
    </w:p>
    <w:p w14:paraId="2FA68F9D">
      <w:pPr>
        <w:spacing w:after="50"/>
        <w:ind w:left="142"/>
        <w:jc w:val="left"/>
        <w:rPr>
          <w:rFonts w:ascii="宋体" w:hAnsi="宋体"/>
          <w:b/>
          <w:color w:val="000000" w:themeColor="text1"/>
          <w:sz w:val="24"/>
          <w:highlight w:val="none"/>
          <w14:textFill>
            <w14:solidFill>
              <w14:schemeClr w14:val="tx1"/>
            </w14:solidFill>
          </w14:textFill>
        </w:rPr>
      </w:pPr>
    </w:p>
    <w:p w14:paraId="112CBF25">
      <w:pPr>
        <w:spacing w:after="50"/>
        <w:ind w:left="142"/>
        <w:jc w:val="center"/>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项目实施人员一览表</w:t>
      </w:r>
    </w:p>
    <w:p w14:paraId="5028C40B">
      <w:pPr>
        <w:pStyle w:val="25"/>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所投分标：</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分标</w:t>
      </w:r>
    </w:p>
    <w:tbl>
      <w:tblPr>
        <w:tblStyle w:val="5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709"/>
        <w:gridCol w:w="1701"/>
        <w:gridCol w:w="1420"/>
        <w:gridCol w:w="1698"/>
        <w:gridCol w:w="1843"/>
      </w:tblGrid>
      <w:tr w14:paraId="5CFC6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426AFF9C">
            <w:pPr>
              <w:spacing w:before="50"/>
              <w:jc w:val="center"/>
              <w:rPr>
                <w:rFonts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姓名</w:t>
            </w:r>
          </w:p>
        </w:tc>
        <w:tc>
          <w:tcPr>
            <w:tcW w:w="709" w:type="dxa"/>
            <w:noWrap w:val="0"/>
            <w:vAlign w:val="center"/>
          </w:tcPr>
          <w:p w14:paraId="017E42F9">
            <w:pPr>
              <w:spacing w:before="50"/>
              <w:jc w:val="center"/>
              <w:rPr>
                <w:rFonts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职务</w:t>
            </w:r>
          </w:p>
        </w:tc>
        <w:tc>
          <w:tcPr>
            <w:tcW w:w="1701" w:type="dxa"/>
            <w:noWrap w:val="0"/>
            <w:vAlign w:val="center"/>
          </w:tcPr>
          <w:p w14:paraId="74D9FAF6">
            <w:pPr>
              <w:spacing w:before="50"/>
              <w:jc w:val="center"/>
              <w:rPr>
                <w:rFonts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专业技术资格（职称）或者职业资格或者执业资格证或者其他证书</w:t>
            </w:r>
          </w:p>
        </w:tc>
        <w:tc>
          <w:tcPr>
            <w:tcW w:w="1420" w:type="dxa"/>
            <w:noWrap w:val="0"/>
            <w:vAlign w:val="center"/>
          </w:tcPr>
          <w:p w14:paraId="337FA701">
            <w:pPr>
              <w:spacing w:before="50"/>
              <w:jc w:val="center"/>
              <w:rPr>
                <w:rFonts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证书编号</w:t>
            </w:r>
          </w:p>
        </w:tc>
        <w:tc>
          <w:tcPr>
            <w:tcW w:w="1698" w:type="dxa"/>
            <w:noWrap w:val="0"/>
            <w:vAlign w:val="center"/>
          </w:tcPr>
          <w:p w14:paraId="39CD6804">
            <w:pPr>
              <w:spacing w:before="50"/>
              <w:jc w:val="center"/>
              <w:rPr>
                <w:rFonts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参加本单位</w:t>
            </w:r>
          </w:p>
          <w:p w14:paraId="334C80D9">
            <w:pPr>
              <w:spacing w:before="50"/>
              <w:jc w:val="center"/>
              <w:rPr>
                <w:rFonts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工作时间</w:t>
            </w:r>
          </w:p>
        </w:tc>
        <w:tc>
          <w:tcPr>
            <w:tcW w:w="1843" w:type="dxa"/>
            <w:noWrap w:val="0"/>
            <w:vAlign w:val="center"/>
          </w:tcPr>
          <w:p w14:paraId="1E9C32BE">
            <w:pPr>
              <w:spacing w:before="50"/>
              <w:jc w:val="center"/>
              <w:rPr>
                <w:rFonts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劳动合同编号</w:t>
            </w:r>
          </w:p>
        </w:tc>
      </w:tr>
      <w:tr w14:paraId="2A7DD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34894CEE">
            <w:pPr>
              <w:spacing w:before="50"/>
              <w:jc w:val="center"/>
              <w:rPr>
                <w:rFonts w:ascii="宋体" w:hAnsi="宋体"/>
                <w:color w:val="000000" w:themeColor="text1"/>
                <w:sz w:val="24"/>
                <w:szCs w:val="20"/>
                <w:highlight w:val="none"/>
                <w14:textFill>
                  <w14:solidFill>
                    <w14:schemeClr w14:val="tx1"/>
                  </w14:solidFill>
                </w14:textFill>
              </w:rPr>
            </w:pPr>
          </w:p>
        </w:tc>
        <w:tc>
          <w:tcPr>
            <w:tcW w:w="709" w:type="dxa"/>
            <w:noWrap w:val="0"/>
            <w:vAlign w:val="center"/>
          </w:tcPr>
          <w:p w14:paraId="22D17755">
            <w:pPr>
              <w:spacing w:before="50"/>
              <w:jc w:val="center"/>
              <w:rPr>
                <w:rFonts w:ascii="宋体" w:hAnsi="宋体"/>
                <w:color w:val="000000" w:themeColor="text1"/>
                <w:sz w:val="24"/>
                <w:szCs w:val="20"/>
                <w:highlight w:val="none"/>
                <w14:textFill>
                  <w14:solidFill>
                    <w14:schemeClr w14:val="tx1"/>
                  </w14:solidFill>
                </w14:textFill>
              </w:rPr>
            </w:pPr>
          </w:p>
        </w:tc>
        <w:tc>
          <w:tcPr>
            <w:tcW w:w="1701" w:type="dxa"/>
            <w:noWrap w:val="0"/>
            <w:vAlign w:val="center"/>
          </w:tcPr>
          <w:p w14:paraId="2DB001C9">
            <w:pPr>
              <w:spacing w:before="50"/>
              <w:jc w:val="center"/>
              <w:rPr>
                <w:rFonts w:ascii="宋体" w:hAnsi="宋体"/>
                <w:color w:val="000000" w:themeColor="text1"/>
                <w:sz w:val="24"/>
                <w:szCs w:val="20"/>
                <w:highlight w:val="none"/>
                <w14:textFill>
                  <w14:solidFill>
                    <w14:schemeClr w14:val="tx1"/>
                  </w14:solidFill>
                </w14:textFill>
              </w:rPr>
            </w:pPr>
          </w:p>
        </w:tc>
        <w:tc>
          <w:tcPr>
            <w:tcW w:w="1420" w:type="dxa"/>
            <w:noWrap w:val="0"/>
            <w:vAlign w:val="center"/>
          </w:tcPr>
          <w:p w14:paraId="69570D6C">
            <w:pPr>
              <w:spacing w:before="50"/>
              <w:jc w:val="center"/>
              <w:rPr>
                <w:rFonts w:ascii="宋体" w:hAnsi="宋体"/>
                <w:color w:val="000000" w:themeColor="text1"/>
                <w:sz w:val="24"/>
                <w:szCs w:val="20"/>
                <w:highlight w:val="none"/>
                <w14:textFill>
                  <w14:solidFill>
                    <w14:schemeClr w14:val="tx1"/>
                  </w14:solidFill>
                </w14:textFill>
              </w:rPr>
            </w:pPr>
          </w:p>
        </w:tc>
        <w:tc>
          <w:tcPr>
            <w:tcW w:w="1698" w:type="dxa"/>
            <w:noWrap w:val="0"/>
            <w:vAlign w:val="center"/>
          </w:tcPr>
          <w:p w14:paraId="651CB1C5">
            <w:pPr>
              <w:spacing w:before="50"/>
              <w:jc w:val="center"/>
              <w:rPr>
                <w:rFonts w:ascii="宋体" w:hAnsi="宋体"/>
                <w:color w:val="000000" w:themeColor="text1"/>
                <w:sz w:val="24"/>
                <w:szCs w:val="20"/>
                <w:highlight w:val="none"/>
                <w14:textFill>
                  <w14:solidFill>
                    <w14:schemeClr w14:val="tx1"/>
                  </w14:solidFill>
                </w14:textFill>
              </w:rPr>
            </w:pPr>
          </w:p>
        </w:tc>
        <w:tc>
          <w:tcPr>
            <w:tcW w:w="1843" w:type="dxa"/>
            <w:noWrap w:val="0"/>
            <w:vAlign w:val="center"/>
          </w:tcPr>
          <w:p w14:paraId="419F022F">
            <w:pPr>
              <w:spacing w:before="50"/>
              <w:jc w:val="center"/>
              <w:rPr>
                <w:rFonts w:ascii="宋体" w:hAnsi="宋体"/>
                <w:color w:val="000000" w:themeColor="text1"/>
                <w:sz w:val="24"/>
                <w:szCs w:val="20"/>
                <w:highlight w:val="none"/>
                <w14:textFill>
                  <w14:solidFill>
                    <w14:schemeClr w14:val="tx1"/>
                  </w14:solidFill>
                </w14:textFill>
              </w:rPr>
            </w:pPr>
          </w:p>
        </w:tc>
      </w:tr>
      <w:tr w14:paraId="72027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15B7B135">
            <w:pPr>
              <w:spacing w:before="50"/>
              <w:jc w:val="center"/>
              <w:rPr>
                <w:rFonts w:ascii="宋体" w:hAnsi="宋体"/>
                <w:color w:val="000000" w:themeColor="text1"/>
                <w:sz w:val="24"/>
                <w:szCs w:val="20"/>
                <w:highlight w:val="none"/>
                <w14:textFill>
                  <w14:solidFill>
                    <w14:schemeClr w14:val="tx1"/>
                  </w14:solidFill>
                </w14:textFill>
              </w:rPr>
            </w:pPr>
          </w:p>
        </w:tc>
        <w:tc>
          <w:tcPr>
            <w:tcW w:w="709" w:type="dxa"/>
            <w:noWrap w:val="0"/>
            <w:vAlign w:val="center"/>
          </w:tcPr>
          <w:p w14:paraId="5BA00FF7">
            <w:pPr>
              <w:spacing w:before="50"/>
              <w:jc w:val="center"/>
              <w:rPr>
                <w:rFonts w:ascii="宋体" w:hAnsi="宋体"/>
                <w:color w:val="000000" w:themeColor="text1"/>
                <w:sz w:val="24"/>
                <w:szCs w:val="20"/>
                <w:highlight w:val="none"/>
                <w14:textFill>
                  <w14:solidFill>
                    <w14:schemeClr w14:val="tx1"/>
                  </w14:solidFill>
                </w14:textFill>
              </w:rPr>
            </w:pPr>
          </w:p>
        </w:tc>
        <w:tc>
          <w:tcPr>
            <w:tcW w:w="1701" w:type="dxa"/>
            <w:noWrap w:val="0"/>
            <w:vAlign w:val="center"/>
          </w:tcPr>
          <w:p w14:paraId="702A6251">
            <w:pPr>
              <w:spacing w:before="50"/>
              <w:jc w:val="center"/>
              <w:rPr>
                <w:rFonts w:ascii="宋体" w:hAnsi="宋体"/>
                <w:color w:val="000000" w:themeColor="text1"/>
                <w:sz w:val="24"/>
                <w:szCs w:val="20"/>
                <w:highlight w:val="none"/>
                <w14:textFill>
                  <w14:solidFill>
                    <w14:schemeClr w14:val="tx1"/>
                  </w14:solidFill>
                </w14:textFill>
              </w:rPr>
            </w:pPr>
          </w:p>
        </w:tc>
        <w:tc>
          <w:tcPr>
            <w:tcW w:w="1420" w:type="dxa"/>
            <w:noWrap w:val="0"/>
            <w:vAlign w:val="center"/>
          </w:tcPr>
          <w:p w14:paraId="35EB1ED6">
            <w:pPr>
              <w:spacing w:before="50"/>
              <w:jc w:val="center"/>
              <w:rPr>
                <w:rFonts w:ascii="宋体" w:hAnsi="宋体"/>
                <w:color w:val="000000" w:themeColor="text1"/>
                <w:sz w:val="24"/>
                <w:szCs w:val="20"/>
                <w:highlight w:val="none"/>
                <w14:textFill>
                  <w14:solidFill>
                    <w14:schemeClr w14:val="tx1"/>
                  </w14:solidFill>
                </w14:textFill>
              </w:rPr>
            </w:pPr>
          </w:p>
        </w:tc>
        <w:tc>
          <w:tcPr>
            <w:tcW w:w="1698" w:type="dxa"/>
            <w:noWrap w:val="0"/>
            <w:vAlign w:val="center"/>
          </w:tcPr>
          <w:p w14:paraId="452C83AF">
            <w:pPr>
              <w:spacing w:before="50"/>
              <w:jc w:val="center"/>
              <w:rPr>
                <w:rFonts w:ascii="宋体" w:hAnsi="宋体"/>
                <w:color w:val="000000" w:themeColor="text1"/>
                <w:sz w:val="24"/>
                <w:szCs w:val="20"/>
                <w:highlight w:val="none"/>
                <w14:textFill>
                  <w14:solidFill>
                    <w14:schemeClr w14:val="tx1"/>
                  </w14:solidFill>
                </w14:textFill>
              </w:rPr>
            </w:pPr>
          </w:p>
        </w:tc>
        <w:tc>
          <w:tcPr>
            <w:tcW w:w="1843" w:type="dxa"/>
            <w:noWrap w:val="0"/>
            <w:vAlign w:val="center"/>
          </w:tcPr>
          <w:p w14:paraId="2FBC02CE">
            <w:pPr>
              <w:spacing w:before="50"/>
              <w:jc w:val="center"/>
              <w:rPr>
                <w:rFonts w:ascii="宋体" w:hAnsi="宋体"/>
                <w:color w:val="000000" w:themeColor="text1"/>
                <w:sz w:val="24"/>
                <w:szCs w:val="20"/>
                <w:highlight w:val="none"/>
                <w14:textFill>
                  <w14:solidFill>
                    <w14:schemeClr w14:val="tx1"/>
                  </w14:solidFill>
                </w14:textFill>
              </w:rPr>
            </w:pPr>
          </w:p>
        </w:tc>
      </w:tr>
      <w:tr w14:paraId="0912C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3CC69E7F">
            <w:pPr>
              <w:spacing w:before="50"/>
              <w:jc w:val="center"/>
              <w:rPr>
                <w:rFonts w:ascii="宋体" w:hAnsi="宋体"/>
                <w:color w:val="000000" w:themeColor="text1"/>
                <w:sz w:val="24"/>
                <w:szCs w:val="20"/>
                <w:highlight w:val="none"/>
                <w14:textFill>
                  <w14:solidFill>
                    <w14:schemeClr w14:val="tx1"/>
                  </w14:solidFill>
                </w14:textFill>
              </w:rPr>
            </w:pPr>
          </w:p>
        </w:tc>
        <w:tc>
          <w:tcPr>
            <w:tcW w:w="709" w:type="dxa"/>
            <w:noWrap w:val="0"/>
            <w:vAlign w:val="center"/>
          </w:tcPr>
          <w:p w14:paraId="467801EB">
            <w:pPr>
              <w:spacing w:before="50"/>
              <w:jc w:val="center"/>
              <w:rPr>
                <w:rFonts w:ascii="宋体" w:hAnsi="宋体"/>
                <w:color w:val="000000" w:themeColor="text1"/>
                <w:sz w:val="24"/>
                <w:szCs w:val="20"/>
                <w:highlight w:val="none"/>
                <w14:textFill>
                  <w14:solidFill>
                    <w14:schemeClr w14:val="tx1"/>
                  </w14:solidFill>
                </w14:textFill>
              </w:rPr>
            </w:pPr>
          </w:p>
        </w:tc>
        <w:tc>
          <w:tcPr>
            <w:tcW w:w="1701" w:type="dxa"/>
            <w:noWrap w:val="0"/>
            <w:vAlign w:val="center"/>
          </w:tcPr>
          <w:p w14:paraId="7A3BCDE5">
            <w:pPr>
              <w:spacing w:before="50"/>
              <w:jc w:val="center"/>
              <w:rPr>
                <w:rFonts w:ascii="宋体" w:hAnsi="宋体"/>
                <w:color w:val="000000" w:themeColor="text1"/>
                <w:sz w:val="24"/>
                <w:szCs w:val="20"/>
                <w:highlight w:val="none"/>
                <w14:textFill>
                  <w14:solidFill>
                    <w14:schemeClr w14:val="tx1"/>
                  </w14:solidFill>
                </w14:textFill>
              </w:rPr>
            </w:pPr>
          </w:p>
        </w:tc>
        <w:tc>
          <w:tcPr>
            <w:tcW w:w="1420" w:type="dxa"/>
            <w:noWrap w:val="0"/>
            <w:vAlign w:val="center"/>
          </w:tcPr>
          <w:p w14:paraId="64F2B7F9">
            <w:pPr>
              <w:spacing w:before="50"/>
              <w:jc w:val="center"/>
              <w:rPr>
                <w:rFonts w:ascii="宋体" w:hAnsi="宋体"/>
                <w:color w:val="000000" w:themeColor="text1"/>
                <w:sz w:val="24"/>
                <w:szCs w:val="20"/>
                <w:highlight w:val="none"/>
                <w14:textFill>
                  <w14:solidFill>
                    <w14:schemeClr w14:val="tx1"/>
                  </w14:solidFill>
                </w14:textFill>
              </w:rPr>
            </w:pPr>
          </w:p>
        </w:tc>
        <w:tc>
          <w:tcPr>
            <w:tcW w:w="1698" w:type="dxa"/>
            <w:noWrap w:val="0"/>
            <w:vAlign w:val="center"/>
          </w:tcPr>
          <w:p w14:paraId="54071B75">
            <w:pPr>
              <w:spacing w:before="50"/>
              <w:jc w:val="center"/>
              <w:rPr>
                <w:rFonts w:ascii="宋体" w:hAnsi="宋体"/>
                <w:color w:val="000000" w:themeColor="text1"/>
                <w:sz w:val="24"/>
                <w:szCs w:val="20"/>
                <w:highlight w:val="none"/>
                <w14:textFill>
                  <w14:solidFill>
                    <w14:schemeClr w14:val="tx1"/>
                  </w14:solidFill>
                </w14:textFill>
              </w:rPr>
            </w:pPr>
          </w:p>
        </w:tc>
        <w:tc>
          <w:tcPr>
            <w:tcW w:w="1843" w:type="dxa"/>
            <w:noWrap w:val="0"/>
            <w:vAlign w:val="center"/>
          </w:tcPr>
          <w:p w14:paraId="59A3C42C">
            <w:pPr>
              <w:spacing w:before="50"/>
              <w:jc w:val="center"/>
              <w:rPr>
                <w:rFonts w:ascii="宋体" w:hAnsi="宋体"/>
                <w:color w:val="000000" w:themeColor="text1"/>
                <w:sz w:val="24"/>
                <w:szCs w:val="20"/>
                <w:highlight w:val="none"/>
                <w14:textFill>
                  <w14:solidFill>
                    <w14:schemeClr w14:val="tx1"/>
                  </w14:solidFill>
                </w14:textFill>
              </w:rPr>
            </w:pPr>
          </w:p>
        </w:tc>
      </w:tr>
    </w:tbl>
    <w:p w14:paraId="4A828629">
      <w:pPr>
        <w:spacing w:before="50"/>
        <w:jc w:val="left"/>
        <w:rPr>
          <w:rFonts w:ascii="宋体" w:hAnsi="宋体"/>
          <w:color w:val="000000" w:themeColor="text1"/>
          <w:sz w:val="24"/>
          <w:szCs w:val="20"/>
          <w:highlight w:val="none"/>
          <w14:textFill>
            <w14:solidFill>
              <w14:schemeClr w14:val="tx1"/>
            </w14:solidFill>
          </w14:textFill>
        </w:rPr>
      </w:pPr>
    </w:p>
    <w:p w14:paraId="38A9CB03">
      <w:pPr>
        <w:spacing w:line="360" w:lineRule="auto"/>
        <w:contextualSpacing/>
        <w:jc w:val="left"/>
        <w:rPr>
          <w:rFonts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注：</w:t>
      </w:r>
    </w:p>
    <w:p w14:paraId="3C258BEC">
      <w:pPr>
        <w:spacing w:line="360" w:lineRule="auto"/>
        <w:contextualSpacing/>
        <w:jc w:val="left"/>
        <w:rPr>
          <w:rFonts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1</w:t>
      </w:r>
      <w:r>
        <w:rPr>
          <w:rFonts w:ascii="宋体" w:hAnsi="宋体"/>
          <w:color w:val="000000" w:themeColor="text1"/>
          <w:sz w:val="24"/>
          <w:szCs w:val="20"/>
          <w:highlight w:val="none"/>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在填写时，如本表格不适合投标单位的实际情况，可根据本表格式自行制表填写。</w:t>
      </w:r>
    </w:p>
    <w:p w14:paraId="417BCF16">
      <w:pPr>
        <w:spacing w:line="360" w:lineRule="auto"/>
        <w:contextualSpacing/>
        <w:jc w:val="left"/>
        <w:rPr>
          <w:rFonts w:ascii="宋体" w:hAnsi="宋体"/>
          <w:color w:val="000000" w:themeColor="text1"/>
          <w:sz w:val="24"/>
          <w:szCs w:val="20"/>
          <w:highlight w:val="none"/>
          <w14:textFill>
            <w14:solidFill>
              <w14:schemeClr w14:val="tx1"/>
            </w14:solidFill>
          </w14:textFill>
        </w:rPr>
      </w:pPr>
      <w:r>
        <w:rPr>
          <w:rFonts w:ascii="宋体" w:hAnsi="宋体"/>
          <w:color w:val="000000" w:themeColor="text1"/>
          <w:sz w:val="24"/>
          <w:szCs w:val="20"/>
          <w:highlight w:val="none"/>
          <w14:textFill>
            <w14:solidFill>
              <w14:schemeClr w14:val="tx1"/>
            </w14:solidFill>
          </w14:textFill>
        </w:rPr>
        <w:t>2.</w:t>
      </w:r>
      <w:r>
        <w:rPr>
          <w:rFonts w:hint="eastAsia" w:ascii="宋体" w:hAnsi="宋体"/>
          <w:color w:val="000000" w:themeColor="text1"/>
          <w:sz w:val="24"/>
          <w:szCs w:val="20"/>
          <w:highlight w:val="none"/>
          <w14:textFill>
            <w14:solidFill>
              <w14:schemeClr w14:val="tx1"/>
            </w14:solidFill>
          </w14:textFill>
        </w:rPr>
        <w:t>投标人应当附本表所列证书的复印件并加盖投标人电子签章。</w:t>
      </w:r>
    </w:p>
    <w:p w14:paraId="2C62EE26">
      <w:pPr>
        <w:spacing w:line="360" w:lineRule="auto"/>
        <w:contextualSpacing/>
        <w:jc w:val="left"/>
        <w:rPr>
          <w:rFonts w:ascii="宋体" w:hAnsi="宋体"/>
          <w:color w:val="000000" w:themeColor="text1"/>
          <w:sz w:val="24"/>
          <w:szCs w:val="20"/>
          <w:highlight w:val="none"/>
          <w14:textFill>
            <w14:solidFill>
              <w14:schemeClr w14:val="tx1"/>
            </w14:solidFill>
          </w14:textFill>
        </w:rPr>
      </w:pPr>
    </w:p>
    <w:p w14:paraId="77125BC5">
      <w:pPr>
        <w:spacing w:line="360" w:lineRule="auto"/>
        <w:contextualSpacing/>
        <w:jc w:val="left"/>
        <w:rPr>
          <w:rFonts w:ascii="宋体" w:hAnsi="宋体"/>
          <w:color w:val="000000" w:themeColor="text1"/>
          <w:sz w:val="24"/>
          <w:szCs w:val="20"/>
          <w:highlight w:val="none"/>
          <w14:textFill>
            <w14:solidFill>
              <w14:schemeClr w14:val="tx1"/>
            </w14:solidFill>
          </w14:textFill>
        </w:rPr>
      </w:pPr>
    </w:p>
    <w:p w14:paraId="18D0D9A6">
      <w:pPr>
        <w:spacing w:line="360" w:lineRule="auto"/>
        <w:contextualSpacing/>
        <w:rPr>
          <w:rFonts w:ascii="宋体" w:hAnsi="宋体"/>
          <w:color w:val="000000" w:themeColor="text1"/>
          <w:spacing w:val="20"/>
          <w:sz w:val="24"/>
          <w:szCs w:val="20"/>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法定代表人或者委托代理人</w:t>
      </w:r>
      <w:r>
        <w:rPr>
          <w:rFonts w:hint="eastAsia" w:ascii="宋体" w:hAnsi="宋体"/>
          <w:color w:val="000000" w:themeColor="text1"/>
          <w:spacing w:val="20"/>
          <w:sz w:val="24"/>
          <w:highlight w:val="none"/>
          <w14:textFill>
            <w14:solidFill>
              <w14:schemeClr w14:val="tx1"/>
            </w14:solidFill>
          </w14:textFill>
        </w:rPr>
        <w:t>（签字或者电子签名）：</w:t>
      </w:r>
      <w:r>
        <w:rPr>
          <w:rFonts w:hint="eastAsia" w:ascii="宋体" w:hAnsi="宋体"/>
          <w:color w:val="000000" w:themeColor="text1"/>
          <w:spacing w:val="20"/>
          <w:sz w:val="24"/>
          <w:highlight w:val="none"/>
          <w:u w:val="single"/>
          <w14:textFill>
            <w14:solidFill>
              <w14:schemeClr w14:val="tx1"/>
            </w14:solidFill>
          </w14:textFill>
        </w:rPr>
        <w:t xml:space="preserve">        </w:t>
      </w:r>
    </w:p>
    <w:p w14:paraId="7AF8FC54">
      <w:pPr>
        <w:spacing w:line="360" w:lineRule="auto"/>
        <w:contextualSpacing/>
        <w:jc w:val="left"/>
        <w:rPr>
          <w:rFonts w:ascii="宋体" w:hAnsi="宋体"/>
          <w:color w:val="000000" w:themeColor="text1"/>
          <w:spacing w:val="20"/>
          <w:sz w:val="24"/>
          <w:highlight w:val="none"/>
          <w14:textFill>
            <w14:solidFill>
              <w14:schemeClr w14:val="tx1"/>
            </w14:solidFill>
          </w14:textFill>
        </w:rPr>
      </w:pPr>
      <w:r>
        <w:rPr>
          <w:rFonts w:hint="eastAsia" w:ascii="宋体" w:hAnsi="宋体"/>
          <w:color w:val="000000" w:themeColor="text1"/>
          <w:spacing w:val="20"/>
          <w:sz w:val="24"/>
          <w:highlight w:val="none"/>
          <w14:textFill>
            <w14:solidFill>
              <w14:schemeClr w14:val="tx1"/>
            </w14:solidFill>
          </w14:textFill>
        </w:rPr>
        <w:t>投标人名称（电子签章）：</w:t>
      </w:r>
      <w:r>
        <w:rPr>
          <w:rFonts w:hint="eastAsia" w:ascii="宋体" w:hAnsi="宋体"/>
          <w:color w:val="000000" w:themeColor="text1"/>
          <w:spacing w:val="20"/>
          <w:sz w:val="24"/>
          <w:highlight w:val="none"/>
          <w:u w:val="single"/>
          <w14:textFill>
            <w14:solidFill>
              <w14:schemeClr w14:val="tx1"/>
            </w14:solidFill>
          </w14:textFill>
        </w:rPr>
        <w:t xml:space="preserve">            </w:t>
      </w:r>
      <w:r>
        <w:rPr>
          <w:rFonts w:hint="eastAsia" w:ascii="宋体" w:hAnsi="宋体"/>
          <w:color w:val="000000" w:themeColor="text1"/>
          <w:spacing w:val="20"/>
          <w:sz w:val="24"/>
          <w:highlight w:val="none"/>
          <w14:textFill>
            <w14:solidFill>
              <w14:schemeClr w14:val="tx1"/>
            </w14:solidFill>
          </w14:textFill>
        </w:rPr>
        <w:t xml:space="preserve">              </w:t>
      </w:r>
    </w:p>
    <w:p w14:paraId="6CC191E3">
      <w:pPr>
        <w:spacing w:line="360" w:lineRule="auto"/>
        <w:contextualSpacing/>
        <w:jc w:val="left"/>
        <w:rPr>
          <w:rFonts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pacing w:val="20"/>
          <w:sz w:val="24"/>
          <w:highlight w:val="none"/>
          <w14:textFill>
            <w14:solidFill>
              <w14:schemeClr w14:val="tx1"/>
            </w14:solidFill>
          </w14:textFill>
        </w:rPr>
        <w:t>日 期：</w:t>
      </w:r>
      <w:r>
        <w:rPr>
          <w:rFonts w:hint="eastAsia" w:ascii="宋体" w:hAnsi="宋体"/>
          <w:color w:val="000000" w:themeColor="text1"/>
          <w:spacing w:val="20"/>
          <w:sz w:val="24"/>
          <w:highlight w:val="none"/>
          <w:u w:val="single"/>
          <w14:textFill>
            <w14:solidFill>
              <w14:schemeClr w14:val="tx1"/>
            </w14:solidFill>
          </w14:textFill>
        </w:rPr>
        <w:t xml:space="preserve">         </w:t>
      </w:r>
    </w:p>
    <w:p w14:paraId="79D73628">
      <w:pPr>
        <w:spacing w:before="50"/>
        <w:jc w:val="left"/>
        <w:rPr>
          <w:rFonts w:ascii="宋体" w:hAnsi="宋体"/>
          <w:color w:val="000000" w:themeColor="text1"/>
          <w:sz w:val="24"/>
          <w:szCs w:val="20"/>
          <w:highlight w:val="none"/>
          <w14:textFill>
            <w14:solidFill>
              <w14:schemeClr w14:val="tx1"/>
            </w14:solidFill>
          </w14:textFill>
        </w:rPr>
      </w:pPr>
    </w:p>
    <w:p w14:paraId="0E52C887">
      <w:pPr>
        <w:spacing w:line="360" w:lineRule="auto"/>
        <w:contextualSpacing/>
        <w:jc w:val="left"/>
        <w:rPr>
          <w:rFonts w:ascii="宋体" w:hAnsi="宋体"/>
          <w:color w:val="000000" w:themeColor="text1"/>
          <w:sz w:val="24"/>
          <w:szCs w:val="20"/>
          <w:highlight w:val="none"/>
          <w14:textFill>
            <w14:solidFill>
              <w14:schemeClr w14:val="tx1"/>
            </w14:solidFill>
          </w14:textFill>
        </w:rPr>
      </w:pPr>
      <w:r>
        <w:rPr>
          <w:rFonts w:ascii="宋体" w:hAnsi="宋体"/>
          <w:b/>
          <w:color w:val="000000" w:themeColor="text1"/>
          <w:sz w:val="24"/>
          <w:highlight w:val="none"/>
          <w14:textFill>
            <w14:solidFill>
              <w14:schemeClr w14:val="tx1"/>
            </w14:solidFill>
          </w14:textFill>
        </w:rPr>
        <w:br w:type="page" w:clear="all"/>
      </w:r>
    </w:p>
    <w:p w14:paraId="4E9EBFAD">
      <w:pPr>
        <w:spacing w:before="50"/>
        <w:jc w:val="left"/>
        <w:rPr>
          <w:rFonts w:ascii="宋体" w:hAnsi="宋体"/>
          <w:color w:val="000000" w:themeColor="text1"/>
          <w:sz w:val="24"/>
          <w:szCs w:val="20"/>
          <w:highlight w:val="none"/>
          <w14:textFill>
            <w14:solidFill>
              <w14:schemeClr w14:val="tx1"/>
            </w14:solidFill>
          </w14:textFill>
        </w:rPr>
      </w:pPr>
    </w:p>
    <w:p w14:paraId="11F697B6">
      <w:pPr>
        <w:rPr>
          <w:b/>
          <w:color w:val="000000" w:themeColor="text1"/>
          <w:sz w:val="28"/>
          <w:szCs w:val="28"/>
          <w:highlight w:val="none"/>
          <w14:textFill>
            <w14:solidFill>
              <w14:schemeClr w14:val="tx1"/>
            </w14:solidFill>
          </w14:textFill>
        </w:rPr>
      </w:pPr>
      <w:r>
        <w:rPr>
          <w:rFonts w:hint="eastAsia"/>
          <w:b/>
          <w:color w:val="000000" w:themeColor="text1"/>
          <w:sz w:val="28"/>
          <w:szCs w:val="28"/>
          <w:highlight w:val="none"/>
          <w14:textFill>
            <w14:solidFill>
              <w14:schemeClr w14:val="tx1"/>
            </w14:solidFill>
          </w14:textFill>
        </w:rPr>
        <w:t>四、其他文书、文件格式</w:t>
      </w:r>
    </w:p>
    <w:p w14:paraId="49686549">
      <w:pPr>
        <w:spacing w:after="50"/>
        <w:jc w:val="left"/>
        <w:rPr>
          <w:color w:val="000000" w:themeColor="text1"/>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1.中小企业声明函格式</w:t>
      </w:r>
    </w:p>
    <w:p w14:paraId="74469FC2">
      <w:pPr>
        <w:rPr>
          <w:color w:val="000000" w:themeColor="text1"/>
          <w:highlight w:val="none"/>
          <w14:textFill>
            <w14:solidFill>
              <w14:schemeClr w14:val="tx1"/>
            </w14:solidFill>
          </w14:textFill>
        </w:rPr>
      </w:pPr>
    </w:p>
    <w:p w14:paraId="0DD1DFA2">
      <w:pPr>
        <w:jc w:val="center"/>
        <w:rPr>
          <w:rFonts w:ascii="方正小标宋简体" w:hAnsi="方正小标宋简体" w:eastAsia="方正小标宋简体" w:cs="方正小标宋简体"/>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t>中小企业声明函（货物）</w:t>
      </w:r>
    </w:p>
    <w:p w14:paraId="7C7BCAB5">
      <w:pPr>
        <w:spacing w:before="2" w:line="500" w:lineRule="exact"/>
        <w:rPr>
          <w:rFonts w:ascii="宋体" w:hAnsi="宋体" w:cs="宋体"/>
          <w:b/>
          <w:bCs/>
          <w:color w:val="000000" w:themeColor="text1"/>
          <w:sz w:val="27"/>
          <w:szCs w:val="27"/>
          <w:highlight w:val="none"/>
          <w14:textFill>
            <w14:solidFill>
              <w14:schemeClr w14:val="tx1"/>
            </w14:solidFill>
          </w14:textFill>
        </w:rPr>
      </w:pPr>
    </w:p>
    <w:p w14:paraId="184438A9">
      <w:pPr>
        <w:pStyle w:val="19"/>
        <w:spacing w:line="360" w:lineRule="auto"/>
        <w:ind w:left="-426" w:right="142" w:firstLine="480"/>
        <w:contextualSpacing/>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本公司（联合体）郑重声明，根据《政府采购促进中小企业发展管理办法》（财库﹝2020﹞46号）的规定，本公司（联合体）参加</w:t>
      </w:r>
      <w:r>
        <w:rPr>
          <w:rFonts w:ascii="宋体" w:hAnsi="宋体"/>
          <w:color w:val="000000" w:themeColor="text1"/>
          <w:highlight w:val="none"/>
          <w:u w:val="single"/>
          <w14:textFill>
            <w14:solidFill>
              <w14:schemeClr w14:val="tx1"/>
            </w14:solidFill>
          </w14:textFill>
        </w:rPr>
        <w:t>（单位名称）</w:t>
      </w:r>
      <w:r>
        <w:rPr>
          <w:rFonts w:ascii="宋体" w:hAnsi="宋体"/>
          <w:color w:val="000000" w:themeColor="text1"/>
          <w:highlight w:val="none"/>
          <w14:textFill>
            <w14:solidFill>
              <w14:schemeClr w14:val="tx1"/>
            </w14:solidFill>
          </w14:textFill>
        </w:rPr>
        <w:t>的</w:t>
      </w:r>
      <w:r>
        <w:rPr>
          <w:rFonts w:ascii="宋体" w:hAnsi="宋体"/>
          <w:color w:val="000000" w:themeColor="text1"/>
          <w:highlight w:val="none"/>
          <w:u w:val="single"/>
          <w14:textFill>
            <w14:solidFill>
              <w14:schemeClr w14:val="tx1"/>
            </w14:solidFill>
          </w14:textFill>
        </w:rPr>
        <w:t>（项目名称）</w:t>
      </w:r>
      <w:r>
        <w:rPr>
          <w:rFonts w:ascii="宋体" w:hAnsi="宋体"/>
          <w:color w:val="000000" w:themeColor="text1"/>
          <w:highlight w:val="none"/>
          <w14:textFill>
            <w14:solidFill>
              <w14:schemeClr w14:val="tx1"/>
            </w14:solidFill>
          </w14:textFill>
        </w:rPr>
        <w:t>采购活动，提供的货物全部由符合政策要求的中小企业制造。相关企业（含联合体中的中小企业、签订分包意向协议的中小企业）的具体情况如下：</w:t>
      </w:r>
    </w:p>
    <w:p w14:paraId="56BBF300">
      <w:pPr>
        <w:tabs>
          <w:tab w:val="left" w:pos="1384"/>
          <w:tab w:val="left" w:pos="4562"/>
          <w:tab w:val="left" w:pos="6803"/>
        </w:tabs>
        <w:spacing w:line="360" w:lineRule="auto"/>
        <w:ind w:left="-426" w:right="-58" w:firstLine="655"/>
        <w:contextualSpacing/>
        <w:rPr>
          <w:rFonts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1.</w:t>
      </w:r>
      <w:r>
        <w:rPr>
          <w:rFonts w:ascii="宋体" w:hAnsi="宋体"/>
          <w:color w:val="000000" w:themeColor="text1"/>
          <w:sz w:val="24"/>
          <w:highlight w:val="none"/>
          <w:u w:val="single"/>
          <w14:textFill>
            <w14:solidFill>
              <w14:schemeClr w14:val="tx1"/>
            </w14:solidFill>
          </w14:textFill>
        </w:rPr>
        <w:t>（标的名称）</w:t>
      </w:r>
      <w:r>
        <w:rPr>
          <w:rFonts w:ascii="宋体" w:hAnsi="宋体"/>
          <w:color w:val="000000" w:themeColor="text1"/>
          <w:sz w:val="24"/>
          <w:highlight w:val="none"/>
          <w14:textFill>
            <w14:solidFill>
              <w14:schemeClr w14:val="tx1"/>
            </w14:solidFill>
          </w14:textFill>
        </w:rPr>
        <w:t>，属于</w:t>
      </w:r>
      <w:r>
        <w:rPr>
          <w:rFonts w:ascii="宋体" w:hAnsi="宋体"/>
          <w:color w:val="000000" w:themeColor="text1"/>
          <w:sz w:val="24"/>
          <w:highlight w:val="none"/>
          <w:u w:val="single"/>
          <w14:textFill>
            <w14:solidFill>
              <w14:schemeClr w14:val="tx1"/>
            </w14:solidFill>
          </w14:textFill>
        </w:rPr>
        <w:t>（采购文件中明确的所属行业）</w:t>
      </w:r>
      <w:r>
        <w:rPr>
          <w:rFonts w:ascii="宋体" w:hAnsi="宋体"/>
          <w:color w:val="000000" w:themeColor="text1"/>
          <w:sz w:val="24"/>
          <w:highlight w:val="none"/>
          <w14:textFill>
            <w14:solidFill>
              <w14:schemeClr w14:val="tx1"/>
            </w14:solidFill>
          </w14:textFill>
        </w:rPr>
        <w:t>行业；制造商为</w:t>
      </w:r>
      <w:r>
        <w:rPr>
          <w:rFonts w:ascii="宋体" w:hAnsi="宋体"/>
          <w:color w:val="000000" w:themeColor="text1"/>
          <w:sz w:val="24"/>
          <w:highlight w:val="none"/>
          <w:u w:val="single"/>
          <w14:textFill>
            <w14:solidFill>
              <w14:schemeClr w14:val="tx1"/>
            </w14:solidFill>
          </w14:textFill>
        </w:rPr>
        <w:t>（企业名称）</w:t>
      </w:r>
      <w:r>
        <w:rPr>
          <w:rFonts w:ascii="宋体" w:hAnsi="宋体"/>
          <w:color w:val="000000" w:themeColor="text1"/>
          <w:sz w:val="24"/>
          <w:highlight w:val="none"/>
          <w14:textFill>
            <w14:solidFill>
              <w14:schemeClr w14:val="tx1"/>
            </w14:solidFill>
          </w14:textFill>
        </w:rPr>
        <w:t>，从业人员</w:t>
      </w:r>
      <w:r>
        <w:rPr>
          <w:rFonts w:hint="eastAsia" w:ascii="宋体" w:hAnsi="宋体"/>
          <w:color w:val="000000" w:themeColor="text1"/>
          <w:sz w:val="24"/>
          <w:highlight w:val="none"/>
          <w:u w:val="single"/>
          <w14:textFill>
            <w14:solidFill>
              <w14:schemeClr w14:val="tx1"/>
            </w14:solidFill>
          </w14:textFill>
        </w:rPr>
        <w:t xml:space="preserve"> </w:t>
      </w:r>
      <w:r>
        <w:rPr>
          <w:rFonts w:ascii="宋体" w:hAnsi="宋体"/>
          <w:color w:val="000000" w:themeColor="text1"/>
          <w:sz w:val="24"/>
          <w:highlight w:val="none"/>
          <w:u w:val="single"/>
          <w14:textFill>
            <w14:solidFill>
              <w14:schemeClr w14:val="tx1"/>
            </w14:solidFill>
          </w14:textFill>
        </w:rPr>
        <w:t xml:space="preserve">     </w:t>
      </w:r>
      <w:r>
        <w:rPr>
          <w:rFonts w:ascii="宋体" w:hAnsi="宋体"/>
          <w:color w:val="000000" w:themeColor="text1"/>
          <w:sz w:val="24"/>
          <w:highlight w:val="none"/>
          <w14:textFill>
            <w14:solidFill>
              <w14:schemeClr w14:val="tx1"/>
            </w14:solidFill>
          </w14:textFill>
        </w:rPr>
        <w:t>人，营业收入为</w:t>
      </w:r>
      <w:r>
        <w:rPr>
          <w:rFonts w:hint="eastAsia" w:ascii="宋体" w:hAnsi="宋体"/>
          <w:color w:val="000000" w:themeColor="text1"/>
          <w:sz w:val="24"/>
          <w:highlight w:val="none"/>
          <w:u w:val="single"/>
          <w14:textFill>
            <w14:solidFill>
              <w14:schemeClr w14:val="tx1"/>
            </w14:solidFill>
          </w14:textFill>
        </w:rPr>
        <w:t xml:space="preserve"> </w:t>
      </w:r>
      <w:r>
        <w:rPr>
          <w:rFonts w:ascii="宋体" w:hAnsi="宋体"/>
          <w:color w:val="000000" w:themeColor="text1"/>
          <w:sz w:val="24"/>
          <w:highlight w:val="none"/>
          <w:u w:val="single"/>
          <w14:textFill>
            <w14:solidFill>
              <w14:schemeClr w14:val="tx1"/>
            </w14:solidFill>
          </w14:textFill>
        </w:rPr>
        <w:t xml:space="preserve">     </w:t>
      </w:r>
      <w:r>
        <w:rPr>
          <w:rFonts w:ascii="宋体" w:hAnsi="宋体"/>
          <w:color w:val="000000" w:themeColor="text1"/>
          <w:sz w:val="24"/>
          <w:highlight w:val="none"/>
          <w14:textFill>
            <w14:solidFill>
              <w14:schemeClr w14:val="tx1"/>
            </w14:solidFill>
          </w14:textFill>
        </w:rPr>
        <w:t>万元，资产总额为</w:t>
      </w:r>
      <w:r>
        <w:rPr>
          <w:rFonts w:hint="eastAsia" w:ascii="宋体" w:hAnsi="宋体"/>
          <w:color w:val="000000" w:themeColor="text1"/>
          <w:sz w:val="24"/>
          <w:highlight w:val="none"/>
          <w:u w:val="single"/>
          <w14:textFill>
            <w14:solidFill>
              <w14:schemeClr w14:val="tx1"/>
            </w14:solidFill>
          </w14:textFill>
        </w:rPr>
        <w:t xml:space="preserve"> </w:t>
      </w:r>
      <w:r>
        <w:rPr>
          <w:rFonts w:ascii="宋体" w:hAnsi="宋体"/>
          <w:color w:val="000000" w:themeColor="text1"/>
          <w:sz w:val="24"/>
          <w:highlight w:val="none"/>
          <w:u w:val="single"/>
          <w14:textFill>
            <w14:solidFill>
              <w14:schemeClr w14:val="tx1"/>
            </w14:solidFill>
          </w14:textFill>
        </w:rPr>
        <w:t xml:space="preserve">     </w:t>
      </w:r>
      <w:r>
        <w:rPr>
          <w:rFonts w:ascii="宋体" w:hAnsi="宋体"/>
          <w:color w:val="000000" w:themeColor="text1"/>
          <w:sz w:val="24"/>
          <w:highlight w:val="none"/>
          <w14:textFill>
            <w14:solidFill>
              <w14:schemeClr w14:val="tx1"/>
            </w14:solidFill>
          </w14:textFill>
        </w:rPr>
        <w:t>万元，属于</w:t>
      </w:r>
      <w:r>
        <w:rPr>
          <w:rFonts w:ascii="宋体" w:hAnsi="宋体"/>
          <w:color w:val="000000" w:themeColor="text1"/>
          <w:sz w:val="24"/>
          <w:highlight w:val="none"/>
          <w:u w:val="single"/>
          <w14:textFill>
            <w14:solidFill>
              <w14:schemeClr w14:val="tx1"/>
            </w14:solidFill>
          </w14:textFill>
        </w:rPr>
        <w:t>（中型企业、小型企业、微型企业）</w:t>
      </w:r>
      <w:r>
        <w:rPr>
          <w:rFonts w:ascii="宋体" w:hAnsi="宋体"/>
          <w:color w:val="000000" w:themeColor="text1"/>
          <w:sz w:val="24"/>
          <w:highlight w:val="none"/>
          <w14:textFill>
            <w14:solidFill>
              <w14:schemeClr w14:val="tx1"/>
            </w14:solidFill>
          </w14:textFill>
        </w:rPr>
        <w:t>；</w:t>
      </w:r>
    </w:p>
    <w:p w14:paraId="7D5C32BC">
      <w:pPr>
        <w:tabs>
          <w:tab w:val="left" w:pos="1065"/>
          <w:tab w:val="left" w:pos="6477"/>
        </w:tabs>
        <w:spacing w:line="360" w:lineRule="auto"/>
        <w:ind w:left="-426" w:right="-58" w:firstLine="655"/>
        <w:contextualSpacing/>
        <w:rPr>
          <w:rFonts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2.</w:t>
      </w:r>
      <w:r>
        <w:rPr>
          <w:rFonts w:ascii="宋体" w:hAnsi="宋体"/>
          <w:color w:val="000000" w:themeColor="text1"/>
          <w:sz w:val="24"/>
          <w:highlight w:val="none"/>
          <w:u w:val="single"/>
          <w14:textFill>
            <w14:solidFill>
              <w14:schemeClr w14:val="tx1"/>
            </w14:solidFill>
          </w14:textFill>
        </w:rPr>
        <w:t>（标的名称）</w:t>
      </w:r>
      <w:r>
        <w:rPr>
          <w:rFonts w:ascii="宋体" w:hAnsi="宋体"/>
          <w:color w:val="000000" w:themeColor="text1"/>
          <w:sz w:val="24"/>
          <w:highlight w:val="none"/>
          <w14:textFill>
            <w14:solidFill>
              <w14:schemeClr w14:val="tx1"/>
            </w14:solidFill>
          </w14:textFill>
        </w:rPr>
        <w:t>，属于</w:t>
      </w:r>
      <w:r>
        <w:rPr>
          <w:rFonts w:ascii="宋体" w:hAnsi="宋体"/>
          <w:color w:val="000000" w:themeColor="text1"/>
          <w:sz w:val="24"/>
          <w:highlight w:val="none"/>
          <w:u w:val="single"/>
          <w14:textFill>
            <w14:solidFill>
              <w14:schemeClr w14:val="tx1"/>
            </w14:solidFill>
          </w14:textFill>
        </w:rPr>
        <w:t>（采购文件中明确的所属行业）</w:t>
      </w:r>
      <w:r>
        <w:rPr>
          <w:rFonts w:ascii="宋体" w:hAnsi="宋体"/>
          <w:color w:val="000000" w:themeColor="text1"/>
          <w:sz w:val="24"/>
          <w:highlight w:val="none"/>
          <w14:textFill>
            <w14:solidFill>
              <w14:schemeClr w14:val="tx1"/>
            </w14:solidFill>
          </w14:textFill>
        </w:rPr>
        <w:t>行业；制造商为</w:t>
      </w:r>
      <w:r>
        <w:rPr>
          <w:rFonts w:ascii="宋体" w:hAnsi="宋体"/>
          <w:color w:val="000000" w:themeColor="text1"/>
          <w:sz w:val="24"/>
          <w:highlight w:val="none"/>
          <w:u w:val="single"/>
          <w14:textFill>
            <w14:solidFill>
              <w14:schemeClr w14:val="tx1"/>
            </w14:solidFill>
          </w14:textFill>
        </w:rPr>
        <w:t>（企业名称）</w:t>
      </w:r>
      <w:r>
        <w:rPr>
          <w:rFonts w:ascii="宋体" w:hAnsi="宋体"/>
          <w:color w:val="000000" w:themeColor="text1"/>
          <w:sz w:val="24"/>
          <w:highlight w:val="none"/>
          <w14:textFill>
            <w14:solidFill>
              <w14:schemeClr w14:val="tx1"/>
            </w14:solidFill>
          </w14:textFill>
        </w:rPr>
        <w:t>，从业人员</w:t>
      </w:r>
      <w:r>
        <w:rPr>
          <w:rFonts w:hint="eastAsia" w:ascii="宋体" w:hAnsi="宋体"/>
          <w:color w:val="000000" w:themeColor="text1"/>
          <w:sz w:val="24"/>
          <w:highlight w:val="none"/>
          <w:u w:val="single"/>
          <w14:textFill>
            <w14:solidFill>
              <w14:schemeClr w14:val="tx1"/>
            </w14:solidFill>
          </w14:textFill>
        </w:rPr>
        <w:t xml:space="preserve"> </w:t>
      </w:r>
      <w:r>
        <w:rPr>
          <w:rFonts w:ascii="宋体" w:hAnsi="宋体"/>
          <w:color w:val="000000" w:themeColor="text1"/>
          <w:sz w:val="24"/>
          <w:highlight w:val="none"/>
          <w:u w:val="single"/>
          <w14:textFill>
            <w14:solidFill>
              <w14:schemeClr w14:val="tx1"/>
            </w14:solidFill>
          </w14:textFill>
        </w:rPr>
        <w:t xml:space="preserve">     </w:t>
      </w:r>
      <w:r>
        <w:rPr>
          <w:rFonts w:ascii="宋体" w:hAnsi="宋体"/>
          <w:color w:val="000000" w:themeColor="text1"/>
          <w:sz w:val="24"/>
          <w:highlight w:val="none"/>
          <w14:textFill>
            <w14:solidFill>
              <w14:schemeClr w14:val="tx1"/>
            </w14:solidFill>
          </w14:textFill>
        </w:rPr>
        <w:t>人，营业收入为</w:t>
      </w:r>
      <w:r>
        <w:rPr>
          <w:rFonts w:hint="eastAsia" w:ascii="宋体" w:hAnsi="宋体"/>
          <w:color w:val="000000" w:themeColor="text1"/>
          <w:sz w:val="24"/>
          <w:highlight w:val="none"/>
          <w:u w:val="single"/>
          <w14:textFill>
            <w14:solidFill>
              <w14:schemeClr w14:val="tx1"/>
            </w14:solidFill>
          </w14:textFill>
        </w:rPr>
        <w:t xml:space="preserve"> </w:t>
      </w:r>
      <w:r>
        <w:rPr>
          <w:rFonts w:ascii="宋体" w:hAnsi="宋体"/>
          <w:color w:val="000000" w:themeColor="text1"/>
          <w:sz w:val="24"/>
          <w:highlight w:val="none"/>
          <w:u w:val="single"/>
          <w14:textFill>
            <w14:solidFill>
              <w14:schemeClr w14:val="tx1"/>
            </w14:solidFill>
          </w14:textFill>
        </w:rPr>
        <w:t xml:space="preserve">     </w:t>
      </w:r>
      <w:r>
        <w:rPr>
          <w:rFonts w:ascii="宋体" w:hAnsi="宋体"/>
          <w:color w:val="000000" w:themeColor="text1"/>
          <w:sz w:val="24"/>
          <w:highlight w:val="none"/>
          <w14:textFill>
            <w14:solidFill>
              <w14:schemeClr w14:val="tx1"/>
            </w14:solidFill>
          </w14:textFill>
        </w:rPr>
        <w:t>万元，资产总额为</w:t>
      </w:r>
      <w:r>
        <w:rPr>
          <w:rFonts w:hint="eastAsia" w:ascii="宋体" w:hAnsi="宋体"/>
          <w:color w:val="000000" w:themeColor="text1"/>
          <w:sz w:val="24"/>
          <w:highlight w:val="none"/>
          <w:u w:val="single"/>
          <w14:textFill>
            <w14:solidFill>
              <w14:schemeClr w14:val="tx1"/>
            </w14:solidFill>
          </w14:textFill>
        </w:rPr>
        <w:t xml:space="preserve"> </w:t>
      </w:r>
      <w:r>
        <w:rPr>
          <w:rFonts w:ascii="宋体" w:hAnsi="宋体"/>
          <w:color w:val="000000" w:themeColor="text1"/>
          <w:sz w:val="24"/>
          <w:highlight w:val="none"/>
          <w:u w:val="single"/>
          <w14:textFill>
            <w14:solidFill>
              <w14:schemeClr w14:val="tx1"/>
            </w14:solidFill>
          </w14:textFill>
        </w:rPr>
        <w:t xml:space="preserve">     </w:t>
      </w:r>
      <w:r>
        <w:rPr>
          <w:rFonts w:ascii="宋体" w:hAnsi="宋体"/>
          <w:color w:val="000000" w:themeColor="text1"/>
          <w:sz w:val="24"/>
          <w:highlight w:val="none"/>
          <w14:textFill>
            <w14:solidFill>
              <w14:schemeClr w14:val="tx1"/>
            </w14:solidFill>
          </w14:textFill>
        </w:rPr>
        <w:t>万元，属于</w:t>
      </w:r>
      <w:r>
        <w:rPr>
          <w:rFonts w:ascii="宋体" w:hAnsi="宋体"/>
          <w:color w:val="000000" w:themeColor="text1"/>
          <w:sz w:val="24"/>
          <w:highlight w:val="none"/>
          <w:u w:val="single"/>
          <w14:textFill>
            <w14:solidFill>
              <w14:schemeClr w14:val="tx1"/>
            </w14:solidFill>
          </w14:textFill>
        </w:rPr>
        <w:t>（中型企业、小型企业、微型企业）</w:t>
      </w:r>
      <w:r>
        <w:rPr>
          <w:rFonts w:ascii="宋体" w:hAnsi="宋体"/>
          <w:color w:val="000000" w:themeColor="text1"/>
          <w:sz w:val="24"/>
          <w:highlight w:val="none"/>
          <w14:textFill>
            <w14:solidFill>
              <w14:schemeClr w14:val="tx1"/>
            </w14:solidFill>
          </w14:textFill>
        </w:rPr>
        <w:t>；</w:t>
      </w:r>
    </w:p>
    <w:p w14:paraId="63A25AF1">
      <w:pPr>
        <w:pStyle w:val="19"/>
        <w:spacing w:line="360" w:lineRule="auto"/>
        <w:ind w:left="142" w:right="142"/>
        <w:contextualSpacing/>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 xml:space="preserve">…… </w:t>
      </w:r>
    </w:p>
    <w:p w14:paraId="1D5B8AD3">
      <w:pPr>
        <w:pStyle w:val="19"/>
        <w:spacing w:line="360" w:lineRule="auto"/>
        <w:ind w:left="-405" w:right="142" w:firstLine="453"/>
        <w:contextualSpacing/>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以上企业，不属于大企业的分支机构，不存在控股股东为大企业的情形，也不存在与大企业的负责人为同一人的情形。</w:t>
      </w:r>
    </w:p>
    <w:p w14:paraId="6C2A22E3">
      <w:pPr>
        <w:pStyle w:val="19"/>
        <w:spacing w:line="360" w:lineRule="auto"/>
        <w:ind w:left="-426" w:right="142" w:firstLine="567"/>
        <w:contextualSpacing/>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本企业对上述声明内容的真实性负责。如有虚假，将依法承担相应责任。</w:t>
      </w:r>
    </w:p>
    <w:p w14:paraId="1AA1E0D0">
      <w:pPr>
        <w:pStyle w:val="19"/>
        <w:spacing w:line="360" w:lineRule="auto"/>
        <w:ind w:left="3960" w:right="1808"/>
        <w:contextualSpacing/>
        <w:rPr>
          <w:rFonts w:ascii="宋体" w:hAnsi="宋体"/>
          <w:color w:val="000000" w:themeColor="text1"/>
          <w:highlight w:val="none"/>
          <w14:textFill>
            <w14:solidFill>
              <w14:schemeClr w14:val="tx1"/>
            </w14:solidFill>
          </w14:textFill>
        </w:rPr>
      </w:pPr>
    </w:p>
    <w:p w14:paraId="4C1F924F">
      <w:pPr>
        <w:pStyle w:val="19"/>
        <w:spacing w:line="360" w:lineRule="auto"/>
        <w:ind w:left="3960" w:right="1808"/>
        <w:contextualSpacing/>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企业名称（</w:t>
      </w:r>
      <w:r>
        <w:rPr>
          <w:rFonts w:hint="eastAsia" w:ascii="宋体" w:hAnsi="宋体"/>
          <w:color w:val="000000" w:themeColor="text1"/>
          <w:highlight w:val="none"/>
          <w14:textFill>
            <w14:solidFill>
              <w14:schemeClr w14:val="tx1"/>
            </w14:solidFill>
          </w14:textFill>
        </w:rPr>
        <w:t>电子签章</w:t>
      </w:r>
      <w:r>
        <w:rPr>
          <w:rFonts w:ascii="宋体" w:hAnsi="宋体"/>
          <w:color w:val="000000" w:themeColor="text1"/>
          <w:highlight w:val="none"/>
          <w14:textFill>
            <w14:solidFill>
              <w14:schemeClr w14:val="tx1"/>
            </w14:solidFill>
          </w14:textFill>
        </w:rPr>
        <w:t xml:space="preserve">）： </w:t>
      </w:r>
    </w:p>
    <w:p w14:paraId="39505FA2">
      <w:pPr>
        <w:pStyle w:val="19"/>
        <w:spacing w:line="360" w:lineRule="auto"/>
        <w:ind w:left="3960" w:right="1808"/>
        <w:contextualSpacing/>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日</w:t>
      </w:r>
      <w:r>
        <w:rPr>
          <w:rFonts w:hint="eastAsia" w:ascii="宋体" w:hAnsi="宋体"/>
          <w:color w:val="000000" w:themeColor="text1"/>
          <w:highlight w:val="none"/>
          <w14:textFill>
            <w14:solidFill>
              <w14:schemeClr w14:val="tx1"/>
            </w14:solidFill>
          </w14:textFill>
        </w:rPr>
        <w:t xml:space="preserve"> </w:t>
      </w:r>
      <w:r>
        <w:rPr>
          <w:rFonts w:ascii="宋体" w:hAnsi="宋体"/>
          <w:color w:val="000000" w:themeColor="text1"/>
          <w:highlight w:val="none"/>
          <w14:textFill>
            <w14:solidFill>
              <w14:schemeClr w14:val="tx1"/>
            </w14:solidFill>
          </w14:textFill>
        </w:rPr>
        <w:t>期：</w:t>
      </w:r>
    </w:p>
    <w:p w14:paraId="35DB01DC">
      <w:pPr>
        <w:pStyle w:val="19"/>
        <w:spacing w:line="360" w:lineRule="auto"/>
        <w:ind w:left="3960" w:right="1808"/>
        <w:contextualSpacing/>
        <w:rPr>
          <w:rFonts w:ascii="宋体" w:hAnsi="宋体"/>
          <w:color w:val="000000" w:themeColor="text1"/>
          <w:highlight w:val="none"/>
          <w14:textFill>
            <w14:solidFill>
              <w14:schemeClr w14:val="tx1"/>
            </w14:solidFill>
          </w14:textFill>
        </w:rPr>
      </w:pPr>
    </w:p>
    <w:p w14:paraId="4F4B9D09">
      <w:pPr>
        <w:pStyle w:val="19"/>
        <w:spacing w:line="360" w:lineRule="auto"/>
        <w:ind w:left="3960" w:right="1808"/>
        <w:contextualSpacing/>
        <w:rPr>
          <w:rFonts w:ascii="宋体" w:hAnsi="宋体"/>
          <w:color w:val="000000" w:themeColor="text1"/>
          <w:highlight w:val="none"/>
          <w14:textFill>
            <w14:solidFill>
              <w14:schemeClr w14:val="tx1"/>
            </w14:solidFill>
          </w14:textFill>
        </w:rPr>
      </w:pPr>
    </w:p>
    <w:p w14:paraId="0544B875">
      <w:pPr>
        <w:pStyle w:val="19"/>
        <w:spacing w:line="360" w:lineRule="auto"/>
        <w:ind w:left="-426" w:right="142" w:firstLine="567"/>
        <w:contextualSpacing/>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注：享受《政府采购促进中小企业发展管理办法》（财库〔2020〕46号）规定的中小企业扶持政策的，采购人、采购代理机构应当随中标结果公开中标人的《中小企业声明函》。从业人员、营业收入、资产总额填报上一年度数据，无上一年度数据的新成立企业可不填报。</w:t>
      </w:r>
    </w:p>
    <w:p w14:paraId="298133AC">
      <w:pPr>
        <w:spacing w:after="50"/>
        <w:ind w:left="142"/>
        <w:jc w:val="left"/>
        <w:rPr>
          <w:rFonts w:ascii="宋体" w:hAnsi="宋体"/>
          <w:b/>
          <w:color w:val="000000" w:themeColor="text1"/>
          <w:sz w:val="24"/>
          <w:highlight w:val="none"/>
          <w14:textFill>
            <w14:solidFill>
              <w14:schemeClr w14:val="tx1"/>
            </w14:solidFill>
          </w14:textFill>
        </w:rPr>
      </w:pPr>
      <w:r>
        <w:rPr>
          <w:rFonts w:ascii="宋体" w:hAnsi="宋体"/>
          <w:b/>
          <w:color w:val="000000" w:themeColor="text1"/>
          <w:sz w:val="24"/>
          <w:highlight w:val="none"/>
          <w14:textFill>
            <w14:solidFill>
              <w14:schemeClr w14:val="tx1"/>
            </w14:solidFill>
          </w14:textFill>
        </w:rPr>
        <w:br w:type="page" w:clear="all"/>
      </w:r>
      <w:r>
        <w:rPr>
          <w:rFonts w:hint="eastAsia" w:ascii="宋体" w:hAnsi="宋体"/>
          <w:b/>
          <w:color w:val="000000" w:themeColor="text1"/>
          <w:sz w:val="24"/>
          <w:highlight w:val="none"/>
          <w14:textFill>
            <w14:solidFill>
              <w14:schemeClr w14:val="tx1"/>
            </w14:solidFill>
          </w14:textFill>
        </w:rPr>
        <w:t>2.残疾人福利性单位声明函格式</w:t>
      </w:r>
    </w:p>
    <w:p w14:paraId="68DB31D5">
      <w:pPr>
        <w:spacing w:line="588" w:lineRule="exact"/>
        <w:jc w:val="center"/>
        <w:rPr>
          <w:rFonts w:ascii="仿宋_GB2312" w:eastAsia="仿宋_GB2312"/>
          <w:b/>
          <w:color w:val="000000" w:themeColor="text1"/>
          <w:spacing w:val="6"/>
          <w:sz w:val="32"/>
          <w:szCs w:val="32"/>
          <w:highlight w:val="none"/>
          <w14:textFill>
            <w14:solidFill>
              <w14:schemeClr w14:val="tx1"/>
            </w14:solidFill>
          </w14:textFill>
        </w:rPr>
      </w:pPr>
    </w:p>
    <w:p w14:paraId="24610792">
      <w:pPr>
        <w:spacing w:line="588" w:lineRule="exact"/>
        <w:jc w:val="center"/>
        <w:rPr>
          <w:rFonts w:ascii="方正小标宋简体" w:hAnsi="方正小标宋简体" w:eastAsia="方正小标宋简体" w:cs="方正小标宋简体"/>
          <w:bCs/>
          <w:color w:val="000000" w:themeColor="text1"/>
          <w:spacing w:val="6"/>
          <w:sz w:val="44"/>
          <w:szCs w:val="44"/>
          <w:highlight w:val="none"/>
          <w14:textFill>
            <w14:solidFill>
              <w14:schemeClr w14:val="tx1"/>
            </w14:solidFill>
          </w14:textFill>
        </w:rPr>
      </w:pPr>
      <w:r>
        <w:rPr>
          <w:rFonts w:hint="eastAsia" w:ascii="方正小标宋简体" w:hAnsi="方正小标宋简体" w:eastAsia="方正小标宋简体" w:cs="方正小标宋简体"/>
          <w:bCs/>
          <w:color w:val="000000" w:themeColor="text1"/>
          <w:spacing w:val="6"/>
          <w:sz w:val="44"/>
          <w:szCs w:val="44"/>
          <w:highlight w:val="none"/>
          <w14:textFill>
            <w14:solidFill>
              <w14:schemeClr w14:val="tx1"/>
            </w14:solidFill>
          </w14:textFill>
        </w:rPr>
        <w:t>残疾人福利性单位声明函</w:t>
      </w:r>
    </w:p>
    <w:p w14:paraId="1CCF3B5D">
      <w:pPr>
        <w:spacing w:line="360" w:lineRule="auto"/>
        <w:contextualSpacing/>
        <w:rPr>
          <w:rFonts w:ascii="仿宋_GB2312" w:eastAsia="仿宋_GB2312"/>
          <w:bCs/>
          <w:color w:val="000000" w:themeColor="text1"/>
          <w:spacing w:val="6"/>
          <w:sz w:val="30"/>
          <w:szCs w:val="30"/>
          <w:highlight w:val="none"/>
          <w14:textFill>
            <w14:solidFill>
              <w14:schemeClr w14:val="tx1"/>
            </w14:solidFill>
          </w14:textFill>
        </w:rPr>
      </w:pPr>
    </w:p>
    <w:p w14:paraId="63A28639">
      <w:pPr>
        <w:spacing w:line="360" w:lineRule="auto"/>
        <w:ind w:firstLine="504"/>
        <w:contextualSpacing/>
        <w:rPr>
          <w:rFonts w:ascii="宋体" w:hAnsi="宋体"/>
          <w:color w:val="000000" w:themeColor="text1"/>
          <w:spacing w:val="6"/>
          <w:sz w:val="24"/>
          <w:highlight w:val="none"/>
          <w14:textFill>
            <w14:solidFill>
              <w14:schemeClr w14:val="tx1"/>
            </w14:solidFill>
          </w14:textFill>
        </w:rPr>
      </w:pPr>
      <w:r>
        <w:rPr>
          <w:rFonts w:hint="eastAsia" w:ascii="宋体" w:hAnsi="宋体"/>
          <w:color w:val="000000" w:themeColor="text1"/>
          <w:spacing w:val="6"/>
          <w:sz w:val="24"/>
          <w:highlight w:val="none"/>
          <w14:textFill>
            <w14:solidFill>
              <w14:schemeClr w14:val="tx1"/>
            </w14:solidFill>
          </w14:textFill>
        </w:rPr>
        <w:t>本单位郑重声明，根据《财政部 民政部 中国残疾人联合会关于促进残疾人就业政府采购政策的通知》（财库</w:t>
      </w:r>
      <w:r>
        <w:rPr>
          <w:rFonts w:hint="eastAsia" w:ascii="宋体" w:hAnsi="宋体"/>
          <w:color w:val="000000" w:themeColor="text1"/>
          <w:sz w:val="24"/>
          <w:highlight w:val="none"/>
          <w14:textFill>
            <w14:solidFill>
              <w14:schemeClr w14:val="tx1"/>
            </w14:solidFill>
          </w14:textFill>
        </w:rPr>
        <w:t>〔2017〕 141</w:t>
      </w:r>
      <w:r>
        <w:rPr>
          <w:rFonts w:hint="eastAsia" w:ascii="宋体" w:hAnsi="宋体"/>
          <w:color w:val="000000" w:themeColor="text1"/>
          <w:spacing w:val="6"/>
          <w:sz w:val="24"/>
          <w:highlight w:val="none"/>
          <w14:textFill>
            <w14:solidFill>
              <w14:schemeClr w14:val="tx1"/>
            </w14:solidFill>
          </w14:textFill>
        </w:rPr>
        <w:t>号）的规定，本单位为符合条件的残疾人福利性单位，且本单位参加______单位的______项目采购活动提供本单位制造的货物（由本单位承担工程/提供服务），或者提供其他残</w:t>
      </w:r>
      <w:r>
        <w:rPr>
          <w:rFonts w:hint="eastAsia" w:ascii="宋体" w:hAnsi="宋体"/>
          <w:color w:val="000000" w:themeColor="text1"/>
          <w:spacing w:val="-6"/>
          <w:sz w:val="24"/>
          <w:highlight w:val="none"/>
          <w14:textFill>
            <w14:solidFill>
              <w14:schemeClr w14:val="tx1"/>
            </w14:solidFill>
          </w14:textFill>
        </w:rPr>
        <w:t>疾人福利性单位制造的货物（不包括使用非残疾人福利性单位注册商标的货物）。</w:t>
      </w:r>
    </w:p>
    <w:p w14:paraId="5A3C00D1">
      <w:pPr>
        <w:spacing w:line="360" w:lineRule="auto"/>
        <w:ind w:firstLine="504"/>
        <w:contextualSpacing/>
        <w:rPr>
          <w:rFonts w:ascii="宋体" w:hAnsi="宋体"/>
          <w:color w:val="000000" w:themeColor="text1"/>
          <w:spacing w:val="6"/>
          <w:sz w:val="24"/>
          <w:highlight w:val="none"/>
          <w14:textFill>
            <w14:solidFill>
              <w14:schemeClr w14:val="tx1"/>
            </w14:solidFill>
          </w14:textFill>
        </w:rPr>
      </w:pPr>
      <w:r>
        <w:rPr>
          <w:rFonts w:hint="eastAsia" w:ascii="宋体" w:hAnsi="宋体"/>
          <w:color w:val="000000" w:themeColor="text1"/>
          <w:spacing w:val="6"/>
          <w:sz w:val="24"/>
          <w:highlight w:val="none"/>
          <w14:textFill>
            <w14:solidFill>
              <w14:schemeClr w14:val="tx1"/>
            </w14:solidFill>
          </w14:textFill>
        </w:rPr>
        <w:t>本单位对上述声明的真实性负责。如有虚假，将依法承担相应责任。</w:t>
      </w:r>
    </w:p>
    <w:p w14:paraId="16BB0EF7">
      <w:pPr>
        <w:spacing w:line="360" w:lineRule="auto"/>
        <w:ind w:firstLine="504"/>
        <w:contextualSpacing/>
        <w:rPr>
          <w:rFonts w:ascii="宋体" w:hAnsi="宋体"/>
          <w:color w:val="000000" w:themeColor="text1"/>
          <w:spacing w:val="6"/>
          <w:sz w:val="24"/>
          <w:highlight w:val="none"/>
          <w14:textFill>
            <w14:solidFill>
              <w14:schemeClr w14:val="tx1"/>
            </w14:solidFill>
          </w14:textFill>
        </w:rPr>
      </w:pPr>
    </w:p>
    <w:p w14:paraId="0A89DECF">
      <w:pPr>
        <w:spacing w:line="360" w:lineRule="auto"/>
        <w:ind w:firstLine="504"/>
        <w:contextualSpacing/>
        <w:rPr>
          <w:rFonts w:ascii="宋体" w:hAnsi="宋体"/>
          <w:color w:val="000000" w:themeColor="text1"/>
          <w:spacing w:val="6"/>
          <w:sz w:val="24"/>
          <w:highlight w:val="none"/>
          <w14:textFill>
            <w14:solidFill>
              <w14:schemeClr w14:val="tx1"/>
            </w14:solidFill>
          </w14:textFill>
        </w:rPr>
      </w:pPr>
    </w:p>
    <w:p w14:paraId="4CF5B152">
      <w:pPr>
        <w:tabs>
          <w:tab w:val="left" w:pos="4860"/>
        </w:tabs>
        <w:spacing w:line="360" w:lineRule="auto"/>
        <w:ind w:right="1560" w:firstLine="504"/>
        <w:contextualSpacing/>
        <w:jc w:val="center"/>
        <w:rPr>
          <w:rFonts w:ascii="宋体" w:hAnsi="宋体"/>
          <w:color w:val="000000" w:themeColor="text1"/>
          <w:spacing w:val="6"/>
          <w:sz w:val="24"/>
          <w:highlight w:val="none"/>
          <w14:textFill>
            <w14:solidFill>
              <w14:schemeClr w14:val="tx1"/>
            </w14:solidFill>
          </w14:textFill>
        </w:rPr>
      </w:pPr>
      <w:r>
        <w:rPr>
          <w:rFonts w:hint="eastAsia" w:ascii="宋体" w:hAnsi="宋体"/>
          <w:color w:val="000000" w:themeColor="text1"/>
          <w:spacing w:val="6"/>
          <w:sz w:val="24"/>
          <w:highlight w:val="none"/>
          <w14:textFill>
            <w14:solidFill>
              <w14:schemeClr w14:val="tx1"/>
            </w14:solidFill>
          </w14:textFill>
        </w:rPr>
        <w:t>单位名称（电子签章）：</w:t>
      </w:r>
    </w:p>
    <w:p w14:paraId="4A8C401B">
      <w:pPr>
        <w:tabs>
          <w:tab w:val="left" w:pos="4860"/>
        </w:tabs>
        <w:spacing w:line="360" w:lineRule="auto"/>
        <w:ind w:right="1560" w:firstLine="504"/>
        <w:contextualSpacing/>
        <w:jc w:val="center"/>
        <w:rPr>
          <w:rFonts w:ascii="宋体" w:hAnsi="宋体"/>
          <w:color w:val="000000" w:themeColor="text1"/>
          <w:spacing w:val="6"/>
          <w:sz w:val="24"/>
          <w:highlight w:val="none"/>
          <w14:textFill>
            <w14:solidFill>
              <w14:schemeClr w14:val="tx1"/>
            </w14:solidFill>
          </w14:textFill>
        </w:rPr>
      </w:pPr>
      <w:r>
        <w:rPr>
          <w:rFonts w:hint="eastAsia" w:ascii="宋体" w:hAnsi="宋体"/>
          <w:color w:val="000000" w:themeColor="text1"/>
          <w:spacing w:val="6"/>
          <w:sz w:val="24"/>
          <w:highlight w:val="none"/>
          <w14:textFill>
            <w14:solidFill>
              <w14:schemeClr w14:val="tx1"/>
            </w14:solidFill>
          </w14:textFill>
        </w:rPr>
        <w:t>日  期：</w:t>
      </w:r>
    </w:p>
    <w:p w14:paraId="361076D9">
      <w:pPr>
        <w:spacing w:line="360" w:lineRule="auto"/>
        <w:contextualSpacing/>
        <w:rPr>
          <w:rFonts w:ascii="宋体" w:hAnsi="宋体"/>
          <w:color w:val="000000" w:themeColor="text1"/>
          <w:sz w:val="24"/>
          <w:highlight w:val="none"/>
          <w14:textFill>
            <w14:solidFill>
              <w14:schemeClr w14:val="tx1"/>
            </w14:solidFill>
          </w14:textFill>
        </w:rPr>
      </w:pPr>
    </w:p>
    <w:p w14:paraId="4E027C86">
      <w:pPr>
        <w:spacing w:line="360" w:lineRule="auto"/>
        <w:contextualSpacing/>
        <w:rPr>
          <w:rFonts w:ascii="宋体" w:hAnsi="宋体"/>
          <w:color w:val="000000" w:themeColor="text1"/>
          <w:sz w:val="24"/>
          <w:highlight w:val="none"/>
          <w14:textFill>
            <w14:solidFill>
              <w14:schemeClr w14:val="tx1"/>
            </w14:solidFill>
          </w14:textFill>
        </w:rPr>
      </w:pPr>
    </w:p>
    <w:p w14:paraId="5F545E37">
      <w:pPr>
        <w:spacing w:line="360" w:lineRule="auto"/>
        <w:contextualSpacing/>
        <w:rPr>
          <w:rFonts w:ascii="宋体" w:hAnsi="宋体"/>
          <w:color w:val="000000" w:themeColor="text1"/>
          <w:sz w:val="24"/>
          <w:highlight w:val="none"/>
          <w14:textFill>
            <w14:solidFill>
              <w14:schemeClr w14:val="tx1"/>
            </w14:solidFill>
          </w14:textFill>
        </w:rPr>
      </w:pPr>
    </w:p>
    <w:p w14:paraId="098C3692">
      <w:pPr>
        <w:spacing w:line="360" w:lineRule="auto"/>
        <w:contextualSpacing/>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注：请根据自己的真实情况出具《残疾人福利性单位声明函》。依法享受中小企业优惠政策的，采购人或者采购代理机构在公告中标结果时，同时公告其《残疾人福利性单位声明函》，接受社会监督。</w:t>
      </w:r>
    </w:p>
    <w:p w14:paraId="2AC6D3FB">
      <w:pPr>
        <w:rPr>
          <w:rFonts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br w:type="page" w:clear="all"/>
      </w:r>
    </w:p>
    <w:p w14:paraId="0D34C0BC">
      <w:pPr>
        <w:pStyle w:val="19"/>
        <w:rPr>
          <w:rFonts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 xml:space="preserve"> </w:t>
      </w:r>
      <w:r>
        <w:rPr>
          <w:rFonts w:hint="eastAsia" w:ascii="宋体" w:hAnsi="宋体"/>
          <w:b/>
          <w:color w:val="000000" w:themeColor="text1"/>
          <w:highlight w:val="none"/>
          <w14:textFill>
            <w14:solidFill>
              <w14:schemeClr w14:val="tx1"/>
            </w14:solidFill>
          </w14:textFill>
        </w:rPr>
        <w:t>关于符合本国产品标准的声明函格式</w:t>
      </w:r>
    </w:p>
    <w:p w14:paraId="3A44D2C5">
      <w:pPr>
        <w:pStyle w:val="19"/>
        <w:rPr>
          <w:color w:val="000000" w:themeColor="text1"/>
          <w:highlight w:val="none"/>
          <w14:textFill>
            <w14:solidFill>
              <w14:schemeClr w14:val="tx1"/>
            </w14:solidFill>
          </w14:textFill>
        </w:rPr>
      </w:pPr>
    </w:p>
    <w:p w14:paraId="0EBEEFB9">
      <w:pPr>
        <w:widowControl/>
        <w:shd w:val="clear" w:color="auto" w:fill="FFFFFF"/>
        <w:jc w:val="center"/>
        <w:rPr>
          <w:rFonts w:ascii="宋体" w:hAnsi="宋体" w:cs="宋体"/>
          <w:color w:val="000000" w:themeColor="text1"/>
          <w:sz w:val="36"/>
          <w:szCs w:val="36"/>
          <w:highlight w:val="none"/>
          <w14:textFill>
            <w14:solidFill>
              <w14:schemeClr w14:val="tx1"/>
            </w14:solidFill>
          </w14:textFill>
        </w:rPr>
      </w:pPr>
      <w:r>
        <w:rPr>
          <w:rFonts w:hint="eastAsia" w:ascii="宋体" w:hAnsi="宋体" w:cs="宋体"/>
          <w:b/>
          <w:bCs/>
          <w:color w:val="000000" w:themeColor="text1"/>
          <w:sz w:val="36"/>
          <w:szCs w:val="36"/>
          <w:highlight w:val="none"/>
          <w14:textFill>
            <w14:solidFill>
              <w14:schemeClr w14:val="tx1"/>
            </w14:solidFill>
          </w14:textFill>
        </w:rPr>
        <w:t>关于符合本国产品标准的声明函</w:t>
      </w:r>
    </w:p>
    <w:p w14:paraId="35A88F43">
      <w:pPr>
        <w:widowControl/>
        <w:shd w:val="clear" w:color="auto" w:fill="FFFFFF"/>
        <w:spacing w:before="30" w:after="30"/>
        <w:ind w:firstLine="48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w:t>
      </w:r>
    </w:p>
    <w:p w14:paraId="198906FA">
      <w:pPr>
        <w:widowControl/>
        <w:shd w:val="clear" w:color="auto" w:fill="FFFFFF"/>
        <w:spacing w:before="30" w:after="30"/>
        <w:ind w:firstLine="48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14:paraId="7D1B4EDF">
      <w:pPr>
        <w:widowControl/>
        <w:shd w:val="clear" w:color="auto" w:fill="FFFFFF"/>
        <w:ind w:firstLine="48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w:t>
      </w:r>
      <w:r>
        <w:rPr>
          <w:rFonts w:hint="eastAsia" w:ascii="宋体" w:hAnsi="宋体" w:cs="宋体"/>
          <w:i/>
          <w:iCs/>
          <w:color w:val="000000" w:themeColor="text1"/>
          <w:sz w:val="24"/>
          <w:highlight w:val="none"/>
          <w14:textFill>
            <w14:solidFill>
              <w14:schemeClr w14:val="tx1"/>
            </w14:solidFill>
          </w14:textFill>
        </w:rPr>
        <w:t>（产品名称1）</w:t>
      </w:r>
      <w:r>
        <w:rPr>
          <w:rFonts w:hint="eastAsia" w:ascii="宋体" w:hAnsi="宋体" w:cs="宋体"/>
          <w:i/>
          <w:iCs/>
          <w:color w:val="000000" w:themeColor="text1"/>
          <w:sz w:val="18"/>
          <w:szCs w:val="18"/>
          <w:highlight w:val="none"/>
          <w:vertAlign w:val="superscript"/>
          <w14:textFill>
            <w14:solidFill>
              <w14:schemeClr w14:val="tx1"/>
            </w14:solidFill>
          </w14:textFill>
        </w:rPr>
        <w:t>1</w:t>
      </w:r>
      <w:r>
        <w:rPr>
          <w:rFonts w:hint="eastAsia" w:ascii="宋体" w:hAnsi="宋体" w:cs="宋体"/>
          <w:color w:val="000000" w:themeColor="text1"/>
          <w:sz w:val="24"/>
          <w:highlight w:val="none"/>
          <w14:textFill>
            <w14:solidFill>
              <w14:schemeClr w14:val="tx1"/>
            </w14:solidFill>
          </w14:textFill>
        </w:rPr>
        <w:t>，生产厂为</w:t>
      </w:r>
      <w:r>
        <w:rPr>
          <w:rFonts w:hint="eastAsia" w:ascii="宋体" w:hAnsi="宋体" w:cs="宋体"/>
          <w:i/>
          <w:iCs/>
          <w:color w:val="000000" w:themeColor="text1"/>
          <w:sz w:val="24"/>
          <w:highlight w:val="none"/>
          <w14:textFill>
            <w14:solidFill>
              <w14:schemeClr w14:val="tx1"/>
            </w14:solidFill>
          </w14:textFill>
        </w:rPr>
        <w:t>（厂名）</w:t>
      </w:r>
      <w:r>
        <w:rPr>
          <w:rFonts w:hint="eastAsia" w:ascii="宋体" w:hAnsi="宋体" w:cs="宋体"/>
          <w:i/>
          <w:iCs/>
          <w:color w:val="000000" w:themeColor="text1"/>
          <w:sz w:val="18"/>
          <w:szCs w:val="18"/>
          <w:highlight w:val="none"/>
          <w:vertAlign w:val="superscript"/>
          <w14:textFill>
            <w14:solidFill>
              <w14:schemeClr w14:val="tx1"/>
            </w14:solidFill>
          </w14:textFill>
        </w:rPr>
        <w:t>2</w:t>
      </w:r>
      <w:r>
        <w:rPr>
          <w:rFonts w:hint="eastAsia" w:ascii="宋体" w:hAnsi="宋体" w:cs="宋体"/>
          <w:color w:val="000000" w:themeColor="text1"/>
          <w:sz w:val="24"/>
          <w:highlight w:val="none"/>
          <w14:textFill>
            <w14:solidFill>
              <w14:schemeClr w14:val="tx1"/>
            </w14:solidFill>
          </w14:textFill>
        </w:rPr>
        <w:t>，厂址为</w:t>
      </w:r>
      <w:r>
        <w:rPr>
          <w:rFonts w:hint="eastAsia" w:ascii="宋体" w:hAnsi="宋体" w:cs="宋体"/>
          <w:i/>
          <w:iCs/>
          <w:color w:val="000000" w:themeColor="text1"/>
          <w:sz w:val="24"/>
          <w:highlight w:val="none"/>
          <w14:textFill>
            <w14:solidFill>
              <w14:schemeClr w14:val="tx1"/>
            </w14:solidFill>
          </w14:textFill>
        </w:rPr>
        <w:t>（生产厂址）</w:t>
      </w:r>
      <w:r>
        <w:rPr>
          <w:rFonts w:hint="eastAsia" w:ascii="宋体" w:hAnsi="宋体" w:cs="宋体"/>
          <w:color w:val="000000" w:themeColor="text1"/>
          <w:sz w:val="24"/>
          <w:highlight w:val="none"/>
          <w14:textFill>
            <w14:solidFill>
              <w14:schemeClr w14:val="tx1"/>
            </w14:solidFill>
          </w14:textFill>
        </w:rPr>
        <w:t>。</w:t>
      </w:r>
      <w:r>
        <w:rPr>
          <w:rFonts w:hint="eastAsia" w:ascii="宋体" w:hAnsi="宋体" w:cs="宋体"/>
          <w:i/>
          <w:iCs/>
          <w:color w:val="000000" w:themeColor="text1"/>
          <w:sz w:val="24"/>
          <w:highlight w:val="none"/>
          <w14:textFill>
            <w14:solidFill>
              <w14:schemeClr w14:val="tx1"/>
            </w14:solidFill>
          </w14:textFill>
        </w:rPr>
        <w:t>（产品名称1）</w:t>
      </w:r>
      <w:r>
        <w:rPr>
          <w:rFonts w:hint="eastAsia" w:ascii="宋体" w:hAnsi="宋体" w:cs="宋体"/>
          <w:color w:val="000000" w:themeColor="text1"/>
          <w:sz w:val="24"/>
          <w:highlight w:val="none"/>
          <w14:textFill>
            <w14:solidFill>
              <w14:schemeClr w14:val="tx1"/>
            </w14:solidFill>
          </w14:textFill>
        </w:rPr>
        <w:t>的中国境内生产的组件成本占比≥</w:t>
      </w:r>
      <w:r>
        <w:rPr>
          <w:rFonts w:hint="eastAsia" w:ascii="宋体" w:hAnsi="宋体" w:cs="宋体"/>
          <w:i/>
          <w:iCs/>
          <w:color w:val="000000" w:themeColor="text1"/>
          <w:sz w:val="24"/>
          <w:highlight w:val="none"/>
          <w14:textFill>
            <w14:solidFill>
              <w14:schemeClr w14:val="tx1"/>
            </w14:solidFill>
          </w14:textFill>
        </w:rPr>
        <w:t>（规定比例）</w:t>
      </w:r>
      <w:r>
        <w:rPr>
          <w:rFonts w:hint="eastAsia" w:ascii="宋体" w:hAnsi="宋体" w:cs="宋体"/>
          <w:i/>
          <w:iCs/>
          <w:color w:val="000000" w:themeColor="text1"/>
          <w:sz w:val="18"/>
          <w:szCs w:val="18"/>
          <w:highlight w:val="none"/>
          <w:vertAlign w:val="superscript"/>
          <w14:textFill>
            <w14:solidFill>
              <w14:schemeClr w14:val="tx1"/>
            </w14:solidFill>
          </w14:textFill>
        </w:rPr>
        <w:t>3</w:t>
      </w:r>
      <w:r>
        <w:rPr>
          <w:rFonts w:hint="eastAsia" w:ascii="宋体" w:hAnsi="宋体" w:cs="宋体"/>
          <w:color w:val="000000" w:themeColor="text1"/>
          <w:sz w:val="24"/>
          <w:highlight w:val="none"/>
          <w14:textFill>
            <w14:solidFill>
              <w14:schemeClr w14:val="tx1"/>
            </w14:solidFill>
          </w14:textFill>
        </w:rPr>
        <w:t>。</w:t>
      </w:r>
      <w:r>
        <w:rPr>
          <w:rFonts w:hint="eastAsia" w:ascii="宋体" w:hAnsi="宋体" w:cs="宋体"/>
          <w:i/>
          <w:iCs/>
          <w:color w:val="000000" w:themeColor="text1"/>
          <w:sz w:val="24"/>
          <w:highlight w:val="none"/>
          <w14:textFill>
            <w14:solidFill>
              <w14:schemeClr w14:val="tx1"/>
            </w14:solidFill>
          </w14:textFill>
        </w:rPr>
        <w:t>（产品名称1）</w:t>
      </w:r>
      <w:r>
        <w:rPr>
          <w:rFonts w:hint="eastAsia" w:ascii="宋体" w:hAnsi="宋体" w:cs="宋体"/>
          <w:color w:val="000000" w:themeColor="text1"/>
          <w:sz w:val="24"/>
          <w:highlight w:val="none"/>
          <w14:textFill>
            <w14:solidFill>
              <w14:schemeClr w14:val="tx1"/>
            </w14:solidFill>
          </w14:textFill>
        </w:rPr>
        <w:t>的</w:t>
      </w:r>
      <w:r>
        <w:rPr>
          <w:rFonts w:hint="eastAsia" w:ascii="宋体" w:hAnsi="宋体" w:cs="宋体"/>
          <w:i/>
          <w:iCs/>
          <w:color w:val="000000" w:themeColor="text1"/>
          <w:sz w:val="24"/>
          <w:highlight w:val="none"/>
          <w14:textFill>
            <w14:solidFill>
              <w14:schemeClr w14:val="tx1"/>
            </w14:solidFill>
          </w14:textFill>
        </w:rPr>
        <w:t>（关键组件）</w:t>
      </w:r>
      <w:r>
        <w:rPr>
          <w:rFonts w:hint="eastAsia" w:ascii="宋体" w:hAnsi="宋体" w:cs="宋体"/>
          <w:i/>
          <w:iCs/>
          <w:color w:val="000000" w:themeColor="text1"/>
          <w:sz w:val="18"/>
          <w:szCs w:val="18"/>
          <w:highlight w:val="none"/>
          <w:vertAlign w:val="superscript"/>
          <w14:textFill>
            <w14:solidFill>
              <w14:schemeClr w14:val="tx1"/>
            </w14:solidFill>
          </w14:textFill>
        </w:rPr>
        <w:t>4</w:t>
      </w:r>
      <w:r>
        <w:rPr>
          <w:rFonts w:hint="eastAsia" w:ascii="宋体" w:hAnsi="宋体" w:cs="宋体"/>
          <w:color w:val="000000" w:themeColor="text1"/>
          <w:sz w:val="24"/>
          <w:highlight w:val="none"/>
          <w14:textFill>
            <w14:solidFill>
              <w14:schemeClr w14:val="tx1"/>
            </w14:solidFill>
          </w14:textFill>
        </w:rPr>
        <w:t>在中国境内生产。</w:t>
      </w:r>
      <w:r>
        <w:rPr>
          <w:rFonts w:hint="eastAsia" w:ascii="宋体" w:hAnsi="宋体" w:cs="宋体"/>
          <w:i/>
          <w:iCs/>
          <w:color w:val="000000" w:themeColor="text1"/>
          <w:sz w:val="24"/>
          <w:highlight w:val="none"/>
          <w14:textFill>
            <w14:solidFill>
              <w14:schemeClr w14:val="tx1"/>
            </w14:solidFill>
          </w14:textFill>
        </w:rPr>
        <w:t>（产品名称1）</w:t>
      </w:r>
      <w:r>
        <w:rPr>
          <w:rFonts w:hint="eastAsia" w:ascii="宋体" w:hAnsi="宋体" w:cs="宋体"/>
          <w:color w:val="000000" w:themeColor="text1"/>
          <w:sz w:val="24"/>
          <w:highlight w:val="none"/>
          <w14:textFill>
            <w14:solidFill>
              <w14:schemeClr w14:val="tx1"/>
            </w14:solidFill>
          </w14:textFill>
        </w:rPr>
        <w:t>的</w:t>
      </w:r>
      <w:r>
        <w:rPr>
          <w:rFonts w:hint="eastAsia" w:ascii="宋体" w:hAnsi="宋体" w:cs="宋体"/>
          <w:i/>
          <w:iCs/>
          <w:color w:val="000000" w:themeColor="text1"/>
          <w:sz w:val="24"/>
          <w:highlight w:val="none"/>
          <w14:textFill>
            <w14:solidFill>
              <w14:schemeClr w14:val="tx1"/>
            </w14:solidFill>
          </w14:textFill>
        </w:rPr>
        <w:t>（关键工序）</w:t>
      </w:r>
      <w:r>
        <w:rPr>
          <w:rFonts w:hint="eastAsia" w:ascii="宋体" w:hAnsi="宋体" w:cs="宋体"/>
          <w:i/>
          <w:iCs/>
          <w:color w:val="000000" w:themeColor="text1"/>
          <w:sz w:val="18"/>
          <w:szCs w:val="18"/>
          <w:highlight w:val="none"/>
          <w:vertAlign w:val="superscript"/>
          <w14:textFill>
            <w14:solidFill>
              <w14:schemeClr w14:val="tx1"/>
            </w14:solidFill>
          </w14:textFill>
        </w:rPr>
        <w:t>5</w:t>
      </w:r>
      <w:r>
        <w:rPr>
          <w:rFonts w:hint="eastAsia" w:ascii="宋体" w:hAnsi="宋体" w:cs="宋体"/>
          <w:color w:val="000000" w:themeColor="text1"/>
          <w:sz w:val="24"/>
          <w:highlight w:val="none"/>
          <w14:textFill>
            <w14:solidFill>
              <w14:schemeClr w14:val="tx1"/>
            </w14:solidFill>
          </w14:textFill>
        </w:rPr>
        <w:t>在中国境内完成。</w:t>
      </w:r>
    </w:p>
    <w:p w14:paraId="0BBEB625">
      <w:pPr>
        <w:widowControl/>
        <w:shd w:val="clear" w:color="auto" w:fill="FFFFFF"/>
        <w:ind w:firstLine="48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w:t>
      </w:r>
      <w:r>
        <w:rPr>
          <w:rFonts w:hint="eastAsia" w:ascii="宋体" w:hAnsi="宋体" w:cs="宋体"/>
          <w:i/>
          <w:iCs/>
          <w:color w:val="000000" w:themeColor="text1"/>
          <w:sz w:val="24"/>
          <w:highlight w:val="none"/>
          <w14:textFill>
            <w14:solidFill>
              <w14:schemeClr w14:val="tx1"/>
            </w14:solidFill>
          </w14:textFill>
        </w:rPr>
        <w:t>（产品名称2）</w:t>
      </w:r>
      <w:r>
        <w:rPr>
          <w:rFonts w:hint="eastAsia" w:ascii="宋体" w:hAnsi="宋体" w:cs="宋体"/>
          <w:color w:val="000000" w:themeColor="text1"/>
          <w:sz w:val="24"/>
          <w:highlight w:val="none"/>
          <w14:textFill>
            <w14:solidFill>
              <w14:schemeClr w14:val="tx1"/>
            </w14:solidFill>
          </w14:textFill>
        </w:rPr>
        <w:t>，生产厂为</w:t>
      </w:r>
      <w:r>
        <w:rPr>
          <w:rFonts w:hint="eastAsia" w:ascii="宋体" w:hAnsi="宋体" w:cs="宋体"/>
          <w:i/>
          <w:iCs/>
          <w:color w:val="000000" w:themeColor="text1"/>
          <w:sz w:val="24"/>
          <w:highlight w:val="none"/>
          <w14:textFill>
            <w14:solidFill>
              <w14:schemeClr w14:val="tx1"/>
            </w14:solidFill>
          </w14:textFill>
        </w:rPr>
        <w:t>（厂名）</w:t>
      </w:r>
      <w:r>
        <w:rPr>
          <w:rFonts w:hint="eastAsia" w:ascii="宋体" w:hAnsi="宋体" w:cs="宋体"/>
          <w:color w:val="000000" w:themeColor="text1"/>
          <w:sz w:val="24"/>
          <w:highlight w:val="none"/>
          <w14:textFill>
            <w14:solidFill>
              <w14:schemeClr w14:val="tx1"/>
            </w14:solidFill>
          </w14:textFill>
        </w:rPr>
        <w:t>，厂址为</w:t>
      </w:r>
      <w:r>
        <w:rPr>
          <w:rFonts w:hint="eastAsia" w:ascii="宋体" w:hAnsi="宋体" w:cs="宋体"/>
          <w:i/>
          <w:iCs/>
          <w:color w:val="000000" w:themeColor="text1"/>
          <w:sz w:val="24"/>
          <w:highlight w:val="none"/>
          <w14:textFill>
            <w14:solidFill>
              <w14:schemeClr w14:val="tx1"/>
            </w14:solidFill>
          </w14:textFill>
        </w:rPr>
        <w:t>（生产厂址）</w:t>
      </w:r>
      <w:r>
        <w:rPr>
          <w:rFonts w:hint="eastAsia" w:ascii="宋体" w:hAnsi="宋体" w:cs="宋体"/>
          <w:color w:val="000000" w:themeColor="text1"/>
          <w:sz w:val="24"/>
          <w:highlight w:val="none"/>
          <w14:textFill>
            <w14:solidFill>
              <w14:schemeClr w14:val="tx1"/>
            </w14:solidFill>
          </w14:textFill>
        </w:rPr>
        <w:t>。</w:t>
      </w:r>
      <w:r>
        <w:rPr>
          <w:rFonts w:hint="eastAsia" w:ascii="宋体" w:hAnsi="宋体" w:cs="宋体"/>
          <w:i/>
          <w:iCs/>
          <w:color w:val="000000" w:themeColor="text1"/>
          <w:sz w:val="24"/>
          <w:highlight w:val="none"/>
          <w14:textFill>
            <w14:solidFill>
              <w14:schemeClr w14:val="tx1"/>
            </w14:solidFill>
          </w14:textFill>
        </w:rPr>
        <w:t>（产品名称2）</w:t>
      </w:r>
      <w:r>
        <w:rPr>
          <w:rFonts w:hint="eastAsia" w:ascii="宋体" w:hAnsi="宋体" w:cs="宋体"/>
          <w:color w:val="000000" w:themeColor="text1"/>
          <w:sz w:val="24"/>
          <w:highlight w:val="none"/>
          <w14:textFill>
            <w14:solidFill>
              <w14:schemeClr w14:val="tx1"/>
            </w14:solidFill>
          </w14:textFill>
        </w:rPr>
        <w:t>的中国境内生产的组件成本占比≥</w:t>
      </w:r>
      <w:r>
        <w:rPr>
          <w:rFonts w:hint="eastAsia" w:ascii="宋体" w:hAnsi="宋体" w:cs="宋体"/>
          <w:i/>
          <w:iCs/>
          <w:color w:val="000000" w:themeColor="text1"/>
          <w:sz w:val="24"/>
          <w:highlight w:val="none"/>
          <w14:textFill>
            <w14:solidFill>
              <w14:schemeClr w14:val="tx1"/>
            </w14:solidFill>
          </w14:textFill>
        </w:rPr>
        <w:t>（规定比例）</w:t>
      </w:r>
      <w:r>
        <w:rPr>
          <w:rFonts w:hint="eastAsia" w:ascii="宋体" w:hAnsi="宋体" w:cs="宋体"/>
          <w:color w:val="000000" w:themeColor="text1"/>
          <w:sz w:val="24"/>
          <w:highlight w:val="none"/>
          <w14:textFill>
            <w14:solidFill>
              <w14:schemeClr w14:val="tx1"/>
            </w14:solidFill>
          </w14:textFill>
        </w:rPr>
        <w:t>。</w:t>
      </w:r>
      <w:r>
        <w:rPr>
          <w:rFonts w:hint="eastAsia" w:ascii="宋体" w:hAnsi="宋体" w:cs="宋体"/>
          <w:i/>
          <w:iCs/>
          <w:color w:val="000000" w:themeColor="text1"/>
          <w:sz w:val="24"/>
          <w:highlight w:val="none"/>
          <w14:textFill>
            <w14:solidFill>
              <w14:schemeClr w14:val="tx1"/>
            </w14:solidFill>
          </w14:textFill>
        </w:rPr>
        <w:t>（产品名称2）</w:t>
      </w:r>
      <w:r>
        <w:rPr>
          <w:rFonts w:hint="eastAsia" w:ascii="宋体" w:hAnsi="宋体" w:cs="宋体"/>
          <w:color w:val="000000" w:themeColor="text1"/>
          <w:sz w:val="24"/>
          <w:highlight w:val="none"/>
          <w14:textFill>
            <w14:solidFill>
              <w14:schemeClr w14:val="tx1"/>
            </w14:solidFill>
          </w14:textFill>
        </w:rPr>
        <w:t>的</w:t>
      </w:r>
      <w:r>
        <w:rPr>
          <w:rFonts w:hint="eastAsia" w:ascii="宋体" w:hAnsi="宋体" w:cs="宋体"/>
          <w:i/>
          <w:iCs/>
          <w:color w:val="000000" w:themeColor="text1"/>
          <w:sz w:val="24"/>
          <w:highlight w:val="none"/>
          <w14:textFill>
            <w14:solidFill>
              <w14:schemeClr w14:val="tx1"/>
            </w14:solidFill>
          </w14:textFill>
        </w:rPr>
        <w:t>（关键组件）</w:t>
      </w:r>
      <w:r>
        <w:rPr>
          <w:rFonts w:hint="eastAsia" w:ascii="宋体" w:hAnsi="宋体" w:cs="宋体"/>
          <w:color w:val="000000" w:themeColor="text1"/>
          <w:sz w:val="24"/>
          <w:highlight w:val="none"/>
          <w14:textFill>
            <w14:solidFill>
              <w14:schemeClr w14:val="tx1"/>
            </w14:solidFill>
          </w14:textFill>
        </w:rPr>
        <w:t>在中国境内生产。</w:t>
      </w:r>
      <w:r>
        <w:rPr>
          <w:rFonts w:hint="eastAsia" w:ascii="宋体" w:hAnsi="宋体" w:cs="宋体"/>
          <w:i/>
          <w:iCs/>
          <w:color w:val="000000" w:themeColor="text1"/>
          <w:sz w:val="24"/>
          <w:highlight w:val="none"/>
          <w14:textFill>
            <w14:solidFill>
              <w14:schemeClr w14:val="tx1"/>
            </w14:solidFill>
          </w14:textFill>
        </w:rPr>
        <w:t>（产品名称2）</w:t>
      </w:r>
      <w:r>
        <w:rPr>
          <w:rFonts w:hint="eastAsia" w:ascii="宋体" w:hAnsi="宋体" w:cs="宋体"/>
          <w:color w:val="000000" w:themeColor="text1"/>
          <w:sz w:val="24"/>
          <w:highlight w:val="none"/>
          <w14:textFill>
            <w14:solidFill>
              <w14:schemeClr w14:val="tx1"/>
            </w14:solidFill>
          </w14:textFill>
        </w:rPr>
        <w:t>的</w:t>
      </w:r>
      <w:r>
        <w:rPr>
          <w:rFonts w:hint="eastAsia" w:ascii="宋体" w:hAnsi="宋体" w:cs="宋体"/>
          <w:i/>
          <w:iCs/>
          <w:color w:val="000000" w:themeColor="text1"/>
          <w:sz w:val="24"/>
          <w:highlight w:val="none"/>
          <w14:textFill>
            <w14:solidFill>
              <w14:schemeClr w14:val="tx1"/>
            </w14:solidFill>
          </w14:textFill>
        </w:rPr>
        <w:t>（关键工序）</w:t>
      </w:r>
      <w:r>
        <w:rPr>
          <w:rFonts w:hint="eastAsia" w:ascii="宋体" w:hAnsi="宋体" w:cs="宋体"/>
          <w:color w:val="000000" w:themeColor="text1"/>
          <w:sz w:val="24"/>
          <w:highlight w:val="none"/>
          <w14:textFill>
            <w14:solidFill>
              <w14:schemeClr w14:val="tx1"/>
            </w14:solidFill>
          </w14:textFill>
        </w:rPr>
        <w:t>在中国境内完成。</w:t>
      </w:r>
    </w:p>
    <w:p w14:paraId="1791B524">
      <w:pPr>
        <w:widowControl/>
        <w:shd w:val="clear" w:color="auto" w:fill="FFFFFF"/>
        <w:spacing w:before="30" w:after="30"/>
        <w:ind w:firstLine="48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w:t>
      </w:r>
    </w:p>
    <w:p w14:paraId="73F07045">
      <w:pPr>
        <w:widowControl/>
        <w:shd w:val="clear" w:color="auto" w:fill="FFFFFF"/>
        <w:spacing w:before="30" w:after="30"/>
        <w:ind w:firstLine="48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本公司（单位）对上述声明内容的真实性负责。如有虚假，愿承担相应法律责任。</w:t>
      </w:r>
    </w:p>
    <w:p w14:paraId="4380913A">
      <w:pPr>
        <w:widowControl/>
        <w:shd w:val="clear" w:color="auto" w:fill="FFFFFF"/>
        <w:spacing w:before="30" w:after="3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w:t>
      </w:r>
    </w:p>
    <w:p w14:paraId="0788E59F">
      <w:pPr>
        <w:widowControl/>
        <w:shd w:val="clear" w:color="auto" w:fill="FFFFFF"/>
        <w:spacing w:before="30" w:after="30"/>
        <w:jc w:val="righ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公司（单位）名称（盖章）：　        </w:t>
      </w:r>
    </w:p>
    <w:p w14:paraId="4717412A">
      <w:pPr>
        <w:widowControl/>
        <w:shd w:val="clear" w:color="auto" w:fill="FFFFFF"/>
        <w:jc w:val="righ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日期：　     年　  月　  日         </w:t>
      </w:r>
    </w:p>
    <w:p w14:paraId="33741E8E">
      <w:pPr>
        <w:widowControl/>
        <w:shd w:val="clear" w:color="auto" w:fill="FFFFFF"/>
        <w:spacing w:before="30" w:after="3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__________________</w:t>
      </w:r>
    </w:p>
    <w:p w14:paraId="213A6C33">
      <w:pPr>
        <w:widowControl/>
        <w:shd w:val="clear" w:color="auto" w:fill="FFFFFF"/>
        <w:ind w:firstLine="48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1.产品如有型号，请在“产品名称”栏一并填写。</w:t>
      </w:r>
    </w:p>
    <w:p w14:paraId="31FC0E64">
      <w:pPr>
        <w:widowControl/>
        <w:shd w:val="clear" w:color="auto" w:fill="FFFFFF"/>
        <w:ind w:firstLine="48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2.生产厂名与厂址应与生产厂营业执照载明的相关信息保持一致。</w:t>
      </w:r>
    </w:p>
    <w:p w14:paraId="2B3EE277">
      <w:pPr>
        <w:widowControl/>
        <w:shd w:val="clear" w:color="auto" w:fill="FFFFFF"/>
        <w:ind w:firstLine="48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3.该产品的中国境内生产的组件成本占比相关要求实施前，“规定比例”栏可不填，下同。</w:t>
      </w:r>
    </w:p>
    <w:p w14:paraId="6D7B5A90">
      <w:pPr>
        <w:widowControl/>
        <w:shd w:val="clear" w:color="auto" w:fill="FFFFFF"/>
        <w:ind w:firstLine="48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4.该产品的关键组件要求实施前，“关键组件”栏可不填，下同。</w:t>
      </w:r>
    </w:p>
    <w:p w14:paraId="70889967">
      <w:pPr>
        <w:widowControl/>
        <w:shd w:val="clear" w:color="auto" w:fill="FFFFFF"/>
        <w:ind w:firstLine="48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5.该产品的关键工序要求实施前，“关键工序”栏可不填，下同。</w:t>
      </w:r>
    </w:p>
    <w:p w14:paraId="1B976F9C">
      <w:pPr>
        <w:spacing w:line="360" w:lineRule="auto"/>
        <w:jc w:val="left"/>
        <w:rPr>
          <w:rFonts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br w:type="page" w:clear="all"/>
      </w:r>
      <w:r>
        <w:rPr>
          <w:rFonts w:hint="eastAsia" w:ascii="宋体" w:hAnsi="宋体"/>
          <w:b/>
          <w:color w:val="000000" w:themeColor="text1"/>
          <w:sz w:val="24"/>
          <w:highlight w:val="none"/>
          <w14:textFill>
            <w14:solidFill>
              <w14:schemeClr w14:val="tx1"/>
            </w14:solidFill>
          </w14:textFill>
        </w:rPr>
        <w:t>4.质疑函（格式）</w:t>
      </w:r>
    </w:p>
    <w:p w14:paraId="2EE46DB9">
      <w:pPr>
        <w:spacing w:line="360" w:lineRule="auto"/>
        <w:jc w:val="center"/>
        <w:rPr>
          <w:rFonts w:ascii="方正小标宋简体" w:hAnsi="方正小标宋简体" w:eastAsia="方正小标宋简体" w:cs="方正小标宋简体"/>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t>质疑函（格式）</w:t>
      </w:r>
    </w:p>
    <w:p w14:paraId="6A3F1F1C">
      <w:pPr>
        <w:pStyle w:val="25"/>
        <w:spacing w:line="360" w:lineRule="auto"/>
        <w:ind w:firstLine="482"/>
        <w:rPr>
          <w:rFonts w:hAnsi="宋体"/>
          <w:b/>
          <w:bCs/>
          <w:color w:val="000000" w:themeColor="text1"/>
          <w:sz w:val="24"/>
          <w:szCs w:val="24"/>
          <w:highlight w:val="none"/>
          <w14:textFill>
            <w14:solidFill>
              <w14:schemeClr w14:val="tx1"/>
            </w14:solidFill>
          </w14:textFill>
        </w:rPr>
      </w:pPr>
      <w:r>
        <w:rPr>
          <w:rFonts w:hint="eastAsia" w:hAnsi="宋体"/>
          <w:b/>
          <w:bCs/>
          <w:color w:val="000000" w:themeColor="text1"/>
          <w:sz w:val="24"/>
          <w:szCs w:val="24"/>
          <w:highlight w:val="none"/>
          <w14:textFill>
            <w14:solidFill>
              <w14:schemeClr w14:val="tx1"/>
            </w14:solidFill>
          </w14:textFill>
        </w:rPr>
        <w:t>一、质疑供应商基本信息：</w:t>
      </w:r>
    </w:p>
    <w:p w14:paraId="5A01FC3B">
      <w:pPr>
        <w:pStyle w:val="25"/>
        <w:spacing w:line="360" w:lineRule="auto"/>
        <w:ind w:firstLine="480"/>
        <w:rPr>
          <w:rFonts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质疑供应商：</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 xml:space="preserve">                 </w:t>
      </w:r>
    </w:p>
    <w:p w14:paraId="2A8A1D14">
      <w:pPr>
        <w:pStyle w:val="25"/>
        <w:spacing w:line="360" w:lineRule="auto"/>
        <w:ind w:firstLine="480"/>
        <w:rPr>
          <w:rFonts w:hAnsi="宋体"/>
          <w:bCs/>
          <w:color w:val="000000" w:themeColor="text1"/>
          <w:sz w:val="24"/>
          <w:szCs w:val="24"/>
          <w:highlight w:val="none"/>
          <w14:textFill>
            <w14:solidFill>
              <w14:schemeClr w14:val="tx1"/>
            </w14:solidFill>
          </w14:textFill>
        </w:rPr>
      </w:pPr>
      <w:r>
        <w:rPr>
          <w:rFonts w:hAnsi="宋体"/>
          <w:bCs/>
          <w:color w:val="000000" w:themeColor="text1"/>
          <w:sz w:val="24"/>
          <w:szCs w:val="24"/>
          <w:highlight w:val="none"/>
          <w14:textFill>
            <w14:solidFill>
              <w14:schemeClr w14:val="tx1"/>
            </w14:solidFill>
          </w14:textFill>
        </w:rPr>
        <w:t>地址</w:t>
      </w:r>
      <w:r>
        <w:rPr>
          <w:rFonts w:hint="eastAsia" w:hAnsi="宋体"/>
          <w:bCs/>
          <w:color w:val="000000" w:themeColor="text1"/>
          <w:sz w:val="24"/>
          <w:szCs w:val="24"/>
          <w:highlight w:val="none"/>
          <w14:textFill>
            <w14:solidFill>
              <w14:schemeClr w14:val="tx1"/>
            </w14:solidFill>
          </w14:textFill>
        </w:rPr>
        <w:t>：</w:t>
      </w:r>
      <w:r>
        <w:rPr>
          <w:rFonts w:hint="eastAsia" w:hAnsi="宋体"/>
          <w:bCs/>
          <w:color w:val="000000" w:themeColor="text1"/>
          <w:sz w:val="24"/>
          <w:szCs w:val="24"/>
          <w:highlight w:val="none"/>
          <w:u w:val="single"/>
          <w14:textFill>
            <w14:solidFill>
              <w14:schemeClr w14:val="tx1"/>
            </w14:solidFill>
          </w14:textFill>
        </w:rPr>
        <w:t xml:space="preserve">                                          </w:t>
      </w:r>
      <w:r>
        <w:rPr>
          <w:rFonts w:hAnsi="宋体"/>
          <w:bCs/>
          <w:color w:val="000000" w:themeColor="text1"/>
          <w:sz w:val="24"/>
          <w:szCs w:val="24"/>
          <w:highlight w:val="none"/>
          <w14:textFill>
            <w14:solidFill>
              <w14:schemeClr w14:val="tx1"/>
            </w14:solidFill>
          </w14:textFill>
        </w:rPr>
        <w:t>邮编</w:t>
      </w:r>
      <w:r>
        <w:rPr>
          <w:rFonts w:hint="eastAsia" w:hAnsi="宋体"/>
          <w:bCs/>
          <w:color w:val="000000" w:themeColor="text1"/>
          <w:sz w:val="24"/>
          <w:szCs w:val="24"/>
          <w:highlight w:val="none"/>
          <w14:textFill>
            <w14:solidFill>
              <w14:schemeClr w14:val="tx1"/>
            </w14:solidFill>
          </w14:textFill>
        </w:rPr>
        <w:t>：</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 xml:space="preserve">                 </w:t>
      </w:r>
    </w:p>
    <w:p w14:paraId="1731E00F">
      <w:pPr>
        <w:pStyle w:val="25"/>
        <w:spacing w:line="360" w:lineRule="auto"/>
        <w:ind w:firstLine="480"/>
        <w:rPr>
          <w:rFonts w:hAnsi="宋体"/>
          <w:bCs/>
          <w:color w:val="000000" w:themeColor="text1"/>
          <w:sz w:val="24"/>
          <w:szCs w:val="24"/>
          <w:highlight w:val="none"/>
          <w14:textFill>
            <w14:solidFill>
              <w14:schemeClr w14:val="tx1"/>
            </w14:solidFill>
          </w14:textFill>
        </w:rPr>
      </w:pPr>
      <w:r>
        <w:rPr>
          <w:rFonts w:hAnsi="宋体"/>
          <w:bCs/>
          <w:color w:val="000000" w:themeColor="text1"/>
          <w:sz w:val="24"/>
          <w:szCs w:val="24"/>
          <w:highlight w:val="none"/>
          <w14:textFill>
            <w14:solidFill>
              <w14:schemeClr w14:val="tx1"/>
            </w14:solidFill>
          </w14:textFill>
        </w:rPr>
        <w:t>联系人</w:t>
      </w:r>
      <w:r>
        <w:rPr>
          <w:rFonts w:hint="eastAsia" w:hAnsi="宋体"/>
          <w:bCs/>
          <w:color w:val="000000" w:themeColor="text1"/>
          <w:sz w:val="24"/>
          <w:szCs w:val="24"/>
          <w:highlight w:val="none"/>
          <w14:textFill>
            <w14:solidFill>
              <w14:schemeClr w14:val="tx1"/>
            </w14:solidFill>
          </w14:textFill>
        </w:rPr>
        <w:t>：</w:t>
      </w:r>
      <w:r>
        <w:rPr>
          <w:rFonts w:hint="eastAsia" w:hAnsi="宋体"/>
          <w:bCs/>
          <w:color w:val="000000" w:themeColor="text1"/>
          <w:sz w:val="24"/>
          <w:szCs w:val="24"/>
          <w:highlight w:val="none"/>
          <w:u w:val="single"/>
          <w14:textFill>
            <w14:solidFill>
              <w14:schemeClr w14:val="tx1"/>
            </w14:solidFill>
          </w14:textFill>
        </w:rPr>
        <w:t xml:space="preserve">                     </w:t>
      </w:r>
      <w:r>
        <w:rPr>
          <w:rFonts w:hAnsi="宋体"/>
          <w:bCs/>
          <w:color w:val="000000" w:themeColor="text1"/>
          <w:sz w:val="24"/>
          <w:szCs w:val="24"/>
          <w:highlight w:val="none"/>
          <w14:textFill>
            <w14:solidFill>
              <w14:schemeClr w14:val="tx1"/>
            </w14:solidFill>
          </w14:textFill>
        </w:rPr>
        <w:t>联系电话</w:t>
      </w:r>
      <w:r>
        <w:rPr>
          <w:rFonts w:hint="eastAsia" w:hAnsi="宋体"/>
          <w:bCs/>
          <w:color w:val="000000" w:themeColor="text1"/>
          <w:sz w:val="24"/>
          <w:szCs w:val="24"/>
          <w:highlight w:val="none"/>
          <w14:textFill>
            <w14:solidFill>
              <w14:schemeClr w14:val="tx1"/>
            </w14:solidFill>
          </w14:textFill>
        </w:rPr>
        <w:t>：</w:t>
      </w:r>
      <w:r>
        <w:rPr>
          <w:rFonts w:hint="eastAsia" w:hAnsi="宋体"/>
          <w:bCs/>
          <w:color w:val="000000" w:themeColor="text1"/>
          <w:sz w:val="24"/>
          <w:szCs w:val="24"/>
          <w:highlight w:val="none"/>
          <w:u w:val="single"/>
          <w14:textFill>
            <w14:solidFill>
              <w14:schemeClr w14:val="tx1"/>
            </w14:solidFill>
          </w14:textFill>
        </w:rPr>
        <w:t xml:space="preserve">                 </w:t>
      </w:r>
    </w:p>
    <w:p w14:paraId="44CD57D9">
      <w:pPr>
        <w:pStyle w:val="25"/>
        <w:spacing w:line="360" w:lineRule="auto"/>
        <w:ind w:firstLine="480"/>
        <w:rPr>
          <w:rFonts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授权代表：</w:t>
      </w:r>
      <w:r>
        <w:rPr>
          <w:rFonts w:hint="eastAsia" w:hAnsi="宋体"/>
          <w:bCs/>
          <w:color w:val="000000" w:themeColor="text1"/>
          <w:sz w:val="24"/>
          <w:szCs w:val="24"/>
          <w:highlight w:val="none"/>
          <w:u w:val="single"/>
          <w14:textFill>
            <w14:solidFill>
              <w14:schemeClr w14:val="tx1"/>
            </w14:solidFill>
          </w14:textFill>
        </w:rPr>
        <w:t xml:space="preserve">                      </w:t>
      </w:r>
    </w:p>
    <w:p w14:paraId="1E9F8AA7">
      <w:pPr>
        <w:pStyle w:val="25"/>
        <w:spacing w:line="360" w:lineRule="auto"/>
        <w:ind w:firstLine="480"/>
        <w:rPr>
          <w:rFonts w:hAnsi="宋体"/>
          <w:bCs/>
          <w:color w:val="000000" w:themeColor="text1"/>
          <w:sz w:val="24"/>
          <w:szCs w:val="24"/>
          <w:highlight w:val="none"/>
          <w:u w:val="single"/>
          <w14:textFill>
            <w14:solidFill>
              <w14:schemeClr w14:val="tx1"/>
            </w14:solidFill>
          </w14:textFill>
        </w:rPr>
      </w:pPr>
      <w:r>
        <w:rPr>
          <w:rFonts w:hAnsi="宋体"/>
          <w:bCs/>
          <w:color w:val="000000" w:themeColor="text1"/>
          <w:sz w:val="24"/>
          <w:szCs w:val="24"/>
          <w:highlight w:val="none"/>
          <w14:textFill>
            <w14:solidFill>
              <w14:schemeClr w14:val="tx1"/>
            </w14:solidFill>
          </w14:textFill>
        </w:rPr>
        <w:t>联系</w:t>
      </w:r>
      <w:r>
        <w:rPr>
          <w:rFonts w:hint="eastAsia" w:hAnsi="宋体"/>
          <w:bCs/>
          <w:color w:val="000000" w:themeColor="text1"/>
          <w:sz w:val="24"/>
          <w:szCs w:val="24"/>
          <w:highlight w:val="none"/>
          <w14:textFill>
            <w14:solidFill>
              <w14:schemeClr w14:val="tx1"/>
            </w14:solidFill>
          </w14:textFill>
        </w:rPr>
        <w:t>电话：</w:t>
      </w:r>
      <w:r>
        <w:rPr>
          <w:rFonts w:hint="eastAsia" w:hAnsi="宋体"/>
          <w:bCs/>
          <w:color w:val="000000" w:themeColor="text1"/>
          <w:sz w:val="24"/>
          <w:szCs w:val="24"/>
          <w:highlight w:val="none"/>
          <w:u w:val="single"/>
          <w14:textFill>
            <w14:solidFill>
              <w14:schemeClr w14:val="tx1"/>
            </w14:solidFill>
          </w14:textFill>
        </w:rPr>
        <w:t xml:space="preserve">                      </w:t>
      </w:r>
    </w:p>
    <w:p w14:paraId="1977F088">
      <w:pPr>
        <w:pStyle w:val="25"/>
        <w:spacing w:line="360" w:lineRule="auto"/>
        <w:ind w:firstLine="480"/>
        <w:rPr>
          <w:rFonts w:hAnsi="宋体"/>
          <w:bCs/>
          <w:color w:val="000000" w:themeColor="text1"/>
          <w:sz w:val="24"/>
          <w:szCs w:val="24"/>
          <w:highlight w:val="none"/>
          <w14:textFill>
            <w14:solidFill>
              <w14:schemeClr w14:val="tx1"/>
            </w14:solidFill>
          </w14:textFill>
        </w:rPr>
      </w:pPr>
      <w:r>
        <w:rPr>
          <w:rFonts w:hAnsi="宋体"/>
          <w:bCs/>
          <w:color w:val="000000" w:themeColor="text1"/>
          <w:sz w:val="24"/>
          <w:szCs w:val="24"/>
          <w:highlight w:val="none"/>
          <w14:textFill>
            <w14:solidFill>
              <w14:schemeClr w14:val="tx1"/>
            </w14:solidFill>
          </w14:textFill>
        </w:rPr>
        <w:t>地址</w:t>
      </w:r>
      <w:r>
        <w:rPr>
          <w:rFonts w:hint="eastAsia" w:hAnsi="宋体"/>
          <w:bCs/>
          <w:color w:val="000000" w:themeColor="text1"/>
          <w:sz w:val="24"/>
          <w:szCs w:val="24"/>
          <w:highlight w:val="none"/>
          <w14:textFill>
            <w14:solidFill>
              <w14:schemeClr w14:val="tx1"/>
            </w14:solidFill>
          </w14:textFill>
        </w:rPr>
        <w:t>：</w:t>
      </w:r>
      <w:r>
        <w:rPr>
          <w:rFonts w:hint="eastAsia" w:hAnsi="宋体"/>
          <w:bCs/>
          <w:color w:val="000000" w:themeColor="text1"/>
          <w:sz w:val="24"/>
          <w:szCs w:val="24"/>
          <w:highlight w:val="none"/>
          <w:u w:val="single"/>
          <w14:textFill>
            <w14:solidFill>
              <w14:schemeClr w14:val="tx1"/>
            </w14:solidFill>
          </w14:textFill>
        </w:rPr>
        <w:t xml:space="preserve">                 </w:t>
      </w:r>
      <w:r>
        <w:rPr>
          <w:rFonts w:hAnsi="宋体"/>
          <w:bCs/>
          <w:color w:val="000000" w:themeColor="text1"/>
          <w:sz w:val="24"/>
          <w:szCs w:val="24"/>
          <w:highlight w:val="none"/>
          <w14:textFill>
            <w14:solidFill>
              <w14:schemeClr w14:val="tx1"/>
            </w14:solidFill>
          </w14:textFill>
        </w:rPr>
        <w:t>邮编</w:t>
      </w:r>
      <w:r>
        <w:rPr>
          <w:rFonts w:hint="eastAsia" w:hAnsi="宋体"/>
          <w:bCs/>
          <w:color w:val="000000" w:themeColor="text1"/>
          <w:sz w:val="24"/>
          <w:szCs w:val="24"/>
          <w:highlight w:val="none"/>
          <w14:textFill>
            <w14:solidFill>
              <w14:schemeClr w14:val="tx1"/>
            </w14:solidFill>
          </w14:textFill>
        </w:rPr>
        <w:t>：</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 xml:space="preserve">     </w:t>
      </w:r>
    </w:p>
    <w:p w14:paraId="3DE04B79">
      <w:pPr>
        <w:pStyle w:val="25"/>
        <w:spacing w:line="360" w:lineRule="auto"/>
        <w:ind w:firstLine="482"/>
        <w:rPr>
          <w:rFonts w:hAnsi="宋体"/>
          <w:b/>
          <w:bCs/>
          <w:color w:val="000000" w:themeColor="text1"/>
          <w:sz w:val="24"/>
          <w:szCs w:val="24"/>
          <w:highlight w:val="none"/>
          <w14:textFill>
            <w14:solidFill>
              <w14:schemeClr w14:val="tx1"/>
            </w14:solidFill>
          </w14:textFill>
        </w:rPr>
      </w:pPr>
      <w:r>
        <w:rPr>
          <w:rFonts w:hint="eastAsia" w:hAnsi="宋体"/>
          <w:b/>
          <w:bCs/>
          <w:color w:val="000000" w:themeColor="text1"/>
          <w:sz w:val="24"/>
          <w:szCs w:val="24"/>
          <w:highlight w:val="none"/>
          <w14:textFill>
            <w14:solidFill>
              <w14:schemeClr w14:val="tx1"/>
            </w14:solidFill>
          </w14:textFill>
        </w:rPr>
        <w:t>二、质疑项目基本情况：</w:t>
      </w:r>
    </w:p>
    <w:p w14:paraId="6CFB0D3E">
      <w:pPr>
        <w:pStyle w:val="25"/>
        <w:spacing w:line="360" w:lineRule="auto"/>
        <w:ind w:left="25" w:firstLine="472"/>
        <w:rPr>
          <w:rFonts w:hAnsi="宋体"/>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质疑</w:t>
      </w:r>
      <w:r>
        <w:rPr>
          <w:rFonts w:hint="eastAsia" w:hAnsi="宋体"/>
          <w:color w:val="000000" w:themeColor="text1"/>
          <w:sz w:val="24"/>
          <w:szCs w:val="24"/>
          <w:highlight w:val="none"/>
          <w14:textFill>
            <w14:solidFill>
              <w14:schemeClr w14:val="tx1"/>
            </w14:solidFill>
          </w14:textFill>
        </w:rPr>
        <w:t>项目的名称：</w:t>
      </w:r>
      <w:r>
        <w:rPr>
          <w:rFonts w:hint="eastAsia" w:hAnsi="宋体"/>
          <w:bCs/>
          <w:color w:val="000000" w:themeColor="text1"/>
          <w:sz w:val="24"/>
          <w:szCs w:val="24"/>
          <w:highlight w:val="none"/>
          <w:u w:val="single"/>
          <w14:textFill>
            <w14:solidFill>
              <w14:schemeClr w14:val="tx1"/>
            </w14:solidFill>
          </w14:textFill>
        </w:rPr>
        <w:t xml:space="preserve">                                     </w:t>
      </w:r>
    </w:p>
    <w:p w14:paraId="24F6D0DF">
      <w:pPr>
        <w:pStyle w:val="25"/>
        <w:spacing w:line="360" w:lineRule="auto"/>
        <w:ind w:left="25" w:firstLine="472"/>
        <w:rPr>
          <w:rFonts w:hAnsi="宋体"/>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质疑</w:t>
      </w:r>
      <w:r>
        <w:rPr>
          <w:rFonts w:hint="eastAsia" w:hAnsi="宋体"/>
          <w:color w:val="000000" w:themeColor="text1"/>
          <w:sz w:val="24"/>
          <w:szCs w:val="24"/>
          <w:highlight w:val="none"/>
          <w14:textFill>
            <w14:solidFill>
              <w14:schemeClr w14:val="tx1"/>
            </w14:solidFill>
          </w14:textFill>
        </w:rPr>
        <w:t>项目的编号：</w:t>
      </w:r>
      <w:r>
        <w:rPr>
          <w:rFonts w:hint="eastAsia" w:hAnsi="宋体"/>
          <w:bCs/>
          <w:color w:val="000000" w:themeColor="text1"/>
          <w:sz w:val="24"/>
          <w:szCs w:val="24"/>
          <w:highlight w:val="none"/>
          <w:u w:val="single"/>
          <w14:textFill>
            <w14:solidFill>
              <w14:schemeClr w14:val="tx1"/>
            </w14:solidFill>
          </w14:textFill>
        </w:rPr>
        <w:t xml:space="preserve">                                     </w:t>
      </w:r>
    </w:p>
    <w:p w14:paraId="23B93BA5">
      <w:pPr>
        <w:pStyle w:val="25"/>
        <w:spacing w:line="360" w:lineRule="auto"/>
        <w:ind w:left="25" w:firstLine="472"/>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采购人名称：</w:t>
      </w:r>
      <w:r>
        <w:rPr>
          <w:rFonts w:hint="eastAsia" w:hAnsi="宋体"/>
          <w:bCs/>
          <w:color w:val="000000" w:themeColor="text1"/>
          <w:sz w:val="24"/>
          <w:szCs w:val="24"/>
          <w:highlight w:val="none"/>
          <w:u w:val="single"/>
          <w14:textFill>
            <w14:solidFill>
              <w14:schemeClr w14:val="tx1"/>
            </w14:solidFill>
          </w14:textFill>
        </w:rPr>
        <w:t xml:space="preserve">                                         </w:t>
      </w:r>
    </w:p>
    <w:p w14:paraId="660E6AD6">
      <w:pPr>
        <w:pStyle w:val="25"/>
        <w:spacing w:line="360" w:lineRule="auto"/>
        <w:ind w:left="25" w:firstLine="472"/>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质疑事项：</w:t>
      </w:r>
    </w:p>
    <w:p w14:paraId="2DC754BD">
      <w:pPr>
        <w:pStyle w:val="25"/>
        <w:spacing w:line="360" w:lineRule="auto"/>
        <w:ind w:left="25" w:firstLine="352"/>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□招标文件   招标文件获取日期：</w:t>
      </w:r>
      <w:r>
        <w:rPr>
          <w:rFonts w:hint="eastAsia" w:hAnsi="宋体"/>
          <w:bCs/>
          <w:color w:val="000000" w:themeColor="text1"/>
          <w:sz w:val="24"/>
          <w:szCs w:val="24"/>
          <w:highlight w:val="none"/>
          <w:u w:val="single"/>
          <w14:textFill>
            <w14:solidFill>
              <w14:schemeClr w14:val="tx1"/>
            </w14:solidFill>
          </w14:textFill>
        </w:rPr>
        <w:t xml:space="preserve">                                   </w:t>
      </w:r>
    </w:p>
    <w:p w14:paraId="2D29F6A6">
      <w:pPr>
        <w:pStyle w:val="25"/>
        <w:spacing w:line="360" w:lineRule="auto"/>
        <w:ind w:left="25" w:firstLine="352"/>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 xml:space="preserve">□招标过程   </w:t>
      </w:r>
    </w:p>
    <w:p w14:paraId="7BA77A34">
      <w:pPr>
        <w:pStyle w:val="25"/>
        <w:spacing w:line="360" w:lineRule="auto"/>
        <w:ind w:left="25" w:firstLine="352"/>
        <w:rPr>
          <w:rFonts w:hAnsi="宋体"/>
          <w:bCs/>
          <w:color w:val="000000" w:themeColor="text1"/>
          <w:sz w:val="24"/>
          <w:szCs w:val="24"/>
          <w:highlight w:val="none"/>
          <w:u w:val="singl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 xml:space="preserve">□招标结果   </w:t>
      </w:r>
    </w:p>
    <w:p w14:paraId="109A45E5">
      <w:pPr>
        <w:pStyle w:val="25"/>
        <w:spacing w:line="360" w:lineRule="auto"/>
        <w:ind w:left="25" w:firstLine="472"/>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三、质疑事项具体内容</w:t>
      </w:r>
    </w:p>
    <w:p w14:paraId="75F6BF18">
      <w:pPr>
        <w:pStyle w:val="25"/>
        <w:spacing w:line="360" w:lineRule="auto"/>
        <w:ind w:left="25" w:firstLine="472"/>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质疑事项1：</w:t>
      </w:r>
      <w:r>
        <w:rPr>
          <w:rFonts w:hint="eastAsia" w:hAnsi="宋体"/>
          <w:bCs/>
          <w:color w:val="000000" w:themeColor="text1"/>
          <w:sz w:val="24"/>
          <w:szCs w:val="24"/>
          <w:highlight w:val="none"/>
          <w:u w:val="single"/>
          <w14:textFill>
            <w14:solidFill>
              <w14:schemeClr w14:val="tx1"/>
            </w14:solidFill>
          </w14:textFill>
        </w:rPr>
        <w:t xml:space="preserve">                                                                    </w:t>
      </w:r>
    </w:p>
    <w:p w14:paraId="30B1BC68">
      <w:pPr>
        <w:pStyle w:val="25"/>
        <w:spacing w:line="360" w:lineRule="auto"/>
        <w:ind w:left="25" w:firstLine="472"/>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事实依据：</w:t>
      </w:r>
      <w:r>
        <w:rPr>
          <w:rFonts w:hint="eastAsia" w:hAnsi="宋体"/>
          <w:bCs/>
          <w:color w:val="000000" w:themeColor="text1"/>
          <w:sz w:val="24"/>
          <w:szCs w:val="24"/>
          <w:highlight w:val="none"/>
          <w:u w:val="single"/>
          <w14:textFill>
            <w14:solidFill>
              <w14:schemeClr w14:val="tx1"/>
            </w14:solidFill>
          </w14:textFill>
        </w:rPr>
        <w:t xml:space="preserve">                                                                      </w:t>
      </w:r>
    </w:p>
    <w:p w14:paraId="19240878">
      <w:pPr>
        <w:pStyle w:val="25"/>
        <w:spacing w:line="360" w:lineRule="auto"/>
        <w:ind w:left="25" w:firstLine="472"/>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法律依据：</w:t>
      </w:r>
      <w:r>
        <w:rPr>
          <w:rFonts w:hint="eastAsia" w:hAnsi="宋体"/>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u w:val="single"/>
          <w14:textFill>
            <w14:solidFill>
              <w14:schemeClr w14:val="tx1"/>
            </w14:solidFill>
          </w14:textFill>
        </w:rPr>
        <w:t xml:space="preserve">               </w:t>
      </w:r>
    </w:p>
    <w:p w14:paraId="785C79EB">
      <w:pPr>
        <w:pStyle w:val="25"/>
        <w:spacing w:line="360" w:lineRule="auto"/>
        <w:ind w:left="25" w:firstLine="472"/>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质疑事项2</w:t>
      </w:r>
    </w:p>
    <w:p w14:paraId="25FD9D17">
      <w:pPr>
        <w:pStyle w:val="25"/>
        <w:spacing w:line="360" w:lineRule="auto"/>
        <w:ind w:left="25" w:firstLine="472"/>
        <w:rPr>
          <w:rFonts w:hAnsi="宋体"/>
          <w:color w:val="000000" w:themeColor="text1"/>
          <w:sz w:val="24"/>
          <w:szCs w:val="24"/>
          <w:highlight w:val="none"/>
          <w14:textFill>
            <w14:solidFill>
              <w14:schemeClr w14:val="tx1"/>
            </w14:solidFill>
          </w14:textFill>
        </w:rPr>
      </w:pPr>
      <w:r>
        <w:rPr>
          <w:rFonts w:hAnsi="宋体"/>
          <w:color w:val="000000" w:themeColor="text1"/>
          <w:sz w:val="24"/>
          <w:szCs w:val="24"/>
          <w:highlight w:val="none"/>
          <w14:textFill>
            <w14:solidFill>
              <w14:schemeClr w14:val="tx1"/>
            </w14:solidFill>
          </w14:textFill>
        </w:rPr>
        <w:t>……</w:t>
      </w:r>
    </w:p>
    <w:p w14:paraId="490D24AB">
      <w:pPr>
        <w:pStyle w:val="25"/>
        <w:spacing w:line="360" w:lineRule="auto"/>
        <w:ind w:left="25" w:firstLine="472"/>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四、与质疑事项相关的质疑请求：</w:t>
      </w:r>
    </w:p>
    <w:p w14:paraId="3F9F1156">
      <w:pPr>
        <w:pStyle w:val="25"/>
        <w:spacing w:line="360" w:lineRule="auto"/>
        <w:ind w:left="25" w:firstLine="472"/>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请求：</w:t>
      </w:r>
      <w:r>
        <w:rPr>
          <w:rFonts w:hint="eastAsia" w:hAnsi="宋体"/>
          <w:bCs/>
          <w:color w:val="000000" w:themeColor="text1"/>
          <w:sz w:val="24"/>
          <w:szCs w:val="24"/>
          <w:highlight w:val="none"/>
          <w:u w:val="single"/>
          <w14:textFill>
            <w14:solidFill>
              <w14:schemeClr w14:val="tx1"/>
            </w14:solidFill>
          </w14:textFill>
        </w:rPr>
        <w:t xml:space="preserve">                                                                </w:t>
      </w:r>
    </w:p>
    <w:p w14:paraId="34D66818">
      <w:pPr>
        <w:pStyle w:val="25"/>
        <w:spacing w:line="360" w:lineRule="auto"/>
        <w:ind w:left="25" w:firstLine="352"/>
        <w:rPr>
          <w:rFonts w:hAnsi="宋体"/>
          <w:color w:val="000000" w:themeColor="text1"/>
          <w:sz w:val="24"/>
          <w:szCs w:val="24"/>
          <w:highlight w:val="none"/>
          <w14:textFill>
            <w14:solidFill>
              <w14:schemeClr w14:val="tx1"/>
            </w14:solidFill>
          </w14:textFill>
        </w:rPr>
      </w:pPr>
    </w:p>
    <w:p w14:paraId="51744E7F">
      <w:pPr>
        <w:pStyle w:val="25"/>
        <w:spacing w:line="360" w:lineRule="auto"/>
        <w:ind w:left="25" w:firstLine="472"/>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签字（签章）：                                       公章：</w:t>
      </w:r>
    </w:p>
    <w:p w14:paraId="2E82C4DC">
      <w:pPr>
        <w:pStyle w:val="25"/>
        <w:spacing w:line="360" w:lineRule="auto"/>
        <w:ind w:left="25" w:firstLine="352"/>
        <w:rPr>
          <w:rFonts w:hAnsi="宋体"/>
          <w:color w:val="000000" w:themeColor="text1"/>
          <w:sz w:val="24"/>
          <w:szCs w:val="24"/>
          <w:highlight w:val="none"/>
          <w14:textFill>
            <w14:solidFill>
              <w14:schemeClr w14:val="tx1"/>
            </w14:solidFill>
          </w14:textFill>
        </w:rPr>
      </w:pPr>
    </w:p>
    <w:p w14:paraId="30C02B60">
      <w:pPr>
        <w:pStyle w:val="25"/>
        <w:spacing w:line="360" w:lineRule="auto"/>
        <w:ind w:left="25" w:firstLine="472"/>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日期：</w:t>
      </w:r>
    </w:p>
    <w:p w14:paraId="59EF6064">
      <w:pPr>
        <w:pStyle w:val="25"/>
        <w:spacing w:line="360" w:lineRule="auto"/>
        <w:rPr>
          <w:rFonts w:hAnsi="宋体"/>
          <w:b/>
          <w:color w:val="000000" w:themeColor="text1"/>
          <w:sz w:val="24"/>
          <w:szCs w:val="24"/>
          <w:highlight w:val="none"/>
          <w14:textFill>
            <w14:solidFill>
              <w14:schemeClr w14:val="tx1"/>
            </w14:solidFill>
          </w14:textFill>
        </w:rPr>
      </w:pPr>
    </w:p>
    <w:p w14:paraId="0BC53C85">
      <w:pPr>
        <w:pStyle w:val="25"/>
        <w:spacing w:line="360" w:lineRule="auto"/>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说明：</w:t>
      </w:r>
    </w:p>
    <w:p w14:paraId="64028685">
      <w:pPr>
        <w:pStyle w:val="25"/>
        <w:spacing w:line="360" w:lineRule="auto"/>
        <w:ind w:left="25" w:firstLine="354"/>
        <w:rPr>
          <w:rFonts w:hAnsi="宋体"/>
          <w:b/>
          <w:bCs/>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1.供应商提出质疑时，应提交质疑函和必要的证明材料</w:t>
      </w:r>
      <w:r>
        <w:rPr>
          <w:rFonts w:hint="eastAsia" w:hAnsi="宋体"/>
          <w:b/>
          <w:bCs/>
          <w:color w:val="000000" w:themeColor="text1"/>
          <w:sz w:val="24"/>
          <w:szCs w:val="24"/>
          <w:highlight w:val="none"/>
          <w14:textFill>
            <w14:solidFill>
              <w14:schemeClr w14:val="tx1"/>
            </w14:solidFill>
          </w14:textFill>
        </w:rPr>
        <w:t>。</w:t>
      </w:r>
    </w:p>
    <w:p w14:paraId="77859B06">
      <w:pPr>
        <w:pStyle w:val="25"/>
        <w:spacing w:line="360" w:lineRule="auto"/>
        <w:ind w:left="25" w:firstLine="354"/>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08A9AC0">
      <w:pPr>
        <w:pStyle w:val="25"/>
        <w:spacing w:line="360" w:lineRule="auto"/>
        <w:ind w:left="25" w:firstLine="354"/>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3.质疑函的质疑事项应具体、明确，并有必要的事实依据和法律依据。</w:t>
      </w:r>
    </w:p>
    <w:p w14:paraId="6F7297CC">
      <w:pPr>
        <w:pStyle w:val="25"/>
        <w:spacing w:line="360" w:lineRule="auto"/>
        <w:ind w:left="25" w:firstLine="354"/>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4.质疑函的质疑请求应与质疑事项相关。</w:t>
      </w:r>
    </w:p>
    <w:p w14:paraId="23AFA282">
      <w:pPr>
        <w:pStyle w:val="25"/>
        <w:spacing w:line="360" w:lineRule="auto"/>
        <w:ind w:left="25" w:firstLine="354"/>
        <w:rPr>
          <w:rFonts w:hAnsi="宋体"/>
          <w:b/>
          <w:color w:val="000000" w:themeColor="text1"/>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5.质疑供应商为法人或者其他组织的，质疑函应由法定代表人、主要负责人，或者其授权代表签字或者盖章，并加盖公章。</w:t>
      </w:r>
    </w:p>
    <w:p w14:paraId="05D980B0">
      <w:pPr>
        <w:pStyle w:val="25"/>
        <w:rPr>
          <w:b/>
          <w:color w:val="000000" w:themeColor="text1"/>
          <w:sz w:val="24"/>
          <w:szCs w:val="24"/>
          <w:highlight w:val="none"/>
          <w14:textFill>
            <w14:solidFill>
              <w14:schemeClr w14:val="tx1"/>
            </w14:solidFill>
          </w14:textFill>
        </w:rPr>
      </w:pPr>
    </w:p>
    <w:p w14:paraId="534F5131">
      <w:pPr>
        <w:spacing w:line="360" w:lineRule="auto"/>
        <w:jc w:val="left"/>
        <w:rPr>
          <w:rFonts w:ascii="宋体" w:hAnsi="宋体"/>
          <w:b/>
          <w:bCs/>
          <w:color w:val="000000" w:themeColor="text1"/>
          <w:sz w:val="32"/>
          <w:szCs w:val="32"/>
          <w:highlight w:val="none"/>
          <w14:textFill>
            <w14:solidFill>
              <w14:schemeClr w14:val="tx1"/>
            </w14:solidFill>
          </w14:textFill>
        </w:rPr>
      </w:pPr>
      <w:r>
        <w:rPr>
          <w:rFonts w:eastAsia="隶书"/>
          <w:color w:val="000000" w:themeColor="text1"/>
          <w:sz w:val="44"/>
          <w:highlight w:val="none"/>
          <w14:textFill>
            <w14:solidFill>
              <w14:schemeClr w14:val="tx1"/>
            </w14:solidFill>
          </w14:textFill>
        </w:rPr>
        <w:br w:type="page" w:clear="all"/>
      </w:r>
      <w:r>
        <w:rPr>
          <w:rFonts w:hint="eastAsia" w:ascii="宋体" w:hAnsi="宋体" w:eastAsia="隶书"/>
          <w:b/>
          <w:color w:val="000000" w:themeColor="text1"/>
          <w:sz w:val="24"/>
          <w:highlight w:val="none"/>
          <w14:textFill>
            <w14:solidFill>
              <w14:schemeClr w14:val="tx1"/>
            </w14:solidFill>
          </w14:textFill>
        </w:rPr>
        <w:t>5</w:t>
      </w:r>
      <w:r>
        <w:rPr>
          <w:rFonts w:hint="eastAsia" w:ascii="宋体" w:hAnsi="宋体"/>
          <w:b/>
          <w:color w:val="000000" w:themeColor="text1"/>
          <w:sz w:val="24"/>
          <w:highlight w:val="none"/>
          <w14:textFill>
            <w14:solidFill>
              <w14:schemeClr w14:val="tx1"/>
            </w14:solidFill>
          </w14:textFill>
        </w:rPr>
        <w:t>.投诉书（格式）</w:t>
      </w:r>
    </w:p>
    <w:p w14:paraId="5DA258DF">
      <w:pPr>
        <w:spacing w:line="360" w:lineRule="auto"/>
        <w:jc w:val="center"/>
        <w:rPr>
          <w:rFonts w:ascii="方正小标宋简体" w:hAnsi="方正小标宋简体" w:eastAsia="方正小标宋简体" w:cs="方正小标宋简体"/>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t>投诉书（格式）</w:t>
      </w:r>
    </w:p>
    <w:p w14:paraId="35CF801C">
      <w:pPr>
        <w:pStyle w:val="25"/>
        <w:spacing w:line="360" w:lineRule="auto"/>
        <w:ind w:firstLine="482"/>
        <w:rPr>
          <w:rFonts w:hAnsi="宋体"/>
          <w:b/>
          <w:bCs/>
          <w:color w:val="000000" w:themeColor="text1"/>
          <w:sz w:val="24"/>
          <w:szCs w:val="24"/>
          <w:highlight w:val="none"/>
          <w14:textFill>
            <w14:solidFill>
              <w14:schemeClr w14:val="tx1"/>
            </w14:solidFill>
          </w14:textFill>
        </w:rPr>
      </w:pPr>
      <w:r>
        <w:rPr>
          <w:rFonts w:hint="eastAsia" w:hAnsi="宋体"/>
          <w:b/>
          <w:bCs/>
          <w:color w:val="000000" w:themeColor="text1"/>
          <w:sz w:val="24"/>
          <w:szCs w:val="24"/>
          <w:highlight w:val="none"/>
          <w14:textFill>
            <w14:solidFill>
              <w14:schemeClr w14:val="tx1"/>
            </w14:solidFill>
          </w14:textFill>
        </w:rPr>
        <w:t>一、投诉相关主体基本情况：</w:t>
      </w:r>
    </w:p>
    <w:p w14:paraId="6DB26774">
      <w:pPr>
        <w:pStyle w:val="25"/>
        <w:spacing w:line="360" w:lineRule="auto"/>
        <w:ind w:firstLine="480"/>
        <w:jc w:val="left"/>
        <w:rPr>
          <w:rFonts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投标人：</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 xml:space="preserve">                 </w:t>
      </w:r>
    </w:p>
    <w:p w14:paraId="39A1D8C8">
      <w:pPr>
        <w:pStyle w:val="25"/>
        <w:spacing w:line="360" w:lineRule="auto"/>
        <w:ind w:firstLine="480"/>
        <w:jc w:val="left"/>
        <w:rPr>
          <w:rFonts w:hAnsi="宋体"/>
          <w:bCs/>
          <w:color w:val="000000" w:themeColor="text1"/>
          <w:sz w:val="24"/>
          <w:szCs w:val="24"/>
          <w:highlight w:val="none"/>
          <w14:textFill>
            <w14:solidFill>
              <w14:schemeClr w14:val="tx1"/>
            </w14:solidFill>
          </w14:textFill>
        </w:rPr>
      </w:pPr>
      <w:r>
        <w:rPr>
          <w:rFonts w:hAnsi="宋体"/>
          <w:bCs/>
          <w:color w:val="000000" w:themeColor="text1"/>
          <w:sz w:val="24"/>
          <w:szCs w:val="24"/>
          <w:highlight w:val="none"/>
          <w14:textFill>
            <w14:solidFill>
              <w14:schemeClr w14:val="tx1"/>
            </w14:solidFill>
          </w14:textFill>
        </w:rPr>
        <w:t>地址</w:t>
      </w:r>
      <w:r>
        <w:rPr>
          <w:rFonts w:hint="eastAsia" w:hAnsi="宋体"/>
          <w:bCs/>
          <w:color w:val="000000" w:themeColor="text1"/>
          <w:sz w:val="24"/>
          <w:szCs w:val="24"/>
          <w:highlight w:val="none"/>
          <w14:textFill>
            <w14:solidFill>
              <w14:schemeClr w14:val="tx1"/>
            </w14:solidFill>
          </w14:textFill>
        </w:rPr>
        <w:t>：</w:t>
      </w:r>
      <w:r>
        <w:rPr>
          <w:rFonts w:hint="eastAsia" w:hAnsi="宋体"/>
          <w:bCs/>
          <w:color w:val="000000" w:themeColor="text1"/>
          <w:sz w:val="24"/>
          <w:szCs w:val="24"/>
          <w:highlight w:val="none"/>
          <w:u w:val="single"/>
          <w14:textFill>
            <w14:solidFill>
              <w14:schemeClr w14:val="tx1"/>
            </w14:solidFill>
          </w14:textFill>
        </w:rPr>
        <w:t xml:space="preserve">                                          </w:t>
      </w:r>
      <w:r>
        <w:rPr>
          <w:rFonts w:hAnsi="宋体"/>
          <w:bCs/>
          <w:color w:val="000000" w:themeColor="text1"/>
          <w:sz w:val="24"/>
          <w:szCs w:val="24"/>
          <w:highlight w:val="none"/>
          <w14:textFill>
            <w14:solidFill>
              <w14:schemeClr w14:val="tx1"/>
            </w14:solidFill>
          </w14:textFill>
        </w:rPr>
        <w:t>邮编</w:t>
      </w:r>
      <w:r>
        <w:rPr>
          <w:rFonts w:hint="eastAsia" w:hAnsi="宋体"/>
          <w:bCs/>
          <w:color w:val="000000" w:themeColor="text1"/>
          <w:sz w:val="24"/>
          <w:szCs w:val="24"/>
          <w:highlight w:val="none"/>
          <w14:textFill>
            <w14:solidFill>
              <w14:schemeClr w14:val="tx1"/>
            </w14:solidFill>
          </w14:textFill>
        </w:rPr>
        <w:t>：</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 xml:space="preserve">                 </w:t>
      </w:r>
    </w:p>
    <w:p w14:paraId="3600D3E2">
      <w:pPr>
        <w:pStyle w:val="25"/>
        <w:spacing w:line="360" w:lineRule="auto"/>
        <w:ind w:firstLine="480"/>
        <w:jc w:val="left"/>
        <w:rPr>
          <w:rFonts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法定代表人/主要负责人：</w:t>
      </w:r>
      <w:r>
        <w:rPr>
          <w:rFonts w:hint="eastAsia" w:hAnsi="宋体"/>
          <w:bCs/>
          <w:color w:val="000000" w:themeColor="text1"/>
          <w:sz w:val="24"/>
          <w:szCs w:val="24"/>
          <w:highlight w:val="none"/>
          <w:u w:val="single"/>
          <w14:textFill>
            <w14:solidFill>
              <w14:schemeClr w14:val="tx1"/>
            </w14:solidFill>
          </w14:textFill>
        </w:rPr>
        <w:t xml:space="preserve">                                                         </w:t>
      </w:r>
    </w:p>
    <w:p w14:paraId="4DB540F0">
      <w:pPr>
        <w:pStyle w:val="25"/>
        <w:spacing w:line="360" w:lineRule="auto"/>
        <w:ind w:firstLine="480"/>
        <w:jc w:val="left"/>
        <w:rPr>
          <w:rFonts w:hAnsi="宋体"/>
          <w:bCs/>
          <w:color w:val="000000" w:themeColor="text1"/>
          <w:sz w:val="24"/>
          <w:szCs w:val="24"/>
          <w:highlight w:val="none"/>
          <w14:textFill>
            <w14:solidFill>
              <w14:schemeClr w14:val="tx1"/>
            </w14:solidFill>
          </w14:textFill>
        </w:rPr>
      </w:pPr>
      <w:r>
        <w:rPr>
          <w:rFonts w:hAnsi="宋体"/>
          <w:bCs/>
          <w:color w:val="000000" w:themeColor="text1"/>
          <w:sz w:val="24"/>
          <w:szCs w:val="24"/>
          <w:highlight w:val="none"/>
          <w14:textFill>
            <w14:solidFill>
              <w14:schemeClr w14:val="tx1"/>
            </w14:solidFill>
          </w14:textFill>
        </w:rPr>
        <w:t>联系电话</w:t>
      </w:r>
      <w:r>
        <w:rPr>
          <w:rFonts w:hint="eastAsia" w:hAnsi="宋体"/>
          <w:bCs/>
          <w:color w:val="000000" w:themeColor="text1"/>
          <w:sz w:val="24"/>
          <w:szCs w:val="24"/>
          <w:highlight w:val="none"/>
          <w14:textFill>
            <w14:solidFill>
              <w14:schemeClr w14:val="tx1"/>
            </w14:solidFill>
          </w14:textFill>
        </w:rPr>
        <w:t>：</w:t>
      </w:r>
      <w:r>
        <w:rPr>
          <w:rFonts w:hint="eastAsia" w:hAnsi="宋体"/>
          <w:bCs/>
          <w:color w:val="000000" w:themeColor="text1"/>
          <w:sz w:val="24"/>
          <w:szCs w:val="24"/>
          <w:highlight w:val="none"/>
          <w:u w:val="single"/>
          <w14:textFill>
            <w14:solidFill>
              <w14:schemeClr w14:val="tx1"/>
            </w14:solidFill>
          </w14:textFill>
        </w:rPr>
        <w:t xml:space="preserve">                                         </w:t>
      </w:r>
    </w:p>
    <w:p w14:paraId="784949CF">
      <w:pPr>
        <w:pStyle w:val="25"/>
        <w:spacing w:line="360" w:lineRule="auto"/>
        <w:ind w:firstLine="480"/>
        <w:jc w:val="left"/>
        <w:rPr>
          <w:rFonts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授权代表：</w:t>
      </w:r>
      <w:r>
        <w:rPr>
          <w:rFonts w:hint="eastAsia" w:hAnsi="宋体"/>
          <w:bCs/>
          <w:color w:val="000000" w:themeColor="text1"/>
          <w:sz w:val="24"/>
          <w:szCs w:val="24"/>
          <w:highlight w:val="none"/>
          <w:u w:val="single"/>
          <w14:textFill>
            <w14:solidFill>
              <w14:schemeClr w14:val="tx1"/>
            </w14:solidFill>
          </w14:textFill>
        </w:rPr>
        <w:t xml:space="preserve">                                         </w:t>
      </w:r>
      <w:r>
        <w:rPr>
          <w:rFonts w:hAnsi="宋体"/>
          <w:bCs/>
          <w:color w:val="000000" w:themeColor="text1"/>
          <w:sz w:val="24"/>
          <w:szCs w:val="24"/>
          <w:highlight w:val="none"/>
          <w14:textFill>
            <w14:solidFill>
              <w14:schemeClr w14:val="tx1"/>
            </w14:solidFill>
          </w14:textFill>
        </w:rPr>
        <w:t>联系</w:t>
      </w:r>
      <w:r>
        <w:rPr>
          <w:rFonts w:hint="eastAsia" w:hAnsi="宋体"/>
          <w:bCs/>
          <w:color w:val="000000" w:themeColor="text1"/>
          <w:sz w:val="24"/>
          <w:szCs w:val="24"/>
          <w:highlight w:val="none"/>
          <w14:textFill>
            <w14:solidFill>
              <w14:schemeClr w14:val="tx1"/>
            </w14:solidFill>
          </w14:textFill>
        </w:rPr>
        <w:t>电话：</w:t>
      </w:r>
      <w:r>
        <w:rPr>
          <w:rFonts w:hint="eastAsia" w:hAnsi="宋体"/>
          <w:bCs/>
          <w:color w:val="000000" w:themeColor="text1"/>
          <w:sz w:val="24"/>
          <w:szCs w:val="24"/>
          <w:highlight w:val="none"/>
          <w:u w:val="single"/>
          <w14:textFill>
            <w14:solidFill>
              <w14:schemeClr w14:val="tx1"/>
            </w14:solidFill>
          </w14:textFill>
        </w:rPr>
        <w:t xml:space="preserve">                   </w:t>
      </w:r>
    </w:p>
    <w:p w14:paraId="2589CFED">
      <w:pPr>
        <w:pStyle w:val="25"/>
        <w:spacing w:line="360" w:lineRule="auto"/>
        <w:ind w:firstLine="480"/>
        <w:jc w:val="left"/>
        <w:rPr>
          <w:rFonts w:hAnsi="宋体"/>
          <w:bCs/>
          <w:color w:val="000000" w:themeColor="text1"/>
          <w:sz w:val="24"/>
          <w:szCs w:val="24"/>
          <w:highlight w:val="none"/>
          <w:u w:val="single"/>
          <w14:textFill>
            <w14:solidFill>
              <w14:schemeClr w14:val="tx1"/>
            </w14:solidFill>
          </w14:textFill>
        </w:rPr>
      </w:pPr>
      <w:r>
        <w:rPr>
          <w:rFonts w:hAnsi="宋体"/>
          <w:bCs/>
          <w:color w:val="000000" w:themeColor="text1"/>
          <w:sz w:val="24"/>
          <w:szCs w:val="24"/>
          <w:highlight w:val="none"/>
          <w14:textFill>
            <w14:solidFill>
              <w14:schemeClr w14:val="tx1"/>
            </w14:solidFill>
          </w14:textFill>
        </w:rPr>
        <w:t>地址</w:t>
      </w:r>
      <w:r>
        <w:rPr>
          <w:rFonts w:hint="eastAsia" w:hAnsi="宋体"/>
          <w:bCs/>
          <w:color w:val="000000" w:themeColor="text1"/>
          <w:sz w:val="24"/>
          <w:szCs w:val="24"/>
          <w:highlight w:val="none"/>
          <w14:textFill>
            <w14:solidFill>
              <w14:schemeClr w14:val="tx1"/>
            </w14:solidFill>
          </w14:textFill>
        </w:rPr>
        <w:t>：</w:t>
      </w:r>
      <w:r>
        <w:rPr>
          <w:rFonts w:hint="eastAsia" w:hAnsi="宋体"/>
          <w:bCs/>
          <w:color w:val="000000" w:themeColor="text1"/>
          <w:sz w:val="24"/>
          <w:szCs w:val="24"/>
          <w:highlight w:val="none"/>
          <w:u w:val="single"/>
          <w14:textFill>
            <w14:solidFill>
              <w14:schemeClr w14:val="tx1"/>
            </w14:solidFill>
          </w14:textFill>
        </w:rPr>
        <w:t xml:space="preserve">                                                            </w:t>
      </w:r>
    </w:p>
    <w:p w14:paraId="63F3523A">
      <w:pPr>
        <w:pStyle w:val="25"/>
        <w:spacing w:line="360" w:lineRule="auto"/>
        <w:ind w:firstLine="480"/>
        <w:jc w:val="left"/>
        <w:rPr>
          <w:rFonts w:hAnsi="宋体"/>
          <w:bCs/>
          <w:color w:val="000000" w:themeColor="text1"/>
          <w:sz w:val="24"/>
          <w:szCs w:val="24"/>
          <w:highlight w:val="none"/>
          <w14:textFill>
            <w14:solidFill>
              <w14:schemeClr w14:val="tx1"/>
            </w14:solidFill>
          </w14:textFill>
        </w:rPr>
      </w:pPr>
      <w:r>
        <w:rPr>
          <w:rFonts w:hAnsi="宋体"/>
          <w:bCs/>
          <w:color w:val="000000" w:themeColor="text1"/>
          <w:sz w:val="24"/>
          <w:szCs w:val="24"/>
          <w:highlight w:val="none"/>
          <w14:textFill>
            <w14:solidFill>
              <w14:schemeClr w14:val="tx1"/>
            </w14:solidFill>
          </w14:textFill>
        </w:rPr>
        <w:t>邮编</w:t>
      </w:r>
      <w:r>
        <w:rPr>
          <w:rFonts w:hint="eastAsia" w:hAnsi="宋体"/>
          <w:bCs/>
          <w:color w:val="000000" w:themeColor="text1"/>
          <w:sz w:val="24"/>
          <w:szCs w:val="24"/>
          <w:highlight w:val="none"/>
          <w14:textFill>
            <w14:solidFill>
              <w14:schemeClr w14:val="tx1"/>
            </w14:solidFill>
          </w14:textFill>
        </w:rPr>
        <w:t>：</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 xml:space="preserve">   </w:t>
      </w:r>
    </w:p>
    <w:p w14:paraId="1F42A543">
      <w:pPr>
        <w:pStyle w:val="25"/>
        <w:spacing w:line="360" w:lineRule="auto"/>
        <w:ind w:firstLine="480"/>
        <w:jc w:val="left"/>
        <w:rPr>
          <w:rFonts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被投诉人1：</w:t>
      </w:r>
    </w:p>
    <w:p w14:paraId="2621B7F7">
      <w:pPr>
        <w:pStyle w:val="25"/>
        <w:spacing w:line="360" w:lineRule="auto"/>
        <w:ind w:firstLine="480"/>
        <w:jc w:val="left"/>
        <w:rPr>
          <w:rFonts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地址：</w:t>
      </w:r>
      <w:r>
        <w:rPr>
          <w:rFonts w:hint="eastAsia" w:hAnsi="宋体"/>
          <w:bCs/>
          <w:color w:val="000000" w:themeColor="text1"/>
          <w:sz w:val="24"/>
          <w:szCs w:val="24"/>
          <w:highlight w:val="none"/>
          <w:u w:val="single"/>
          <w14:textFill>
            <w14:solidFill>
              <w14:schemeClr w14:val="tx1"/>
            </w14:solidFill>
          </w14:textFill>
        </w:rPr>
        <w:t xml:space="preserve">                                                            </w:t>
      </w:r>
    </w:p>
    <w:p w14:paraId="4CBD7F21">
      <w:pPr>
        <w:pStyle w:val="25"/>
        <w:spacing w:line="360" w:lineRule="auto"/>
        <w:ind w:firstLine="480"/>
        <w:jc w:val="left"/>
        <w:rPr>
          <w:rFonts w:hAnsi="宋体"/>
          <w:bCs/>
          <w:color w:val="000000" w:themeColor="text1"/>
          <w:sz w:val="24"/>
          <w:szCs w:val="24"/>
          <w:highlight w:val="none"/>
          <w14:textFill>
            <w14:solidFill>
              <w14:schemeClr w14:val="tx1"/>
            </w14:solidFill>
          </w14:textFill>
        </w:rPr>
      </w:pPr>
      <w:r>
        <w:rPr>
          <w:rFonts w:hAnsi="宋体"/>
          <w:bCs/>
          <w:color w:val="000000" w:themeColor="text1"/>
          <w:sz w:val="24"/>
          <w:szCs w:val="24"/>
          <w:highlight w:val="none"/>
          <w14:textFill>
            <w14:solidFill>
              <w14:schemeClr w14:val="tx1"/>
            </w14:solidFill>
          </w14:textFill>
        </w:rPr>
        <w:t>邮编</w:t>
      </w:r>
      <w:r>
        <w:rPr>
          <w:rFonts w:hint="eastAsia" w:hAnsi="宋体"/>
          <w:bCs/>
          <w:color w:val="000000" w:themeColor="text1"/>
          <w:sz w:val="24"/>
          <w:szCs w:val="24"/>
          <w:highlight w:val="none"/>
          <w14:textFill>
            <w14:solidFill>
              <w14:schemeClr w14:val="tx1"/>
            </w14:solidFill>
          </w14:textFill>
        </w:rPr>
        <w:t>：</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 xml:space="preserve">  </w:t>
      </w:r>
    </w:p>
    <w:p w14:paraId="102210A6">
      <w:pPr>
        <w:pStyle w:val="25"/>
        <w:spacing w:line="360" w:lineRule="auto"/>
        <w:ind w:firstLine="480"/>
        <w:jc w:val="left"/>
        <w:rPr>
          <w:rFonts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联系人：</w:t>
      </w:r>
      <w:r>
        <w:rPr>
          <w:rFonts w:hint="eastAsia" w:hAnsi="宋体"/>
          <w:bCs/>
          <w:color w:val="000000" w:themeColor="text1"/>
          <w:sz w:val="24"/>
          <w:szCs w:val="24"/>
          <w:highlight w:val="none"/>
          <w:u w:val="single"/>
          <w14:textFill>
            <w14:solidFill>
              <w14:schemeClr w14:val="tx1"/>
            </w14:solidFill>
          </w14:textFill>
        </w:rPr>
        <w:t xml:space="preserve">                            </w:t>
      </w:r>
      <w:r>
        <w:rPr>
          <w:rFonts w:hAnsi="宋体"/>
          <w:bCs/>
          <w:color w:val="000000" w:themeColor="text1"/>
          <w:sz w:val="24"/>
          <w:szCs w:val="24"/>
          <w:highlight w:val="none"/>
          <w14:textFill>
            <w14:solidFill>
              <w14:schemeClr w14:val="tx1"/>
            </w14:solidFill>
          </w14:textFill>
        </w:rPr>
        <w:t>联系</w:t>
      </w:r>
      <w:r>
        <w:rPr>
          <w:rFonts w:hint="eastAsia" w:hAnsi="宋体"/>
          <w:bCs/>
          <w:color w:val="000000" w:themeColor="text1"/>
          <w:sz w:val="24"/>
          <w:szCs w:val="24"/>
          <w:highlight w:val="none"/>
          <w14:textFill>
            <w14:solidFill>
              <w14:schemeClr w14:val="tx1"/>
            </w14:solidFill>
          </w14:textFill>
        </w:rPr>
        <w:t>电话：</w:t>
      </w:r>
      <w:r>
        <w:rPr>
          <w:rFonts w:hint="eastAsia" w:hAnsi="宋体"/>
          <w:bCs/>
          <w:color w:val="000000" w:themeColor="text1"/>
          <w:sz w:val="24"/>
          <w:szCs w:val="24"/>
          <w:highlight w:val="none"/>
          <w:u w:val="single"/>
          <w14:textFill>
            <w14:solidFill>
              <w14:schemeClr w14:val="tx1"/>
            </w14:solidFill>
          </w14:textFill>
        </w:rPr>
        <w:t xml:space="preserve">                </w:t>
      </w:r>
    </w:p>
    <w:p w14:paraId="770910AC">
      <w:pPr>
        <w:pStyle w:val="25"/>
        <w:spacing w:line="360" w:lineRule="auto"/>
        <w:ind w:firstLine="480"/>
        <w:jc w:val="left"/>
        <w:rPr>
          <w:rFonts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被投诉人2：</w:t>
      </w:r>
    </w:p>
    <w:p w14:paraId="0B5CC464">
      <w:pPr>
        <w:pStyle w:val="25"/>
        <w:spacing w:line="360" w:lineRule="auto"/>
        <w:ind w:firstLine="480"/>
        <w:jc w:val="left"/>
        <w:rPr>
          <w:rFonts w:hAnsi="宋体"/>
          <w:bCs/>
          <w:color w:val="000000" w:themeColor="text1"/>
          <w:sz w:val="24"/>
          <w:szCs w:val="24"/>
          <w:highlight w:val="none"/>
          <w14:textFill>
            <w14:solidFill>
              <w14:schemeClr w14:val="tx1"/>
            </w14:solidFill>
          </w14:textFill>
        </w:rPr>
      </w:pPr>
      <w:r>
        <w:rPr>
          <w:rFonts w:hAnsi="宋体"/>
          <w:bCs/>
          <w:color w:val="000000" w:themeColor="text1"/>
          <w:sz w:val="24"/>
          <w:szCs w:val="24"/>
          <w:highlight w:val="none"/>
          <w14:textFill>
            <w14:solidFill>
              <w14:schemeClr w14:val="tx1"/>
            </w14:solidFill>
          </w14:textFill>
        </w:rPr>
        <w:t>……</w:t>
      </w:r>
    </w:p>
    <w:p w14:paraId="6715CD21">
      <w:pPr>
        <w:pStyle w:val="25"/>
        <w:spacing w:line="360" w:lineRule="auto"/>
        <w:ind w:firstLine="480"/>
        <w:jc w:val="left"/>
        <w:rPr>
          <w:rFonts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相关供应商：</w:t>
      </w:r>
      <w:r>
        <w:rPr>
          <w:rFonts w:hint="eastAsia" w:hAnsi="宋体"/>
          <w:bCs/>
          <w:color w:val="000000" w:themeColor="text1"/>
          <w:sz w:val="24"/>
          <w:szCs w:val="24"/>
          <w:highlight w:val="none"/>
          <w:u w:val="single"/>
          <w14:textFill>
            <w14:solidFill>
              <w14:schemeClr w14:val="tx1"/>
            </w14:solidFill>
          </w14:textFill>
        </w:rPr>
        <w:t xml:space="preserve">                                                                       </w:t>
      </w:r>
    </w:p>
    <w:p w14:paraId="7B5ADD75">
      <w:pPr>
        <w:pStyle w:val="25"/>
        <w:spacing w:line="360" w:lineRule="auto"/>
        <w:ind w:firstLine="480"/>
        <w:jc w:val="left"/>
        <w:rPr>
          <w:rFonts w:hAnsi="宋体"/>
          <w:bCs/>
          <w:color w:val="000000" w:themeColor="text1"/>
          <w:sz w:val="24"/>
          <w:szCs w:val="24"/>
          <w:highlight w:val="none"/>
          <w:u w:val="single"/>
          <w14:textFill>
            <w14:solidFill>
              <w14:schemeClr w14:val="tx1"/>
            </w14:solidFill>
          </w14:textFill>
        </w:rPr>
      </w:pPr>
      <w:r>
        <w:rPr>
          <w:rFonts w:hAnsi="宋体"/>
          <w:bCs/>
          <w:color w:val="000000" w:themeColor="text1"/>
          <w:sz w:val="24"/>
          <w:szCs w:val="24"/>
          <w:highlight w:val="none"/>
          <w14:textFill>
            <w14:solidFill>
              <w14:schemeClr w14:val="tx1"/>
            </w14:solidFill>
          </w14:textFill>
        </w:rPr>
        <w:t>地址</w:t>
      </w:r>
      <w:r>
        <w:rPr>
          <w:rFonts w:hint="eastAsia" w:hAnsi="宋体"/>
          <w:bCs/>
          <w:color w:val="000000" w:themeColor="text1"/>
          <w:sz w:val="24"/>
          <w:szCs w:val="24"/>
          <w:highlight w:val="none"/>
          <w14:textFill>
            <w14:solidFill>
              <w14:schemeClr w14:val="tx1"/>
            </w14:solidFill>
          </w14:textFill>
        </w:rPr>
        <w:t>：</w:t>
      </w:r>
      <w:r>
        <w:rPr>
          <w:rFonts w:hint="eastAsia" w:hAnsi="宋体"/>
          <w:bCs/>
          <w:color w:val="000000" w:themeColor="text1"/>
          <w:sz w:val="24"/>
          <w:szCs w:val="24"/>
          <w:highlight w:val="none"/>
          <w:u w:val="single"/>
          <w14:textFill>
            <w14:solidFill>
              <w14:schemeClr w14:val="tx1"/>
            </w14:solidFill>
          </w14:textFill>
        </w:rPr>
        <w:t xml:space="preserve">                                              </w:t>
      </w:r>
      <w:r>
        <w:rPr>
          <w:rFonts w:hAnsi="宋体"/>
          <w:bCs/>
          <w:color w:val="000000" w:themeColor="text1"/>
          <w:sz w:val="24"/>
          <w:szCs w:val="24"/>
          <w:highlight w:val="none"/>
          <w14:textFill>
            <w14:solidFill>
              <w14:schemeClr w14:val="tx1"/>
            </w14:solidFill>
          </w14:textFill>
        </w:rPr>
        <w:t>邮编</w:t>
      </w:r>
      <w:r>
        <w:rPr>
          <w:rFonts w:hint="eastAsia" w:hAnsi="宋体"/>
          <w:bCs/>
          <w:color w:val="000000" w:themeColor="text1"/>
          <w:sz w:val="24"/>
          <w:szCs w:val="24"/>
          <w:highlight w:val="none"/>
          <w14:textFill>
            <w14:solidFill>
              <w14:schemeClr w14:val="tx1"/>
            </w14:solidFill>
          </w14:textFill>
        </w:rPr>
        <w:t>：</w:t>
      </w:r>
      <w:r>
        <w:rPr>
          <w:rFonts w:hint="eastAsia" w:hAnsi="宋体"/>
          <w:bCs/>
          <w:color w:val="000000" w:themeColor="text1"/>
          <w:sz w:val="24"/>
          <w:szCs w:val="24"/>
          <w:highlight w:val="none"/>
          <w:u w:val="single"/>
          <w14:textFill>
            <w14:solidFill>
              <w14:schemeClr w14:val="tx1"/>
            </w14:solidFill>
          </w14:textFill>
        </w:rPr>
        <w:t xml:space="preserve">                         </w:t>
      </w:r>
    </w:p>
    <w:p w14:paraId="0D2A10FE">
      <w:pPr>
        <w:pStyle w:val="25"/>
        <w:spacing w:line="360" w:lineRule="auto"/>
        <w:ind w:firstLine="480"/>
        <w:jc w:val="left"/>
        <w:rPr>
          <w:rFonts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联系人：</w:t>
      </w:r>
      <w:r>
        <w:rPr>
          <w:rFonts w:hint="eastAsia" w:hAnsi="宋体"/>
          <w:bCs/>
          <w:color w:val="000000" w:themeColor="text1"/>
          <w:sz w:val="24"/>
          <w:szCs w:val="24"/>
          <w:highlight w:val="none"/>
          <w:u w:val="single"/>
          <w14:textFill>
            <w14:solidFill>
              <w14:schemeClr w14:val="tx1"/>
            </w14:solidFill>
          </w14:textFill>
        </w:rPr>
        <w:t xml:space="preserve">                                            </w:t>
      </w:r>
      <w:r>
        <w:rPr>
          <w:rFonts w:hAnsi="宋体"/>
          <w:bCs/>
          <w:color w:val="000000" w:themeColor="text1"/>
          <w:sz w:val="24"/>
          <w:szCs w:val="24"/>
          <w:highlight w:val="none"/>
          <w14:textFill>
            <w14:solidFill>
              <w14:schemeClr w14:val="tx1"/>
            </w14:solidFill>
          </w14:textFill>
        </w:rPr>
        <w:t>联系</w:t>
      </w:r>
      <w:r>
        <w:rPr>
          <w:rFonts w:hint="eastAsia" w:hAnsi="宋体"/>
          <w:bCs/>
          <w:color w:val="000000" w:themeColor="text1"/>
          <w:sz w:val="24"/>
          <w:szCs w:val="24"/>
          <w:highlight w:val="none"/>
          <w14:textFill>
            <w14:solidFill>
              <w14:schemeClr w14:val="tx1"/>
            </w14:solidFill>
          </w14:textFill>
        </w:rPr>
        <w:t>电话：</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 xml:space="preserve">                </w:t>
      </w:r>
    </w:p>
    <w:p w14:paraId="7A2FDF34">
      <w:pPr>
        <w:pStyle w:val="25"/>
        <w:spacing w:line="360" w:lineRule="auto"/>
        <w:ind w:firstLine="482"/>
        <w:rPr>
          <w:rFonts w:hAnsi="宋体"/>
          <w:b/>
          <w:bCs/>
          <w:color w:val="000000" w:themeColor="text1"/>
          <w:sz w:val="24"/>
          <w:szCs w:val="24"/>
          <w:highlight w:val="none"/>
          <w14:textFill>
            <w14:solidFill>
              <w14:schemeClr w14:val="tx1"/>
            </w14:solidFill>
          </w14:textFill>
        </w:rPr>
      </w:pPr>
      <w:r>
        <w:rPr>
          <w:rFonts w:hint="eastAsia" w:hAnsi="宋体"/>
          <w:b/>
          <w:bCs/>
          <w:color w:val="000000" w:themeColor="text1"/>
          <w:sz w:val="24"/>
          <w:szCs w:val="24"/>
          <w:highlight w:val="none"/>
          <w14:textFill>
            <w14:solidFill>
              <w14:schemeClr w14:val="tx1"/>
            </w14:solidFill>
          </w14:textFill>
        </w:rPr>
        <w:t>二、投诉项目基本情况：</w:t>
      </w:r>
    </w:p>
    <w:p w14:paraId="48D06B04">
      <w:pPr>
        <w:pStyle w:val="25"/>
        <w:spacing w:line="360" w:lineRule="auto"/>
        <w:ind w:left="25" w:firstLine="472"/>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招标项目的名称：</w:t>
      </w:r>
      <w:r>
        <w:rPr>
          <w:rFonts w:hint="eastAsia" w:hAnsi="宋体"/>
          <w:bCs/>
          <w:color w:val="000000" w:themeColor="text1"/>
          <w:sz w:val="24"/>
          <w:szCs w:val="24"/>
          <w:highlight w:val="none"/>
          <w:u w:val="single"/>
          <w14:textFill>
            <w14:solidFill>
              <w14:schemeClr w14:val="tx1"/>
            </w14:solidFill>
          </w14:textFill>
        </w:rPr>
        <w:t xml:space="preserve">                                                                   </w:t>
      </w:r>
    </w:p>
    <w:p w14:paraId="47BD8B6D">
      <w:pPr>
        <w:pStyle w:val="25"/>
        <w:spacing w:line="360" w:lineRule="auto"/>
        <w:ind w:left="25" w:firstLine="472"/>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招标项目的编号：</w:t>
      </w:r>
      <w:r>
        <w:rPr>
          <w:rFonts w:hint="eastAsia" w:hAnsi="宋体"/>
          <w:bCs/>
          <w:color w:val="000000" w:themeColor="text1"/>
          <w:sz w:val="24"/>
          <w:szCs w:val="24"/>
          <w:highlight w:val="none"/>
          <w:u w:val="single"/>
          <w14:textFill>
            <w14:solidFill>
              <w14:schemeClr w14:val="tx1"/>
            </w14:solidFill>
          </w14:textFill>
        </w:rPr>
        <w:t xml:space="preserve">                                          </w:t>
      </w:r>
    </w:p>
    <w:p w14:paraId="0AFA07C1">
      <w:pPr>
        <w:pStyle w:val="25"/>
        <w:spacing w:line="360" w:lineRule="auto"/>
        <w:ind w:left="25" w:firstLine="472"/>
        <w:rPr>
          <w:rFonts w:hAnsi="宋体"/>
          <w:bCs/>
          <w:color w:val="000000" w:themeColor="text1"/>
          <w:sz w:val="24"/>
          <w:szCs w:val="24"/>
          <w:highlight w:val="none"/>
          <w:u w:val="singl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采购人名称：</w:t>
      </w:r>
      <w:r>
        <w:rPr>
          <w:rFonts w:hint="eastAsia" w:hAnsi="宋体"/>
          <w:bCs/>
          <w:color w:val="000000" w:themeColor="text1"/>
          <w:sz w:val="24"/>
          <w:szCs w:val="24"/>
          <w:highlight w:val="none"/>
          <w:u w:val="single"/>
          <w14:textFill>
            <w14:solidFill>
              <w14:schemeClr w14:val="tx1"/>
            </w14:solidFill>
          </w14:textFill>
        </w:rPr>
        <w:t xml:space="preserve">                                                                        </w:t>
      </w:r>
    </w:p>
    <w:p w14:paraId="484F1C27">
      <w:pPr>
        <w:pStyle w:val="25"/>
        <w:spacing w:line="360" w:lineRule="auto"/>
        <w:ind w:left="25" w:firstLine="472"/>
        <w:rPr>
          <w:rFonts w:hAnsi="宋体"/>
          <w:bCs/>
          <w:color w:val="000000" w:themeColor="text1"/>
          <w:sz w:val="24"/>
          <w:szCs w:val="24"/>
          <w:highlight w:val="none"/>
          <w:u w:val="singl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代理机构名称：</w:t>
      </w:r>
      <w:r>
        <w:rPr>
          <w:rFonts w:hint="eastAsia" w:hAnsi="宋体"/>
          <w:bCs/>
          <w:color w:val="000000" w:themeColor="text1"/>
          <w:sz w:val="24"/>
          <w:szCs w:val="24"/>
          <w:highlight w:val="none"/>
          <w:u w:val="single"/>
          <w14:textFill>
            <w14:solidFill>
              <w14:schemeClr w14:val="tx1"/>
            </w14:solidFill>
          </w14:textFill>
        </w:rPr>
        <w:t xml:space="preserve">                                                                      </w:t>
      </w:r>
    </w:p>
    <w:p w14:paraId="0EB152B2">
      <w:pPr>
        <w:pStyle w:val="25"/>
        <w:spacing w:line="360" w:lineRule="auto"/>
        <w:ind w:left="25" w:firstLine="472"/>
        <w:rPr>
          <w:rFonts w:hAnsi="宋体"/>
          <w:bCs/>
          <w:color w:val="000000" w:themeColor="text1"/>
          <w:sz w:val="24"/>
          <w:szCs w:val="24"/>
          <w:highlight w:val="none"/>
          <w:u w:val="singl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招标</w:t>
      </w:r>
      <w:r>
        <w:rPr>
          <w:rFonts w:hint="eastAsia" w:hAnsi="宋体"/>
          <w:bCs/>
          <w:color w:val="000000" w:themeColor="text1"/>
          <w:sz w:val="24"/>
          <w:szCs w:val="24"/>
          <w:highlight w:val="none"/>
          <w14:textFill>
            <w14:solidFill>
              <w14:schemeClr w14:val="tx1"/>
            </w14:solidFill>
          </w14:textFill>
        </w:rPr>
        <w:t>文件公告：</w:t>
      </w:r>
      <w:r>
        <w:rPr>
          <w:rFonts w:hint="eastAsia" w:hAnsi="宋体"/>
          <w:bCs/>
          <w:color w:val="000000" w:themeColor="text1"/>
          <w:sz w:val="24"/>
          <w:szCs w:val="24"/>
          <w:highlight w:val="none"/>
          <w:u w:val="single"/>
          <w14:textFill>
            <w14:solidFill>
              <w14:schemeClr w14:val="tx1"/>
            </w14:solidFill>
          </w14:textFill>
        </w:rPr>
        <w:t>是/否</w:t>
      </w:r>
      <w:r>
        <w:rPr>
          <w:rFonts w:hint="eastAsia" w:hAnsi="宋体"/>
          <w:bCs/>
          <w:color w:val="000000" w:themeColor="text1"/>
          <w:sz w:val="24"/>
          <w:szCs w:val="24"/>
          <w:highlight w:val="none"/>
          <w14:textFill>
            <w14:solidFill>
              <w14:schemeClr w14:val="tx1"/>
            </w14:solidFill>
          </w14:textFill>
        </w:rPr>
        <w:t>公告期限：</w:t>
      </w:r>
      <w:r>
        <w:rPr>
          <w:rFonts w:hint="eastAsia" w:hAnsi="宋体"/>
          <w:bCs/>
          <w:color w:val="000000" w:themeColor="text1"/>
          <w:sz w:val="24"/>
          <w:szCs w:val="24"/>
          <w:highlight w:val="none"/>
          <w:u w:val="single"/>
          <w14:textFill>
            <w14:solidFill>
              <w14:schemeClr w14:val="tx1"/>
            </w14:solidFill>
          </w14:textFill>
        </w:rPr>
        <w:t xml:space="preserve">                                                       </w:t>
      </w:r>
    </w:p>
    <w:p w14:paraId="7B763B3C">
      <w:pPr>
        <w:pStyle w:val="25"/>
        <w:spacing w:line="360" w:lineRule="auto"/>
        <w:ind w:left="25" w:firstLine="472"/>
        <w:rPr>
          <w:rFonts w:hAnsi="宋体"/>
          <w:b/>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招标</w:t>
      </w:r>
      <w:r>
        <w:rPr>
          <w:rFonts w:hint="eastAsia" w:hAnsi="宋体"/>
          <w:bCs/>
          <w:color w:val="000000" w:themeColor="text1"/>
          <w:sz w:val="24"/>
          <w:szCs w:val="24"/>
          <w:highlight w:val="none"/>
          <w14:textFill>
            <w14:solidFill>
              <w14:schemeClr w14:val="tx1"/>
            </w14:solidFill>
          </w14:textFill>
        </w:rPr>
        <w:t>结果公告：</w:t>
      </w:r>
      <w:r>
        <w:rPr>
          <w:rFonts w:hint="eastAsia" w:hAnsi="宋体"/>
          <w:bCs/>
          <w:color w:val="000000" w:themeColor="text1"/>
          <w:sz w:val="24"/>
          <w:szCs w:val="24"/>
          <w:highlight w:val="none"/>
          <w:u w:val="single"/>
          <w14:textFill>
            <w14:solidFill>
              <w14:schemeClr w14:val="tx1"/>
            </w14:solidFill>
          </w14:textFill>
        </w:rPr>
        <w:t>是/否</w:t>
      </w:r>
      <w:r>
        <w:rPr>
          <w:rFonts w:hint="eastAsia" w:hAnsi="宋体"/>
          <w:bCs/>
          <w:color w:val="000000" w:themeColor="text1"/>
          <w:sz w:val="24"/>
          <w:szCs w:val="24"/>
          <w:highlight w:val="none"/>
          <w14:textFill>
            <w14:solidFill>
              <w14:schemeClr w14:val="tx1"/>
            </w14:solidFill>
          </w14:textFill>
        </w:rPr>
        <w:t>公告期限：</w:t>
      </w:r>
      <w:r>
        <w:rPr>
          <w:rFonts w:hint="eastAsia" w:hAnsi="宋体"/>
          <w:bCs/>
          <w:color w:val="000000" w:themeColor="text1"/>
          <w:sz w:val="24"/>
          <w:szCs w:val="24"/>
          <w:highlight w:val="none"/>
          <w:u w:val="single"/>
          <w14:textFill>
            <w14:solidFill>
              <w14:schemeClr w14:val="tx1"/>
            </w14:solidFill>
          </w14:textFill>
        </w:rPr>
        <w:t xml:space="preserve">                                                       </w:t>
      </w:r>
    </w:p>
    <w:p w14:paraId="4C7FF5FD">
      <w:pPr>
        <w:pStyle w:val="25"/>
        <w:spacing w:line="360" w:lineRule="auto"/>
        <w:ind w:left="25" w:firstLine="472"/>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三、质疑基本情况</w:t>
      </w:r>
    </w:p>
    <w:p w14:paraId="09349D6B">
      <w:pPr>
        <w:pStyle w:val="25"/>
        <w:spacing w:line="360" w:lineRule="auto"/>
        <w:ind w:left="25" w:firstLine="480"/>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投诉人于</w:t>
      </w:r>
      <w:r>
        <w:rPr>
          <w:rFonts w:hint="eastAsia" w:hAnsi="宋体"/>
          <w:color w:val="000000" w:themeColor="text1"/>
          <w:sz w:val="24"/>
          <w:szCs w:val="24"/>
          <w:highlight w:val="none"/>
          <w:u w:val="single"/>
          <w14:textFill>
            <w14:solidFill>
              <w14:schemeClr w14:val="tx1"/>
            </w14:solidFill>
          </w14:textFill>
        </w:rPr>
        <w:t xml:space="preserve">      </w:t>
      </w:r>
      <w:r>
        <w:rPr>
          <w:rFonts w:hint="eastAsia" w:hAnsi="宋体"/>
          <w:color w:val="000000" w:themeColor="text1"/>
          <w:sz w:val="24"/>
          <w:szCs w:val="24"/>
          <w:highlight w:val="none"/>
          <w14:textFill>
            <w14:solidFill>
              <w14:schemeClr w14:val="tx1"/>
            </w14:solidFill>
          </w14:textFill>
        </w:rPr>
        <w:t>年</w:t>
      </w:r>
      <w:r>
        <w:rPr>
          <w:rFonts w:hint="eastAsia" w:hAnsi="宋体"/>
          <w:color w:val="000000" w:themeColor="text1"/>
          <w:sz w:val="24"/>
          <w:szCs w:val="24"/>
          <w:highlight w:val="none"/>
          <w:u w:val="single"/>
          <w14:textFill>
            <w14:solidFill>
              <w14:schemeClr w14:val="tx1"/>
            </w14:solidFill>
          </w14:textFill>
        </w:rPr>
        <w:t xml:space="preserve">   </w:t>
      </w:r>
      <w:r>
        <w:rPr>
          <w:rFonts w:hint="eastAsia" w:hAnsi="宋体"/>
          <w:color w:val="000000" w:themeColor="text1"/>
          <w:sz w:val="24"/>
          <w:szCs w:val="24"/>
          <w:highlight w:val="none"/>
          <w14:textFill>
            <w14:solidFill>
              <w14:schemeClr w14:val="tx1"/>
            </w14:solidFill>
          </w14:textFill>
        </w:rPr>
        <w:t>月</w:t>
      </w:r>
      <w:r>
        <w:rPr>
          <w:rFonts w:hint="eastAsia" w:hAnsi="宋体"/>
          <w:color w:val="000000" w:themeColor="text1"/>
          <w:sz w:val="24"/>
          <w:szCs w:val="24"/>
          <w:highlight w:val="none"/>
          <w:u w:val="single"/>
          <w14:textFill>
            <w14:solidFill>
              <w14:schemeClr w14:val="tx1"/>
            </w14:solidFill>
          </w14:textFill>
        </w:rPr>
        <w:t xml:space="preserve">   </w:t>
      </w:r>
      <w:r>
        <w:rPr>
          <w:rFonts w:hint="eastAsia" w:hAnsi="宋体"/>
          <w:color w:val="000000" w:themeColor="text1"/>
          <w:sz w:val="24"/>
          <w:szCs w:val="24"/>
          <w:highlight w:val="none"/>
          <w14:textFill>
            <w14:solidFill>
              <w14:schemeClr w14:val="tx1"/>
            </w14:solidFill>
          </w14:textFill>
        </w:rPr>
        <w:t>日，向</w:t>
      </w:r>
      <w:r>
        <w:rPr>
          <w:rFonts w:hint="eastAsia" w:hAnsi="宋体"/>
          <w:color w:val="000000" w:themeColor="text1"/>
          <w:sz w:val="24"/>
          <w:szCs w:val="24"/>
          <w:highlight w:val="none"/>
          <w:u w:val="single"/>
          <w14:textFill>
            <w14:solidFill>
              <w14:schemeClr w14:val="tx1"/>
            </w14:solidFill>
          </w14:textFill>
        </w:rPr>
        <w:t xml:space="preserve">                                </w:t>
      </w:r>
      <w:r>
        <w:rPr>
          <w:rFonts w:hint="eastAsia" w:hAnsi="宋体"/>
          <w:color w:val="000000" w:themeColor="text1"/>
          <w:sz w:val="24"/>
          <w:szCs w:val="24"/>
          <w:highlight w:val="none"/>
          <w14:textFill>
            <w14:solidFill>
              <w14:schemeClr w14:val="tx1"/>
            </w14:solidFill>
          </w14:textFill>
        </w:rPr>
        <w:t>提出质疑，质疑事项为：</w:t>
      </w:r>
    </w:p>
    <w:p w14:paraId="27EE27C0">
      <w:pPr>
        <w:pStyle w:val="25"/>
        <w:spacing w:line="360" w:lineRule="auto"/>
        <w:ind w:firstLine="241"/>
        <w:rPr>
          <w:rFonts w:hAnsi="宋体"/>
          <w:bCs/>
          <w:color w:val="000000" w:themeColor="text1"/>
          <w:sz w:val="24"/>
          <w:szCs w:val="24"/>
          <w:highlight w:val="none"/>
          <w:u w:val="singl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 xml:space="preserve">    </w:t>
      </w:r>
      <w:r>
        <w:rPr>
          <w:rFonts w:hint="eastAsia" w:hAnsi="宋体"/>
          <w:bCs/>
          <w:color w:val="000000" w:themeColor="text1"/>
          <w:sz w:val="24"/>
          <w:szCs w:val="24"/>
          <w:highlight w:val="none"/>
          <w:u w:val="single"/>
          <w14:textFill>
            <w14:solidFill>
              <w14:schemeClr w14:val="tx1"/>
            </w14:solidFill>
          </w14:textFill>
        </w:rPr>
        <w:t xml:space="preserve">                                                                                      </w:t>
      </w:r>
    </w:p>
    <w:p w14:paraId="62B452A8">
      <w:pPr>
        <w:pStyle w:val="25"/>
        <w:spacing w:line="360" w:lineRule="auto"/>
        <w:ind w:firstLine="241"/>
        <w:rPr>
          <w:rFonts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 xml:space="preserve">    </w:t>
      </w:r>
      <w:r>
        <w:rPr>
          <w:rFonts w:hint="eastAsia" w:hAnsi="宋体"/>
          <w:bCs/>
          <w:color w:val="000000" w:themeColor="text1"/>
          <w:sz w:val="24"/>
          <w:szCs w:val="24"/>
          <w:highlight w:val="none"/>
          <w:u w:val="single"/>
          <w14:textFill>
            <w14:solidFill>
              <w14:schemeClr w14:val="tx1"/>
            </w14:solidFill>
          </w14:textFill>
        </w:rPr>
        <w:t xml:space="preserve">                                                                                      </w:t>
      </w:r>
    </w:p>
    <w:p w14:paraId="75B42C24">
      <w:pPr>
        <w:pStyle w:val="25"/>
        <w:spacing w:line="360" w:lineRule="auto"/>
        <w:ind w:firstLine="480"/>
        <w:rPr>
          <w:rFonts w:hAnsi="宋体"/>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u w:val="single"/>
          <w14:textFill>
            <w14:solidFill>
              <w14:schemeClr w14:val="tx1"/>
            </w14:solidFill>
          </w14:textFill>
        </w:rPr>
        <w:t>采购人/代理机构</w:t>
      </w:r>
      <w:r>
        <w:rPr>
          <w:rFonts w:hint="eastAsia" w:hAnsi="宋体"/>
          <w:bCs/>
          <w:color w:val="000000" w:themeColor="text1"/>
          <w:sz w:val="24"/>
          <w:szCs w:val="24"/>
          <w:highlight w:val="none"/>
          <w14:textFill>
            <w14:solidFill>
              <w14:schemeClr w14:val="tx1"/>
            </w14:solidFill>
          </w14:textFill>
        </w:rPr>
        <w:t>于</w:t>
      </w:r>
      <w:r>
        <w:rPr>
          <w:rFonts w:hint="eastAsia" w:hAnsi="宋体"/>
          <w:color w:val="000000" w:themeColor="text1"/>
          <w:sz w:val="24"/>
          <w:szCs w:val="24"/>
          <w:highlight w:val="none"/>
          <w:u w:val="single"/>
          <w14:textFill>
            <w14:solidFill>
              <w14:schemeClr w14:val="tx1"/>
            </w14:solidFill>
          </w14:textFill>
        </w:rPr>
        <w:t xml:space="preserve">      </w:t>
      </w:r>
      <w:r>
        <w:rPr>
          <w:rFonts w:hint="eastAsia" w:hAnsi="宋体"/>
          <w:color w:val="000000" w:themeColor="text1"/>
          <w:sz w:val="24"/>
          <w:szCs w:val="24"/>
          <w:highlight w:val="none"/>
          <w14:textFill>
            <w14:solidFill>
              <w14:schemeClr w14:val="tx1"/>
            </w14:solidFill>
          </w14:textFill>
        </w:rPr>
        <w:t>年</w:t>
      </w:r>
      <w:r>
        <w:rPr>
          <w:rFonts w:hint="eastAsia" w:hAnsi="宋体"/>
          <w:color w:val="000000" w:themeColor="text1"/>
          <w:sz w:val="24"/>
          <w:szCs w:val="24"/>
          <w:highlight w:val="none"/>
          <w:u w:val="single"/>
          <w14:textFill>
            <w14:solidFill>
              <w14:schemeClr w14:val="tx1"/>
            </w14:solidFill>
          </w14:textFill>
        </w:rPr>
        <w:t xml:space="preserve">   </w:t>
      </w:r>
      <w:r>
        <w:rPr>
          <w:rFonts w:hint="eastAsia" w:hAnsi="宋体"/>
          <w:color w:val="000000" w:themeColor="text1"/>
          <w:sz w:val="24"/>
          <w:szCs w:val="24"/>
          <w:highlight w:val="none"/>
          <w14:textFill>
            <w14:solidFill>
              <w14:schemeClr w14:val="tx1"/>
            </w14:solidFill>
          </w14:textFill>
        </w:rPr>
        <w:t>月</w:t>
      </w:r>
      <w:r>
        <w:rPr>
          <w:rFonts w:hint="eastAsia" w:hAnsi="宋体"/>
          <w:color w:val="000000" w:themeColor="text1"/>
          <w:sz w:val="24"/>
          <w:szCs w:val="24"/>
          <w:highlight w:val="none"/>
          <w:u w:val="single"/>
          <w14:textFill>
            <w14:solidFill>
              <w14:schemeClr w14:val="tx1"/>
            </w14:solidFill>
          </w14:textFill>
        </w:rPr>
        <w:t xml:space="preserve">   </w:t>
      </w:r>
      <w:r>
        <w:rPr>
          <w:rFonts w:hint="eastAsia" w:hAnsi="宋体"/>
          <w:color w:val="000000" w:themeColor="text1"/>
          <w:sz w:val="24"/>
          <w:szCs w:val="24"/>
          <w:highlight w:val="none"/>
          <w14:textFill>
            <w14:solidFill>
              <w14:schemeClr w14:val="tx1"/>
            </w14:solidFill>
          </w14:textFill>
        </w:rPr>
        <w:t>日，</w:t>
      </w:r>
      <w:r>
        <w:rPr>
          <w:rFonts w:hint="eastAsia" w:hAnsi="宋体"/>
          <w:bCs/>
          <w:color w:val="000000" w:themeColor="text1"/>
          <w:sz w:val="24"/>
          <w:szCs w:val="24"/>
          <w:highlight w:val="none"/>
          <w14:textFill>
            <w14:solidFill>
              <w14:schemeClr w14:val="tx1"/>
            </w14:solidFill>
          </w14:textFill>
        </w:rPr>
        <w:t xml:space="preserve">就质疑事项作出了答复/没有在法定期限内作出答复。                                                                                             </w:t>
      </w:r>
    </w:p>
    <w:p w14:paraId="41B4BA20">
      <w:pPr>
        <w:pStyle w:val="25"/>
        <w:spacing w:line="360" w:lineRule="auto"/>
        <w:ind w:left="25" w:firstLine="472"/>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四、投诉事项具体内容</w:t>
      </w:r>
    </w:p>
    <w:p w14:paraId="13D2FAB0">
      <w:pPr>
        <w:pStyle w:val="25"/>
        <w:spacing w:line="360" w:lineRule="auto"/>
        <w:ind w:left="25" w:firstLine="472"/>
        <w:rPr>
          <w:rFonts w:hAnsi="宋体"/>
          <w:bCs/>
          <w:color w:val="000000" w:themeColor="text1"/>
          <w:sz w:val="24"/>
          <w:szCs w:val="24"/>
          <w:highlight w:val="none"/>
          <w:u w:val="singl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投诉事项1：</w:t>
      </w:r>
      <w:r>
        <w:rPr>
          <w:rFonts w:hint="eastAsia" w:hAnsi="宋体"/>
          <w:bCs/>
          <w:color w:val="000000" w:themeColor="text1"/>
          <w:sz w:val="24"/>
          <w:szCs w:val="24"/>
          <w:highlight w:val="none"/>
          <w:u w:val="single"/>
          <w14:textFill>
            <w14:solidFill>
              <w14:schemeClr w14:val="tx1"/>
            </w14:solidFill>
          </w14:textFill>
        </w:rPr>
        <w:t xml:space="preserve">                                                                           </w:t>
      </w:r>
    </w:p>
    <w:p w14:paraId="3EAF5CE9">
      <w:pPr>
        <w:pStyle w:val="25"/>
        <w:spacing w:line="360" w:lineRule="auto"/>
        <w:ind w:firstLine="480"/>
        <w:rPr>
          <w:rFonts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事实依据：</w:t>
      </w:r>
      <w:r>
        <w:rPr>
          <w:rFonts w:hint="eastAsia" w:hAnsi="宋体"/>
          <w:color w:val="000000" w:themeColor="text1"/>
          <w:sz w:val="24"/>
          <w:szCs w:val="24"/>
          <w:highlight w:val="none"/>
          <w14:textFill>
            <w14:solidFill>
              <w14:schemeClr w14:val="tx1"/>
            </w14:solidFill>
          </w14:textFill>
        </w:rPr>
        <w:t xml:space="preserve"> </w:t>
      </w:r>
      <w:r>
        <w:rPr>
          <w:rFonts w:hint="eastAsia" w:hAnsi="宋体"/>
          <w:bCs/>
          <w:color w:val="000000" w:themeColor="text1"/>
          <w:sz w:val="24"/>
          <w:szCs w:val="24"/>
          <w:highlight w:val="none"/>
          <w:u w:val="single"/>
          <w14:textFill>
            <w14:solidFill>
              <w14:schemeClr w14:val="tx1"/>
            </w14:solidFill>
          </w14:textFill>
        </w:rPr>
        <w:t xml:space="preserve">                                                                                      </w:t>
      </w:r>
    </w:p>
    <w:p w14:paraId="71325248">
      <w:pPr>
        <w:pStyle w:val="25"/>
        <w:spacing w:line="360" w:lineRule="auto"/>
        <w:ind w:left="25" w:firstLine="472"/>
        <w:rPr>
          <w:rFonts w:hAnsi="宋体"/>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u w:val="single"/>
          <w14:textFill>
            <w14:solidFill>
              <w14:schemeClr w14:val="tx1"/>
            </w14:solidFill>
          </w14:textFill>
        </w:rPr>
        <w:t xml:space="preserve">                                                                                        </w:t>
      </w:r>
    </w:p>
    <w:p w14:paraId="61DE2404">
      <w:pPr>
        <w:pStyle w:val="25"/>
        <w:spacing w:line="360" w:lineRule="auto"/>
        <w:ind w:firstLine="480"/>
        <w:rPr>
          <w:rFonts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法律依据：</w:t>
      </w:r>
      <w:r>
        <w:rPr>
          <w:rFonts w:hint="eastAsia" w:hAnsi="宋体"/>
          <w:color w:val="000000" w:themeColor="text1"/>
          <w:sz w:val="24"/>
          <w:szCs w:val="24"/>
          <w:highlight w:val="none"/>
          <w14:textFill>
            <w14:solidFill>
              <w14:schemeClr w14:val="tx1"/>
            </w14:solidFill>
          </w14:textFill>
        </w:rPr>
        <w:t xml:space="preserve"> </w:t>
      </w:r>
      <w:r>
        <w:rPr>
          <w:rFonts w:hint="eastAsia" w:hAnsi="宋体"/>
          <w:bCs/>
          <w:color w:val="000000" w:themeColor="text1"/>
          <w:sz w:val="24"/>
          <w:szCs w:val="24"/>
          <w:highlight w:val="none"/>
          <w:u w:val="single"/>
          <w14:textFill>
            <w14:solidFill>
              <w14:schemeClr w14:val="tx1"/>
            </w14:solidFill>
          </w14:textFill>
        </w:rPr>
        <w:t xml:space="preserve">                                                                                      </w:t>
      </w:r>
    </w:p>
    <w:p w14:paraId="44587E03">
      <w:pPr>
        <w:pStyle w:val="25"/>
        <w:spacing w:line="360" w:lineRule="auto"/>
        <w:ind w:left="25" w:firstLine="352"/>
        <w:rPr>
          <w:rFonts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 xml:space="preserve"> </w:t>
      </w:r>
      <w:r>
        <w:rPr>
          <w:rFonts w:hint="eastAsia" w:hAnsi="宋体"/>
          <w:bCs/>
          <w:color w:val="000000" w:themeColor="text1"/>
          <w:sz w:val="24"/>
          <w:szCs w:val="24"/>
          <w:highlight w:val="none"/>
          <w:u w:val="single"/>
          <w14:textFill>
            <w14:solidFill>
              <w14:schemeClr w14:val="tx1"/>
            </w14:solidFill>
          </w14:textFill>
        </w:rPr>
        <w:t xml:space="preserve">                                                                                        </w:t>
      </w:r>
    </w:p>
    <w:p w14:paraId="37A47DDB">
      <w:pPr>
        <w:pStyle w:val="25"/>
        <w:spacing w:line="360" w:lineRule="auto"/>
        <w:ind w:left="25" w:firstLine="472"/>
        <w:rPr>
          <w:rFonts w:hAnsi="宋体"/>
          <w:bCs/>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 xml:space="preserve">投诉事项2  </w:t>
      </w:r>
      <w:r>
        <w:rPr>
          <w:rFonts w:hint="eastAsia" w:hAnsi="宋体"/>
          <w:bCs/>
          <w:color w:val="000000" w:themeColor="text1"/>
          <w:sz w:val="24"/>
          <w:szCs w:val="24"/>
          <w:highlight w:val="none"/>
          <w14:textFill>
            <w14:solidFill>
              <w14:schemeClr w14:val="tx1"/>
            </w14:solidFill>
          </w14:textFill>
        </w:rPr>
        <w:t xml:space="preserve">   </w:t>
      </w:r>
    </w:p>
    <w:p w14:paraId="7F89AC9C">
      <w:pPr>
        <w:pStyle w:val="25"/>
        <w:spacing w:line="360" w:lineRule="auto"/>
        <w:ind w:left="25" w:firstLine="472"/>
        <w:rPr>
          <w:rFonts w:hAnsi="宋体"/>
          <w:bCs/>
          <w:color w:val="000000" w:themeColor="text1"/>
          <w:sz w:val="24"/>
          <w:szCs w:val="24"/>
          <w:highlight w:val="none"/>
          <w14:textFill>
            <w14:solidFill>
              <w14:schemeClr w14:val="tx1"/>
            </w14:solidFill>
          </w14:textFill>
        </w:rPr>
      </w:pPr>
      <w:r>
        <w:rPr>
          <w:rFonts w:hAnsi="宋体"/>
          <w:bCs/>
          <w:color w:val="000000" w:themeColor="text1"/>
          <w:sz w:val="24"/>
          <w:szCs w:val="24"/>
          <w:highlight w:val="none"/>
          <w14:textFill>
            <w14:solidFill>
              <w14:schemeClr w14:val="tx1"/>
            </w14:solidFill>
          </w14:textFill>
        </w:rPr>
        <w:t>……</w:t>
      </w:r>
    </w:p>
    <w:p w14:paraId="38D5222F">
      <w:pPr>
        <w:pStyle w:val="25"/>
        <w:spacing w:line="360" w:lineRule="auto"/>
        <w:ind w:left="25" w:firstLine="472"/>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五、与投诉事项相关的投诉请求：</w:t>
      </w:r>
    </w:p>
    <w:p w14:paraId="20B659F6">
      <w:pPr>
        <w:pStyle w:val="25"/>
        <w:spacing w:line="360" w:lineRule="auto"/>
        <w:ind w:left="25" w:firstLine="472"/>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请求：</w:t>
      </w:r>
      <w:r>
        <w:rPr>
          <w:rFonts w:hint="eastAsia" w:hAnsi="宋体"/>
          <w:bCs/>
          <w:color w:val="000000" w:themeColor="text1"/>
          <w:sz w:val="24"/>
          <w:szCs w:val="24"/>
          <w:highlight w:val="none"/>
          <w:u w:val="single"/>
          <w14:textFill>
            <w14:solidFill>
              <w14:schemeClr w14:val="tx1"/>
            </w14:solidFill>
          </w14:textFill>
        </w:rPr>
        <w:t xml:space="preserve">                                                                                 </w:t>
      </w:r>
    </w:p>
    <w:p w14:paraId="0F5C7F30">
      <w:pPr>
        <w:pStyle w:val="25"/>
        <w:spacing w:line="360" w:lineRule="auto"/>
        <w:ind w:left="25" w:firstLine="352"/>
        <w:rPr>
          <w:rFonts w:hAnsi="宋体"/>
          <w:color w:val="000000" w:themeColor="text1"/>
          <w:sz w:val="24"/>
          <w:szCs w:val="24"/>
          <w:highlight w:val="none"/>
          <w14:textFill>
            <w14:solidFill>
              <w14:schemeClr w14:val="tx1"/>
            </w14:solidFill>
          </w14:textFill>
        </w:rPr>
      </w:pPr>
    </w:p>
    <w:p w14:paraId="5EC287E5">
      <w:pPr>
        <w:pStyle w:val="25"/>
        <w:spacing w:line="360" w:lineRule="auto"/>
        <w:ind w:left="25" w:firstLine="472"/>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签字（签章）：                                       公章：</w:t>
      </w:r>
    </w:p>
    <w:p w14:paraId="6408D510">
      <w:pPr>
        <w:pStyle w:val="25"/>
        <w:spacing w:line="360" w:lineRule="auto"/>
        <w:ind w:left="25" w:firstLine="352"/>
        <w:rPr>
          <w:rFonts w:hAnsi="宋体"/>
          <w:color w:val="000000" w:themeColor="text1"/>
          <w:sz w:val="24"/>
          <w:szCs w:val="24"/>
          <w:highlight w:val="none"/>
          <w14:textFill>
            <w14:solidFill>
              <w14:schemeClr w14:val="tx1"/>
            </w14:solidFill>
          </w14:textFill>
        </w:rPr>
      </w:pPr>
    </w:p>
    <w:p w14:paraId="74C79ADC">
      <w:pPr>
        <w:pStyle w:val="25"/>
        <w:spacing w:line="360" w:lineRule="auto"/>
        <w:ind w:left="25" w:firstLine="472"/>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日期：</w:t>
      </w:r>
    </w:p>
    <w:p w14:paraId="1DBEE18D">
      <w:pPr>
        <w:pStyle w:val="25"/>
        <w:spacing w:line="360" w:lineRule="auto"/>
        <w:ind w:left="25" w:firstLine="472"/>
        <w:rPr>
          <w:rFonts w:hAnsi="宋体"/>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 xml:space="preserve">                                                                              </w:t>
      </w:r>
    </w:p>
    <w:p w14:paraId="60794A68">
      <w:pPr>
        <w:pStyle w:val="25"/>
        <w:spacing w:line="360" w:lineRule="auto"/>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说明：</w:t>
      </w:r>
    </w:p>
    <w:p w14:paraId="0398248E">
      <w:pPr>
        <w:pStyle w:val="25"/>
        <w:spacing w:line="360" w:lineRule="auto"/>
        <w:ind w:left="25" w:firstLine="354"/>
        <w:rPr>
          <w:rFonts w:hAnsi="宋体"/>
          <w:b/>
          <w:bCs/>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1.投诉人提起投诉时，应当提交投诉书和必要的证明材料，并按照被投诉人和与投诉事项有关的供应商数量提供投诉书副本</w:t>
      </w:r>
      <w:r>
        <w:rPr>
          <w:rFonts w:hint="eastAsia" w:hAnsi="宋体"/>
          <w:b/>
          <w:bCs/>
          <w:color w:val="000000" w:themeColor="text1"/>
          <w:sz w:val="24"/>
          <w:szCs w:val="24"/>
          <w:highlight w:val="none"/>
          <w14:textFill>
            <w14:solidFill>
              <w14:schemeClr w14:val="tx1"/>
            </w14:solidFill>
          </w14:textFill>
        </w:rPr>
        <w:t>。</w:t>
      </w:r>
    </w:p>
    <w:p w14:paraId="75CF3038">
      <w:pPr>
        <w:pStyle w:val="25"/>
        <w:spacing w:line="360" w:lineRule="auto"/>
        <w:ind w:left="25" w:firstLine="354"/>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49460EDB">
      <w:pPr>
        <w:pStyle w:val="25"/>
        <w:spacing w:line="360" w:lineRule="auto"/>
        <w:ind w:left="25" w:firstLine="354"/>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3.投诉书应简要列明质疑事项，质疑函、质疑答复等作为附件材料提供。</w:t>
      </w:r>
    </w:p>
    <w:p w14:paraId="696CF717">
      <w:pPr>
        <w:pStyle w:val="25"/>
        <w:spacing w:line="360" w:lineRule="auto"/>
        <w:ind w:left="25" w:firstLine="354"/>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4.投诉书的投诉事项应具体、明确，并有必要的事实依据和法律依据。</w:t>
      </w:r>
    </w:p>
    <w:p w14:paraId="4E5C3142">
      <w:pPr>
        <w:pStyle w:val="25"/>
        <w:spacing w:line="360" w:lineRule="auto"/>
        <w:ind w:left="25" w:firstLine="354"/>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5.投诉书的投诉请求应与投诉事项相关。</w:t>
      </w:r>
    </w:p>
    <w:p w14:paraId="3B7D12EE">
      <w:pPr>
        <w:pStyle w:val="25"/>
        <w:spacing w:line="360" w:lineRule="auto"/>
        <w:ind w:left="25" w:firstLine="354"/>
        <w:rPr>
          <w:rFonts w:hAnsi="宋体"/>
          <w:b/>
          <w:color w:val="000000" w:themeColor="text1"/>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6.投诉人为法人或者其他组织的，投诉书应由法定代表人、主要负责人，或者其授权代表签字或者盖章，并加盖公章。</w:t>
      </w:r>
    </w:p>
    <w:sectPr>
      <w:footerReference r:id="rId10" w:type="first"/>
      <w:headerReference r:id="rId7" w:type="default"/>
      <w:footerReference r:id="rId8" w:type="default"/>
      <w:footerReference r:id="rId9" w:type="even"/>
      <w:pgSz w:w="11906" w:h="16838"/>
      <w:pgMar w:top="1440" w:right="1797" w:bottom="1440" w:left="1797" w:header="851" w:footer="99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Cambria">
    <w:panose1 w:val="02040503050406030204"/>
    <w:charset w:val="00"/>
    <w:family w:val="auto"/>
    <w:pitch w:val="default"/>
    <w:sig w:usb0="E00006FF" w:usb1="420024FF" w:usb2="02000000" w:usb3="00000000" w:csb0="2000019F" w:csb1="00000000"/>
  </w:font>
  <w:font w:name="ActionIcon ! important">
    <w:altName w:val="Segoe Print"/>
    <w:panose1 w:val="020B0603030804020204"/>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onospace">
    <w:altName w:val="Segoe Print"/>
    <w:panose1 w:val="020B0603030804020204"/>
    <w:charset w:val="00"/>
    <w:family w:val="auto"/>
    <w:pitch w:val="default"/>
    <w:sig w:usb0="00000000" w:usb1="00000000" w:usb2="00000000" w:usb3="00000000" w:csb0="00000000" w:csb1="00000000"/>
  </w:font>
  <w:font w:name="_x000B__x000C_">
    <w:altName w:val="Segoe Print"/>
    <w:panose1 w:val="020B0603030804020204"/>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 w:name="Century">
    <w:panose1 w:val="02040604050505020304"/>
    <w:charset w:val="00"/>
    <w:family w:val="auto"/>
    <w:pitch w:val="default"/>
    <w:sig w:usb0="00000287" w:usb1="00000000" w:usb2="00000000" w:usb3="00000000" w:csb0="2000009F" w:csb1="DFD70000"/>
  </w:font>
  <w:font w:name="Arial Unicode MS">
    <w:panose1 w:val="020B0604020202020204"/>
    <w:charset w:val="86"/>
    <w:family w:val="auto"/>
    <w:pitch w:val="default"/>
    <w:sig w:usb0="FFFFFFFF" w:usb1="E9FFFFFF" w:usb2="0000003F" w:usb3="00000000" w:csb0="603F01FF" w:csb1="FFFF0000"/>
  </w:font>
  <w:font w:name="华文楷体">
    <w:panose1 w:val="02010600040101010101"/>
    <w:charset w:val="86"/>
    <w:family w:val="auto"/>
    <w:pitch w:val="default"/>
    <w:sig w:usb0="00000287" w:usb1="080F0000" w:usb2="00000000" w:usb3="00000000" w:csb0="0004009F" w:csb1="DFD7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auto"/>
    <w:pitch w:val="default"/>
    <w:sig w:usb0="80000287" w:usb1="2ACF3C50" w:usb2="00000016" w:usb3="00000000" w:csb0="0004001F" w:csb1="00000000"/>
  </w:font>
  <w:font w:name="方正小标宋简体">
    <w:altName w:val="Arial Unicode MS"/>
    <w:panose1 w:val="02000000000000000000"/>
    <w:charset w:val="86"/>
    <w:family w:val="auto"/>
    <w:pitch w:val="default"/>
    <w:sig w:usb0="00000000" w:usb1="0000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Malgun Gothic">
    <w:panose1 w:val="020B0503020000020004"/>
    <w:charset w:val="81"/>
    <w:family w:val="auto"/>
    <w:pitch w:val="default"/>
    <w:sig w:usb0="9000002F" w:usb1="29D77CFB" w:usb2="00000012" w:usb3="00000000" w:csb0="00080001" w:csb1="00000000"/>
  </w:font>
  <w:font w:name="仿宋">
    <w:panose1 w:val="02010609060101010101"/>
    <w:charset w:val="86"/>
    <w:family w:val="auto"/>
    <w:pitch w:val="default"/>
    <w:sig w:usb0="800002BF" w:usb1="38CF7CFA" w:usb2="00000016" w:usb3="00000000" w:csb0="00040001" w:csb1="00000000"/>
  </w:font>
  <w:font w:name="隶书">
    <w:panose1 w:val="02010509060101010101"/>
    <w:charset w:val="86"/>
    <w:family w:val="auto"/>
    <w:pitch w:val="default"/>
    <w:sig w:usb0="00000001" w:usb1="080E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4B1AA1F4">
    <w:panose1 w:val="020B0604020202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15861">
    <w:pPr>
      <w:pStyle w:val="31"/>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_x0000_s1028"/>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miter/>
                      </a:ln>
                    </wps:spPr>
                    <wps:txbx>
                      <w:txbxContent>
                        <w:p w14:paraId="687AE25A">
                          <w:pPr>
                            <w:pStyle w:val="31"/>
                            <w:jc w:val="center"/>
                          </w:pPr>
                          <w:r>
                            <w:fldChar w:fldCharType="begin"/>
                          </w:r>
                          <w:r>
                            <w:instrText xml:space="preserve"> PAGE   \* MERGEFORMAT </w:instrText>
                          </w:r>
                          <w:r>
                            <w:fldChar w:fldCharType="separate"/>
                          </w:r>
                          <w:r>
                            <w:rPr>
                              <w:lang w:val="zh-CN"/>
                            </w:rPr>
                            <w:t>12</w:t>
                          </w:r>
                          <w:r>
                            <w:rPr>
                              <w:lang w:val="zh-CN"/>
                            </w:rPr>
                            <w:fldChar w:fldCharType="end"/>
                          </w:r>
                        </w:p>
                      </w:txbxContent>
                    </wps:txbx>
                    <wps:bodyPr wrap="none" lIns="0" tIns="0" rIns="0" bIns="0" upright="1">
                      <a:spAutoFit/>
                    </wps:bodyPr>
                  </wps:wsp>
                </a:graphicData>
              </a:graphic>
            </wp:anchor>
          </w:drawing>
        </mc:Choice>
        <mc:Fallback>
          <w:pict>
            <v:shape id="_x0000_s1028"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XGhg7yQEAALIDAAAOAAAAAAAAAAEAIAAAAB4BAABkcnMvZTJvRG9j&#10;LnhtbFBLBQYAAAAABgAGAFkBAABZBQAAAAA=&#10;">
              <v:fill on="f" focussize="0,0"/>
              <v:stroke on="f" joinstyle="miter"/>
              <v:imagedata o:title=""/>
              <o:lock v:ext="edit" aspectratio="f"/>
              <v:textbox inset="0mm,0mm,0mm,0mm" style="mso-fit-shape-to-text:t;">
                <w:txbxContent>
                  <w:p w14:paraId="687AE25A">
                    <w:pPr>
                      <w:pStyle w:val="31"/>
                      <w:jc w:val="center"/>
                    </w:pPr>
                    <w:r>
                      <w:fldChar w:fldCharType="begin"/>
                    </w:r>
                    <w:r>
                      <w:instrText xml:space="preserve"> PAGE   \* MERGEFORMAT </w:instrText>
                    </w:r>
                    <w:r>
                      <w:fldChar w:fldCharType="separate"/>
                    </w:r>
                    <w:r>
                      <w:rPr>
                        <w:lang w:val="zh-CN"/>
                      </w:rPr>
                      <w:t>12</w:t>
                    </w:r>
                    <w:r>
                      <w:rPr>
                        <w:lang w:val="zh-CN"/>
                      </w:rPr>
                      <w:fldChar w:fldCharType="end"/>
                    </w:r>
                  </w:p>
                </w:txbxContent>
              </v:textbox>
            </v:shape>
          </w:pict>
        </mc:Fallback>
      </mc:AlternateContent>
    </w:r>
  </w:p>
  <w:p w14:paraId="29D768A4">
    <w:pPr>
      <w:pStyle w:val="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B8138">
    <w:pPr>
      <w:pStyle w:val="31"/>
      <w:framePr w:wrap="around" w:vAnchor="text" w:hAnchor="margin" w:xAlign="center" w:y="1"/>
      <w:rPr>
        <w:rStyle w:val="55"/>
      </w:rPr>
    </w:pPr>
    <w:r>
      <w:fldChar w:fldCharType="begin"/>
    </w:r>
    <w:r>
      <w:rPr>
        <w:rStyle w:val="55"/>
      </w:rPr>
      <w:instrText xml:space="preserve">PAGE  </w:instrText>
    </w:r>
    <w:r>
      <w:fldChar w:fldCharType="end"/>
    </w:r>
  </w:p>
  <w:p w14:paraId="7011D4B5">
    <w:pPr>
      <w:pStyle w:val="3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801C4">
    <w:pPr>
      <w:pStyle w:val="31"/>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_x0000_s1026"/>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miter/>
                      </a:ln>
                    </wps:spPr>
                    <wps:txbx>
                      <w:txbxContent>
                        <w:p w14:paraId="38B30F85">
                          <w:pPr>
                            <w:pStyle w:val="31"/>
                            <w:jc w:val="center"/>
                          </w:pPr>
                          <w:r>
                            <w:fldChar w:fldCharType="begin"/>
                          </w:r>
                          <w:r>
                            <w:instrText xml:space="preserve">PAGE   \* MERGEFORMAT</w:instrText>
                          </w:r>
                          <w:r>
                            <w:fldChar w:fldCharType="separate"/>
                          </w:r>
                          <w:r>
                            <w:rPr>
                              <w:lang w:val="zh-CN"/>
                            </w:rPr>
                            <w:t>11</w:t>
                          </w:r>
                          <w:r>
                            <w:rPr>
                              <w:lang w:val="zh-CN"/>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1t+TyQEAALIDAAAOAAAAAAAAAAEAIAAAAB4BAABkcnMvZTJvRG9j&#10;LnhtbFBLBQYAAAAABgAGAFkBAABZBQAAAAA=&#10;">
              <v:fill on="f" focussize="0,0"/>
              <v:stroke on="f" joinstyle="miter"/>
              <v:imagedata o:title=""/>
              <o:lock v:ext="edit" aspectratio="f"/>
              <v:textbox inset="0mm,0mm,0mm,0mm" style="mso-fit-shape-to-text:t;">
                <w:txbxContent>
                  <w:p w14:paraId="38B30F85">
                    <w:pPr>
                      <w:pStyle w:val="31"/>
                      <w:jc w:val="center"/>
                    </w:pPr>
                    <w:r>
                      <w:fldChar w:fldCharType="begin"/>
                    </w:r>
                    <w:r>
                      <w:instrText xml:space="preserve">PAGE   \* MERGEFORMAT</w:instrText>
                    </w:r>
                    <w:r>
                      <w:fldChar w:fldCharType="separate"/>
                    </w:r>
                    <w:r>
                      <w:rPr>
                        <w:lang w:val="zh-CN"/>
                      </w:rPr>
                      <w:t>11</w:t>
                    </w:r>
                    <w:r>
                      <w:rPr>
                        <w:lang w:val="zh-CN"/>
                      </w:rPr>
                      <w:fldChar w:fldCharType="end"/>
                    </w:r>
                  </w:p>
                </w:txbxContent>
              </v:textbox>
            </v:shape>
          </w:pict>
        </mc:Fallback>
      </mc:AlternateContent>
    </w:r>
  </w:p>
  <w:p w14:paraId="43FED593">
    <w:pPr>
      <w:pStyle w:val="31"/>
      <w:ind w:right="360"/>
      <w:jc w:val="both"/>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7389A">
    <w:pPr>
      <w:pStyle w:val="31"/>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_x0000_s1027"/>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miter/>
                      </a:ln>
                    </wps:spPr>
                    <wps:txbx>
                      <w:txbxContent>
                        <w:p w14:paraId="47667D48">
                          <w:pPr>
                            <w:pStyle w:val="31"/>
                            <w:jc w:val="center"/>
                          </w:pPr>
                          <w:r>
                            <w:fldChar w:fldCharType="begin"/>
                          </w:r>
                          <w:r>
                            <w:instrText xml:space="preserve"> PAGE   \* MERGEFORMAT </w:instrText>
                          </w:r>
                          <w:r>
                            <w:fldChar w:fldCharType="separate"/>
                          </w:r>
                          <w:r>
                            <w:rPr>
                              <w:lang w:val="zh-CN"/>
                            </w:rPr>
                            <w:t>116</w:t>
                          </w:r>
                          <w:r>
                            <w:rPr>
                              <w:lang w:val="zh-CN"/>
                            </w:rPr>
                            <w:fldChar w:fldCharType="end"/>
                          </w:r>
                        </w:p>
                      </w:txbxContent>
                    </wps:txbx>
                    <wps:bodyPr wrap="none" lIns="0" tIns="0" rIns="0" bIns="0" upright="1">
                      <a:spAutoFit/>
                    </wps:bodyPr>
                  </wps:wsp>
                </a:graphicData>
              </a:graphic>
            </wp:anchor>
          </w:drawing>
        </mc:Choice>
        <mc:Fallback>
          <w:pict>
            <v:shape id="_x0000_s1027"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RkxX8oBAACyAwAADgAAAAAAAAABACAAAAAeAQAAZHJzL2Uyb0Rv&#10;Yy54bWxQSwUGAAAAAAYABgBZAQAAWgUAAAAA&#10;">
              <v:fill on="f" focussize="0,0"/>
              <v:stroke on="f" joinstyle="miter"/>
              <v:imagedata o:title=""/>
              <o:lock v:ext="edit" aspectratio="f"/>
              <v:textbox inset="0mm,0mm,0mm,0mm" style="mso-fit-shape-to-text:t;">
                <w:txbxContent>
                  <w:p w14:paraId="47667D48">
                    <w:pPr>
                      <w:pStyle w:val="31"/>
                      <w:jc w:val="center"/>
                    </w:pPr>
                    <w:r>
                      <w:fldChar w:fldCharType="begin"/>
                    </w:r>
                    <w:r>
                      <w:instrText xml:space="preserve"> PAGE   \* MERGEFORMAT </w:instrText>
                    </w:r>
                    <w:r>
                      <w:fldChar w:fldCharType="separate"/>
                    </w:r>
                    <w:r>
                      <w:rPr>
                        <w:lang w:val="zh-CN"/>
                      </w:rPr>
                      <w:t>116</w:t>
                    </w:r>
                    <w:r>
                      <w:rPr>
                        <w:lang w:val="zh-CN"/>
                      </w:rPr>
                      <w:fldChar w:fldCharType="end"/>
                    </w:r>
                  </w:p>
                </w:txbxContent>
              </v:textbox>
            </v:shape>
          </w:pict>
        </mc:Fallback>
      </mc:AlternateContent>
    </w:r>
  </w:p>
  <w:p w14:paraId="6DE05CEE">
    <w:pPr>
      <w:pStyle w:val="3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C9A2E">
    <w:pPr>
      <w:pStyle w:val="31"/>
      <w:framePr w:wrap="around" w:vAnchor="text" w:hAnchor="margin" w:xAlign="center" w:y="1"/>
      <w:rPr>
        <w:rStyle w:val="55"/>
      </w:rPr>
    </w:pPr>
    <w:r>
      <w:fldChar w:fldCharType="begin"/>
    </w:r>
    <w:r>
      <w:rPr>
        <w:rStyle w:val="55"/>
      </w:rPr>
      <w:instrText xml:space="preserve">PAGE  </w:instrText>
    </w:r>
    <w:r>
      <w:fldChar w:fldCharType="end"/>
    </w:r>
  </w:p>
  <w:p w14:paraId="227E87A1">
    <w:pPr>
      <w:pStyle w:val="3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61909">
    <w:pPr>
      <w:pStyle w:val="31"/>
      <w:ind w:right="360"/>
      <w:jc w:val="both"/>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7EBE7">
    <w:pPr>
      <w:pStyle w:val="32"/>
      <w:pBdr>
        <w:bottom w:val="none" w:color="000000"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A7AC4">
    <w:pPr>
      <w:pStyle w:val="32"/>
      <w:pBdr>
        <w:bottom w:val="none" w:color="000000"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multilevel"/>
    <w:tmpl w:val="FFFFFF7E"/>
    <w:lvl w:ilvl="0" w:tentative="0">
      <w:start w:val="1"/>
      <w:numFmt w:val="decimal"/>
      <w:pStyle w:val="21"/>
      <w:lvlText w:val="%1."/>
      <w:lvlJc w:val="left"/>
      <w:pPr>
        <w:tabs>
          <w:tab w:val="left" w:pos="1200"/>
        </w:tabs>
        <w:ind w:left="1200" w:hanging="360"/>
      </w:p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1">
    <w:nsid w:val="32714F5E"/>
    <w:multiLevelType w:val="multilevel"/>
    <w:tmpl w:val="32714F5E"/>
    <w:lvl w:ilvl="0" w:tentative="0">
      <w:start w:val="1"/>
      <w:numFmt w:val="chineseCountingThousand"/>
      <w:suff w:val="nothing"/>
      <w:lvlText w:val="第%1章"/>
      <w:lvlJc w:val="left"/>
      <w:pPr>
        <w:ind w:left="0" w:firstLine="0"/>
      </w:pPr>
      <w:rPr>
        <w:rFonts w:hint="eastAsia" w:ascii="仿宋_GB2312" w:eastAsia="仿宋_GB2312"/>
        <w:sz w:val="4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pStyle w:val="6"/>
      <w:suff w:val="nothing"/>
      <w:lvlText w:val=""/>
      <w:lvlJc w:val="left"/>
      <w:pPr>
        <w:ind w:left="0" w:firstLine="0"/>
      </w:pPr>
      <w:rPr>
        <w:rFonts w:hint="eastAsia"/>
      </w:rPr>
    </w:lvl>
    <w:lvl w:ilvl="5" w:tentative="0">
      <w:start w:val="1"/>
      <w:numFmt w:val="none"/>
      <w:pStyle w:val="8"/>
      <w:suff w:val="nothing"/>
      <w:lvlText w:val=""/>
      <w:lvlJc w:val="left"/>
      <w:pPr>
        <w:ind w:left="0" w:firstLine="0"/>
      </w:pPr>
      <w:rPr>
        <w:rFonts w:hint="eastAsia"/>
      </w:rPr>
    </w:lvl>
    <w:lvl w:ilvl="6" w:tentative="0">
      <w:start w:val="1"/>
      <w:numFmt w:val="none"/>
      <w:pStyle w:val="9"/>
      <w:suff w:val="nothing"/>
      <w:lvlText w:val=""/>
      <w:lvlJc w:val="left"/>
      <w:pPr>
        <w:ind w:left="0" w:firstLine="0"/>
      </w:pPr>
      <w:rPr>
        <w:rFonts w:hint="eastAsia"/>
      </w:rPr>
    </w:lvl>
    <w:lvl w:ilvl="7" w:tentative="0">
      <w:start w:val="1"/>
      <w:numFmt w:val="none"/>
      <w:pStyle w:val="10"/>
      <w:suff w:val="nothing"/>
      <w:lvlText w:val=""/>
      <w:lvlJc w:val="left"/>
      <w:pPr>
        <w:ind w:left="0" w:firstLine="0"/>
      </w:pPr>
      <w:rPr>
        <w:rFonts w:hint="eastAsia"/>
      </w:rPr>
    </w:lvl>
    <w:lvl w:ilvl="8" w:tentative="0">
      <w:start w:val="1"/>
      <w:numFmt w:val="none"/>
      <w:pStyle w:val="11"/>
      <w:suff w:val="nothing"/>
      <w:lvlText w:val=""/>
      <w:lvlJc w:val="left"/>
      <w:pPr>
        <w:ind w:left="0" w:firstLine="0"/>
      </w:pPr>
      <w:rPr>
        <w:rFonts w:hint="eastAsia"/>
      </w:rPr>
    </w:lvl>
  </w:abstractNum>
  <w:abstractNum w:abstractNumId="2">
    <w:nsid w:val="4C601917"/>
    <w:multiLevelType w:val="multilevel"/>
    <w:tmpl w:val="4C601917"/>
    <w:lvl w:ilvl="0" w:tentative="0">
      <w:start w:val="1"/>
      <w:numFmt w:val="decimal"/>
      <w:suff w:val="nothing"/>
      <w:lvlText w:val="（%1）"/>
      <w:lvlJc w:val="left"/>
      <w:pPr>
        <w:ind w:left="-2"/>
      </w:p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3">
    <w:nsid w:val="5FABD14B"/>
    <w:multiLevelType w:val="multilevel"/>
    <w:tmpl w:val="5FABD14B"/>
    <w:lvl w:ilvl="0" w:tentative="0">
      <w:start w:val="1"/>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num w:numId="1">
    <w:abstractNumId w:val="1"/>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B3D13"/>
    <w:rsid w:val="104030FD"/>
    <w:rsid w:val="198F0DEA"/>
    <w:rsid w:val="1DC835AB"/>
    <w:rsid w:val="26247D40"/>
    <w:rsid w:val="274C4597"/>
    <w:rsid w:val="275B3E1E"/>
    <w:rsid w:val="28EF1951"/>
    <w:rsid w:val="28F84B43"/>
    <w:rsid w:val="2B3134E9"/>
    <w:rsid w:val="2C3473EA"/>
    <w:rsid w:val="2D277074"/>
    <w:rsid w:val="32B05639"/>
    <w:rsid w:val="370B7A5D"/>
    <w:rsid w:val="465A6CCF"/>
    <w:rsid w:val="46EB164C"/>
    <w:rsid w:val="48213245"/>
    <w:rsid w:val="4A461C63"/>
    <w:rsid w:val="4D05714C"/>
    <w:rsid w:val="55915A56"/>
    <w:rsid w:val="589C308F"/>
    <w:rsid w:val="58F72073"/>
    <w:rsid w:val="5BCF6967"/>
    <w:rsid w:val="5EE26BE7"/>
    <w:rsid w:val="6126737F"/>
    <w:rsid w:val="6BE12B44"/>
    <w:rsid w:val="72523A99"/>
    <w:rsid w:val="78E337ED"/>
    <w:rsid w:val="7952606C"/>
    <w:rsid w:val="79DB12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1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semiHidden="0"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qFormat="1" w:uiPriority="99" w:semiHidden="0" w:name="table of figures"/>
    <w:lsdException w:uiPriority="99" w:name="envelope address"/>
    <w:lsdException w:uiPriority="99" w:name="envelope return"/>
    <w:lsdException w:qFormat="1" w:uiPriority="99" w:semiHidden="0" w:name="footnote reference"/>
    <w:lsdException w:qFormat="1" w:uiPriority="0" w:semiHidden="0" w:name="annotation reference"/>
    <w:lsdException w:uiPriority="99" w:name="line number"/>
    <w:lsdException w:qFormat="1" w:unhideWhenUsed="0" w:uiPriority="0" w:semiHidden="0" w:name="page number"/>
    <w:lsdException w:qFormat="1" w:uiPriority="99" w:semiHidden="0" w:name="endnote reference"/>
    <w:lsdException w:qFormat="1" w:uiPriority="99" w:semiHidden="0" w:name="endnote text"/>
    <w:lsdException w:qFormat="1" w:unhideWhenUsed="0" w:uiPriority="0" w:semiHidden="0" w:name="table of authorities"/>
    <w:lsdException w:uiPriority="99" w:name="macro"/>
    <w:lsdException w:uiPriority="99" w:name="toa heading"/>
    <w:lsdException w:qFormat="1" w:unhideWhenUsed="0" w:uiPriority="0" w:semiHidden="0" w:name="List"/>
    <w:lsdException w:uiPriority="99" w:name="List Bullet"/>
    <w:lsdException w:qFormat="1" w:unhideWhenUsed="0" w:uiPriority="0" w:semiHidden="0"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qFormat="1" w:unhideWhenUsed="0" w:uiPriority="0"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nhideWhenUsed="0" w:uiPriority="0" w:semiHidden="0" w:name="Plain Text"/>
    <w:lsdException w:uiPriority="99" w:name="E-mail Signature"/>
    <w:lsdException w:qFormat="1" w:unhideWhenUsed="0"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2">
    <w:name w:val="heading 1"/>
    <w:basedOn w:val="1"/>
    <w:next w:val="1"/>
    <w:link w:val="250"/>
    <w:qFormat/>
    <w:uiPriority w:val="0"/>
    <w:pPr>
      <w:keepNext/>
      <w:keepLines/>
      <w:spacing w:before="340" w:after="330" w:line="578" w:lineRule="auto"/>
      <w:outlineLvl w:val="0"/>
    </w:pPr>
    <w:rPr>
      <w:b/>
      <w:bCs/>
      <w:sz w:val="44"/>
      <w:szCs w:val="44"/>
    </w:rPr>
  </w:style>
  <w:style w:type="paragraph" w:styleId="3">
    <w:name w:val="heading 2"/>
    <w:basedOn w:val="1"/>
    <w:next w:val="1"/>
    <w:link w:val="25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252"/>
    <w:qFormat/>
    <w:uiPriority w:val="0"/>
    <w:pPr>
      <w:keepNext/>
      <w:keepLines/>
      <w:spacing w:before="260" w:after="260" w:line="416" w:lineRule="auto"/>
      <w:outlineLvl w:val="2"/>
    </w:pPr>
    <w:rPr>
      <w:b/>
      <w:bCs/>
      <w:sz w:val="32"/>
      <w:szCs w:val="32"/>
    </w:rPr>
  </w:style>
  <w:style w:type="paragraph" w:styleId="5">
    <w:name w:val="heading 4"/>
    <w:basedOn w:val="1"/>
    <w:next w:val="1"/>
    <w:link w:val="276"/>
    <w:qFormat/>
    <w:uiPriority w:val="10"/>
    <w:pPr>
      <w:keepNext/>
      <w:keepLines/>
      <w:spacing w:before="280" w:after="290" w:line="376" w:lineRule="auto"/>
      <w:outlineLvl w:val="3"/>
    </w:pPr>
    <w:rPr>
      <w:rFonts w:ascii="Calibri Light" w:hAnsi="Calibri Light"/>
      <w:b/>
      <w:bCs/>
      <w:sz w:val="28"/>
      <w:szCs w:val="28"/>
    </w:rPr>
  </w:style>
  <w:style w:type="paragraph" w:styleId="6">
    <w:name w:val="heading 5"/>
    <w:basedOn w:val="1"/>
    <w:next w:val="7"/>
    <w:link w:val="254"/>
    <w:qFormat/>
    <w:uiPriority w:val="0"/>
    <w:pPr>
      <w:keepNext/>
      <w:keepLines/>
      <w:numPr>
        <w:ilvl w:val="4"/>
        <w:numId w:val="1"/>
      </w:numPr>
      <w:spacing w:before="280" w:after="290" w:line="376" w:lineRule="auto"/>
      <w:outlineLvl w:val="4"/>
    </w:pPr>
    <w:rPr>
      <w:b/>
      <w:sz w:val="28"/>
    </w:rPr>
  </w:style>
  <w:style w:type="paragraph" w:styleId="8">
    <w:name w:val="heading 6"/>
    <w:basedOn w:val="1"/>
    <w:next w:val="7"/>
    <w:link w:val="255"/>
    <w:qFormat/>
    <w:uiPriority w:val="0"/>
    <w:pPr>
      <w:keepNext/>
      <w:keepLines/>
      <w:numPr>
        <w:ilvl w:val="5"/>
        <w:numId w:val="1"/>
      </w:numPr>
      <w:spacing w:before="240" w:after="64" w:line="320" w:lineRule="auto"/>
      <w:outlineLvl w:val="5"/>
    </w:pPr>
    <w:rPr>
      <w:rFonts w:ascii="Arial" w:hAnsi="Arial" w:eastAsia="黑体"/>
      <w:b/>
      <w:sz w:val="24"/>
    </w:rPr>
  </w:style>
  <w:style w:type="paragraph" w:styleId="9">
    <w:name w:val="heading 7"/>
    <w:basedOn w:val="1"/>
    <w:next w:val="7"/>
    <w:link w:val="256"/>
    <w:qFormat/>
    <w:uiPriority w:val="0"/>
    <w:pPr>
      <w:keepNext/>
      <w:keepLines/>
      <w:numPr>
        <w:ilvl w:val="6"/>
        <w:numId w:val="1"/>
      </w:numPr>
      <w:spacing w:before="240" w:after="64" w:line="320" w:lineRule="auto"/>
      <w:outlineLvl w:val="6"/>
    </w:pPr>
    <w:rPr>
      <w:b/>
      <w:sz w:val="24"/>
    </w:rPr>
  </w:style>
  <w:style w:type="paragraph" w:styleId="10">
    <w:name w:val="heading 8"/>
    <w:basedOn w:val="1"/>
    <w:next w:val="7"/>
    <w:link w:val="257"/>
    <w:qFormat/>
    <w:uiPriority w:val="0"/>
    <w:pPr>
      <w:keepNext/>
      <w:keepLines/>
      <w:numPr>
        <w:ilvl w:val="7"/>
        <w:numId w:val="1"/>
      </w:numPr>
      <w:spacing w:before="240" w:after="64" w:line="320" w:lineRule="auto"/>
      <w:outlineLvl w:val="7"/>
    </w:pPr>
    <w:rPr>
      <w:rFonts w:ascii="Arial" w:hAnsi="Arial" w:eastAsia="黑体"/>
      <w:sz w:val="24"/>
    </w:rPr>
  </w:style>
  <w:style w:type="paragraph" w:styleId="11">
    <w:name w:val="heading 9"/>
    <w:basedOn w:val="1"/>
    <w:next w:val="7"/>
    <w:link w:val="258"/>
    <w:qFormat/>
    <w:uiPriority w:val="0"/>
    <w:pPr>
      <w:keepNext/>
      <w:keepLines/>
      <w:numPr>
        <w:ilvl w:val="8"/>
        <w:numId w:val="1"/>
      </w:numPr>
      <w:spacing w:before="240" w:after="64" w:line="320" w:lineRule="auto"/>
      <w:outlineLvl w:val="8"/>
    </w:pPr>
    <w:rPr>
      <w:rFonts w:ascii="Arial" w:hAnsi="Arial" w:eastAsia="黑体"/>
    </w:rPr>
  </w:style>
  <w:style w:type="character" w:default="1" w:styleId="52">
    <w:name w:val="Default Paragraph Font"/>
    <w:semiHidden/>
    <w:unhideWhenUsed/>
    <w:qFormat/>
    <w:uiPriority w:val="1"/>
  </w:style>
  <w:style w:type="table" w:default="1" w:styleId="50">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7">
    <w:name w:val="Normal Indent"/>
    <w:basedOn w:val="1"/>
    <w:qFormat/>
    <w:uiPriority w:val="0"/>
    <w:pPr>
      <w:ind w:firstLine="420"/>
    </w:pPr>
    <w:rPr>
      <w:szCs w:val="20"/>
    </w:rPr>
  </w:style>
  <w:style w:type="paragraph" w:styleId="12">
    <w:name w:val="toc 7"/>
    <w:basedOn w:val="1"/>
    <w:next w:val="1"/>
    <w:unhideWhenUsed/>
    <w:qFormat/>
    <w:uiPriority w:val="39"/>
    <w:pPr>
      <w:ind w:left="2520"/>
    </w:pPr>
    <w:rPr>
      <w:rFonts w:ascii="Calibri" w:hAnsi="Calibri"/>
      <w:szCs w:val="22"/>
    </w:rPr>
  </w:style>
  <w:style w:type="paragraph" w:styleId="13">
    <w:name w:val="table of authorities"/>
    <w:basedOn w:val="1"/>
    <w:next w:val="1"/>
    <w:qFormat/>
    <w:uiPriority w:val="0"/>
    <w:pPr>
      <w:ind w:left="420"/>
    </w:pPr>
    <w:rPr>
      <w:rFonts w:ascii="Calibri" w:hAnsi="Calibri"/>
    </w:rPr>
  </w:style>
  <w:style w:type="paragraph" w:styleId="14">
    <w:name w:val="List Number"/>
    <w:basedOn w:val="1"/>
    <w:qFormat/>
    <w:uiPriority w:val="0"/>
    <w:pPr>
      <w:widowControl/>
      <w:tabs>
        <w:tab w:val="left" w:pos="454"/>
        <w:tab w:val="left" w:pos="720"/>
        <w:tab w:val="left" w:pos="840"/>
      </w:tabs>
      <w:ind w:left="454" w:hanging="284"/>
      <w:jc w:val="left"/>
    </w:pPr>
    <w:rPr>
      <w:sz w:val="24"/>
      <w:szCs w:val="20"/>
    </w:rPr>
  </w:style>
  <w:style w:type="paragraph" w:styleId="15">
    <w:name w:val="caption"/>
    <w:basedOn w:val="1"/>
    <w:next w:val="1"/>
    <w:qFormat/>
    <w:uiPriority w:val="0"/>
    <w:pPr>
      <w:spacing w:before="152" w:after="160"/>
    </w:pPr>
    <w:rPr>
      <w:rFonts w:ascii="Arial" w:hAnsi="Arial" w:eastAsia="黑体" w:cs="Arial"/>
      <w:sz w:val="20"/>
      <w:szCs w:val="20"/>
    </w:rPr>
  </w:style>
  <w:style w:type="paragraph" w:styleId="16">
    <w:name w:val="Document Map"/>
    <w:basedOn w:val="1"/>
    <w:link w:val="259"/>
    <w:unhideWhenUsed/>
    <w:qFormat/>
    <w:uiPriority w:val="0"/>
    <w:pPr>
      <w:shd w:val="clear" w:color="auto" w:fill="000080"/>
    </w:pPr>
    <w:rPr>
      <w:rFonts w:hint="eastAsia" w:ascii="宋体" w:hAnsi="宋体"/>
      <w:sz w:val="20"/>
      <w:szCs w:val="20"/>
    </w:rPr>
  </w:style>
  <w:style w:type="paragraph" w:styleId="17">
    <w:name w:val="annotation text"/>
    <w:basedOn w:val="1"/>
    <w:link w:val="260"/>
    <w:unhideWhenUsed/>
    <w:qFormat/>
    <w:uiPriority w:val="0"/>
    <w:pPr>
      <w:jc w:val="left"/>
    </w:pPr>
  </w:style>
  <w:style w:type="paragraph" w:styleId="18">
    <w:name w:val="Body Text 3"/>
    <w:basedOn w:val="1"/>
    <w:link w:val="261"/>
    <w:qFormat/>
    <w:uiPriority w:val="0"/>
    <w:pPr>
      <w:spacing w:line="500" w:lineRule="exact"/>
    </w:pPr>
    <w:rPr>
      <w:b/>
      <w:bCs/>
      <w:sz w:val="24"/>
    </w:rPr>
  </w:style>
  <w:style w:type="paragraph" w:styleId="19">
    <w:name w:val="Body Text"/>
    <w:basedOn w:val="1"/>
    <w:link w:val="262"/>
    <w:qFormat/>
    <w:uiPriority w:val="99"/>
    <w:pPr>
      <w:spacing w:line="380" w:lineRule="exact"/>
    </w:pPr>
    <w:rPr>
      <w:sz w:val="24"/>
    </w:rPr>
  </w:style>
  <w:style w:type="paragraph" w:styleId="20">
    <w:name w:val="Body Text Indent"/>
    <w:basedOn w:val="1"/>
    <w:link w:val="263"/>
    <w:qFormat/>
    <w:uiPriority w:val="0"/>
    <w:pPr>
      <w:ind w:firstLine="830"/>
    </w:pPr>
    <w:rPr>
      <w:rFonts w:ascii="仿宋_GB2312" w:eastAsia="仿宋_GB2312"/>
      <w:sz w:val="32"/>
      <w:szCs w:val="20"/>
    </w:rPr>
  </w:style>
  <w:style w:type="paragraph" w:styleId="21">
    <w:name w:val="List Number 3"/>
    <w:basedOn w:val="1"/>
    <w:qFormat/>
    <w:uiPriority w:val="0"/>
    <w:pPr>
      <w:numPr>
        <w:ilvl w:val="0"/>
        <w:numId w:val="2"/>
      </w:numPr>
    </w:pPr>
  </w:style>
  <w:style w:type="paragraph" w:styleId="22">
    <w:name w:val="List 2"/>
    <w:basedOn w:val="1"/>
    <w:qFormat/>
    <w:uiPriority w:val="0"/>
    <w:pPr>
      <w:ind w:left="100" w:hanging="200"/>
    </w:pPr>
    <w:rPr>
      <w:sz w:val="28"/>
    </w:rPr>
  </w:style>
  <w:style w:type="paragraph" w:styleId="23">
    <w:name w:val="toc 5"/>
    <w:basedOn w:val="1"/>
    <w:next w:val="1"/>
    <w:unhideWhenUsed/>
    <w:qFormat/>
    <w:uiPriority w:val="39"/>
    <w:pPr>
      <w:ind w:left="1680"/>
    </w:pPr>
    <w:rPr>
      <w:rFonts w:ascii="Calibri" w:hAnsi="Calibri"/>
      <w:szCs w:val="22"/>
    </w:rPr>
  </w:style>
  <w:style w:type="paragraph" w:styleId="24">
    <w:name w:val="toc 3"/>
    <w:basedOn w:val="1"/>
    <w:next w:val="1"/>
    <w:unhideWhenUsed/>
    <w:qFormat/>
    <w:uiPriority w:val="39"/>
    <w:pPr>
      <w:ind w:left="840"/>
    </w:pPr>
    <w:rPr>
      <w:rFonts w:ascii="Calibri" w:hAnsi="Calibri"/>
      <w:szCs w:val="22"/>
    </w:rPr>
  </w:style>
  <w:style w:type="paragraph" w:styleId="25">
    <w:name w:val="Plain Text"/>
    <w:basedOn w:val="1"/>
    <w:link w:val="264"/>
    <w:qFormat/>
    <w:uiPriority w:val="0"/>
    <w:rPr>
      <w:rFonts w:ascii="宋体" w:hAnsi="Courier New"/>
      <w:sz w:val="20"/>
      <w:szCs w:val="21"/>
    </w:rPr>
  </w:style>
  <w:style w:type="paragraph" w:styleId="26">
    <w:name w:val="toc 8"/>
    <w:basedOn w:val="1"/>
    <w:next w:val="1"/>
    <w:unhideWhenUsed/>
    <w:qFormat/>
    <w:uiPriority w:val="39"/>
    <w:pPr>
      <w:ind w:left="2940"/>
    </w:pPr>
    <w:rPr>
      <w:rFonts w:ascii="Calibri" w:hAnsi="Calibri"/>
      <w:szCs w:val="22"/>
    </w:rPr>
  </w:style>
  <w:style w:type="paragraph" w:styleId="27">
    <w:name w:val="Date"/>
    <w:basedOn w:val="1"/>
    <w:next w:val="1"/>
    <w:link w:val="265"/>
    <w:qFormat/>
    <w:uiPriority w:val="0"/>
    <w:pPr>
      <w:ind w:left="100"/>
    </w:pPr>
    <w:rPr>
      <w:rFonts w:ascii="宋体" w:hAnsi="Courier New"/>
      <w:sz w:val="20"/>
      <w:szCs w:val="21"/>
    </w:rPr>
  </w:style>
  <w:style w:type="paragraph" w:styleId="28">
    <w:name w:val="Body Text Indent 2"/>
    <w:basedOn w:val="1"/>
    <w:link w:val="266"/>
    <w:qFormat/>
    <w:uiPriority w:val="0"/>
    <w:pPr>
      <w:ind w:firstLine="630"/>
    </w:pPr>
    <w:rPr>
      <w:sz w:val="32"/>
      <w:szCs w:val="20"/>
    </w:rPr>
  </w:style>
  <w:style w:type="paragraph" w:styleId="29">
    <w:name w:val="endnote text"/>
    <w:basedOn w:val="1"/>
    <w:link w:val="267"/>
    <w:unhideWhenUsed/>
    <w:qFormat/>
    <w:uiPriority w:val="99"/>
    <w:pPr>
      <w:jc w:val="left"/>
    </w:pPr>
  </w:style>
  <w:style w:type="paragraph" w:styleId="30">
    <w:name w:val="Balloon Text"/>
    <w:basedOn w:val="1"/>
    <w:link w:val="268"/>
    <w:qFormat/>
    <w:uiPriority w:val="0"/>
    <w:rPr>
      <w:sz w:val="18"/>
      <w:szCs w:val="18"/>
    </w:rPr>
  </w:style>
  <w:style w:type="paragraph" w:styleId="31">
    <w:name w:val="footer"/>
    <w:basedOn w:val="1"/>
    <w:link w:val="269"/>
    <w:unhideWhenUsed/>
    <w:qFormat/>
    <w:uiPriority w:val="99"/>
    <w:pPr>
      <w:tabs>
        <w:tab w:val="center" w:pos="4153"/>
        <w:tab w:val="right" w:pos="8306"/>
      </w:tabs>
      <w:jc w:val="left"/>
    </w:pPr>
    <w:rPr>
      <w:sz w:val="18"/>
      <w:szCs w:val="18"/>
    </w:rPr>
  </w:style>
  <w:style w:type="paragraph" w:styleId="32">
    <w:name w:val="header"/>
    <w:basedOn w:val="1"/>
    <w:link w:val="270"/>
    <w:unhideWhenUsed/>
    <w:qFormat/>
    <w:uiPriority w:val="99"/>
    <w:pPr>
      <w:pBdr>
        <w:bottom w:val="single" w:color="000000" w:sz="6" w:space="1"/>
      </w:pBdr>
      <w:tabs>
        <w:tab w:val="center" w:pos="0"/>
        <w:tab w:val="left" w:pos="8306"/>
      </w:tabs>
      <w:jc w:val="center"/>
    </w:pPr>
    <w:rPr>
      <w:sz w:val="18"/>
      <w:szCs w:val="18"/>
    </w:rPr>
  </w:style>
  <w:style w:type="paragraph" w:styleId="33">
    <w:name w:val="toc 1"/>
    <w:basedOn w:val="1"/>
    <w:next w:val="1"/>
    <w:qFormat/>
    <w:uiPriority w:val="39"/>
    <w:pPr>
      <w:tabs>
        <w:tab w:val="right" w:leader="dot" w:pos="8398"/>
      </w:tabs>
      <w:spacing w:before="120" w:after="120"/>
      <w:ind w:firstLine="240"/>
      <w:jc w:val="left"/>
    </w:pPr>
    <w:rPr>
      <w:rFonts w:ascii="宋体" w:hAnsi="宋体"/>
      <w:b/>
      <w:bCs/>
      <w:caps/>
      <w:sz w:val="24"/>
    </w:rPr>
  </w:style>
  <w:style w:type="paragraph" w:styleId="34">
    <w:name w:val="toc 4"/>
    <w:basedOn w:val="1"/>
    <w:next w:val="1"/>
    <w:unhideWhenUsed/>
    <w:qFormat/>
    <w:uiPriority w:val="39"/>
    <w:pPr>
      <w:ind w:left="1260"/>
    </w:pPr>
    <w:rPr>
      <w:rFonts w:ascii="Calibri" w:hAnsi="Calibri"/>
      <w:szCs w:val="22"/>
    </w:rPr>
  </w:style>
  <w:style w:type="paragraph" w:styleId="35">
    <w:name w:val="Subtitle"/>
    <w:basedOn w:val="1"/>
    <w:next w:val="1"/>
    <w:link w:val="232"/>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36">
    <w:name w:val="List"/>
    <w:basedOn w:val="1"/>
    <w:qFormat/>
    <w:uiPriority w:val="0"/>
    <w:pPr>
      <w:ind w:left="200" w:hanging="200"/>
    </w:pPr>
    <w:rPr>
      <w:sz w:val="28"/>
    </w:rPr>
  </w:style>
  <w:style w:type="paragraph" w:styleId="37">
    <w:name w:val="footnote text"/>
    <w:basedOn w:val="1"/>
    <w:link w:val="271"/>
    <w:unhideWhenUsed/>
    <w:qFormat/>
    <w:uiPriority w:val="99"/>
    <w:pPr>
      <w:jc w:val="left"/>
    </w:pPr>
    <w:rPr>
      <w:sz w:val="18"/>
      <w:szCs w:val="18"/>
    </w:rPr>
  </w:style>
  <w:style w:type="paragraph" w:styleId="38">
    <w:name w:val="toc 6"/>
    <w:basedOn w:val="1"/>
    <w:next w:val="1"/>
    <w:unhideWhenUsed/>
    <w:qFormat/>
    <w:uiPriority w:val="39"/>
    <w:pPr>
      <w:ind w:left="2100"/>
    </w:pPr>
    <w:rPr>
      <w:rFonts w:ascii="Calibri" w:hAnsi="Calibri"/>
      <w:szCs w:val="22"/>
    </w:rPr>
  </w:style>
  <w:style w:type="paragraph" w:styleId="39">
    <w:name w:val="Body Text Indent 3"/>
    <w:basedOn w:val="1"/>
    <w:link w:val="272"/>
    <w:qFormat/>
    <w:uiPriority w:val="0"/>
    <w:pPr>
      <w:spacing w:after="120"/>
      <w:ind w:left="420"/>
    </w:pPr>
    <w:rPr>
      <w:sz w:val="16"/>
      <w:szCs w:val="16"/>
    </w:rPr>
  </w:style>
  <w:style w:type="paragraph" w:styleId="40">
    <w:name w:val="table of figures"/>
    <w:basedOn w:val="1"/>
    <w:next w:val="1"/>
    <w:unhideWhenUsed/>
    <w:qFormat/>
    <w:uiPriority w:val="99"/>
  </w:style>
  <w:style w:type="paragraph" w:styleId="41">
    <w:name w:val="toc 2"/>
    <w:basedOn w:val="1"/>
    <w:next w:val="1"/>
    <w:unhideWhenUsed/>
    <w:qFormat/>
    <w:uiPriority w:val="39"/>
    <w:pPr>
      <w:ind w:left="420"/>
    </w:pPr>
  </w:style>
  <w:style w:type="paragraph" w:styleId="42">
    <w:name w:val="toc 9"/>
    <w:basedOn w:val="1"/>
    <w:next w:val="1"/>
    <w:unhideWhenUsed/>
    <w:qFormat/>
    <w:uiPriority w:val="39"/>
    <w:pPr>
      <w:ind w:left="3360"/>
    </w:pPr>
    <w:rPr>
      <w:rFonts w:ascii="Calibri" w:hAnsi="Calibri"/>
      <w:szCs w:val="22"/>
    </w:rPr>
  </w:style>
  <w:style w:type="paragraph" w:styleId="43">
    <w:name w:val="Body Text 2"/>
    <w:basedOn w:val="1"/>
    <w:link w:val="273"/>
    <w:qFormat/>
    <w:uiPriority w:val="0"/>
    <w:pPr>
      <w:spacing w:after="120" w:line="480" w:lineRule="auto"/>
    </w:pPr>
    <w:rPr>
      <w:sz w:val="20"/>
    </w:rPr>
  </w:style>
  <w:style w:type="paragraph" w:styleId="44">
    <w:name w:val="Normal (Web)"/>
    <w:basedOn w:val="1"/>
    <w:qFormat/>
    <w:uiPriority w:val="99"/>
    <w:pPr>
      <w:widowControl/>
      <w:spacing w:before="100" w:beforeAutospacing="1" w:after="100" w:afterAutospacing="1"/>
      <w:jc w:val="left"/>
    </w:pPr>
    <w:rPr>
      <w:rFonts w:ascii="宋体" w:hAnsi="宋体"/>
      <w:sz w:val="24"/>
    </w:rPr>
  </w:style>
  <w:style w:type="paragraph" w:styleId="45">
    <w:name w:val="index 1"/>
    <w:basedOn w:val="1"/>
    <w:next w:val="1"/>
    <w:qFormat/>
    <w:uiPriority w:val="0"/>
    <w:pPr>
      <w:spacing w:line="400" w:lineRule="exact"/>
      <w:ind w:firstLine="420"/>
    </w:pPr>
    <w:rPr>
      <w:rFonts w:ascii="宋体" w:hAnsi="Courier New"/>
      <w:b/>
      <w:szCs w:val="20"/>
    </w:rPr>
  </w:style>
  <w:style w:type="paragraph" w:styleId="46">
    <w:name w:val="Title"/>
    <w:basedOn w:val="1"/>
    <w:next w:val="1"/>
    <w:link w:val="274"/>
    <w:qFormat/>
    <w:uiPriority w:val="10"/>
    <w:pPr>
      <w:spacing w:before="240" w:after="60"/>
      <w:jc w:val="center"/>
      <w:outlineLvl w:val="0"/>
    </w:pPr>
    <w:rPr>
      <w:rFonts w:ascii="Cambria" w:hAnsi="Cambria"/>
      <w:b/>
      <w:bCs/>
      <w:sz w:val="32"/>
      <w:szCs w:val="32"/>
    </w:rPr>
  </w:style>
  <w:style w:type="paragraph" w:styleId="47">
    <w:name w:val="annotation subject"/>
    <w:basedOn w:val="17"/>
    <w:next w:val="17"/>
    <w:link w:val="275"/>
    <w:unhideWhenUsed/>
    <w:qFormat/>
    <w:uiPriority w:val="99"/>
    <w:rPr>
      <w:b/>
      <w:bCs/>
    </w:rPr>
  </w:style>
  <w:style w:type="paragraph" w:styleId="48">
    <w:name w:val="Body Text First Indent"/>
    <w:basedOn w:val="19"/>
    <w:qFormat/>
    <w:uiPriority w:val="0"/>
    <w:pPr>
      <w:spacing w:after="120" w:line="240" w:lineRule="auto"/>
      <w:ind w:firstLine="420"/>
    </w:pPr>
    <w:rPr>
      <w:sz w:val="21"/>
    </w:rPr>
  </w:style>
  <w:style w:type="paragraph" w:styleId="49">
    <w:name w:val="Body Text First Indent 2"/>
    <w:basedOn w:val="20"/>
    <w:qFormat/>
    <w:uiPriority w:val="0"/>
    <w:pPr>
      <w:ind w:firstLine="420"/>
    </w:pPr>
    <w:rPr>
      <w:rFonts w:eastAsia="宋体" w:cs="Times New Roman"/>
    </w:rPr>
  </w:style>
  <w:style w:type="table" w:styleId="51">
    <w:name w:val="Table Grid"/>
    <w:basedOn w:val="50"/>
    <w:qFormat/>
    <w:uiPriority w:val="59"/>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53">
    <w:name w:val="Strong"/>
    <w:basedOn w:val="52"/>
    <w:qFormat/>
    <w:uiPriority w:val="22"/>
    <w:rPr>
      <w:b/>
      <w:bCs/>
      <w:shd w:val="clear" w:color="auto" w:fill="FFFFFF"/>
    </w:rPr>
  </w:style>
  <w:style w:type="character" w:styleId="54">
    <w:name w:val="endnote reference"/>
    <w:unhideWhenUsed/>
    <w:qFormat/>
    <w:uiPriority w:val="99"/>
    <w:rPr>
      <w:vertAlign w:val="superscript"/>
    </w:rPr>
  </w:style>
  <w:style w:type="character" w:styleId="55">
    <w:name w:val="page number"/>
    <w:qFormat/>
    <w:uiPriority w:val="0"/>
  </w:style>
  <w:style w:type="character" w:styleId="56">
    <w:name w:val="FollowedHyperlink"/>
    <w:qFormat/>
    <w:uiPriority w:val="0"/>
    <w:rPr>
      <w:color w:val="800080"/>
      <w:u w:val="single"/>
    </w:rPr>
  </w:style>
  <w:style w:type="character" w:styleId="57">
    <w:name w:val="Emphasis"/>
    <w:basedOn w:val="52"/>
    <w:qFormat/>
    <w:uiPriority w:val="20"/>
    <w:rPr>
      <w:rFonts w:ascii="ActionIcon ! important" w:hAnsi="ActionIcon ! important" w:eastAsia="ActionIcon ! important" w:cs="ActionIcon ! important"/>
      <w:b/>
      <w:bCs/>
      <w:color w:val="3D4B62"/>
      <w:sz w:val="19"/>
      <w:szCs w:val="19"/>
    </w:rPr>
  </w:style>
  <w:style w:type="character" w:styleId="58">
    <w:name w:val="HTML Definition"/>
    <w:basedOn w:val="52"/>
    <w:semiHidden/>
    <w:unhideWhenUsed/>
    <w:qFormat/>
    <w:uiPriority w:val="99"/>
  </w:style>
  <w:style w:type="character" w:styleId="59">
    <w:name w:val="HTML Typewriter"/>
    <w:basedOn w:val="52"/>
    <w:semiHidden/>
    <w:unhideWhenUsed/>
    <w:qFormat/>
    <w:uiPriority w:val="99"/>
    <w:rPr>
      <w:rFonts w:ascii="monospace" w:hAnsi="monospace" w:eastAsia="monospace" w:cs="monospace"/>
      <w:sz w:val="20"/>
    </w:rPr>
  </w:style>
  <w:style w:type="character" w:styleId="60">
    <w:name w:val="HTML Acronym"/>
    <w:basedOn w:val="52"/>
    <w:semiHidden/>
    <w:unhideWhenUsed/>
    <w:qFormat/>
    <w:uiPriority w:val="99"/>
    <w:rPr>
      <w:shd w:val="clear" w:fill="FFFFFF"/>
    </w:rPr>
  </w:style>
  <w:style w:type="character" w:styleId="61">
    <w:name w:val="HTML Variable"/>
    <w:basedOn w:val="52"/>
    <w:semiHidden/>
    <w:unhideWhenUsed/>
    <w:qFormat/>
    <w:uiPriority w:val="99"/>
  </w:style>
  <w:style w:type="character" w:styleId="62">
    <w:name w:val="Hyperlink"/>
    <w:qFormat/>
    <w:uiPriority w:val="99"/>
    <w:rPr>
      <w:color w:val="0000FF"/>
      <w:u w:val="single"/>
    </w:rPr>
  </w:style>
  <w:style w:type="character" w:styleId="63">
    <w:name w:val="HTML Code"/>
    <w:basedOn w:val="52"/>
    <w:semiHidden/>
    <w:unhideWhenUsed/>
    <w:qFormat/>
    <w:uiPriority w:val="99"/>
    <w:rPr>
      <w:rFonts w:hint="default" w:ascii="monospace" w:hAnsi="monospace" w:eastAsia="monospace" w:cs="monospace"/>
      <w:sz w:val="20"/>
    </w:rPr>
  </w:style>
  <w:style w:type="character" w:styleId="64">
    <w:name w:val="annotation reference"/>
    <w:unhideWhenUsed/>
    <w:qFormat/>
    <w:uiPriority w:val="0"/>
    <w:rPr>
      <w:sz w:val="21"/>
      <w:szCs w:val="21"/>
    </w:rPr>
  </w:style>
  <w:style w:type="character" w:styleId="65">
    <w:name w:val="HTML Cite"/>
    <w:basedOn w:val="52"/>
    <w:semiHidden/>
    <w:unhideWhenUsed/>
    <w:qFormat/>
    <w:uiPriority w:val="99"/>
    <w:rPr>
      <w:shd w:val="clear" w:color="auto" w:fill="FFFFFF"/>
    </w:rPr>
  </w:style>
  <w:style w:type="character" w:styleId="66">
    <w:name w:val="footnote reference"/>
    <w:unhideWhenUsed/>
    <w:qFormat/>
    <w:uiPriority w:val="99"/>
    <w:rPr>
      <w:vertAlign w:val="superscript"/>
    </w:rPr>
  </w:style>
  <w:style w:type="character" w:styleId="67">
    <w:name w:val="HTML Keyboard"/>
    <w:basedOn w:val="52"/>
    <w:semiHidden/>
    <w:unhideWhenUsed/>
    <w:qFormat/>
    <w:uiPriority w:val="99"/>
    <w:rPr>
      <w:rFonts w:hint="default" w:ascii="monospace" w:hAnsi="monospace" w:eastAsia="monospace" w:cs="monospace"/>
      <w:sz w:val="20"/>
    </w:rPr>
  </w:style>
  <w:style w:type="character" w:styleId="68">
    <w:name w:val="HTML Sample"/>
    <w:basedOn w:val="52"/>
    <w:semiHidden/>
    <w:unhideWhenUsed/>
    <w:qFormat/>
    <w:uiPriority w:val="99"/>
    <w:rPr>
      <w:rFonts w:hint="default" w:ascii="monospace" w:hAnsi="monospace" w:eastAsia="monospace" w:cs="monospace"/>
    </w:rPr>
  </w:style>
  <w:style w:type="table" w:customStyle="1" w:styleId="69">
    <w:name w:val="Plain Table 1"/>
    <w:basedOn w:val="50"/>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70">
    <w:name w:val="Plain Table 2"/>
    <w:basedOn w:val="50"/>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71">
    <w:name w:val="Plain Table 3"/>
    <w:basedOn w:val="50"/>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72">
    <w:name w:val="Plain Table 4"/>
    <w:basedOn w:val="50"/>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73">
    <w:name w:val="Plain Table 5"/>
    <w:basedOn w:val="50"/>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74">
    <w:name w:val="Grid Table 1 Light"/>
    <w:basedOn w:val="50"/>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75">
    <w:name w:val="Grid Table 2"/>
    <w:basedOn w:val="50"/>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76">
    <w:name w:val="Grid Table 3"/>
    <w:basedOn w:val="50"/>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77">
    <w:name w:val="Grid Table 4"/>
    <w:basedOn w:val="50"/>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78">
    <w:name w:val="Grid Table 5 Dark"/>
    <w:basedOn w:val="50"/>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79">
    <w:name w:val="Grid Table 6 Colorful"/>
    <w:basedOn w:val="50"/>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0">
    <w:name w:val="Grid Table 7 Colorful"/>
    <w:basedOn w:val="50"/>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1">
    <w:name w:val="List Table 1 Light"/>
    <w:basedOn w:val="50"/>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82">
    <w:name w:val="List Table 2"/>
    <w:basedOn w:val="50"/>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83">
    <w:name w:val="List Table 3"/>
    <w:basedOn w:val="50"/>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84">
    <w:name w:val="List Table 4"/>
    <w:basedOn w:val="50"/>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85">
    <w:name w:val="List Table 5 Dark"/>
    <w:basedOn w:val="50"/>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86">
    <w:name w:val="List Table 6 Colorful"/>
    <w:basedOn w:val="50"/>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87">
    <w:name w:val="List Table 7 Colorful"/>
    <w:basedOn w:val="50"/>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character" w:customStyle="1" w:styleId="88">
    <w:name w:val="Subtitle Char"/>
    <w:basedOn w:val="52"/>
    <w:qFormat/>
    <w:uiPriority w:val="11"/>
    <w:rPr>
      <w:color w:val="595959" w:themeColor="text1" w:themeTint="A6"/>
      <w:spacing w:val="15"/>
      <w:sz w:val="28"/>
      <w:szCs w:val="28"/>
      <w14:textFill>
        <w14:solidFill>
          <w14:schemeClr w14:val="tx1">
            <w14:lumMod w14:val="65000"/>
            <w14:lumOff w14:val="35000"/>
          </w14:schemeClr>
        </w14:solidFill>
      </w14:textFill>
    </w:rPr>
  </w:style>
  <w:style w:type="character" w:customStyle="1" w:styleId="89">
    <w:name w:val="Quote Char"/>
    <w:basedOn w:val="52"/>
    <w:qFormat/>
    <w:uiPriority w:val="29"/>
    <w:rPr>
      <w:i/>
      <w:iCs/>
      <w:color w:val="404040" w:themeColor="text1" w:themeTint="BF"/>
      <w14:textFill>
        <w14:solidFill>
          <w14:schemeClr w14:val="tx1">
            <w14:lumMod w14:val="75000"/>
            <w14:lumOff w14:val="25000"/>
          </w14:schemeClr>
        </w14:solidFill>
      </w14:textFill>
    </w:rPr>
  </w:style>
  <w:style w:type="character" w:customStyle="1" w:styleId="90">
    <w:name w:val="Intense Emphasis"/>
    <w:basedOn w:val="52"/>
    <w:qFormat/>
    <w:uiPriority w:val="21"/>
    <w:rPr>
      <w:i/>
      <w:iCs/>
      <w:color w:val="376092" w:themeColor="accent1" w:themeShade="BF"/>
    </w:rPr>
  </w:style>
  <w:style w:type="character" w:customStyle="1" w:styleId="91">
    <w:name w:val="Intense Quote Char"/>
    <w:basedOn w:val="52"/>
    <w:qFormat/>
    <w:uiPriority w:val="30"/>
    <w:rPr>
      <w:i/>
      <w:iCs/>
      <w:color w:val="376092" w:themeColor="accent1" w:themeShade="BF"/>
    </w:rPr>
  </w:style>
  <w:style w:type="character" w:customStyle="1" w:styleId="92">
    <w:name w:val="Intense Reference"/>
    <w:basedOn w:val="52"/>
    <w:qFormat/>
    <w:uiPriority w:val="32"/>
    <w:rPr>
      <w:b/>
      <w:bCs/>
      <w:smallCaps/>
      <w:color w:val="376092" w:themeColor="accent1" w:themeShade="BF"/>
      <w:spacing w:val="5"/>
    </w:rPr>
  </w:style>
  <w:style w:type="character" w:customStyle="1" w:styleId="93">
    <w:name w:val="Subtle Emphasis"/>
    <w:basedOn w:val="52"/>
    <w:qFormat/>
    <w:uiPriority w:val="19"/>
    <w:rPr>
      <w:i/>
      <w:iCs/>
      <w:color w:val="404040" w:themeColor="text1" w:themeTint="BF"/>
      <w14:textFill>
        <w14:solidFill>
          <w14:schemeClr w14:val="tx1">
            <w14:lumMod w14:val="75000"/>
            <w14:lumOff w14:val="25000"/>
          </w14:schemeClr>
        </w14:solidFill>
      </w14:textFill>
    </w:rPr>
  </w:style>
  <w:style w:type="character" w:customStyle="1" w:styleId="94">
    <w:name w:val="Subtle Reference"/>
    <w:basedOn w:val="52"/>
    <w:qFormat/>
    <w:uiPriority w:val="31"/>
    <w:rPr>
      <w:smallCaps/>
      <w:color w:val="595959" w:themeColor="text1" w:themeTint="A6"/>
      <w14:textFill>
        <w14:solidFill>
          <w14:schemeClr w14:val="tx1">
            <w14:lumMod w14:val="65000"/>
            <w14:lumOff w14:val="35000"/>
          </w14:schemeClr>
        </w14:solidFill>
      </w14:textFill>
    </w:rPr>
  </w:style>
  <w:style w:type="character" w:customStyle="1" w:styleId="95">
    <w:name w:val="Book Title"/>
    <w:basedOn w:val="52"/>
    <w:qFormat/>
    <w:uiPriority w:val="33"/>
    <w:rPr>
      <w:b/>
      <w:bCs/>
      <w:i/>
      <w:iCs/>
      <w:spacing w:val="5"/>
    </w:rPr>
  </w:style>
  <w:style w:type="paragraph" w:customStyle="1" w:styleId="96">
    <w:name w:val="TOC Heading"/>
    <w:unhideWhenUsed/>
    <w:qFormat/>
    <w:uiPriority w:val="39"/>
    <w:rPr>
      <w:rFonts w:hint="default" w:ascii="Times New Roman" w:hAnsi="Times New Roman" w:eastAsia="宋体" w:cs="Times New Roman"/>
    </w:rPr>
  </w:style>
  <w:style w:type="table" w:customStyle="1" w:styleId="97">
    <w:name w:val="Table Grid Light"/>
    <w:basedOn w:val="50"/>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98">
    <w:name w:val="无格式表格 11"/>
    <w:basedOn w:val="50"/>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99">
    <w:name w:val="无格式表格 21"/>
    <w:basedOn w:val="50"/>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00">
    <w:name w:val="无格式表格 31"/>
    <w:basedOn w:val="50"/>
    <w:qFormat/>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101">
    <w:name w:val="无格式表格 41"/>
    <w:basedOn w:val="50"/>
    <w:qFormat/>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102">
    <w:name w:val="无格式表格 51"/>
    <w:basedOn w:val="50"/>
    <w:qFormat/>
    <w:uiPriority w:val="99"/>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103">
    <w:name w:val="网格表 1 浅色1"/>
    <w:basedOn w:val="50"/>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104">
    <w:name w:val="Grid Table 1 Light - Accent 1"/>
    <w:basedOn w:val="50"/>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105">
    <w:name w:val="Grid Table 1 Light - Accent 2"/>
    <w:basedOn w:val="50"/>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106">
    <w:name w:val="Grid Table 1 Light - Accent 3"/>
    <w:basedOn w:val="50"/>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107">
    <w:name w:val="Grid Table 1 Light - Accent 4"/>
    <w:basedOn w:val="50"/>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108">
    <w:name w:val="Grid Table 1 Light - Accent 5"/>
    <w:basedOn w:val="50"/>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109">
    <w:name w:val="Grid Table 1 Light - Accent 6"/>
    <w:basedOn w:val="50"/>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110">
    <w:name w:val="网格表 21"/>
    <w:basedOn w:val="50"/>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111">
    <w:name w:val="Grid Table 2 - Accent 1"/>
    <w:basedOn w:val="50"/>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112">
    <w:name w:val="Grid Table 2 - Accent 2"/>
    <w:basedOn w:val="50"/>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113">
    <w:name w:val="Grid Table 2 - Accent 3"/>
    <w:basedOn w:val="50"/>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114">
    <w:name w:val="Grid Table 2 - Accent 4"/>
    <w:basedOn w:val="50"/>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115">
    <w:name w:val="Grid Table 2 - Accent 5"/>
    <w:basedOn w:val="50"/>
    <w:qFormat/>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116">
    <w:name w:val="Grid Table 2 - Accent 6"/>
    <w:basedOn w:val="50"/>
    <w:qFormat/>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117">
    <w:name w:val="网格表 31"/>
    <w:basedOn w:val="50"/>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118">
    <w:name w:val="Grid Table 3 - Accent 1"/>
    <w:basedOn w:val="50"/>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119">
    <w:name w:val="Grid Table 3 - Accent 2"/>
    <w:basedOn w:val="50"/>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120">
    <w:name w:val="Grid Table 3 - Accent 3"/>
    <w:basedOn w:val="50"/>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121">
    <w:name w:val="Grid Table 3 - Accent 4"/>
    <w:basedOn w:val="50"/>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122">
    <w:name w:val="Grid Table 3 - Accent 5"/>
    <w:basedOn w:val="50"/>
    <w:qFormat/>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123">
    <w:name w:val="Grid Table 3 - Accent 6"/>
    <w:basedOn w:val="50"/>
    <w:qFormat/>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124">
    <w:name w:val="网格表 41"/>
    <w:basedOn w:val="50"/>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125">
    <w:name w:val="Grid Table 4 - Accent 1"/>
    <w:basedOn w:val="50"/>
    <w:qFormat/>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2Vert"/>
    <w:tblStylePr w:type="band1Horz">
      <w:rPr>
        <w:rFonts w:ascii="Arial" w:hAnsi="Arial"/>
        <w:color w:val="404040"/>
        <w:sz w:val="22"/>
      </w:rPr>
      <w:tcPr>
        <w:shd w:val="clear" w:color="DCE6F2" w:themeColor="accent1" w:themeTint="32" w:fill="DCE6F2" w:themeFill="accent1" w:themeFillTint="32"/>
      </w:tcPr>
    </w:tblStylePr>
    <w:tblStylePr w:type="band2Horz"/>
    <w:tblStylePr w:type="neCell"/>
    <w:tblStylePr w:type="nwCell"/>
    <w:tblStylePr w:type="seCell"/>
    <w:tblStylePr w:type="swCell"/>
  </w:style>
  <w:style w:type="table" w:customStyle="1" w:styleId="126">
    <w:name w:val="Grid Table 4 - Accent 2"/>
    <w:basedOn w:val="50"/>
    <w:qFormat/>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127">
    <w:name w:val="Grid Table 4 - Accent 3"/>
    <w:basedOn w:val="50"/>
    <w:qFormat/>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128">
    <w:name w:val="Grid Table 4 - Accent 4"/>
    <w:basedOn w:val="50"/>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129">
    <w:name w:val="Grid Table 4 - Accent 5"/>
    <w:basedOn w:val="50"/>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130">
    <w:name w:val="Grid Table 4 - Accent 6"/>
    <w:basedOn w:val="50"/>
    <w:qFormat/>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131">
    <w:name w:val="网格表 5 深色1"/>
    <w:basedOn w:val="5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132">
    <w:name w:val="Grid Table 5 Dark- Accent 1"/>
    <w:basedOn w:val="5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2Vert"/>
    <w:tblStylePr w:type="band1Horz">
      <w:tcPr>
        <w:shd w:val="clear" w:color="AEC5E0" w:themeColor="accent1" w:themeTint="75" w:fill="AEC5E0" w:themeFill="accent1" w:themeFillTint="75"/>
      </w:tcPr>
    </w:tblStylePr>
    <w:tblStylePr w:type="band2Horz"/>
    <w:tblStylePr w:type="neCell"/>
    <w:tblStylePr w:type="nwCell"/>
    <w:tblStylePr w:type="seCell"/>
    <w:tblStylePr w:type="swCell"/>
  </w:style>
  <w:style w:type="table" w:customStyle="1" w:styleId="133">
    <w:name w:val="Grid Table 5 Dark - Accent 2"/>
    <w:basedOn w:val="5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2Vert"/>
    <w:tblStylePr w:type="band1Horz">
      <w:tcPr>
        <w:shd w:val="clear" w:color="E2AEAD" w:themeColor="accent2" w:themeTint="75" w:fill="E2AEAD" w:themeFill="accent2" w:themeFillTint="75"/>
      </w:tcPr>
    </w:tblStylePr>
    <w:tblStylePr w:type="band2Horz"/>
    <w:tblStylePr w:type="neCell"/>
    <w:tblStylePr w:type="nwCell"/>
    <w:tblStylePr w:type="seCell"/>
    <w:tblStylePr w:type="swCell"/>
  </w:style>
  <w:style w:type="table" w:customStyle="1" w:styleId="134">
    <w:name w:val="Grid Table 5 Dark - Accent 3"/>
    <w:basedOn w:val="5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2Vert"/>
    <w:tblStylePr w:type="band1Horz">
      <w:tcPr>
        <w:shd w:val="clear" w:color="D1DFB2" w:themeColor="accent3" w:themeTint="75" w:fill="D1DFB2" w:themeFill="accent3" w:themeFillTint="75"/>
      </w:tcPr>
    </w:tblStylePr>
    <w:tblStylePr w:type="band2Horz"/>
    <w:tblStylePr w:type="neCell"/>
    <w:tblStylePr w:type="nwCell"/>
    <w:tblStylePr w:type="seCell"/>
    <w:tblStylePr w:type="swCell"/>
  </w:style>
  <w:style w:type="table" w:customStyle="1" w:styleId="135">
    <w:name w:val="Grid Table 5 Dark- Accent 4"/>
    <w:basedOn w:val="5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2Vert"/>
    <w:tblStylePr w:type="band1Horz">
      <w:tcPr>
        <w:shd w:val="clear" w:color="C4B7D4" w:themeColor="accent4" w:themeTint="75" w:fill="C4B7D4" w:themeFill="accent4" w:themeFillTint="75"/>
      </w:tcPr>
    </w:tblStylePr>
    <w:tblStylePr w:type="band2Horz"/>
    <w:tblStylePr w:type="neCell"/>
    <w:tblStylePr w:type="nwCell"/>
    <w:tblStylePr w:type="seCell"/>
    <w:tblStylePr w:type="swCell"/>
  </w:style>
  <w:style w:type="table" w:customStyle="1" w:styleId="136">
    <w:name w:val="Grid Table 5 Dark - Accent 5"/>
    <w:basedOn w:val="5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2Vert"/>
    <w:tblStylePr w:type="band1Horz">
      <w:tcPr>
        <w:shd w:val="clear" w:color="ACD8E4" w:themeColor="accent5" w:themeTint="75" w:fill="ACD8E4" w:themeFill="accent5" w:themeFillTint="75"/>
      </w:tcPr>
    </w:tblStylePr>
    <w:tblStylePr w:type="band2Horz"/>
    <w:tblStylePr w:type="neCell"/>
    <w:tblStylePr w:type="nwCell"/>
    <w:tblStylePr w:type="seCell"/>
    <w:tblStylePr w:type="swCell"/>
  </w:style>
  <w:style w:type="table" w:customStyle="1" w:styleId="137">
    <w:name w:val="Grid Table 5 Dark - Accent 6"/>
    <w:basedOn w:val="5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2Vert"/>
    <w:tblStylePr w:type="band1Horz">
      <w:tcPr>
        <w:shd w:val="clear" w:color="FBCEAA" w:themeColor="accent6" w:themeTint="75" w:fill="FBCEAA" w:themeFill="accent6" w:themeFillTint="75"/>
      </w:tcPr>
    </w:tblStylePr>
    <w:tblStylePr w:type="band2Horz"/>
    <w:tblStylePr w:type="neCell"/>
    <w:tblStylePr w:type="nwCell"/>
    <w:tblStylePr w:type="seCell"/>
    <w:tblStylePr w:type="swCell"/>
  </w:style>
  <w:style w:type="table" w:customStyle="1" w:styleId="138">
    <w:name w:val="网格表 6 彩色1"/>
    <w:basedOn w:val="50"/>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39">
    <w:name w:val="Grid Table 6 Colorful - Accent 1"/>
    <w:basedOn w:val="50"/>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140">
    <w:name w:val="Grid Table 6 Colorful - Accent 2"/>
    <w:basedOn w:val="50"/>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41">
    <w:name w:val="Grid Table 6 Colorful - Accent 3"/>
    <w:basedOn w:val="50"/>
    <w:qFormat/>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14:textFill>
          <w14:solidFill>
            <w14:schemeClr w14:val="accent3"/>
          </w14:solidFill>
        </w14:textFill>
      </w:rPr>
      <w:tcPr>
        <w:tcBorders>
          <w:bottom w:val="single" w:color="9BBB59" w:themeColor="accent3" w:themeTint="FE" w:sz="12" w:space="0"/>
        </w:tcBorders>
      </w:tcPr>
    </w:tblStylePr>
    <w:tblStylePr w:type="lastRow">
      <w:rPr>
        <w:b/>
        <w:color w:val="9BBB59" w:themeColor="accent3"/>
        <w14:textFill>
          <w14:solidFill>
            <w14:schemeClr w14:val="accent3"/>
          </w14:solidFill>
        </w14:textFill>
      </w:rPr>
    </w:tblStylePr>
    <w:tblStylePr w:type="firstCol">
      <w:rPr>
        <w:b/>
        <w:color w:val="9BBB59" w:themeColor="accent3"/>
        <w14:textFill>
          <w14:solidFill>
            <w14:schemeClr w14:val="accent3"/>
          </w14:solidFill>
        </w14:textFill>
      </w:rPr>
    </w:tblStylePr>
    <w:tblStylePr w:type="lastCol">
      <w:rPr>
        <w:b/>
        <w:color w:val="9BBB59" w:themeColor="accent3"/>
        <w14:textFill>
          <w14:solidFill>
            <w14:schemeClr w14:val="accent3"/>
          </w14:solidFill>
        </w14:textFill>
      </w:r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tblStylePr w:type="neCell"/>
    <w:tblStylePr w:type="nwCell"/>
    <w:tblStylePr w:type="seCell"/>
    <w:tblStylePr w:type="swCell"/>
  </w:style>
  <w:style w:type="table" w:customStyle="1" w:styleId="142">
    <w:name w:val="Grid Table 6 Colorful - Accent 4"/>
    <w:basedOn w:val="50"/>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43">
    <w:name w:val="Grid Table 6 Colorful - Accent 5"/>
    <w:basedOn w:val="50"/>
    <w:qFormat/>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44">
    <w:name w:val="Grid Table 6 Colorful - Accent 6"/>
    <w:basedOn w:val="50"/>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2Vert"/>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45">
    <w:name w:val="网格表 7 彩色1"/>
    <w:basedOn w:val="50"/>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46">
    <w:name w:val="Grid Table 7 Colorful - Accent 1"/>
    <w:basedOn w:val="50"/>
    <w:qFormat/>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147">
    <w:name w:val="Grid Table 7 Colorful - Accent 2"/>
    <w:basedOn w:val="50"/>
    <w:qFormat/>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48">
    <w:name w:val="Grid Table 7 Colorful - Accent 3"/>
    <w:basedOn w:val="50"/>
    <w:qFormat/>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sz w:val="22"/>
        <w14:textFill>
          <w14:solidFill>
            <w14:schemeClr w14:val="accent3"/>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sz w:val="22"/>
        <w14:textFill>
          <w14:solidFill>
            <w14:schemeClr w14:val="accent3"/>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14:textFill>
          <w14:solidFill>
            <w14:schemeClr w14:val="accent3"/>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sz w:val="22"/>
        <w14:textFill>
          <w14:solidFill>
            <w14:schemeClr w14:val="accent3"/>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tblStylePr w:type="neCell"/>
    <w:tblStylePr w:type="nwCell"/>
    <w:tblStylePr w:type="seCell"/>
    <w:tblStylePr w:type="swCell"/>
  </w:style>
  <w:style w:type="table" w:customStyle="1" w:styleId="149">
    <w:name w:val="Grid Table 7 Colorful - Accent 4"/>
    <w:basedOn w:val="50"/>
    <w:qFormat/>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50">
    <w:name w:val="Grid Table 7 Colorful - Accent 5"/>
    <w:basedOn w:val="50"/>
    <w:qFormat/>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51">
    <w:name w:val="Grid Table 7 Colorful - Accent 6"/>
    <w:basedOn w:val="50"/>
    <w:qFormat/>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2Vert"/>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tblStylePr w:type="neCell"/>
    <w:tblStylePr w:type="nwCell"/>
    <w:tblStylePr w:type="seCell"/>
    <w:tblStylePr w:type="swCell"/>
  </w:style>
  <w:style w:type="table" w:customStyle="1" w:styleId="152">
    <w:name w:val="清单表 1 浅色1"/>
    <w:basedOn w:val="50"/>
    <w:qFormat/>
    <w:uiPriority w:val="99"/>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53">
    <w:name w:val="List Table 1 Light - Accent 1"/>
    <w:basedOn w:val="50"/>
    <w:qFormat/>
    <w:uiPriority w:val="99"/>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2Vert"/>
    <w:tblStylePr w:type="band1Horz">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54">
    <w:name w:val="List Table 1 Light - Accent 2"/>
    <w:basedOn w:val="50"/>
    <w:qFormat/>
    <w:uiPriority w:val="99"/>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2Vert"/>
    <w:tblStylePr w:type="band1Horz">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55">
    <w:name w:val="List Table 1 Light - Accent 3"/>
    <w:basedOn w:val="50"/>
    <w:qFormat/>
    <w:uiPriority w:val="99"/>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2Vert"/>
    <w:tblStylePr w:type="band1Horz">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56">
    <w:name w:val="List Table 1 Light - Accent 4"/>
    <w:basedOn w:val="50"/>
    <w:qFormat/>
    <w:uiPriority w:val="99"/>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2Vert"/>
    <w:tblStylePr w:type="band1Horz">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57">
    <w:name w:val="List Table 1 Light - Accent 5"/>
    <w:basedOn w:val="50"/>
    <w:qFormat/>
    <w:uiPriority w:val="99"/>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2Vert"/>
    <w:tblStylePr w:type="band1Horz">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58">
    <w:name w:val="List Table 1 Light - Accent 6"/>
    <w:basedOn w:val="50"/>
    <w:qFormat/>
    <w:uiPriority w:val="99"/>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2Vert"/>
    <w:tblStylePr w:type="band1Horz">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59">
    <w:name w:val="清单表 21"/>
    <w:basedOn w:val="50"/>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60">
    <w:name w:val="List Table 2 - Accent 1"/>
    <w:basedOn w:val="50"/>
    <w:qFormat/>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61">
    <w:name w:val="List Table 2 - Accent 2"/>
    <w:basedOn w:val="50"/>
    <w:qFormat/>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62">
    <w:name w:val="List Table 2 - Accent 3"/>
    <w:basedOn w:val="50"/>
    <w:qFormat/>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63">
    <w:name w:val="List Table 2 - Accent 4"/>
    <w:basedOn w:val="50"/>
    <w:qFormat/>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64">
    <w:name w:val="List Table 2 - Accent 5"/>
    <w:basedOn w:val="50"/>
    <w:qFormat/>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65">
    <w:name w:val="List Table 2 - Accent 6"/>
    <w:basedOn w:val="50"/>
    <w:qFormat/>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66">
    <w:name w:val="清单表 31"/>
    <w:basedOn w:val="50"/>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67">
    <w:name w:val="List Table 3 - Accent 1"/>
    <w:basedOn w:val="50"/>
    <w:qFormat/>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2Vert"/>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2Horz"/>
    <w:tblStylePr w:type="neCell"/>
    <w:tblStylePr w:type="nwCell"/>
    <w:tblStylePr w:type="seCell"/>
    <w:tblStylePr w:type="swCell"/>
  </w:style>
  <w:style w:type="table" w:customStyle="1" w:styleId="168">
    <w:name w:val="List Table 3 - Accent 2"/>
    <w:basedOn w:val="50"/>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tblStylePr w:type="neCell"/>
    <w:tblStylePr w:type="nwCell"/>
    <w:tblStylePr w:type="seCell"/>
    <w:tblStylePr w:type="swCell"/>
  </w:style>
  <w:style w:type="table" w:customStyle="1" w:styleId="169">
    <w:name w:val="List Table 3 - Accent 3"/>
    <w:basedOn w:val="50"/>
    <w:qFormat/>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tblStylePr w:type="neCell"/>
    <w:tblStylePr w:type="nwCell"/>
    <w:tblStylePr w:type="seCell"/>
    <w:tblStylePr w:type="swCell"/>
  </w:style>
  <w:style w:type="table" w:customStyle="1" w:styleId="170">
    <w:name w:val="List Table 3 - Accent 4"/>
    <w:basedOn w:val="50"/>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tblStylePr w:type="neCell"/>
    <w:tblStylePr w:type="nwCell"/>
    <w:tblStylePr w:type="seCell"/>
    <w:tblStylePr w:type="swCell"/>
  </w:style>
  <w:style w:type="table" w:customStyle="1" w:styleId="171">
    <w:name w:val="List Table 3 - Accent 5"/>
    <w:basedOn w:val="50"/>
    <w:qFormat/>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tblStylePr w:type="neCell"/>
    <w:tblStylePr w:type="nwCell"/>
    <w:tblStylePr w:type="seCell"/>
    <w:tblStylePr w:type="swCell"/>
  </w:style>
  <w:style w:type="table" w:customStyle="1" w:styleId="172">
    <w:name w:val="List Table 3 - Accent 6"/>
    <w:basedOn w:val="50"/>
    <w:qFormat/>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tblStylePr w:type="neCell"/>
    <w:tblStylePr w:type="nwCell"/>
    <w:tblStylePr w:type="seCell"/>
    <w:tblStylePr w:type="swCell"/>
  </w:style>
  <w:style w:type="table" w:customStyle="1" w:styleId="173">
    <w:name w:val="清单表 41"/>
    <w:basedOn w:val="50"/>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74">
    <w:name w:val="List Table 4 - Accent 1"/>
    <w:basedOn w:val="50"/>
    <w:qFormat/>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75">
    <w:name w:val="List Table 4 - Accent 2"/>
    <w:basedOn w:val="50"/>
    <w:qFormat/>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76">
    <w:name w:val="List Table 4 - Accent 3"/>
    <w:basedOn w:val="50"/>
    <w:qFormat/>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77">
    <w:name w:val="List Table 4 - Accent 4"/>
    <w:basedOn w:val="50"/>
    <w:qFormat/>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78">
    <w:name w:val="List Table 4 - Accent 5"/>
    <w:basedOn w:val="50"/>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79">
    <w:name w:val="List Table 4 - Accent 6"/>
    <w:basedOn w:val="50"/>
    <w:qFormat/>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80">
    <w:name w:val="清单表 5 深色1"/>
    <w:basedOn w:val="50"/>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181">
    <w:name w:val="List Table 5 Dark - Accent 1"/>
    <w:basedOn w:val="50"/>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tblStylePr w:type="neCell"/>
    <w:tblStylePr w:type="nwCell"/>
    <w:tblStylePr w:type="seCell"/>
    <w:tblStylePr w:type="swCell"/>
  </w:style>
  <w:style w:type="table" w:customStyle="1" w:styleId="182">
    <w:name w:val="List Table 5 Dark - Accent 2"/>
    <w:basedOn w:val="50"/>
    <w:qFormat/>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StylePr w:type="nwCell"/>
    <w:tblStylePr w:type="seCell"/>
    <w:tblStylePr w:type="swCell"/>
  </w:style>
  <w:style w:type="table" w:customStyle="1" w:styleId="183">
    <w:name w:val="List Table 5 Dark - Accent 3"/>
    <w:basedOn w:val="50"/>
    <w:qFormat/>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StylePr w:type="nwCell"/>
    <w:tblStylePr w:type="seCell"/>
    <w:tblStylePr w:type="swCell"/>
  </w:style>
  <w:style w:type="table" w:customStyle="1" w:styleId="184">
    <w:name w:val="List Table 5 Dark - Accent 4"/>
    <w:basedOn w:val="50"/>
    <w:qFormat/>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StylePr w:type="nwCell"/>
    <w:tblStylePr w:type="seCell"/>
    <w:tblStylePr w:type="swCell"/>
  </w:style>
  <w:style w:type="table" w:customStyle="1" w:styleId="185">
    <w:name w:val="List Table 5 Dark - Accent 5"/>
    <w:basedOn w:val="50"/>
    <w:qFormat/>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StylePr w:type="nwCell"/>
    <w:tblStylePr w:type="seCell"/>
    <w:tblStylePr w:type="swCell"/>
  </w:style>
  <w:style w:type="table" w:customStyle="1" w:styleId="186">
    <w:name w:val="List Table 5 Dark - Accent 6"/>
    <w:basedOn w:val="50"/>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StylePr w:type="nwCell"/>
    <w:tblStylePr w:type="seCell"/>
    <w:tblStylePr w:type="swCell"/>
  </w:style>
  <w:style w:type="table" w:customStyle="1" w:styleId="187">
    <w:name w:val="清单表 6 彩色1"/>
    <w:basedOn w:val="50"/>
    <w:qFormat/>
    <w:uiPriority w:val="99"/>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88">
    <w:name w:val="List Table 6 Colorful - Accent 1"/>
    <w:basedOn w:val="50"/>
    <w:qFormat/>
    <w:uiPriority w:val="99"/>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89">
    <w:name w:val="List Table 6 Colorful - Accent 2"/>
    <w:basedOn w:val="50"/>
    <w:qFormat/>
    <w:uiPriority w:val="99"/>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90">
    <w:name w:val="List Table 6 Colorful - Accent 3"/>
    <w:basedOn w:val="50"/>
    <w:qFormat/>
    <w:uiPriority w:val="99"/>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91">
    <w:name w:val="List Table 6 Colorful - Accent 4"/>
    <w:basedOn w:val="50"/>
    <w:qFormat/>
    <w:uiPriority w:val="99"/>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92">
    <w:name w:val="List Table 6 Colorful - Accent 5"/>
    <w:basedOn w:val="50"/>
    <w:qFormat/>
    <w:uiPriority w:val="99"/>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93">
    <w:name w:val="List Table 6 Colorful - Accent 6"/>
    <w:basedOn w:val="50"/>
    <w:qFormat/>
    <w:uiPriority w:val="99"/>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94">
    <w:name w:val="清单表 7 彩色1"/>
    <w:basedOn w:val="50"/>
    <w:qFormat/>
    <w:uiPriority w:val="99"/>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95">
    <w:name w:val="List Table 7 Colorful - Accent 1"/>
    <w:basedOn w:val="50"/>
    <w:qFormat/>
    <w:uiPriority w:val="99"/>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96">
    <w:name w:val="List Table 7 Colorful - Accent 2"/>
    <w:basedOn w:val="50"/>
    <w:qFormat/>
    <w:uiPriority w:val="99"/>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97">
    <w:name w:val="List Table 7 Colorful - Accent 3"/>
    <w:basedOn w:val="50"/>
    <w:qFormat/>
    <w:uiPriority w:val="99"/>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98">
    <w:name w:val="List Table 7 Colorful - Accent 4"/>
    <w:basedOn w:val="50"/>
    <w:qFormat/>
    <w:uiPriority w:val="99"/>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99">
    <w:name w:val="List Table 7 Colorful - Accent 5"/>
    <w:basedOn w:val="50"/>
    <w:qFormat/>
    <w:uiPriority w:val="99"/>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200">
    <w:name w:val="List Table 7 Colorful - Accent 6"/>
    <w:basedOn w:val="50"/>
    <w:qFormat/>
    <w:uiPriority w:val="99"/>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201">
    <w:name w:val="Lined - Accent"/>
    <w:basedOn w:val="50"/>
    <w:qFormat/>
    <w:uiPriority w:val="99"/>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202">
    <w:name w:val="Lined - Accent 1"/>
    <w:basedOn w:val="50"/>
    <w:qFormat/>
    <w:uiPriority w:val="99"/>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203">
    <w:name w:val="Lined - Accent 2"/>
    <w:basedOn w:val="50"/>
    <w:qFormat/>
    <w:uiPriority w:val="99"/>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204">
    <w:name w:val="Lined - Accent 3"/>
    <w:basedOn w:val="50"/>
    <w:qFormat/>
    <w:uiPriority w:val="99"/>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205">
    <w:name w:val="Lined - Accent 4"/>
    <w:basedOn w:val="50"/>
    <w:qFormat/>
    <w:uiPriority w:val="99"/>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206">
    <w:name w:val="Lined - Accent 5"/>
    <w:basedOn w:val="50"/>
    <w:qFormat/>
    <w:uiPriority w:val="99"/>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207">
    <w:name w:val="Lined - Accent 6"/>
    <w:basedOn w:val="50"/>
    <w:qFormat/>
    <w:uiPriority w:val="99"/>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208">
    <w:name w:val="Bordered &amp; Lined - Accent"/>
    <w:basedOn w:val="50"/>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209">
    <w:name w:val="Bordered &amp; Lined - Accent 1"/>
    <w:basedOn w:val="50"/>
    <w:qFormat/>
    <w:uiPriority w:val="99"/>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210">
    <w:name w:val="Bordered &amp; Lined - Accent 2"/>
    <w:basedOn w:val="50"/>
    <w:qFormat/>
    <w:uiPriority w:val="99"/>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211">
    <w:name w:val="Bordered &amp; Lined - Accent 3"/>
    <w:basedOn w:val="50"/>
    <w:qFormat/>
    <w:uiPriority w:val="99"/>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212">
    <w:name w:val="Bordered &amp; Lined - Accent 4"/>
    <w:basedOn w:val="50"/>
    <w:qFormat/>
    <w:uiPriority w:val="99"/>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213">
    <w:name w:val="Bordered &amp; Lined - Accent 5"/>
    <w:basedOn w:val="50"/>
    <w:qFormat/>
    <w:uiPriority w:val="99"/>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214">
    <w:name w:val="Bordered &amp; Lined - Accent 6"/>
    <w:basedOn w:val="50"/>
    <w:qFormat/>
    <w:uiPriority w:val="99"/>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215">
    <w:name w:val="Bordered"/>
    <w:basedOn w:val="50"/>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216">
    <w:name w:val="Bordered - Accent 1"/>
    <w:basedOn w:val="50"/>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217">
    <w:name w:val="Bordered - Accent 2"/>
    <w:basedOn w:val="50"/>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218">
    <w:name w:val="Bordered - Accent 3"/>
    <w:basedOn w:val="50"/>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219">
    <w:name w:val="Bordered - Accent 4"/>
    <w:basedOn w:val="50"/>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220">
    <w:name w:val="Bordered - Accent 5"/>
    <w:basedOn w:val="50"/>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221">
    <w:name w:val="Bordered - Accent 6"/>
    <w:basedOn w:val="50"/>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character" w:customStyle="1" w:styleId="222">
    <w:name w:val="Heading 1 Char"/>
    <w:basedOn w:val="52"/>
    <w:qFormat/>
    <w:uiPriority w:val="9"/>
    <w:rPr>
      <w:rFonts w:ascii="Arial" w:hAnsi="Arial" w:eastAsia="Arial" w:cs="Arial"/>
      <w:color w:val="376092" w:themeColor="accent1" w:themeShade="BF"/>
      <w:sz w:val="40"/>
      <w:szCs w:val="40"/>
    </w:rPr>
  </w:style>
  <w:style w:type="character" w:customStyle="1" w:styleId="223">
    <w:name w:val="Heading 2 Char"/>
    <w:basedOn w:val="52"/>
    <w:qFormat/>
    <w:uiPriority w:val="9"/>
    <w:rPr>
      <w:rFonts w:ascii="Arial" w:hAnsi="Arial" w:eastAsia="Arial" w:cs="Arial"/>
      <w:color w:val="376092" w:themeColor="accent1" w:themeShade="BF"/>
      <w:sz w:val="32"/>
      <w:szCs w:val="32"/>
    </w:rPr>
  </w:style>
  <w:style w:type="character" w:customStyle="1" w:styleId="224">
    <w:name w:val="Heading 3 Char"/>
    <w:basedOn w:val="52"/>
    <w:qFormat/>
    <w:uiPriority w:val="9"/>
    <w:rPr>
      <w:rFonts w:ascii="Arial" w:hAnsi="Arial" w:eastAsia="Arial" w:cs="Arial"/>
      <w:color w:val="376092" w:themeColor="accent1" w:themeShade="BF"/>
      <w:sz w:val="28"/>
      <w:szCs w:val="28"/>
    </w:rPr>
  </w:style>
  <w:style w:type="character" w:customStyle="1" w:styleId="225">
    <w:name w:val="Heading 4 Char"/>
    <w:basedOn w:val="52"/>
    <w:qFormat/>
    <w:uiPriority w:val="9"/>
    <w:rPr>
      <w:rFonts w:ascii="Arial" w:hAnsi="Arial" w:eastAsia="Arial" w:cs="Arial"/>
      <w:i/>
      <w:iCs/>
      <w:color w:val="376092" w:themeColor="accent1" w:themeShade="BF"/>
    </w:rPr>
  </w:style>
  <w:style w:type="character" w:customStyle="1" w:styleId="226">
    <w:name w:val="Heading 5 Char"/>
    <w:basedOn w:val="52"/>
    <w:qFormat/>
    <w:uiPriority w:val="9"/>
    <w:rPr>
      <w:rFonts w:ascii="Arial" w:hAnsi="Arial" w:eastAsia="Arial" w:cs="Arial"/>
      <w:color w:val="376092" w:themeColor="accent1" w:themeShade="BF"/>
    </w:rPr>
  </w:style>
  <w:style w:type="character" w:customStyle="1" w:styleId="227">
    <w:name w:val="Heading 6 Char"/>
    <w:basedOn w:val="52"/>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228">
    <w:name w:val="Heading 7 Char"/>
    <w:basedOn w:val="52"/>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229">
    <w:name w:val="Heading 8 Char"/>
    <w:basedOn w:val="52"/>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230">
    <w:name w:val="Heading 9 Char"/>
    <w:basedOn w:val="52"/>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231">
    <w:name w:val="Title Char"/>
    <w:basedOn w:val="52"/>
    <w:qFormat/>
    <w:uiPriority w:val="10"/>
    <w:rPr>
      <w:rFonts w:ascii="Arial" w:hAnsi="Arial" w:eastAsia="Arial" w:cs="Arial"/>
      <w:spacing w:val="-10"/>
      <w:sz w:val="56"/>
      <w:szCs w:val="56"/>
    </w:rPr>
  </w:style>
  <w:style w:type="character" w:customStyle="1" w:styleId="232">
    <w:name w:val="副标题 字符"/>
    <w:basedOn w:val="52"/>
    <w:link w:val="35"/>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33">
    <w:name w:val="Quote"/>
    <w:basedOn w:val="1"/>
    <w:next w:val="1"/>
    <w:link w:val="234"/>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34">
    <w:name w:val="引用 字符"/>
    <w:basedOn w:val="52"/>
    <w:link w:val="233"/>
    <w:qFormat/>
    <w:uiPriority w:val="29"/>
    <w:rPr>
      <w:i/>
      <w:iCs/>
      <w:color w:val="404040" w:themeColor="text1" w:themeTint="BF"/>
      <w14:textFill>
        <w14:solidFill>
          <w14:schemeClr w14:val="tx1">
            <w14:lumMod w14:val="75000"/>
            <w14:lumOff w14:val="25000"/>
          </w14:schemeClr>
        </w14:solidFill>
      </w14:textFill>
    </w:rPr>
  </w:style>
  <w:style w:type="character" w:customStyle="1" w:styleId="235">
    <w:name w:val="明显强调1"/>
    <w:basedOn w:val="52"/>
    <w:qFormat/>
    <w:uiPriority w:val="21"/>
    <w:rPr>
      <w:i/>
      <w:iCs/>
      <w:color w:val="376092" w:themeColor="accent1" w:themeShade="BF"/>
    </w:rPr>
  </w:style>
  <w:style w:type="paragraph" w:styleId="236">
    <w:name w:val="Intense Quote"/>
    <w:basedOn w:val="1"/>
    <w:next w:val="1"/>
    <w:link w:val="237"/>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237">
    <w:name w:val="明显引用 字符"/>
    <w:basedOn w:val="52"/>
    <w:link w:val="236"/>
    <w:qFormat/>
    <w:uiPriority w:val="30"/>
    <w:rPr>
      <w:i/>
      <w:iCs/>
      <w:color w:val="376092" w:themeColor="accent1" w:themeShade="BF"/>
    </w:rPr>
  </w:style>
  <w:style w:type="character" w:customStyle="1" w:styleId="238">
    <w:name w:val="明显参考1"/>
    <w:basedOn w:val="52"/>
    <w:qFormat/>
    <w:uiPriority w:val="32"/>
    <w:rPr>
      <w:b/>
      <w:bCs/>
      <w:smallCaps/>
      <w:color w:val="376092" w:themeColor="accent1" w:themeShade="BF"/>
      <w:spacing w:val="5"/>
    </w:rPr>
  </w:style>
  <w:style w:type="character" w:customStyle="1" w:styleId="239">
    <w:name w:val="不明显强调1"/>
    <w:basedOn w:val="52"/>
    <w:qFormat/>
    <w:uiPriority w:val="19"/>
    <w:rPr>
      <w:i/>
      <w:iCs/>
      <w:color w:val="404040" w:themeColor="text1" w:themeTint="BF"/>
      <w14:textFill>
        <w14:solidFill>
          <w14:schemeClr w14:val="tx1">
            <w14:lumMod w14:val="75000"/>
            <w14:lumOff w14:val="25000"/>
          </w14:schemeClr>
        </w14:solidFill>
      </w14:textFill>
    </w:rPr>
  </w:style>
  <w:style w:type="character" w:customStyle="1" w:styleId="240">
    <w:name w:val="不明显参考1"/>
    <w:basedOn w:val="52"/>
    <w:qFormat/>
    <w:uiPriority w:val="31"/>
    <w:rPr>
      <w:smallCaps/>
      <w:color w:val="595959" w:themeColor="text1" w:themeTint="A6"/>
      <w14:textFill>
        <w14:solidFill>
          <w14:schemeClr w14:val="tx1">
            <w14:lumMod w14:val="65000"/>
            <w14:lumOff w14:val="35000"/>
          </w14:schemeClr>
        </w14:solidFill>
      </w14:textFill>
    </w:rPr>
  </w:style>
  <w:style w:type="character" w:customStyle="1" w:styleId="241">
    <w:name w:val="书籍标题1"/>
    <w:basedOn w:val="52"/>
    <w:qFormat/>
    <w:uiPriority w:val="33"/>
    <w:rPr>
      <w:b/>
      <w:bCs/>
      <w:i/>
      <w:iCs/>
      <w:spacing w:val="5"/>
    </w:rPr>
  </w:style>
  <w:style w:type="character" w:customStyle="1" w:styleId="242">
    <w:name w:val="Header Char"/>
    <w:basedOn w:val="52"/>
    <w:qFormat/>
    <w:uiPriority w:val="99"/>
  </w:style>
  <w:style w:type="character" w:customStyle="1" w:styleId="243">
    <w:name w:val="Footer Char"/>
    <w:basedOn w:val="52"/>
    <w:qFormat/>
    <w:uiPriority w:val="99"/>
  </w:style>
  <w:style w:type="character" w:customStyle="1" w:styleId="244">
    <w:name w:val="Footnote Text Char"/>
    <w:basedOn w:val="52"/>
    <w:semiHidden/>
    <w:qFormat/>
    <w:uiPriority w:val="99"/>
    <w:rPr>
      <w:sz w:val="20"/>
      <w:szCs w:val="20"/>
    </w:rPr>
  </w:style>
  <w:style w:type="character" w:customStyle="1" w:styleId="245">
    <w:name w:val="Endnote Text Char"/>
    <w:basedOn w:val="52"/>
    <w:semiHidden/>
    <w:qFormat/>
    <w:uiPriority w:val="99"/>
    <w:rPr>
      <w:sz w:val="20"/>
      <w:szCs w:val="20"/>
    </w:rPr>
  </w:style>
  <w:style w:type="character" w:styleId="246">
    <w:name w:val="Placeholder Text"/>
    <w:basedOn w:val="52"/>
    <w:semiHidden/>
    <w:qFormat/>
    <w:uiPriority w:val="99"/>
    <w:rPr>
      <w:color w:val="666666"/>
    </w:rPr>
  </w:style>
  <w:style w:type="paragraph" w:customStyle="1" w:styleId="247">
    <w:name w:val="TOC 标题1"/>
    <w:unhideWhenUsed/>
    <w:qFormat/>
    <w:uiPriority w:val="39"/>
    <w:rPr>
      <w:rFonts w:hint="default" w:ascii="Times New Roman" w:hAnsi="Times New Roman" w:eastAsia="宋体" w:cs="Times New Roman"/>
      <w:lang w:val="en-US" w:eastAsia="zh-CN" w:bidi="ar-SA"/>
    </w:rPr>
  </w:style>
  <w:style w:type="paragraph" w:customStyle="1" w:styleId="248">
    <w:name w:val="表格文字"/>
    <w:basedOn w:val="249"/>
    <w:link w:val="313"/>
    <w:qFormat/>
    <w:uiPriority w:val="99"/>
    <w:pPr>
      <w:spacing w:before="25" w:after="25"/>
      <w:jc w:val="left"/>
    </w:pPr>
    <w:rPr>
      <w:bCs/>
      <w:spacing w:val="10"/>
      <w:sz w:val="24"/>
      <w:szCs w:val="20"/>
    </w:rPr>
  </w:style>
  <w:style w:type="paragraph" w:customStyle="1" w:styleId="249">
    <w:name w:val="正文_0"/>
    <w:next w:val="1"/>
    <w:qFormat/>
    <w:uiPriority w:val="0"/>
    <w:pPr>
      <w:widowControl w:val="0"/>
      <w:jc w:val="both"/>
    </w:pPr>
    <w:rPr>
      <w:rFonts w:hint="default" w:ascii="Calibri" w:hAnsi="Calibri" w:eastAsia="宋体" w:cs="Times New Roman"/>
      <w:sz w:val="21"/>
      <w:szCs w:val="22"/>
      <w:lang w:val="en-US" w:eastAsia="zh-CN" w:bidi="ar-SA"/>
    </w:rPr>
  </w:style>
  <w:style w:type="character" w:customStyle="1" w:styleId="250">
    <w:name w:val="标题 1 字符1"/>
    <w:link w:val="2"/>
    <w:qFormat/>
    <w:uiPriority w:val="0"/>
    <w:rPr>
      <w:rFonts w:ascii="Times New Roman" w:hAnsi="Times New Roman" w:eastAsia="宋体" w:cs="Times New Roman"/>
      <w:b/>
      <w:bCs/>
      <w:sz w:val="44"/>
      <w:szCs w:val="44"/>
    </w:rPr>
  </w:style>
  <w:style w:type="character" w:customStyle="1" w:styleId="251">
    <w:name w:val="标题 2 字符"/>
    <w:link w:val="3"/>
    <w:qFormat/>
    <w:uiPriority w:val="0"/>
    <w:rPr>
      <w:rFonts w:ascii="Arial" w:hAnsi="Arial" w:eastAsia="黑体" w:cs="Times New Roman"/>
      <w:b/>
      <w:bCs/>
      <w:sz w:val="32"/>
      <w:szCs w:val="32"/>
    </w:rPr>
  </w:style>
  <w:style w:type="character" w:customStyle="1" w:styleId="252">
    <w:name w:val="标题 3 字符"/>
    <w:link w:val="4"/>
    <w:qFormat/>
    <w:uiPriority w:val="0"/>
    <w:rPr>
      <w:rFonts w:ascii="Times New Roman" w:hAnsi="Times New Roman" w:eastAsia="宋体" w:cs="Times New Roman"/>
      <w:b/>
      <w:bCs/>
      <w:sz w:val="32"/>
      <w:szCs w:val="32"/>
    </w:rPr>
  </w:style>
  <w:style w:type="character" w:customStyle="1" w:styleId="253">
    <w:name w:val="标题 4 Char"/>
    <w:basedOn w:val="52"/>
    <w:qFormat/>
    <w:uiPriority w:val="10"/>
    <w:rPr>
      <w:rFonts w:ascii="Calibri Light" w:hAnsi="Calibri Light" w:eastAsia="宋体" w:cs="Times New Roman"/>
      <w:b/>
      <w:bCs/>
      <w:sz w:val="28"/>
      <w:szCs w:val="28"/>
    </w:rPr>
  </w:style>
  <w:style w:type="character" w:customStyle="1" w:styleId="254">
    <w:name w:val="标题 5 字符"/>
    <w:link w:val="6"/>
    <w:qFormat/>
    <w:uiPriority w:val="0"/>
    <w:rPr>
      <w:b/>
      <w:sz w:val="28"/>
      <w:szCs w:val="24"/>
    </w:rPr>
  </w:style>
  <w:style w:type="character" w:customStyle="1" w:styleId="255">
    <w:name w:val="标题 6 字符"/>
    <w:link w:val="8"/>
    <w:qFormat/>
    <w:uiPriority w:val="0"/>
    <w:rPr>
      <w:rFonts w:ascii="Arial" w:hAnsi="Arial" w:eastAsia="黑体"/>
      <w:b/>
      <w:sz w:val="24"/>
      <w:szCs w:val="24"/>
    </w:rPr>
  </w:style>
  <w:style w:type="character" w:customStyle="1" w:styleId="256">
    <w:name w:val="标题 7 字符"/>
    <w:link w:val="9"/>
    <w:qFormat/>
    <w:uiPriority w:val="0"/>
    <w:rPr>
      <w:rFonts w:ascii="Times New Roman" w:hAnsi="Times New Roman"/>
      <w:b/>
      <w:sz w:val="24"/>
      <w:szCs w:val="24"/>
    </w:rPr>
  </w:style>
  <w:style w:type="character" w:customStyle="1" w:styleId="257">
    <w:name w:val="标题 8 字符"/>
    <w:link w:val="10"/>
    <w:qFormat/>
    <w:uiPriority w:val="0"/>
    <w:rPr>
      <w:rFonts w:ascii="Arial" w:hAnsi="Arial" w:eastAsia="黑体"/>
      <w:sz w:val="24"/>
      <w:szCs w:val="24"/>
    </w:rPr>
  </w:style>
  <w:style w:type="character" w:customStyle="1" w:styleId="258">
    <w:name w:val="标题 9 字符"/>
    <w:link w:val="11"/>
    <w:qFormat/>
    <w:uiPriority w:val="0"/>
    <w:rPr>
      <w:rFonts w:ascii="Arial" w:hAnsi="Arial" w:eastAsia="黑体"/>
      <w:sz w:val="21"/>
      <w:szCs w:val="24"/>
    </w:rPr>
  </w:style>
  <w:style w:type="character" w:customStyle="1" w:styleId="259">
    <w:name w:val="文档结构图 字符"/>
    <w:link w:val="16"/>
    <w:qFormat/>
    <w:uiPriority w:val="0"/>
    <w:rPr>
      <w:rFonts w:hint="eastAsia" w:ascii="宋体" w:hAnsi="宋体" w:eastAsia="宋体" w:cs="宋体"/>
    </w:rPr>
  </w:style>
  <w:style w:type="character" w:customStyle="1" w:styleId="260">
    <w:name w:val="批注文字 字符2"/>
    <w:link w:val="17"/>
    <w:qFormat/>
    <w:uiPriority w:val="0"/>
    <w:rPr>
      <w:rFonts w:ascii="Times New Roman" w:hAnsi="Times New Roman"/>
      <w:sz w:val="21"/>
      <w:szCs w:val="24"/>
    </w:rPr>
  </w:style>
  <w:style w:type="character" w:customStyle="1" w:styleId="261">
    <w:name w:val="正文文本 3 字符"/>
    <w:link w:val="18"/>
    <w:qFormat/>
    <w:uiPriority w:val="0"/>
    <w:rPr>
      <w:rFonts w:ascii="Times New Roman" w:hAnsi="Times New Roman" w:eastAsia="宋体" w:cs="Times New Roman"/>
      <w:b/>
      <w:bCs/>
      <w:sz w:val="24"/>
      <w:szCs w:val="24"/>
    </w:rPr>
  </w:style>
  <w:style w:type="character" w:customStyle="1" w:styleId="262">
    <w:name w:val="正文文本 字符"/>
    <w:link w:val="19"/>
    <w:qFormat/>
    <w:uiPriority w:val="99"/>
    <w:rPr>
      <w:rFonts w:ascii="Times New Roman" w:hAnsi="Times New Roman" w:eastAsia="宋体" w:cs="Times New Roman"/>
      <w:sz w:val="24"/>
      <w:szCs w:val="24"/>
    </w:rPr>
  </w:style>
  <w:style w:type="character" w:customStyle="1" w:styleId="263">
    <w:name w:val="正文文本缩进 字符1"/>
    <w:link w:val="20"/>
    <w:qFormat/>
    <w:uiPriority w:val="0"/>
    <w:rPr>
      <w:rFonts w:ascii="仿宋_GB2312" w:hAnsi="Times New Roman" w:eastAsia="仿宋_GB2312" w:cs="Times New Roman"/>
      <w:sz w:val="32"/>
      <w:szCs w:val="20"/>
    </w:rPr>
  </w:style>
  <w:style w:type="character" w:customStyle="1" w:styleId="264">
    <w:name w:val="纯文本 字符2"/>
    <w:link w:val="25"/>
    <w:qFormat/>
    <w:uiPriority w:val="0"/>
    <w:rPr>
      <w:rFonts w:ascii="宋体" w:hAnsi="Courier New" w:eastAsia="宋体" w:cs="Courier New"/>
      <w:szCs w:val="21"/>
    </w:rPr>
  </w:style>
  <w:style w:type="character" w:customStyle="1" w:styleId="265">
    <w:name w:val="日期 字符"/>
    <w:link w:val="27"/>
    <w:qFormat/>
    <w:uiPriority w:val="0"/>
    <w:rPr>
      <w:rFonts w:ascii="宋体" w:hAnsi="Courier New" w:eastAsia="宋体" w:cs="Courier New"/>
      <w:szCs w:val="21"/>
    </w:rPr>
  </w:style>
  <w:style w:type="character" w:customStyle="1" w:styleId="266">
    <w:name w:val="正文文本缩进 2 字符"/>
    <w:link w:val="28"/>
    <w:qFormat/>
    <w:uiPriority w:val="0"/>
    <w:rPr>
      <w:rFonts w:ascii="Times New Roman" w:hAnsi="Times New Roman" w:eastAsia="宋体" w:cs="Times New Roman"/>
      <w:sz w:val="32"/>
      <w:szCs w:val="20"/>
    </w:rPr>
  </w:style>
  <w:style w:type="character" w:customStyle="1" w:styleId="267">
    <w:name w:val="尾注文本 字符"/>
    <w:link w:val="29"/>
    <w:qFormat/>
    <w:uiPriority w:val="99"/>
    <w:rPr>
      <w:rFonts w:ascii="Times New Roman" w:hAnsi="Times New Roman"/>
      <w:sz w:val="21"/>
      <w:szCs w:val="24"/>
    </w:rPr>
  </w:style>
  <w:style w:type="character" w:customStyle="1" w:styleId="268">
    <w:name w:val="批注框文本 字符"/>
    <w:link w:val="30"/>
    <w:qFormat/>
    <w:uiPriority w:val="0"/>
    <w:rPr>
      <w:rFonts w:ascii="Times New Roman" w:hAnsi="Times New Roman" w:eastAsia="宋体" w:cs="Times New Roman"/>
      <w:sz w:val="18"/>
      <w:szCs w:val="18"/>
    </w:rPr>
  </w:style>
  <w:style w:type="character" w:customStyle="1" w:styleId="269">
    <w:name w:val="页脚 字符1"/>
    <w:link w:val="31"/>
    <w:qFormat/>
    <w:uiPriority w:val="99"/>
    <w:rPr>
      <w:sz w:val="18"/>
      <w:szCs w:val="18"/>
    </w:rPr>
  </w:style>
  <w:style w:type="character" w:customStyle="1" w:styleId="270">
    <w:name w:val="页眉 字符"/>
    <w:link w:val="32"/>
    <w:qFormat/>
    <w:uiPriority w:val="99"/>
    <w:rPr>
      <w:rFonts w:ascii="Times New Roman" w:hAnsi="Times New Roman"/>
      <w:sz w:val="18"/>
      <w:szCs w:val="18"/>
    </w:rPr>
  </w:style>
  <w:style w:type="character" w:customStyle="1" w:styleId="271">
    <w:name w:val="脚注文本 字符"/>
    <w:link w:val="37"/>
    <w:qFormat/>
    <w:uiPriority w:val="99"/>
    <w:rPr>
      <w:rFonts w:ascii="Times New Roman" w:hAnsi="Times New Roman"/>
      <w:sz w:val="18"/>
      <w:szCs w:val="18"/>
    </w:rPr>
  </w:style>
  <w:style w:type="character" w:customStyle="1" w:styleId="272">
    <w:name w:val="正文文本缩进 3 字符"/>
    <w:link w:val="39"/>
    <w:qFormat/>
    <w:uiPriority w:val="0"/>
    <w:rPr>
      <w:rFonts w:ascii="Times New Roman" w:hAnsi="Times New Roman" w:eastAsia="宋体" w:cs="Times New Roman"/>
      <w:sz w:val="16"/>
      <w:szCs w:val="16"/>
    </w:rPr>
  </w:style>
  <w:style w:type="character" w:customStyle="1" w:styleId="273">
    <w:name w:val="正文文本 2 字符"/>
    <w:link w:val="43"/>
    <w:qFormat/>
    <w:uiPriority w:val="0"/>
    <w:rPr>
      <w:rFonts w:ascii="Times New Roman" w:hAnsi="Times New Roman" w:eastAsia="宋体" w:cs="Times New Roman"/>
      <w:szCs w:val="24"/>
    </w:rPr>
  </w:style>
  <w:style w:type="character" w:customStyle="1" w:styleId="274">
    <w:name w:val="标题 字符"/>
    <w:link w:val="46"/>
    <w:qFormat/>
    <w:uiPriority w:val="10"/>
    <w:rPr>
      <w:rFonts w:ascii="Cambria" w:hAnsi="Cambria" w:cs="Times New Roman"/>
      <w:b/>
      <w:bCs/>
      <w:sz w:val="32"/>
      <w:szCs w:val="32"/>
    </w:rPr>
  </w:style>
  <w:style w:type="character" w:customStyle="1" w:styleId="275">
    <w:name w:val="批注主题 字符"/>
    <w:link w:val="47"/>
    <w:qFormat/>
    <w:uiPriority w:val="99"/>
    <w:rPr>
      <w:rFonts w:ascii="Times New Roman" w:hAnsi="Times New Roman"/>
      <w:b/>
      <w:bCs/>
      <w:sz w:val="21"/>
      <w:szCs w:val="24"/>
    </w:rPr>
  </w:style>
  <w:style w:type="character" w:customStyle="1" w:styleId="276">
    <w:name w:val="标题 4 字符"/>
    <w:basedOn w:val="52"/>
    <w:link w:val="5"/>
    <w:semiHidden/>
    <w:qFormat/>
    <w:uiPriority w:val="9"/>
    <w:rPr>
      <w:rFonts w:ascii="Cambria" w:hAnsi="Cambria" w:eastAsia="宋体" w:cs="Times New Roman"/>
      <w:b/>
      <w:bCs/>
      <w:sz w:val="28"/>
      <w:szCs w:val="28"/>
    </w:rPr>
  </w:style>
  <w:style w:type="character" w:customStyle="1" w:styleId="277">
    <w:name w:val="批注文字 Char1"/>
    <w:semiHidden/>
    <w:qFormat/>
    <w:uiPriority w:val="0"/>
    <w:rPr>
      <w:rFonts w:ascii="Times New Roman" w:hAnsi="Times New Roman"/>
      <w:sz w:val="21"/>
      <w:szCs w:val="24"/>
    </w:rPr>
  </w:style>
  <w:style w:type="character" w:customStyle="1" w:styleId="278">
    <w:name w:val="case31"/>
    <w:qFormat/>
    <w:uiPriority w:val="0"/>
    <w:rPr>
      <w:rFonts w:hint="default" w:ascii="_x000B__x000C_" w:hAnsi="_x000B__x000C_"/>
      <w:sz w:val="21"/>
      <w:szCs w:val="21"/>
    </w:rPr>
  </w:style>
  <w:style w:type="character" w:customStyle="1" w:styleId="279">
    <w:name w:val="批注文字 Char"/>
    <w:qFormat/>
    <w:uiPriority w:val="99"/>
    <w:rPr>
      <w:rFonts w:ascii="Times New Roman" w:hAnsi="Times New Roman"/>
      <w:sz w:val="21"/>
      <w:szCs w:val="24"/>
    </w:rPr>
  </w:style>
  <w:style w:type="character" w:customStyle="1" w:styleId="280">
    <w:name w:val="纯文本 Char"/>
    <w:qFormat/>
    <w:uiPriority w:val="0"/>
    <w:rPr>
      <w:rFonts w:ascii="宋体" w:hAnsi="Courier New" w:eastAsia="宋体"/>
      <w:sz w:val="21"/>
      <w:lang w:val="en-US" w:eastAsia="zh-CN" w:bidi="ar-SA"/>
    </w:rPr>
  </w:style>
  <w:style w:type="character" w:customStyle="1" w:styleId="281">
    <w:name w:val="纯文本 字符1"/>
    <w:qFormat/>
    <w:uiPriority w:val="0"/>
    <w:rPr>
      <w:rFonts w:ascii="宋体" w:hAnsi="Courier New"/>
    </w:rPr>
  </w:style>
  <w:style w:type="character" w:customStyle="1" w:styleId="282">
    <w:name w:val="批注文字 字符1"/>
    <w:qFormat/>
    <w:uiPriority w:val="0"/>
    <w:rPr>
      <w:rFonts w:ascii="Times New Roman" w:hAnsi="Times New Roman"/>
      <w:sz w:val="21"/>
      <w:szCs w:val="24"/>
    </w:rPr>
  </w:style>
  <w:style w:type="character" w:customStyle="1" w:styleId="283">
    <w:name w:val="正文文本 Char1"/>
    <w:semiHidden/>
    <w:qFormat/>
    <w:uiPriority w:val="99"/>
    <w:rPr>
      <w:sz w:val="24"/>
      <w:szCs w:val="24"/>
    </w:rPr>
  </w:style>
  <w:style w:type="character" w:customStyle="1" w:styleId="284">
    <w:name w:val="apple-style-span"/>
    <w:qFormat/>
    <w:uiPriority w:val="0"/>
  </w:style>
  <w:style w:type="character" w:customStyle="1" w:styleId="285">
    <w:name w:val="textcontents"/>
    <w:qFormat/>
    <w:uiPriority w:val="0"/>
  </w:style>
  <w:style w:type="character" w:customStyle="1" w:styleId="286">
    <w:name w:val="普通文字 Char Char2"/>
    <w:qFormat/>
    <w:uiPriority w:val="0"/>
    <w:rPr>
      <w:rFonts w:ascii="宋体" w:hAnsi="Courier New" w:eastAsia="宋体"/>
      <w:sz w:val="21"/>
      <w:lang w:val="en-US" w:eastAsia="zh-CN" w:bidi="ar-SA"/>
    </w:rPr>
  </w:style>
  <w:style w:type="character" w:customStyle="1" w:styleId="287">
    <w:name w:val="标题 5 Char"/>
    <w:qFormat/>
    <w:uiPriority w:val="0"/>
    <w:rPr>
      <w:b/>
      <w:sz w:val="28"/>
      <w:szCs w:val="24"/>
    </w:rPr>
  </w:style>
  <w:style w:type="character" w:customStyle="1" w:styleId="288">
    <w:name w:val="批注文字 字符"/>
    <w:qFormat/>
    <w:uiPriority w:val="0"/>
    <w:rPr>
      <w:rFonts w:ascii="Times New Roman" w:hAnsi="Times New Roman"/>
      <w:sz w:val="21"/>
      <w:szCs w:val="24"/>
    </w:rPr>
  </w:style>
  <w:style w:type="character" w:customStyle="1" w:styleId="289">
    <w:name w:val="标题 1 字符"/>
    <w:qFormat/>
    <w:uiPriority w:val="9"/>
    <w:rPr>
      <w:rFonts w:ascii="Times New Roman" w:hAnsi="Times New Roman" w:eastAsia="宋体" w:cs="Times New Roman"/>
      <w:b/>
      <w:bCs/>
      <w:sz w:val="44"/>
      <w:szCs w:val="44"/>
    </w:rPr>
  </w:style>
  <w:style w:type="character" w:customStyle="1" w:styleId="290">
    <w:name w:val="纯文本 字符"/>
    <w:qFormat/>
    <w:uiPriority w:val="0"/>
    <w:rPr>
      <w:rFonts w:ascii="宋体" w:hAnsi="Courier New" w:eastAsia="宋体" w:cs="Courier New"/>
      <w:szCs w:val="21"/>
    </w:rPr>
  </w:style>
  <w:style w:type="character" w:customStyle="1" w:styleId="291">
    <w:name w:val="headline-content4"/>
    <w:qFormat/>
    <w:uiPriority w:val="0"/>
  </w:style>
  <w:style w:type="character" w:customStyle="1" w:styleId="292">
    <w:name w:val="正文文本 (26) + 间距 0 pt"/>
    <w:qFormat/>
    <w:uiPriority w:val="0"/>
    <w:rPr>
      <w:rFonts w:ascii="宋体" w:hAnsi="宋体" w:eastAsia="宋体" w:cs="宋体"/>
      <w:color w:val="000000"/>
      <w:spacing w:val="0"/>
      <w:position w:val="0"/>
      <w:sz w:val="22"/>
      <w:szCs w:val="22"/>
      <w:u w:val="none"/>
      <w:lang w:val="zh-CN" w:eastAsia="zh-CN" w:bidi="zh-CN"/>
    </w:rPr>
  </w:style>
  <w:style w:type="character" w:customStyle="1" w:styleId="293">
    <w:name w:val="正文文本缩进 字符"/>
    <w:qFormat/>
    <w:uiPriority w:val="0"/>
    <w:rPr>
      <w:rFonts w:ascii="仿宋_GB2312" w:hAnsi="Times New Roman" w:eastAsia="仿宋_GB2312" w:cs="Times New Roman"/>
      <w:sz w:val="32"/>
      <w:szCs w:val="20"/>
    </w:rPr>
  </w:style>
  <w:style w:type="paragraph" w:customStyle="1" w:styleId="294">
    <w:name w:val="Char1"/>
    <w:basedOn w:val="1"/>
    <w:qFormat/>
    <w:uiPriority w:val="0"/>
    <w:rPr>
      <w:szCs w:val="21"/>
    </w:rPr>
  </w:style>
  <w:style w:type="paragraph" w:styleId="295">
    <w:name w:val="List Paragraph"/>
    <w:basedOn w:val="1"/>
    <w:qFormat/>
    <w:uiPriority w:val="34"/>
    <w:pPr>
      <w:ind w:firstLine="420"/>
    </w:pPr>
  </w:style>
  <w:style w:type="paragraph" w:customStyle="1" w:styleId="296">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297">
    <w:name w:val="默认段落字体 Para Char Char Char Char Char Char Char Char Char1 Char Char Char Char"/>
    <w:basedOn w:val="1"/>
    <w:qFormat/>
    <w:uiPriority w:val="0"/>
    <w:rPr>
      <w:rFonts w:ascii="Tahoma" w:hAnsi="Tahoma"/>
      <w:sz w:val="24"/>
      <w:szCs w:val="20"/>
    </w:rPr>
  </w:style>
  <w:style w:type="paragraph" w:customStyle="1" w:styleId="298">
    <w:name w:val="样式"/>
    <w:qFormat/>
    <w:uiPriority w:val="0"/>
    <w:pPr>
      <w:widowControl w:val="0"/>
      <w:jc w:val="center"/>
    </w:pPr>
    <w:rPr>
      <w:rFonts w:hint="default" w:ascii="宋体" w:hAnsi="宋体" w:eastAsia="宋体" w:cs="宋体"/>
      <w:sz w:val="24"/>
      <w:szCs w:val="24"/>
      <w:lang w:val="en-US" w:eastAsia="zh-CN" w:bidi="ar-SA"/>
    </w:rPr>
  </w:style>
  <w:style w:type="paragraph" w:customStyle="1" w:styleId="299">
    <w:name w:val="纯文本1"/>
    <w:basedOn w:val="1"/>
    <w:qFormat/>
    <w:uiPriority w:val="0"/>
    <w:rPr>
      <w:rFonts w:ascii="宋体" w:hAnsi="Courier New" w:cs="Century"/>
      <w:szCs w:val="21"/>
    </w:rPr>
  </w:style>
  <w:style w:type="paragraph" w:customStyle="1" w:styleId="300">
    <w:name w:val="Table Paragraph"/>
    <w:basedOn w:val="1"/>
    <w:qFormat/>
    <w:uiPriority w:val="1"/>
    <w:pPr>
      <w:jc w:val="left"/>
    </w:pPr>
    <w:rPr>
      <w:rFonts w:ascii="Calibri" w:hAnsi="Calibri"/>
      <w:sz w:val="22"/>
      <w:szCs w:val="22"/>
      <w:lang w:eastAsia="en-US"/>
    </w:rPr>
  </w:style>
  <w:style w:type="paragraph" w:customStyle="1" w:styleId="301">
    <w:name w:val="表内文字"/>
    <w:basedOn w:val="1"/>
    <w:qFormat/>
    <w:uiPriority w:val="0"/>
    <w:pPr>
      <w:spacing w:before="50" w:after="50"/>
      <w:jc w:val="center"/>
    </w:pPr>
    <w:rPr>
      <w:rFonts w:ascii="仿宋_GB2312" w:hAnsi="宋体" w:eastAsia="仿宋_GB2312"/>
      <w:b/>
      <w:color w:val="000000"/>
      <w:sz w:val="32"/>
      <w:szCs w:val="32"/>
    </w:rPr>
  </w:style>
  <w:style w:type="paragraph" w:customStyle="1" w:styleId="302">
    <w:name w:val="表格"/>
    <w:basedOn w:val="1"/>
    <w:qFormat/>
    <w:uiPriority w:val="0"/>
    <w:pPr>
      <w:spacing w:line="400" w:lineRule="exact"/>
    </w:pPr>
    <w:rPr>
      <w:sz w:val="24"/>
    </w:rPr>
  </w:style>
  <w:style w:type="paragraph" w:customStyle="1" w:styleId="303">
    <w:name w:val="样式 首行缩进:  2 字符"/>
    <w:basedOn w:val="1"/>
    <w:qFormat/>
    <w:uiPriority w:val="0"/>
    <w:pPr>
      <w:spacing w:line="400" w:lineRule="exact"/>
      <w:ind w:firstLine="200"/>
    </w:pPr>
    <w:rPr>
      <w:rFonts w:cs="宋体"/>
      <w:sz w:val="24"/>
    </w:rPr>
  </w:style>
  <w:style w:type="paragraph" w:customStyle="1" w:styleId="304">
    <w:name w:val="xl22"/>
    <w:basedOn w:val="1"/>
    <w:qFormat/>
    <w:uiPriority w:val="0"/>
    <w:pPr>
      <w:widowControl/>
      <w:spacing w:before="100" w:beforeAutospacing="1" w:after="100" w:afterAutospacing="1"/>
      <w:jc w:val="left"/>
    </w:pPr>
    <w:rPr>
      <w:rFonts w:ascii="Arial Unicode MS" w:hAnsi="Arial Unicode MS" w:eastAsia="Arial Unicode MS" w:cs="Arial Unicode MS"/>
      <w:sz w:val="20"/>
      <w:szCs w:val="20"/>
    </w:rPr>
  </w:style>
  <w:style w:type="paragraph" w:customStyle="1" w:styleId="305">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306">
    <w:name w:val="正文首行缩进两字符"/>
    <w:basedOn w:val="1"/>
    <w:qFormat/>
    <w:uiPriority w:val="0"/>
    <w:pPr>
      <w:spacing w:line="360" w:lineRule="auto"/>
      <w:ind w:firstLine="200"/>
    </w:pPr>
  </w:style>
  <w:style w:type="paragraph" w:customStyle="1" w:styleId="307">
    <w:name w:val="正文段"/>
    <w:basedOn w:val="1"/>
    <w:qFormat/>
    <w:uiPriority w:val="0"/>
    <w:pPr>
      <w:widowControl/>
      <w:ind w:firstLine="200"/>
    </w:pPr>
    <w:rPr>
      <w:sz w:val="24"/>
      <w:szCs w:val="20"/>
    </w:rPr>
  </w:style>
  <w:style w:type="table" w:customStyle="1" w:styleId="308">
    <w:name w:val="Table Normal"/>
    <w:semiHidden/>
    <w:qFormat/>
    <w:uiPriority w:val="2"/>
    <w:pPr>
      <w:widowControl w:val="0"/>
    </w:pPr>
    <w:rPr>
      <w:rFonts w:ascii="Calibri" w:hAnsi="Calibri" w:eastAsia="Times New Roman"/>
      <w:sz w:val="22"/>
      <w:szCs w:val="22"/>
      <w:lang w:eastAsia="en-US"/>
    </w:rPr>
    <w:tblPr>
      <w:tblCellMar>
        <w:top w:w="0" w:type="dxa"/>
        <w:left w:w="0" w:type="dxa"/>
        <w:bottom w:w="0" w:type="dxa"/>
        <w:right w:w="0"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customStyle="1" w:styleId="309">
    <w:name w:val="页脚 字符"/>
    <w:qFormat/>
    <w:uiPriority w:val="99"/>
  </w:style>
  <w:style w:type="character" w:customStyle="1" w:styleId="310">
    <w:name w:val="正文2 Char Char"/>
    <w:link w:val="311"/>
    <w:qFormat/>
    <w:uiPriority w:val="0"/>
    <w:rPr>
      <w:sz w:val="24"/>
    </w:rPr>
  </w:style>
  <w:style w:type="paragraph" w:customStyle="1" w:styleId="311">
    <w:name w:val="正文2"/>
    <w:basedOn w:val="1"/>
    <w:link w:val="310"/>
    <w:qFormat/>
    <w:uiPriority w:val="0"/>
    <w:pPr>
      <w:spacing w:before="156" w:line="360" w:lineRule="auto"/>
      <w:ind w:firstLine="510"/>
    </w:pPr>
    <w:rPr>
      <w:sz w:val="24"/>
      <w:szCs w:val="20"/>
    </w:rPr>
  </w:style>
  <w:style w:type="paragraph" w:customStyle="1" w:styleId="312">
    <w:name w:val="_Style 115"/>
    <w:unhideWhenUsed/>
    <w:qFormat/>
    <w:uiPriority w:val="99"/>
    <w:rPr>
      <w:rFonts w:hint="default" w:ascii="Times New Roman" w:hAnsi="Times New Roman" w:eastAsia="宋体" w:cs="Times New Roman"/>
      <w:sz w:val="21"/>
      <w:szCs w:val="24"/>
      <w:lang w:val="en-US" w:eastAsia="zh-CN" w:bidi="ar-SA"/>
    </w:rPr>
  </w:style>
  <w:style w:type="character" w:customStyle="1" w:styleId="313">
    <w:name w:val="表格文字 Char1"/>
    <w:link w:val="248"/>
    <w:qFormat/>
    <w:uiPriority w:val="99"/>
    <w:rPr>
      <w:bCs/>
      <w:spacing w:val="10"/>
      <w:sz w:val="24"/>
    </w:rPr>
  </w:style>
  <w:style w:type="paragraph" w:customStyle="1" w:styleId="314">
    <w:name w:val="AONormal"/>
    <w:qFormat/>
    <w:uiPriority w:val="0"/>
    <w:pPr>
      <w:spacing w:line="400" w:lineRule="exact"/>
      <w:ind w:firstLine="440"/>
    </w:pPr>
    <w:rPr>
      <w:rFonts w:hint="default" w:ascii="华文楷体" w:hAnsi="华文楷体" w:eastAsia="华文楷体" w:cs="华文楷体"/>
      <w:sz w:val="22"/>
      <w:szCs w:val="21"/>
      <w:lang w:val="en-US" w:eastAsia="zh-CN" w:bidi="ar-SA"/>
    </w:rPr>
  </w:style>
  <w:style w:type="paragraph" w:customStyle="1" w:styleId="315">
    <w:name w:val="列出段落1"/>
    <w:basedOn w:val="1"/>
    <w:qFormat/>
    <w:uiPriority w:val="0"/>
    <w:pPr>
      <w:ind w:firstLine="420"/>
    </w:pPr>
    <w:rPr>
      <w:szCs w:val="21"/>
    </w:rPr>
  </w:style>
  <w:style w:type="paragraph" w:customStyle="1" w:styleId="316">
    <w:name w:val="Char5 Char Char Char Char Char Char"/>
    <w:basedOn w:val="1"/>
    <w:qFormat/>
    <w:uiPriority w:val="0"/>
    <w:pPr>
      <w:widowControl/>
      <w:spacing w:after="160" w:line="240" w:lineRule="exact"/>
      <w:jc w:val="left"/>
    </w:pPr>
    <w:rPr>
      <w:rFonts w:ascii="Verdana" w:hAnsi="Verdana" w:eastAsia="仿宋_GB2312"/>
      <w:sz w:val="24"/>
      <w:szCs w:val="20"/>
      <w:lang w:eastAsia="en-US"/>
    </w:rPr>
  </w:style>
  <w:style w:type="paragraph" w:customStyle="1" w:styleId="317">
    <w:name w:val="标题 41"/>
    <w:basedOn w:val="1"/>
    <w:next w:val="1"/>
    <w:unhideWhenUsed/>
    <w:qFormat/>
    <w:uiPriority w:val="10"/>
    <w:pPr>
      <w:keepNext/>
      <w:keepLines/>
      <w:spacing w:before="280" w:after="290" w:line="376" w:lineRule="auto"/>
      <w:outlineLvl w:val="3"/>
    </w:pPr>
    <w:rPr>
      <w:rFonts w:ascii="Calibri Light" w:hAnsi="Calibri Light"/>
      <w:b/>
      <w:bCs/>
      <w:sz w:val="28"/>
      <w:szCs w:val="28"/>
    </w:rPr>
  </w:style>
  <w:style w:type="character" w:customStyle="1" w:styleId="318">
    <w:name w:val="NormalCharacter"/>
    <w:qFormat/>
    <w:uiPriority w:val="0"/>
  </w:style>
  <w:style w:type="table" w:customStyle="1" w:styleId="319">
    <w:name w:val="网格型1"/>
    <w:basedOn w:val="50"/>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320">
    <w:name w:val="网格型11"/>
    <w:basedOn w:val="50"/>
    <w:qFormat/>
    <w:uiPriority w:val="59"/>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321">
    <w:name w:val="纯文本11"/>
    <w:basedOn w:val="1"/>
    <w:qFormat/>
    <w:uiPriority w:val="0"/>
    <w:rPr>
      <w:rFonts w:ascii="宋体" w:hAnsi="Courier New" w:cs="Century"/>
      <w:szCs w:val="21"/>
    </w:rPr>
  </w:style>
  <w:style w:type="table" w:customStyle="1" w:styleId="322">
    <w:name w:val="网格型2"/>
    <w:basedOn w:val="5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323">
    <w:name w:val="No Spacing"/>
    <w:qFormat/>
    <w:uiPriority w:val="1"/>
    <w:rPr>
      <w:rFonts w:hint="default" w:ascii="Tahoma" w:hAnsi="Tahoma" w:eastAsia="微软雅黑" w:cs="Times New Roman"/>
      <w:sz w:val="22"/>
      <w:szCs w:val="22"/>
      <w:lang w:val="en-US" w:eastAsia="zh-CN" w:bidi="ar-SA"/>
    </w:rPr>
  </w:style>
  <w:style w:type="paragraph" w:customStyle="1" w:styleId="324">
    <w:name w:val="Default"/>
    <w:qFormat/>
    <w:uiPriority w:val="0"/>
    <w:rPr>
      <w:rFonts w:hint="default" w:ascii="Arial" w:hAnsi="Arial" w:eastAsia="宋体" w:cs="Arial"/>
      <w:color w:val="000000"/>
      <w:sz w:val="24"/>
      <w:szCs w:val="24"/>
      <w:lang w:val="en-US" w:eastAsia="zh-CN" w:bidi="ar-SA"/>
    </w:rPr>
  </w:style>
  <w:style w:type="character" w:customStyle="1" w:styleId="325">
    <w:name w:val="text__nfvs"/>
    <w:basedOn w:val="52"/>
    <w:qFormat/>
    <w:uiPriority w:val="0"/>
  </w:style>
  <w:style w:type="character" w:customStyle="1" w:styleId="326">
    <w:name w:val="supwrap_avpch"/>
    <w:basedOn w:val="52"/>
    <w:qFormat/>
    <w:uiPriority w:val="0"/>
  </w:style>
  <w:style w:type="character" w:customStyle="1" w:styleId="327">
    <w:name w:val="hover"/>
    <w:basedOn w:val="52"/>
    <w:qFormat/>
    <w:uiPriority w:val="0"/>
  </w:style>
  <w:style w:type="character" w:customStyle="1" w:styleId="328">
    <w:name w:val="hover1"/>
    <w:basedOn w:val="52"/>
    <w:qFormat/>
    <w:uiPriority w:val="0"/>
    <w:rPr>
      <w:color w:val="2590EB"/>
    </w:rPr>
  </w:style>
  <w:style w:type="character" w:customStyle="1" w:styleId="329">
    <w:name w:val="hover2"/>
    <w:basedOn w:val="52"/>
    <w:qFormat/>
    <w:uiPriority w:val="0"/>
    <w:rPr>
      <w:color w:val="2590EB"/>
    </w:rPr>
  </w:style>
  <w:style w:type="character" w:customStyle="1" w:styleId="330">
    <w:name w:val="hover3"/>
    <w:basedOn w:val="52"/>
    <w:qFormat/>
    <w:uiPriority w:val="0"/>
  </w:style>
  <w:style w:type="paragraph" w:customStyle="1" w:styleId="331">
    <w:name w:val="Table Text"/>
    <w:basedOn w:val="1"/>
    <w:semiHidden/>
    <w:qFormat/>
    <w:uiPriority w:val="0"/>
    <w:rPr>
      <w:rFonts w:ascii="宋体" w:hAnsi="宋体" w:cs="宋体"/>
      <w:sz w:val="20"/>
      <w:szCs w:val="20"/>
      <w:lang w:eastAsia="en-US"/>
    </w:rPr>
  </w:style>
  <w:style w:type="paragraph" w:customStyle="1" w:styleId="332">
    <w:name w:val="标题 21"/>
    <w:basedOn w:val="1"/>
    <w:next w:val="1"/>
    <w:qFormat/>
    <w:uiPriority w:val="0"/>
    <w:pPr>
      <w:keepNext/>
      <w:keepLines/>
      <w:spacing w:before="60" w:after="60" w:line="413" w:lineRule="auto"/>
    </w:pPr>
    <w:rPr>
      <w:rFonts w:ascii="Arial" w:hAnsi="Arial" w:eastAsia="黑体"/>
      <w:b/>
      <w:bCs/>
      <w:szCs w:val="32"/>
    </w:rPr>
  </w:style>
  <w:style w:type="paragraph" w:customStyle="1" w:styleId="333">
    <w:name w:val="列出段落"/>
    <w:basedOn w:val="1"/>
    <w:qFormat/>
    <w:uiPriority w:val="34"/>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contractReview xmlns="http://schemas.wps.cn/vas-ai-hub/contract-review">
  <reviewItems>
    <reviewItem>
      <errorID>caa227e2-319d-44a4-83d8-68fff03b2011</errorID>
      <errorWord>/）</errorWord>
      <group>L1_Punc</group>
      <groupName>标点问题</groupName>
      <ability>L2_Punc_CN</ability>
      <abilityName/>
      <candidateList>
        <item>）</item>
      </candidateList>
      <explain/>
      <paraID>B68990</paraID>
      <start>71</start>
      <end>73</end>
      <status>unmodified</status>
      <modifiedWord/>
      <trackRevisions>false</trackRevisions>
    </reviewItem>
    <reviewItem>
      <errorID>ad72b799-f54e-4540-aa5a-795051c8ec31</errorID>
      <errorWord>：</errorWord>
      <group>L1_Format</group>
      <groupName>格式问题</groupName>
      <ability>L2_HalfPunc_CN</ability>
      <abilityName/>
      <candidateList>
        <item>:</item>
      </candidateList>
      <explain>文本全半角错误。</explain>
      <paraID>10898F66</paraID>
      <start>32</start>
      <end>33</end>
      <status>unmodified</status>
      <modifiedWord/>
      <trackRevisions>false</trackRevisions>
    </reviewItem>
    <reviewItem>
      <errorID>57ac3fca-ace6-47a6-a689-a11fba73d310</errorID>
      <errorWord>：</errorWord>
      <group>L1_Format</group>
      <groupName>格式问题</groupName>
      <ability>L2_HalfPunc_CN</ability>
      <abilityName/>
      <candidateList>
        <item>:</item>
      </candidateList>
      <explain>文本全半角错误。</explain>
      <paraID>10898F66</paraID>
      <start>38</start>
      <end>39</end>
      <status>unmodified</status>
      <modifiedWord/>
      <trackRevisions>false</trackRevisions>
    </reviewItem>
    <reviewItem>
      <errorID>da4adec9-d761-41bc-80fb-8c90d2e9be92</errorID>
      <errorWord>：</errorWord>
      <group>L1_Format</group>
      <groupName>格式问题</groupName>
      <ability>L2_HalfPunc_CN</ability>
      <abilityName/>
      <candidateList>
        <item>:</item>
      </candidateList>
      <explain>文本全半角错误。</explain>
      <paraID>10898F66</paraID>
      <start>46</start>
      <end>47</end>
      <status>unmodified</status>
      <modifiedWord/>
      <trackRevisions>false</trackRevisions>
    </reviewItem>
    <reviewItem>
      <errorID>3a937b3f-8217-469d-875f-4b067c7dc2ce</errorID>
      <errorWord>：</errorWord>
      <group>L1_Format</group>
      <groupName>格式问题</groupName>
      <ability>L2_HalfPunc_CN</ability>
      <abilityName/>
      <candidateList>
        <item>:</item>
      </candidateList>
      <explain>文本全半角错误。</explain>
      <paraID>10898F66</paraID>
      <start>51</start>
      <end>52</end>
      <status>unmodified</status>
      <modifiedWord/>
      <trackRevisions>false</trackRevisions>
    </reviewItem>
    <reviewItem>
      <errorID>6e4f09a6-2614-44db-898f-6603f89917be</errorID>
      <errorWord>/）</errorWord>
      <group>L1_Punc</group>
      <groupName>标点问题</groupName>
      <ability>L2_Punc_CN</ability>
      <abilityName/>
      <candidateList>
        <item>）</item>
      </candidateList>
      <explain/>
      <paraID>67DD7888</paraID>
      <start>45</start>
      <end>47</end>
      <status>unmodified</status>
      <modifiedWord/>
      <trackRevisions>false</trackRevisions>
    </reviewItem>
    <reviewItem>
      <errorID>7f2dd5f0-7999-4891-8cbd-351f85b12179</errorID>
      <errorWord>/）</errorWord>
      <group>L1_Punc</group>
      <groupName>标点问题</groupName>
      <ability>L2_Punc_CN</ability>
      <abilityName/>
      <candidateList>
        <item>）</item>
      </candidateList>
      <explain/>
      <paraID>4D92CAD3</paraID>
      <start>68</start>
      <end>70</end>
      <status>unmodified</status>
      <modifiedWord/>
      <trackRevisions>false</trackRevisions>
    </reviewItem>
    <reviewItem>
      <errorID>6b08e2eb-ca8d-4837-8679-2bab3052d1f2</errorID>
      <errorWord>-</errorWord>
      <group>L1_Format</group>
      <groupName>格式问题</groupName>
      <ability>L2_HalfPunc_CN</ability>
      <abilityName/>
      <candidateList>
        <item>－</item>
      </candidateList>
      <explain>文本全半角错误。</explain>
      <paraID>4D92CAD3</paraID>
      <start>70</start>
      <end>71</end>
      <status>unmodified</status>
      <modifiedWord/>
      <trackRevisions>false</trackRevisions>
    </reviewItem>
    <reviewItem>
      <errorID>d5a6c968-2b34-4cdb-9e0f-485aa086f0f7</errorID>
      <errorWord>/）</errorWord>
      <group>L1_Punc</group>
      <groupName>标点问题</groupName>
      <ability>L2_Punc_CN</ability>
      <abilityName/>
      <candidateList>
        <item>）</item>
      </candidateList>
      <explain/>
      <paraID>2696FCC6</paraID>
      <start>47</start>
      <end>49</end>
      <status>unmodified</status>
      <modifiedWord/>
      <trackRevisions>false</trackRevisions>
    </reviewItem>
    <reviewItem>
      <errorID>a3bf3588-2909-481f-8e49-bde94cbd3bba</errorID>
      <errorWord>(</errorWord>
      <group>L1_Format</group>
      <groupName>格式问题</groupName>
      <ability>L2_HalfPunc_CN</ability>
      <abilityName/>
      <candidateList>
        <item>（</item>
      </candidateList>
      <explain>文本全半角错误。</explain>
      <paraID>414A3FE4</paraID>
      <start>80</start>
      <end>81</end>
      <status>unmodified</status>
      <modifiedWord/>
      <trackRevisions>false</trackRevisions>
    </reviewItem>
    <reviewItem>
      <errorID>a6d58c72-7822-46b4-a513-323649c52872</errorID>
      <errorWord>.</errorWord>
      <group>L1_Format</group>
      <groupName>格式问题</groupName>
      <ability>L2_HalfPunc_CN</ability>
      <abilityName/>
      <candidateList>
        <item>。</item>
      </candidateList>
      <explain>文本全半角错误。</explain>
      <paraID>414A3FE4</paraID>
      <start>83</start>
      <end>84</end>
      <status>unmodified</status>
      <modifiedWord/>
      <trackRevisions>false</trackRevisions>
    </reviewItem>
    <reviewItem>
      <errorID>5377827e-558c-48ae-aec6-b17106dbd049</errorID>
      <errorWord>)</errorWord>
      <group>L1_Format</group>
      <groupName>格式问题</groupName>
      <ability>L2_HalfPunc_CN</ability>
      <abilityName/>
      <candidateList>
        <item>）</item>
      </candidateList>
      <explain>文本全半角错误。</explain>
      <paraID>414A3FE4</paraID>
      <start>86</start>
      <end>87</end>
      <status>unmodified</status>
      <modifiedWord/>
      <trackRevisions>false</trackRevisions>
    </reviewItem>
    <reviewItem>
      <errorID>4c607432-f186-43ef-b66a-208660c07c67</errorID>
      <errorWord>/）</errorWord>
      <group>L1_Punc</group>
      <groupName>标点问题</groupName>
      <ability>L2_Punc_CN</ability>
      <abilityName/>
      <candidateList>
        <item>）</item>
      </candidateList>
      <explain/>
      <paraID>414A3FE4</paraID>
      <start>124</start>
      <end>126</end>
      <status>unmodified</status>
      <modifiedWord/>
      <trackRevisions>false</trackRevisions>
    </reviewItem>
    <reviewItem>
      <errorID>f3f1c209-eea3-4b0b-a620-43e88dd4d6dc</errorID>
      <errorWord>/）</errorWord>
      <group>L1_Punc</group>
      <groupName>标点问题</groupName>
      <ability>L2_Punc_CN</ability>
      <abilityName/>
      <candidateList>
        <item>）</item>
      </candidateList>
      <explain/>
      <paraID>AE58A89</paraID>
      <start>62</start>
      <end>64</end>
      <status>unmodified</status>
      <modifiedWord/>
      <trackRevisions>false</trackRevisions>
    </reviewItem>
    <reviewItem>
      <errorID>84dde4f1-baaa-42cd-95ec-894d08bb456c</errorID>
      <errorWord>-</errorWord>
      <group>L1_Format</group>
      <groupName>格式问题</groupName>
      <ability>L2_HalfPunc_CN</ability>
      <abilityName/>
      <candidateList>
        <item>－</item>
      </candidateList>
      <explain>文本全半角错误。</explain>
      <paraID>AE58A89</paraID>
      <start>222</start>
      <end>223</end>
      <status>unmodified</status>
      <modifiedWord/>
      <trackRevisions>false</trackRevisions>
    </reviewItem>
    <reviewItem>
      <errorID>7b14df19-570f-4c56-bdfe-56105489d3df</errorID>
      <errorWord>-</errorWord>
      <group>L1_Format</group>
      <groupName>格式问题</groupName>
      <ability>L2_HalfPunc_CN</ability>
      <abilityName/>
      <candidateList>
        <item>－</item>
      </candidateList>
      <explain>文本全半角错误。</explain>
      <paraID>AE58A89</paraID>
      <start>227</start>
      <end>228</end>
      <status>unmodified</status>
      <modifiedWord/>
      <trackRevisions>false</trackRevisions>
    </reviewItem>
    <reviewItem>
      <errorID>222573f4-0eec-4ff8-91bc-824cc851e6a7</errorID>
      <errorWord>-</errorWord>
      <group>L1_Format</group>
      <groupName>格式问题</groupName>
      <ability>L2_HalfPunc_CN</ability>
      <abilityName/>
      <candidateList>
        <item>－</item>
      </candidateList>
      <explain>文本全半角错误。</explain>
      <paraID>AE58A89</paraID>
      <start>232</start>
      <end>233</end>
      <status>unmodified</status>
      <modifiedWord/>
      <trackRevisions>false</trackRevisions>
    </reviewItem>
    <reviewItem>
      <errorID>dc9554c6-fa94-4d06-8455-8d0ed24a51cf</errorID>
      <errorWord>-</errorWord>
      <group>L1_Format</group>
      <groupName>格式问题</groupName>
      <ability>L2_HalfPunc_CN</ability>
      <abilityName/>
      <candidateList>
        <item>－</item>
      </candidateList>
      <explain>文本全半角错误。</explain>
      <paraID>AE58A89</paraID>
      <start>238</start>
      <end>239</end>
      <status>unmodified</status>
      <modifiedWord/>
      <trackRevisions>false</trackRevisions>
    </reviewItem>
    <reviewItem>
      <errorID>457bb75f-cf80-4c0d-a53a-fc9f93cf12b1</errorID>
      <errorWord>-</errorWord>
      <group>L1_Format</group>
      <groupName>格式问题</groupName>
      <ability>L2_HalfPunc_CN</ability>
      <abilityName/>
      <candidateList>
        <item>－</item>
      </candidateList>
      <explain>文本全半角错误。</explain>
      <paraID>AE58A89</paraID>
      <start>255</start>
      <end>256</end>
      <status>unmodified</status>
      <modifiedWord/>
      <trackRevisions>false</trackRevisions>
    </reviewItem>
    <reviewItem>
      <errorID>3604860c-7853-47d2-a893-9cb6bf613994</errorID>
      <errorWord>-</errorWord>
      <group>L1_Format</group>
      <groupName>格式问题</groupName>
      <ability>L2_HalfPunc_CN</ability>
      <abilityName/>
      <candidateList>
        <item>－</item>
      </candidateList>
      <explain>文本全半角错误。</explain>
      <paraID>6CFCDC64</paraID>
      <start>108</start>
      <end>109</end>
      <status>unmodified</status>
      <modifiedWord/>
      <trackRevisions>false</trackRevisions>
    </reviewItem>
    <reviewItem>
      <errorID>5979d7aa-80ba-4ff8-aefe-69dc9ddc059c</errorID>
      <errorWord>-</errorWord>
      <group>L1_Format</group>
      <groupName>格式问题</groupName>
      <ability>L2_HalfPunc_CN</ability>
      <abilityName/>
      <candidateList>
        <item>－</item>
      </candidateList>
      <explain>文本全半角错误。</explain>
      <paraID>6CFCDC64</paraID>
      <start>137</start>
      <end>138</end>
      <status>unmodified</status>
      <modifiedWord/>
      <trackRevisions>false</trackRevisions>
    </reviewItem>
    <reviewItem>
      <errorID>443e9198-30f9-4d2a-bda3-d99338d8ac84</errorID>
      <errorWord>操作合</errorWord>
      <group>L1_Word</group>
      <groupName>字词问题</groupName>
      <ability>L2_Typo</ability>
      <abilityName>字词错误</abilityName>
      <candidateList>
        <item>操作台</item>
      </candidateList>
      <explain/>
      <paraID>502EBC</paraID>
      <start>9</start>
      <end>12</end>
      <status>unmodified</status>
      <modifiedWord/>
      <trackRevisions>false</trackRevisions>
    </reviewItem>
    <reviewItem>
      <errorID>3ef88c5b-0161-4a5d-91ab-5871a42caa73</errorID>
      <errorWord>》</errorWord>
      <group>L1_Word</group>
      <groupName>字词问题</groupName>
      <ability>L2_Typo</ability>
      <abilityName>字词错误</abilityName>
      <candidateList>
        <item>》中</item>
      </candidateList>
      <explain/>
      <paraID>2BC34AF9</paraID>
      <start>76</start>
      <end>77</end>
      <status>unmodified</status>
      <modifiedWord/>
      <trackRevisions>false</trackRevisions>
    </reviewItem>
    <reviewItem>
      <errorID>9b730496-fff0-44d9-8511-a519eb4f2975</errorID>
      <errorWord>：</errorWord>
      <group>L1_Format</group>
      <groupName>格式问题</groupName>
      <ability>L2_HalfPunc_CN</ability>
      <abilityName/>
      <candidateList>
        <item>:</item>
      </candidateList>
      <explain>文本全半角错误。</explain>
      <paraID>2BC34AF9</paraID>
      <start>152</start>
      <end>153</end>
      <status>unmodified</status>
      <modifiedWord/>
      <trackRevisions>false</trackRevisions>
    </reviewItem>
    <reviewItem>
      <errorID>31796f17-9fb1-4e9c-a8e4-e6cd0e3948c9</errorID>
      <errorWord>中的</errorWord>
      <group>L1_Word</group>
      <groupName>字词问题</groupName>
      <ability>L2_Typo</ability>
      <abilityName>字词错误</abilityName>
      <candidateList>
        <item>中</item>
      </candidateList>
      <explain>〈动〉❶正对上；恰好合上：～选｜猜～了｜三枪都打～了目标。❷受到；遭受：～毒｜～暑｜胳膊上～了一枪。</explain>
      <paraID>2BC34AF9</paraID>
      <start>303</start>
      <end>305</end>
      <status>unmodified</status>
      <modifiedWord/>
      <trackRevisions>false</trackRevisions>
    </reviewItem>
    <reviewItem>
      <errorID>3b668c6a-66c9-4f3d-bd77-1951451d7f0b</errorID>
      <errorWord>&lt;</errorWord>
      <group>L1_Format</group>
      <groupName>格式问题</groupName>
      <ability>L2_HalfPunc_CN</ability>
      <abilityName/>
      <candidateList>
        <item>〈</item>
      </candidateList>
      <explain>文本全半角错误。</explain>
      <paraID>443854AE</paraID>
      <start>7</start>
      <end>8</end>
      <status>unmodified</status>
      <modifiedWord/>
      <trackRevisions>false</trackRevisions>
    </reviewItem>
    <reviewItem>
      <errorID>1606aacc-0a91-4276-a134-0fd93456ba61</errorID>
      <errorWord>&lt;</errorWord>
      <group>L1_Format</group>
      <groupName>格式问题</groupName>
      <ability>L2_HalfPunc_CN</ability>
      <abilityName/>
      <candidateList>
        <item>〈</item>
      </candidateList>
      <explain>文本全半角错误。</explain>
      <paraID>629E77A8</paraID>
      <start>7</start>
      <end>8</end>
      <status>unmodified</status>
      <modifiedWord/>
      <trackRevisions>false</trackRevisions>
    </reviewItem>
    <reviewItem>
      <errorID>d41ef664-05fa-497d-95ec-17a21a499b8c</errorID>
      <errorWord>&lt;</errorWord>
      <group>L1_Format</group>
      <groupName>格式问题</groupName>
      <ability>L2_HalfPunc_CN</ability>
      <abilityName/>
      <candidateList>
        <item>〈</item>
      </candidateList>
      <explain>文本全半角错误。</explain>
      <paraID>E6BB2A5</paraID>
      <start>7</start>
      <end>8</end>
      <status>unmodified</status>
      <modifiedWord/>
      <trackRevisions>false</trackRevisions>
    </reviewItem>
    <reviewItem>
      <errorID>b6b698d0-56c5-49ff-8759-c956abcfcead</errorID>
      <errorWord>&lt;</errorWord>
      <group>L1_Format</group>
      <groupName>格式问题</groupName>
      <ability>L2_HalfPunc_CN</ability>
      <abilityName/>
      <candidateList>
        <item>〈</item>
      </candidateList>
      <explain>文本全半角错误。</explain>
      <paraID>A0DCB2C</paraID>
      <start>9</start>
      <end>10</end>
      <status>unmodified</status>
      <modifiedWord/>
      <trackRevisions>false</trackRevisions>
    </reviewItem>
    <reviewItem>
      <errorID>4352d984-4d0c-44e7-9825-aa2f4b74a44b</errorID>
      <errorWord>&lt;</errorWord>
      <group>L1_Format</group>
      <groupName>格式问题</groupName>
      <ability>L2_HalfPunc_CN</ability>
      <abilityName/>
      <candidateList>
        <item>〈</item>
      </candidateList>
      <explain>文本全半角错误。</explain>
      <paraID>680A0B54</paraID>
      <start>102</start>
      <end>103</end>
      <status>unmodified</status>
      <modifiedWord/>
      <trackRevisions>false</trackRevisions>
    </reviewItem>
    <reviewItem>
      <errorID>0bdf9018-0e0b-4af0-a662-1990020705c3</errorID>
      <errorWord>：&gt;</errorWord>
      <group>L1_Punc</group>
      <groupName>标点问题</groupName>
      <ability>L2_Punc_CN</ability>
      <abilityName/>
      <candidateList>
        <item>：</item>
      </candidateList>
      <explain/>
      <paraID>6FCB4501</paraID>
      <start>7</start>
      <end>9</end>
      <status>unmodified</status>
      <modifiedWord/>
      <trackRevisions>false</trackRevisions>
    </reviewItem>
    <reviewItem>
      <errorID>a2481e2f-922c-4219-9e42-a2aaf712a66d</errorID>
      <errorWord>:</errorWord>
      <group>L1_Format</group>
      <groupName>格式问题</groupName>
      <ability>L2_HalfPunc_CN</ability>
      <abilityName/>
      <candidateList>
        <item>：</item>
      </candidateList>
      <explain>文本全半角错误。</explain>
      <paraID>1E96C666</paraID>
      <start>11</start>
      <end>12</end>
      <status>unmodified</status>
      <modifiedWord/>
      <trackRevisions>false</trackRevisions>
    </reviewItem>
    <reviewItem>
      <errorID>5625bcd6-bf0e-4332-b879-c79569b3bd49</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1453B277</paraID>
      <start>55</start>
      <end>56</end>
      <status>unmodified</status>
      <modifiedWord/>
      <trackRevisions>false</trackRevisions>
    </reviewItem>
    <reviewItem>
      <errorID>825e56dd-4019-4973-947f-00ce202d6824</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1744B3AC</paraID>
      <start>32</start>
      <end>33</end>
      <status>unmodified</status>
      <modifiedWord/>
      <trackRevisions>false</trackRevisions>
    </reviewItem>
    <reviewItem>
      <errorID>380674e5-1bb7-4d1d-b8a3-b68f00ac228a</errorID>
      <errorWord>出</errorWord>
      <group>L1_Word</group>
      <groupName>字词问题</groupName>
      <ability>L2_Typo</ability>
      <abilityName>字词错误</abilityName>
      <candidateList>
        <item>出现</item>
      </candidateList>
      <explain>〈动〉❶显露出来：比赛开始前半小时运动员已经～在运动场上了。❷产生出来：近年来～了许多优秀作品。</explain>
      <paraID>6BF845BF</paraID>
      <start>47</start>
      <end>48</end>
      <status>unmodified</status>
      <modifiedWord/>
      <trackRevisions>false</trackRevisions>
    </reviewItem>
    <reviewItem>
      <errorID>e12614ad-8a30-441b-b0f5-2a96d7bffbf3</errorID>
      <errorWord>做</errorWord>
      <group>L1_Word</group>
      <groupName>字词问题</groupName>
      <ability>L2_Typo</ability>
      <abilityName>字词错误</abilityName>
      <candidateList>
        <item>作</item>
      </candidateList>
      <explain>存在发音相同字词的误用。</explain>
      <paraID>2D8C1C0E</paraID>
      <start>89</start>
      <end>90</end>
      <status>unmodified</status>
      <modifiedWord/>
      <trackRevisions>false</trackRevisions>
    </reviewItem>
    <reviewItem>
      <errorID>413a473b-cb03-4628-bc4d-a354b945eb14</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5EE0D6BD</paraID>
      <start>122</start>
      <end>125</end>
      <status>unmodified</status>
      <modifiedWord/>
      <trackRevisions>false</trackRevisions>
    </reviewItem>
    <reviewItem>
      <errorID>e8f923cf-61a5-49d6-b3f6-5c231d133714</errorID>
      <errorWord>（</errorWord>
      <group>L1_Format</group>
      <groupName>格式问题</groupName>
      <ability>L2_HalfPunc_CN</ability>
      <abilityName/>
      <candidateList>
        <item>(</item>
      </candidateList>
      <explain>文本全半角错误。</explain>
      <paraID>FF54B10</paraID>
      <start>0</start>
      <end>1</end>
      <status>unmodified</status>
      <modifiedWord/>
      <trackRevisions>false</trackRevisions>
    </reviewItem>
    <reviewItem>
      <errorID>2294b7e9-fa6a-434c-a4c4-14cfdf70aad2</errorID>
      <errorWord>）</errorWord>
      <group>L1_Format</group>
      <groupName>格式问题</groupName>
      <ability>L2_HalfPunc_CN</ability>
      <abilityName/>
      <candidateList>
        <item>)</item>
      </candidateList>
      <explain>文本全半角错误。</explain>
      <paraID>FF54B10</paraID>
      <start>8</start>
      <end>9</end>
      <status>unmodified</status>
      <modifiedWord/>
      <trackRevisions>false</trackRevisions>
    </reviewItem>
    <reviewItem>
      <errorID>d32b9a5a-fe91-4037-a98c-fdfe46bd970c</errorID>
      <errorWord>[2011]300号</errorWord>
      <group>L1_Knowledge</group>
      <groupName>知识性问题</groupName>
      <ability>L2_Knowledge</ability>
      <abilityName>其他知识</abilityName>
      <candidateList>
        <item>〔2011〕300号</item>
      </candidateList>
      <explain>发文字号格式错误。</explain>
      <paraID>16354295</paraID>
      <start>6</start>
      <end>16</end>
      <status>unmodified</status>
      <modifiedWord/>
      <trackRevisions>false</trackRevisions>
    </reviewItem>
    <reviewItem>
      <errorID>1458c27b-ec7f-44a0-9edc-4e98544bbecf</errorID>
      <errorWord>(</errorWord>
      <group>L1_Format</group>
      <groupName>格式问题</groupName>
      <ability>L2_HalfPunc_CN</ability>
      <abilityName/>
      <candidateList>
        <item>（</item>
      </candidateList>
      <explain>文本全半角错误。</explain>
      <paraID>1BF6BBCD</paraID>
      <start>46</start>
      <end>47</end>
      <status>unmodified</status>
      <modifiedWord/>
      <trackRevisions>false</trackRevisions>
    </reviewItem>
    <reviewItem>
      <errorID>30268e23-1744-4332-ac66-d7a1f631e22d</errorID>
      <errorWord>[2009]36号</errorWord>
      <group>L1_Knowledge</group>
      <groupName>知识性问题</groupName>
      <ability>L2_Knowledge</ability>
      <abilityName>其他知识</abilityName>
      <candidateList>
        <item>〔2009〕36号</item>
      </candidateList>
      <explain>发文字号格式错误。</explain>
      <paraID>1BF6BBCD</paraID>
      <start>49</start>
      <end>58</end>
      <status>unmodified</status>
      <modifiedWord/>
      <trackRevisions>false</trackRevisions>
    </reviewItem>
    <reviewItem>
      <errorID>f6332871-d606-48f3-bff1-21d070c01ce6</errorID>
      <errorWord>)</errorWord>
      <group>L1_Format</group>
      <groupName>格式问题</groupName>
      <ability>L2_HalfPunc_CN</ability>
      <abilityName/>
      <candidateList>
        <item>）</item>
      </candidateList>
      <explain>文本全半角错误。</explain>
      <paraID>1BF6BBCD</paraID>
      <start>58</start>
      <end>59</end>
      <status>unmodified</status>
      <modifiedWord/>
      <trackRevisions>false</trackRevisions>
    </reviewItem>
    <reviewItem>
      <errorID>cd82521e-c420-41d6-ba23-f54d34d60f76</errorID>
      <errorWord>(</errorWord>
      <group>L1_Format</group>
      <groupName>格式问题</groupName>
      <ability>L2_HalfPunc_CN</ability>
      <abilityName/>
      <candidateList>
        <item>（</item>
      </candidateList>
      <explain>文本全半角错误。</explain>
      <paraID>31444B79</paraID>
      <start>18</start>
      <end>19</end>
      <status>unmodified</status>
      <modifiedWord/>
      <trackRevisions>false</trackRevisions>
    </reviewItem>
    <reviewItem>
      <errorID>e255b866-c51e-4a0b-9174-cec83cbacefc</errorID>
      <errorWord>)</errorWord>
      <group>L1_Format</group>
      <groupName>格式问题</groupName>
      <ability>L2_HalfPunc_CN</ability>
      <abilityName/>
      <candidateList>
        <item>）</item>
      </candidateList>
      <explain>文本全半角错误。</explain>
      <paraID>31444B79</paraID>
      <start>28</start>
      <end>29</end>
      <status>unmodified</status>
      <modifiedWord/>
      <trackRevisions>false</trackRevisions>
    </reviewItem>
    <reviewItem>
      <errorID>ed8f7efc-5b50-439a-a68c-76722cbc03b3</errorID>
      <errorWord>（</errorWord>
      <group>L1_Punc</group>
      <groupName>标点问题</groupName>
      <ability>L2_Punc_CN</ability>
      <abilityName/>
      <candidateList/>
      <explain>此处标点可能未正确匹配，请检查句子中是否存在标点冗余、缺失或使用错误的情况。</explain>
      <paraID>6010A370</paraID>
      <start>58</start>
      <end>59</end>
      <status>unmodified</status>
      <modifiedWord/>
      <trackRevisions>false</trackRevisions>
    </reviewItem>
    <reviewItem>
      <errorID>883eb2b7-d846-4ef7-9c96-78bc88f44aae</errorID>
      <errorWord>其它</errorWord>
      <group>L1_Word</group>
      <groupName>字词问题</groupName>
      <ability>L2_Alias</ability>
      <abilityName>也作/曾用词</abilityName>
      <candidateList>
        <item>其他</item>
      </candidateList>
      <explain>词汇[其它]为不规范表述或旧称，其规范书面表述为[其他]。</explain>
      <paraID>175840E8</paraID>
      <start>103</start>
      <end>105</end>
      <status>unmodified</status>
      <modifiedWord/>
      <trackRevisions>false</trackRevisions>
    </reviewItem>
    <reviewItem>
      <errorID>b61ae165-6189-4deb-8bfa-2a163f78b86b</errorID>
      <errorWord>其它</errorWord>
      <group>L1_Word</group>
      <groupName>字词问题</groupName>
      <ability>L2_Alias</ability>
      <abilityName>也作/曾用词</abilityName>
      <candidateList>
        <item>其他</item>
      </candidateList>
      <explain>词汇[其它]为不规范表述或旧称，其规范书面表述为[其他]。</explain>
      <paraID>6BC3F11C</paraID>
      <start>103</start>
      <end>105</end>
      <status>unmodified</status>
      <modifiedWord/>
      <trackRevisions>false</trackRevisions>
    </reviewItem>
    <reviewItem>
      <errorID>33e586e2-b27d-4314-8d18-ab16656dd664</errorID>
      <errorWord>：：</errorWord>
      <group>L1_Punc</group>
      <groupName>标点问题</groupName>
      <ability>L2_Punc_CN</ability>
      <abilityName/>
      <candidateList>
        <item>：</item>
      </candidateList>
      <explain/>
      <paraID>638CA6F</paraID>
      <start>18</start>
      <end>20</end>
      <status>unmodified</status>
      <modifiedWord/>
      <trackRevisions>false</trackRevisions>
    </reviewItem>
    <reviewItem>
      <errorID>f00605aa-349e-4868-860f-aceb030a7f7b</errorID>
      <errorWord>;）</errorWord>
      <group>L1_Punc</group>
      <groupName>标点问题</groupName>
      <ability>L2_Punc_CN</ability>
      <abilityName/>
      <candidateList>
        <item>）</item>
      </candidateList>
      <explain/>
      <paraID>435FB1AD</paraID>
      <start>154</start>
      <end>156</end>
      <status>unmodified</status>
      <modifiedWord/>
      <trackRevisions>false</trackRevisions>
    </reviewItem>
    <reviewItem>
      <errorID>eb0e19b8-74d1-47fe-aa27-1ef303cc1720</errorID>
      <errorWord>（</errorWord>
      <group>L1_Format</group>
      <groupName>格式问题</groupName>
      <ability>L2_HalfPunc_CN</ability>
      <abilityName/>
      <candidateList>
        <item>(</item>
      </candidateList>
      <explain>文本全半角错误。</explain>
      <paraID>27A3203E</paraID>
      <start>4</start>
      <end>5</end>
      <status>unmodified</status>
      <modifiedWord/>
      <trackRevisions>false</trackRevisions>
    </reviewItem>
    <reviewItem>
      <errorID>4a024e6a-9f49-44bc-ba14-2271efc046e8</errorID>
      <errorWord>）</errorWord>
      <group>L1_Format</group>
      <groupName>格式问题</groupName>
      <ability>L2_HalfPunc_CN</ability>
      <abilityName/>
      <candidateList>
        <item>)</item>
      </candidateList>
      <explain>文本全半角错误。</explain>
      <paraID>27A3203E</paraID>
      <start>6</start>
      <end>7</end>
      <status>unmodified</status>
      <modifiedWord/>
      <trackRevisions>false</trackRevisions>
    </reviewItem>
    <reviewItem>
      <errorID>1aa8f958-cda1-47d7-95f7-f3123e269de0</errorID>
      <errorWord>（</errorWord>
      <group>L1_Format</group>
      <groupName>格式问题</groupName>
      <ability>L2_HalfPunc_CN</ability>
      <abilityName/>
      <candidateList>
        <item>(</item>
      </candidateList>
      <explain>文本全半角错误。</explain>
      <paraID>CE46419</paraID>
      <start>4</start>
      <end>5</end>
      <status>unmodified</status>
      <modifiedWord/>
      <trackRevisions>false</trackRevisions>
    </reviewItem>
    <reviewItem>
      <errorID>c053689b-eb94-4ff7-b2e3-dff2ae9fcd92</errorID>
      <errorWord>）</errorWord>
      <group>L1_Format</group>
      <groupName>格式问题</groupName>
      <ability>L2_HalfPunc_CN</ability>
      <abilityName/>
      <candidateList>
        <item>)</item>
      </candidateList>
      <explain>文本全半角错误。</explain>
      <paraID>CE46419</paraID>
      <start>6</start>
      <end>7</end>
      <status>unmodified</status>
      <modifiedWord/>
      <trackRevisions>false</trackRevisions>
    </reviewItem>
    <reviewItem>
      <errorID>e473ee36-84c1-41a2-9633-44309105ce56</errorID>
      <errorWord>（</errorWord>
      <group>L1_Format</group>
      <groupName>格式问题</groupName>
      <ability>L2_HalfPunc_CN</ability>
      <abilityName/>
      <candidateList>
        <item>(</item>
      </candidateList>
      <explain>文本全半角错误。</explain>
      <paraID>157317C0</paraID>
      <start>4</start>
      <end>5</end>
      <status>unmodified</status>
      <modifiedWord/>
      <trackRevisions>false</trackRevisions>
    </reviewItem>
    <reviewItem>
      <errorID>dca94169-9c94-4af9-b078-fa2299b2eba2</errorID>
      <errorWord>）</errorWord>
      <group>L1_Format</group>
      <groupName>格式问题</groupName>
      <ability>L2_HalfPunc_CN</ability>
      <abilityName/>
      <candidateList>
        <item>)</item>
      </candidateList>
      <explain>文本全半角错误。</explain>
      <paraID>157317C0</paraID>
      <start>6</start>
      <end>7</end>
      <status>unmodified</status>
      <modifiedWord/>
      <trackRevisions>false</trackRevisions>
    </reviewItem>
    <reviewItem>
      <errorID>ce586a28-4f68-4a03-9fd8-91af4b420e2d</errorID>
      <errorWord>作为在</errorWord>
      <group>L1_Word</group>
      <groupName>字词问题</groupName>
      <ability>L2_Typo</ability>
      <abilityName>字词错误</abilityName>
      <candidateList>
        <item>作为</item>
      </candidateList>
      <explain>❶〈动〉当做：～罢论｜～无效｜我把游泳～锻炼身体的方法。❷〈介〉就人的某种身份或事物的某种性质来说：～一个学生，首先得把学习搞好｜～一部词典，必须有明确的编写宗旨。</explain>
      <paraID>2516D893</paraID>
      <start>29</start>
      <end>32</end>
      <status>unmodified</status>
      <modifiedWord/>
      <trackRevisions>false</trackRevisions>
    </reviewItem>
    <reviewItem>
      <errorID>9c571c71-edcd-4b4e-833d-2cd61e90ee51</errorID>
      <errorWord>/）</errorWord>
      <group>L1_Punc</group>
      <groupName>标点问题</groupName>
      <ability>L2_Punc_CN</ability>
      <abilityName/>
      <candidateList>
        <item>）</item>
      </candidateList>
      <explain/>
      <paraID>2516D893</paraID>
      <start>74</start>
      <end>76</end>
      <status>unmodified</status>
      <modifiedWord/>
      <trackRevisions>false</trackRevisions>
    </reviewItem>
    <reviewItem>
      <errorID>e4c537cd-a063-4c96-87cb-f52f2042a877</errorID>
      <errorWord>:/</errorWord>
      <group>L1_Punc</group>
      <groupName>标点问题</groupName>
      <ability>L2_Punc_CN</ability>
      <abilityName/>
      <candidateList>
        <item>:</item>
      </candidateList>
      <explain/>
      <paraID>780439C2</paraID>
      <start>2</start>
      <end>4</end>
      <status>unmodified</status>
      <modifiedWord/>
      <trackRevisions>false</trackRevisions>
    </reviewItem>
    <reviewItem>
      <errorID>368853d5-fe07-4122-8a39-1186108f46ed</errorID>
      <errorWord>:/</errorWord>
      <group>L1_Punc</group>
      <groupName>标点问题</groupName>
      <ability>L2_Punc_CN</ability>
      <abilityName/>
      <candidateList>
        <item>:</item>
      </candidateList>
      <explain/>
      <paraID>6AE03FAD</paraID>
      <start>2</start>
      <end>4</end>
      <status>unmodified</status>
      <modifiedWord/>
      <trackRevisions>false</trackRevisions>
    </reviewItem>
    <reviewItem>
      <errorID>ec65879c-0a79-4942-a2c9-ee6722831d4d</errorID>
      <errorWord>:/</errorWord>
      <group>L1_Punc</group>
      <groupName>标点问题</groupName>
      <ability>L2_Punc_CN</ability>
      <abilityName/>
      <candidateList>
        <item>:</item>
      </candidateList>
      <explain/>
      <paraID>366E5871</paraID>
      <start>4</start>
      <end>6</end>
      <status>unmodified</status>
      <modifiedWord/>
      <trackRevisions>false</trackRevisions>
    </reviewItem>
    <reviewItem>
      <errorID>f6291968-984c-4d23-a205-94fbf607643b</errorID>
      <errorWord>，</errorWord>
      <group>L1_Word</group>
      <groupName>字词问题</groupName>
      <ability>L2_Typo</ability>
      <abilityName>字词错误</abilityName>
      <candidateList>
        <item>，使</item>
      </candidateList>
      <explain/>
      <paraID>1CA24880</paraID>
      <start>32</start>
      <end>33</end>
      <status>unmodified</status>
      <modifiedWord/>
      <trackRevisions>false</trackRevisions>
    </reviewItem>
    <reviewItem>
      <errorID>484f2f12-bf77-46af-8932-165c788fa6e2</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9DA215B</paraID>
      <start>15</start>
      <end>18</end>
      <status>unmodified</status>
      <modifiedWord/>
      <trackRevisions>false</trackRevisions>
    </reviewItem>
    <reviewItem>
      <errorID>691837ec-a4c1-4a5f-ae39-e9979fcddb4f</errorID>
      <errorWord>法律、法规</errorWord>
      <group>L1_Word</group>
      <groupName>字词问题</groupName>
      <ability>L2_Typo</ability>
      <abilityName>字词错误</abilityName>
      <candidateList>
        <item>法律法规</item>
      </candidateList>
      <explain/>
      <paraID>4EABA41B</paraID>
      <start>25</start>
      <end>30</end>
      <status>unmodified</status>
      <modifiedWord/>
      <trackRevisions>false</trackRevisions>
    </reviewItem>
    <reviewItem>
      <errorID>bc90e145-f812-429e-945f-9651f5de0eee</errorID>
      <errorWord>操作合</errorWord>
      <group>L1_Word</group>
      <groupName>字词问题</groupName>
      <ability>L2_Typo</ability>
      <abilityName>字词错误</abilityName>
      <candidateList>
        <item>操作台</item>
      </candidateList>
      <explain/>
      <paraID>1C441E3F</paraID>
      <start>10</start>
      <end>13</end>
      <status>unmodified</status>
      <modifiedWord/>
      <trackRevisions>false</trackRevisions>
    </reviewItem>
    <reviewItem>
      <errorID>bde17665-d71f-4207-92a0-9307f46e1b35</errorID>
      <errorWord>“</errorWord>
      <group>L1_Punc</group>
      <groupName>标点问题</groupName>
      <ability>L2_Punc_CN</ability>
      <abilityName/>
      <candidateList/>
      <explain>此处标点可能未正确匹配，请检查句子中是否存在标点冗余、缺失或使用错误的情况。</explain>
      <paraID>6F8F7E50</paraID>
      <start>4</start>
      <end>5</end>
      <status>unmodified</status>
      <modifiedWord/>
      <trackRevisions>false</trackRevisions>
    </reviewItem>
    <reviewItem>
      <errorID>8809cf87-13a5-48e4-be6e-92031a3ceeec</errorID>
      <errorWord>“</errorWord>
      <group>L1_Punc</group>
      <groupName>标点问题</groupName>
      <ability>L2_Punc_CN</ability>
      <abilityName/>
      <candidateList/>
      <explain>此处标点可能未正确匹配，请检查句子中是否存在标点冗余、缺失或使用错误的情况。</explain>
      <paraID>54E53C14</paraID>
      <start>12</start>
      <end>13</end>
      <status>unmodified</status>
      <modifiedWord/>
      <trackRevisions>false</trackRevisions>
    </reviewItem>
    <reviewItem>
      <errorID>461e7ef2-ad36-491e-904e-56763d16036a</errorID>
      <errorWord>会</errorWord>
      <group>L1_Word</group>
      <groupName>字词问题</groupName>
      <ability>L2_Typo</ability>
      <abilityName>字词错误</abilityName>
      <candidateList>
        <item>会在</item>
      </candidateList>
      <explain/>
      <paraID>1DB9F989</paraID>
      <start>13</start>
      <end>14</end>
      <status>unmodified</status>
      <modifiedWord/>
      <trackRevisions>false</trackRevisions>
    </reviewItem>
    <reviewItem>
      <errorID>763de371-b180-49a9-b494-c1bffd1adcce</errorID>
      <errorWord>亿</errorWord>
      <group>L1_Word</group>
      <groupName>字词问题</groupName>
      <ability>L2_Typo</ability>
      <abilityName>字词错误</abilityName>
      <candidateList>
        <item>亿元</item>
      </candidateList>
      <explain/>
      <paraID>664FEFAB</paraID>
      <start>3</start>
      <end>4</end>
      <status>unmodified</status>
      <modifiedWord/>
      <trackRevisions>false</trackRevisions>
    </reviewItem>
    <reviewItem>
      <errorID>13796162-9e6f-4f9e-85ec-0b0aacfc783e</errorID>
      <errorWord>法律、法规</errorWord>
      <group>L1_Word</group>
      <groupName>字词问题</groupName>
      <ability>L2_Typo</ability>
      <abilityName>字词错误</abilityName>
      <candidateList>
        <item>法律法规</item>
      </candidateList>
      <explain/>
      <paraID>4AB87B67</paraID>
      <start>0</start>
      <end>5</end>
      <status>unmodified</status>
      <modifiedWord/>
      <trackRevisions>false</trackRevisions>
    </reviewItem>
    <reviewItem>
      <errorID>0095f105-2d17-4082-ac91-3f7ba19df233</errorID>
      <errorWord>-</errorWord>
      <group>L1_Format</group>
      <groupName>格式问题</groupName>
      <ability>L2_HalfPunc_CN</ability>
      <abilityName/>
      <candidateList>
        <item>－</item>
      </candidateList>
      <explain>文本全半角错误。</explain>
      <paraID>A556553</paraID>
      <start>20</start>
      <end>21</end>
      <status>unmodified</status>
      <modifiedWord/>
      <trackRevisions>false</trackRevisions>
    </reviewItem>
    <reviewItem>
      <errorID>3a23a9e2-259f-4e3e-af66-e991e865e87a</errorID>
      <errorWord>50%-65%</errorWord>
      <group>L1_Knowledge</group>
      <groupName>知识性问题</groupName>
      <ability>L2_Knowledge</ability>
      <abilityName>其他知识</abilityName>
      <candidateList>
        <item>50%—65%</item>
      </candidateList>
      <explain>1. “50%-65%”中的单位“%”仅出现在后一个数字上，容易引起歧义；根据《现代汉语标点符号数字用法规范手册》，数字表示范围两边需要使用统一的格式。2. 根据标点国标 4.13 中的规则，数字、时间或地域连接符应使用（视觉上更长的）“—”或“～”。</explain>
      <paraID>2CDCB506</paraID>
      <start>72</start>
      <end>79</end>
      <status>unmodified</status>
      <modifiedWord/>
      <trackRevisions>false</trackRevisions>
    </reviewItem>
    <reviewItem>
      <errorID>22d3dc83-d947-4998-9b0b-87bbf699b7e9</errorID>
      <errorWord>50%-65%</errorWord>
      <group>L1_Knowledge</group>
      <groupName>知识性问题</groupName>
      <ability>L2_Knowledge</ability>
      <abilityName>其他知识</abilityName>
      <candidateList>
        <item>50%—65%</item>
      </candidateList>
      <explain>1. “50%-65%”中的单位“%”仅出现在后一个数字上，容易引起歧义；根据《现代汉语标点符号数字用法规范手册》，数字表示范围两边需要使用统一的格式。2. 根据标点国标 4.13 中的规则，数字、时间或地域连接符应使用（视觉上更长的）“—”或“～”。</explain>
      <paraID>3FAADD67</paraID>
      <start>71</start>
      <end>78</end>
      <status>unmodified</status>
      <modifiedWord/>
      <trackRevisions>false</trackRevisions>
    </reviewItem>
    <reviewItem>
      <errorID>412d34f7-e803-4fd0-8953-fa477620dffb</errorID>
      <errorWord>45%-65%</errorWord>
      <group>L1_Knowledge</group>
      <groupName>知识性问题</groupName>
      <ability>L2_Knowledge</ability>
      <abilityName>其他知识</abilityName>
      <candidateList>
        <item>45%—65%</item>
      </candidateList>
      <explain>1. “45%-65%”中的单位“%”仅出现在后一个数字上，容易引起歧义；根据《现代汉语标点符号数字用法规范手册》，数字表示范围两边需要使用统一的格式。2. 根据标点国标 4.13 中的规则，数字、时间或地域连接符应使用（视觉上更长的）“—”或“～”。</explain>
      <paraID>2FF1AEBD</paraID>
      <start>49</start>
      <end>56</end>
      <status>unmodified</status>
      <modifiedWord/>
      <trackRevisions>false</trackRevisions>
    </reviewItem>
    <reviewItem>
      <errorID>3497c649-4df9-4f5f-8e8e-b893ba1fc6f9</errorID>
      <errorWord>做出</errorWord>
      <group>L1_Word</group>
      <groupName>字词问题</groupName>
      <ability>L2_Typo</ability>
      <abilityName>字词错误</abilityName>
      <candidateList>
        <item>作出</item>
      </candidateList>
      <explain/>
      <paraID>71CC507E</paraID>
      <start>116</start>
      <end>118</end>
      <status>unmodified</status>
      <modifiedWord/>
      <trackRevisions>false</trackRevisions>
    </reviewItem>
    <reviewItem>
      <errorID>2577fc48-f1a2-4b73-8157-34e7d73292df</errorID>
      <errorWord>只是</errorWord>
      <group>L1_Word</group>
      <groupName>字词问题</groupName>
      <ability>L2_Typo</ability>
      <abilityName>字词错误</abilityName>
      <candidateList>
        <item>只</item>
      </candidateList>
      <explain>（衹、祇）zhǐ〈副〉❶表示仅限于某个范围：～知其一，不知其二｜在几种棋类中，他～会下象棋。❷只有；仅有：家里～我一个人。</explain>
      <paraID>73BF11B6</paraID>
      <start>32</start>
      <end>34</end>
      <status>unmodified</status>
      <modifiedWord/>
      <trackRevisions>false</trackRevisions>
    </reviewItem>
    <reviewItem>
      <errorID>81e0bbb5-7f17-4ee9-9e15-165d2a1e050b</errorID>
      <errorWord>其它</errorWord>
      <group>L1_Word</group>
      <groupName>字词问题</groupName>
      <ability>L2_Alias</ability>
      <abilityName>也作/曾用词</abilityName>
      <candidateList>
        <item>其他</item>
      </candidateList>
      <explain>词汇[其它]为不规范表述或旧称，其规范书面表述为[其他]。</explain>
      <paraID>36FC7C41</paraID>
      <start>66</start>
      <end>68</end>
      <status>unmodified</status>
      <modifiedWord/>
      <trackRevisions>false</trackRevisions>
    </reviewItem>
    <reviewItem>
      <errorID>3a295cf8-fe6f-40e3-859e-ed72a25ed199</errorID>
      <errorWord>)</errorWord>
      <group>L1_Format</group>
      <groupName>格式问题</groupName>
      <ability>L2_HalfPunc_CN</ability>
      <abilityName/>
      <candidateList>
        <item>）</item>
      </candidateList>
      <explain>文本全半角错误。</explain>
      <paraID>1357B1C5</paraID>
      <start>5</start>
      <end>6</end>
      <status>unmodified</status>
      <modifiedWord/>
      <trackRevisions>false</trackRevisions>
    </reviewItem>
    <reviewItem>
      <errorID>9db62e36-996c-4a1f-bfcb-961f5ac5239d</errorID>
      <errorWord>接</errorWord>
      <group>L1_Word</group>
      <groupName>字词问题</groupName>
      <ability>L2_Typo</ability>
      <abilityName>字词错误</abilityName>
      <candidateList>
        <item>接到</item>
      </candidateList>
      <explain/>
      <paraID>1357B1C5</paraID>
      <start>23</start>
      <end>24</end>
      <status>unmodified</status>
      <modifiedWord/>
      <trackRevisions>false</trackRevisions>
    </reviewItem>
    <reviewItem>
      <errorID>3dc503a7-e738-4906-bf6c-33a49882b07c</errorID>
      <errorWord>)</errorWord>
      <group>L1_Format</group>
      <groupName>格式问题</groupName>
      <ability>L2_HalfPunc_CN</ability>
      <abilityName/>
      <candidateList>
        <item>）</item>
      </candidateList>
      <explain>文本全半角错误。</explain>
      <paraID>595B5E03</paraID>
      <start>6</start>
      <end>7</end>
      <status>unmodified</status>
      <modifiedWord/>
      <trackRevisions>false</trackRevisions>
    </reviewItem>
    <reviewItem>
      <errorID>14a4e1bd-e86d-4f5e-b46a-b59cae654a00</errorID>
      <errorWord>(</errorWord>
      <group>L1_Format</group>
      <groupName>格式问题</groupName>
      <ability>L2_HalfPunc_CN</ability>
      <abilityName/>
      <candidateList>
        <item>（</item>
      </candidateList>
      <explain>文本全半角错误。</explain>
      <paraID>6703D2A1</paraID>
      <start>2</start>
      <end>3</end>
      <status>unmodified</status>
      <modifiedWord/>
      <trackRevisions>false</trackRevisions>
    </reviewItem>
    <reviewItem>
      <errorID>df5ce5e9-42e5-4646-bd21-7b00f15424e6</errorID>
      <errorWord>)</errorWord>
      <group>L1_Format</group>
      <groupName>格式问题</groupName>
      <ability>L2_HalfPunc_CN</ability>
      <abilityName/>
      <candidateList>
        <item>）</item>
      </candidateList>
      <explain>文本全半角错误。</explain>
      <paraID>6703D2A1</paraID>
      <start>6</start>
      <end>7</end>
      <status>unmodified</status>
      <modifiedWord/>
      <trackRevisions>false</trackRevisions>
    </reviewItem>
    <reviewItem>
      <errorID>242b62da-9910-4427-9e4e-99e4e41097e6</errorID>
      <errorWord>[</errorWord>
      <group>L1_Word</group>
      <groupName>字词问题</groupName>
      <ability>L2_Typo</ability>
      <abilityName>字词错误</abilityName>
      <candidateList>
        <item>[在</item>
      </candidateList>
      <explain/>
      <paraID>51CB7236</paraID>
      <start>44</start>
      <end>45</end>
      <status>unmodified</status>
      <modifiedWord/>
      <trackRevisions>false</trackRevisions>
    </reviewItem>
    <reviewItem>
      <errorID>1302bd85-4ef5-4352-baba-0497ab958a23</errorID>
      <errorWord>[</errorWord>
      <group>L1_Punc</group>
      <groupName>标点问题</groupName>
      <ability>L2_Punc_CN</ability>
      <abilityName/>
      <candidateList/>
      <explain>此处标点可能未正确匹配，请检查句子中是否存在标点冗余、缺失或使用错误的情况。</explain>
      <paraID>16E050EA</paraID>
      <start>28</start>
      <end>29</end>
      <status>unmodified</status>
      <modifiedWord/>
      <trackRevisions>false</trackRevisions>
    </reviewItem>
    <reviewItem>
      <errorID>4b60cfa0-5321-4719-8128-ba08ecbd6600</errorID>
      <errorWord>法律、法规</errorWord>
      <group>L1_Word</group>
      <groupName>字词问题</groupName>
      <ability>L2_Typo</ability>
      <abilityName>字词错误</abilityName>
      <candidateList>
        <item>法律法规</item>
      </candidateList>
      <explain/>
      <paraID>7F3F642</paraID>
      <start>29</start>
      <end>34</end>
      <status>unmodified</status>
      <modifiedWord/>
      <trackRevisions>false</trackRevisions>
    </reviewItem>
    <reviewItem>
      <errorID>839ec17e-bbb1-4761-beaa-618c2b829536</errorID>
      <errorWord>接受</errorWord>
      <group>L1_Word</group>
      <groupName>字词问题</groupName>
      <ability>L2_Typo</ability>
      <abilityName>字词错误</abilityName>
      <candidateList>
        <item>接收</item>
      </candidateList>
      <explain>〈动〉❶收受：～来稿｜～无线电信号。❷根据法令把机构、财产等拿过来：～逆产。❸接纳：～新会员。</explain>
      <paraID>56BA733F</paraID>
      <start>96</start>
      <end>98</end>
      <status>unmodified</status>
      <modifiedWord/>
      <trackRevisions>false</trackRevisions>
    </reviewItem>
    <reviewItem>
      <errorID>872dceb0-48da-41aa-a8ad-740761ec0196</errorID>
      <errorWord>甲方的</errorWord>
      <group>L1_Word</group>
      <groupName>字词问题</groupName>
      <ability>L2_Typo</ability>
      <abilityName>字词错误</abilityName>
      <candidateList>
        <item>甲方</item>
      </candidateList>
      <explain/>
      <paraID>26D2EC07</paraID>
      <start>11</start>
      <end>14</end>
      <status>unmodified</status>
      <modifiedWord/>
      <trackRevisions>false</trackRevisions>
    </reviewItem>
    <reviewItem>
      <errorID>0edf6fa6-fca4-4d70-9803-42128da9d97e</errorID>
      <errorWord>做</errorWord>
      <group>L1_Word</group>
      <groupName>字词问题</groupName>
      <ability>L2_Typo</ability>
      <abilityName>字词错误</abilityName>
      <candidateList>
        <item>作</item>
      </candidateList>
      <explain>存在发音相同字词的误用。</explain>
      <paraID>C181C4C</paraID>
      <start>92</start>
      <end>93</end>
      <status>unmodified</status>
      <modifiedWord/>
      <trackRevisions>false</trackRevisions>
    </reviewItem>
    <reviewItem>
      <errorID>3f34002e-64e3-494e-96b0-dd56f9b53690</errorID>
      <errorWord>其它</errorWord>
      <group>L1_Word</group>
      <groupName>字词问题</groupName>
      <ability>L2_Alias</ability>
      <abilityName>也作/曾用词</abilityName>
      <candidateList>
        <item>其他</item>
      </candidateList>
      <explain>词汇[其它]为不规范表述或旧称，其规范书面表述为[其他]。</explain>
      <paraID>8C799BC</paraID>
      <start>31</start>
      <end>33</end>
      <status>unmodified</status>
      <modifiedWord/>
      <trackRevisions>false</trackRevisions>
    </reviewItem>
    <reviewItem>
      <errorID>67ff87ab-e5bb-4a1d-89b5-969795b4ac0d</errorID>
      <errorWord>其它</errorWord>
      <group>L1_Word</group>
      <groupName>字词问题</groupName>
      <ability>L2_Alias</ability>
      <abilityName>也作/曾用词</abilityName>
      <candidateList>
        <item>其他</item>
      </candidateList>
      <explain>词汇[其它]为不规范表述或旧称，其规范书面表述为[其他]。</explain>
      <paraID>3E9CD039</paraID>
      <start>3</start>
      <end>5</end>
      <status>unmodified</status>
      <modifiedWord/>
      <trackRevisions>false</trackRevisions>
    </reviewItem>
    <reviewItem>
      <errorID>2d4835fd-6161-4a7c-868e-e66899d94263</errorID>
      <errorWord>签</errorWord>
      <group>L1_Word</group>
      <groupName>字词问题</groupName>
      <ability>L2_Typo</ability>
      <abilityName>字词错误</abilityName>
      <candidateList>
        <item>签订</item>
      </candidateList>
      <explain>〈动〉订立条约或合同并签字：两国～了贸易议定书和支付协定。</explain>
      <paraID>7C397940</paraID>
      <start>44</start>
      <end>45</end>
      <status>unmodified</status>
      <modifiedWord/>
      <trackRevisions>false</trackRevisions>
    </reviewItem>
    <reviewItem>
      <errorID>df143063-6d58-48a1-a06f-4dd56881054a</errorID>
      <errorWord>法律、法规</errorWord>
      <group>L1_Word</group>
      <groupName>字词问题</groupName>
      <ability>L2_Typo</ability>
      <abilityName>字词错误</abilityName>
      <candidateList>
        <item>法律法规</item>
      </candidateList>
      <explain/>
      <paraID>4DAF1C12</paraID>
      <start>43</start>
      <end>48</end>
      <status>unmodified</status>
      <modifiedWord/>
      <trackRevisions>false</trackRevisions>
    </reviewItem>
    <reviewItem>
      <errorID>956674a9-906b-48a9-8049-7192bbb3fc77</errorID>
      <errorWord>(</errorWord>
      <group>L1_Format</group>
      <groupName>格式问题</groupName>
      <ability>L2_HalfPunc_CN</ability>
      <abilityName/>
      <candidateList>
        <item>（</item>
      </candidateList>
      <explain>文本全半角错误。</explain>
      <paraID>2BAC5A1C</paraID>
      <start>4</start>
      <end>5</end>
      <status>unmodified</status>
      <modifiedWord/>
      <trackRevisions>false</trackRevisions>
    </reviewItem>
    <reviewItem>
      <errorID>0a6cf3ee-03d0-4c16-81d4-86cc39c0c7ee</errorID>
      <errorWord>)</errorWord>
      <group>L1_Format</group>
      <groupName>格式问题</groupName>
      <ability>L2_HalfPunc_CN</ability>
      <abilityName/>
      <candidateList>
        <item>）</item>
      </candidateList>
      <explain>文本全半角错误。</explain>
      <paraID>2BAC5A1C</paraID>
      <start>6</start>
      <end>7</end>
      <status>unmodified</status>
      <modifiedWord/>
      <trackRevisions>false</trackRevisions>
    </reviewItem>
    <reviewItem>
      <errorID>e3694be5-d33a-45c1-8e5b-a60e1d49d819</errorID>
      <errorWord>股东大会</errorWord>
      <group>L1_Word</group>
      <groupName>字词问题</groupName>
      <ability>L2_Typo</ability>
      <abilityName>字词错误</abilityName>
      <candidateList>
        <item>股东会</item>
      </candidateList>
      <explain/>
      <paraID>1AC9DCF7</paraID>
      <start>113</start>
      <end>117</end>
      <status>unmodified</status>
      <modifiedWord/>
      <trackRevisions>false</trackRevisions>
    </reviewItem>
    <reviewItem>
      <errorID>ab60451f-22aa-4984-8557-a6de19d1bc7c</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479E0210</paraID>
      <start>36</start>
      <end>39</end>
      <status>unmodified</status>
      <modifiedWord/>
      <trackRevisions>false</trackRevisions>
    </reviewItem>
    <reviewItem>
      <errorID>de42eae1-0b4e-4b72-8de6-2cc0342049e6</errorID>
      <errorWord>,</errorWord>
      <group>L1_Format</group>
      <groupName>格式问题</groupName>
      <ability>L2_HalfPunc_CN</ability>
      <abilityName/>
      <candidateList>
        <item>，</item>
      </candidateList>
      <explain>文本全半角错误。</explain>
      <paraID>355D90DA</paraID>
      <start>56</start>
      <end>57</end>
      <status>unmodified</status>
      <modifiedWord/>
      <trackRevisions>false</trackRevisions>
    </reviewItem>
    <reviewItem>
      <errorID>271f2867-463a-4d73-8821-8bae731498da</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11BAFCC7</paraID>
      <start>42</start>
      <end>45</end>
      <status>unmodified</status>
      <modifiedWord/>
      <trackRevisions>false</trackRevisions>
    </reviewItem>
    <reviewItem>
      <errorID>ed23fe4b-d99c-4113-b34b-6ab14ca20e1e</errorID>
      <errorWord>〔2017〕 141号</errorWord>
      <group>L1_Knowledge</group>
      <groupName>知识性问题</groupName>
      <ability>L2_Knowledge</ability>
      <abilityName>其他知识</abilityName>
      <candidateList>
        <item>〔2017〕141号</item>
      </candidateList>
      <explain>发文字号格式错误。</explain>
      <paraID>63A28639</paraID>
      <start>49</start>
      <end>60</end>
      <status>unmodified</status>
      <modifiedWord/>
      <trackRevisions>false</trackRevisions>
    </reviewItem>
    <reviewItem>
      <errorID>5b9610e1-0abb-4e0c-a425-a53cb7324fe0</errorID>
      <errorWord>提出质疑</errorWord>
      <group>L1_Grammar</group>
      <groupName>语法问题</groupName>
      <ability>L2_Grammar</ability>
      <abilityName>语法错误</abilityName>
      <candidateList>
        <item>质疑</item>
      </candidateList>
      <explain>〈动〉提出疑问：～问难。</explain>
      <paraID>9349D6B</paraID>
      <start>53</start>
      <end>57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A91522-E707-40BF-B7DA-DF53B6614A26}">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131</Pages>
  <Words>70380</Words>
  <Characters>77679</Characters>
  <TotalTime>27</TotalTime>
  <ScaleCrop>false</ScaleCrop>
  <LinksUpToDate>false</LinksUpToDate>
  <CharactersWithSpaces>83910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2026-06-16T08:34:00Z</dcterms:created>
  <dc:creator>番茄花园</dc:creator>
  <cp:lastModifiedBy>QQ</cp:lastModifiedBy>
  <dcterms:modified xsi:type="dcterms:W3CDTF">2026-09-13T13:02:46Z</dcterms:modified>
  <dc:title>公开招标采购文件范本</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10017C8A7EE24AF5BD1CE6076E195EAB_13</vt:lpwstr>
  </property>
  <property fmtid="{D5CDD505-2E9C-101B-9397-08002B2CF9AE}" pid="4" name="KSOTemplateDocerSaveRecord">
    <vt:lpwstr>eyJoZGlkIjoiMzRjYTVhMDBlYmViMDJlOWEwYTAxMWZiZGEzOGU0OWIiLCJ1c2VySWQiOiIyNjk4Mjc3NjMifQ==</vt:lpwstr>
  </property>
</Properties>
</file>