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458365">
      <w:pPr>
        <w:spacing w:line="360" w:lineRule="auto"/>
        <w:jc w:val="center"/>
        <w:rPr>
          <w:rFonts w:ascii="方正小标宋简体" w:hAnsi="宋体" w:eastAsia="方正小标宋简体"/>
          <w:color w:val="auto"/>
          <w:sz w:val="52"/>
          <w:szCs w:val="52"/>
          <w:highlight w:val="none"/>
        </w:rPr>
      </w:pPr>
    </w:p>
    <w:p w14:paraId="60CBC18C">
      <w:pPr>
        <w:spacing w:line="360" w:lineRule="auto"/>
        <w:jc w:val="center"/>
        <w:rPr>
          <w:rFonts w:ascii="方正小标宋简体" w:hAnsi="宋体" w:eastAsia="方正小标宋简体"/>
          <w:color w:val="auto"/>
          <w:sz w:val="52"/>
          <w:szCs w:val="52"/>
          <w:highlight w:val="none"/>
        </w:rPr>
      </w:pPr>
      <w:r>
        <w:rPr>
          <w:rFonts w:hint="eastAsia" w:ascii="方正小标宋简体" w:hAnsi="宋体" w:eastAsia="方正小标宋简体"/>
          <w:color w:val="auto"/>
          <w:sz w:val="52"/>
          <w:szCs w:val="52"/>
          <w:highlight w:val="none"/>
        </w:rPr>
        <w:t>云之龙咨询集团有限公司</w:t>
      </w:r>
    </w:p>
    <w:p w14:paraId="46231E7E">
      <w:pPr>
        <w:spacing w:line="360" w:lineRule="auto"/>
        <w:rPr>
          <w:rFonts w:ascii="仿宋_GB2312" w:hAnsi="宋体" w:eastAsia="仿宋_GB2312"/>
          <w:b/>
          <w:color w:val="auto"/>
          <w:sz w:val="48"/>
          <w:szCs w:val="48"/>
          <w:highlight w:val="none"/>
        </w:rPr>
      </w:pPr>
    </w:p>
    <w:p w14:paraId="4D04955F">
      <w:pPr>
        <w:spacing w:line="360" w:lineRule="auto"/>
        <w:jc w:val="center"/>
        <w:rPr>
          <w:rFonts w:ascii="华文新魏" w:hAnsi="宋体" w:eastAsia="华文新魏"/>
          <w:color w:val="auto"/>
          <w:sz w:val="120"/>
          <w:szCs w:val="120"/>
          <w:highlight w:val="none"/>
        </w:rPr>
      </w:pPr>
      <w:r>
        <w:rPr>
          <w:rFonts w:hint="eastAsia" w:ascii="华文新魏" w:hAnsi="宋体" w:eastAsia="华文新魏"/>
          <w:color w:val="auto"/>
          <w:sz w:val="120"/>
          <w:szCs w:val="120"/>
          <w:highlight w:val="none"/>
        </w:rPr>
        <w:t>招 标 文 件</w:t>
      </w:r>
    </w:p>
    <w:p w14:paraId="0E3B1EBB">
      <w:pPr>
        <w:spacing w:line="360" w:lineRule="auto"/>
        <w:jc w:val="center"/>
        <w:rPr>
          <w:rFonts w:ascii="仿宋_GB2312" w:hAnsi="宋体" w:eastAsia="仿宋_GB2312"/>
          <w:b/>
          <w:color w:val="auto"/>
          <w:sz w:val="48"/>
          <w:szCs w:val="48"/>
          <w:highlight w:val="none"/>
        </w:rPr>
      </w:pPr>
      <w:r>
        <w:rPr>
          <w:rFonts w:hint="eastAsia" w:ascii="仿宋_GB2312" w:hAnsi="宋体" w:eastAsia="仿宋_GB2312"/>
          <w:b/>
          <w:color w:val="auto"/>
          <w:sz w:val="48"/>
          <w:szCs w:val="48"/>
          <w:highlight w:val="none"/>
        </w:rPr>
        <w:t>（全流程电子化采购）</w:t>
      </w:r>
    </w:p>
    <w:p w14:paraId="26200CB4">
      <w:pPr>
        <w:spacing w:line="360" w:lineRule="auto"/>
        <w:rPr>
          <w:rFonts w:ascii="仿宋_GB2312" w:hAnsi="宋体" w:eastAsia="仿宋_GB2312"/>
          <w:color w:val="auto"/>
          <w:sz w:val="30"/>
          <w:szCs w:val="72"/>
          <w:highlight w:val="none"/>
        </w:rPr>
      </w:pPr>
    </w:p>
    <w:p w14:paraId="6BAC2449">
      <w:pPr>
        <w:spacing w:line="360" w:lineRule="auto"/>
        <w:ind w:left="0" w:leftChars="0" w:firstLine="419" w:firstLineChars="139"/>
        <w:rPr>
          <w:rFonts w:hint="eastAsia" w:ascii="仿宋_GB2312" w:hAnsi="宋体" w:eastAsia="仿宋_GB2312"/>
          <w:b/>
          <w:bCs/>
          <w:color w:val="auto"/>
          <w:sz w:val="30"/>
          <w:szCs w:val="30"/>
          <w:highlight w:val="none"/>
          <w:lang w:eastAsia="zh-CN"/>
        </w:rPr>
      </w:pPr>
      <w:r>
        <w:rPr>
          <w:rFonts w:hint="eastAsia" w:ascii="仿宋_GB2312" w:hAnsi="宋体" w:eastAsia="仿宋_GB2312"/>
          <w:b/>
          <w:bCs/>
          <w:color w:val="auto"/>
          <w:sz w:val="30"/>
          <w:szCs w:val="30"/>
          <w:highlight w:val="none"/>
        </w:rPr>
        <w:t>项目</w:t>
      </w:r>
      <w:r>
        <w:rPr>
          <w:rFonts w:hint="eastAsia" w:ascii="仿宋_GB2312" w:hAnsi="宋体" w:eastAsia="仿宋_GB2312" w:cs="Courier New"/>
          <w:b/>
          <w:bCs/>
          <w:color w:val="auto"/>
          <w:sz w:val="30"/>
          <w:szCs w:val="30"/>
          <w:highlight w:val="none"/>
        </w:rPr>
        <w:t>名称</w:t>
      </w:r>
      <w:r>
        <w:rPr>
          <w:rFonts w:hint="eastAsia" w:ascii="仿宋_GB2312" w:hAnsi="宋体" w:eastAsia="仿宋_GB2312"/>
          <w:b/>
          <w:bCs/>
          <w:color w:val="auto"/>
          <w:sz w:val="30"/>
          <w:szCs w:val="30"/>
          <w:highlight w:val="none"/>
        </w:rPr>
        <w:t>：</w:t>
      </w:r>
      <w:r>
        <w:rPr>
          <w:rFonts w:hint="eastAsia" w:ascii="仿宋_GB2312" w:hAnsi="宋体" w:eastAsia="仿宋_GB2312" w:cs="Courier New"/>
          <w:b/>
          <w:bCs/>
          <w:color w:val="auto"/>
          <w:sz w:val="30"/>
          <w:szCs w:val="30"/>
          <w:highlight w:val="none"/>
          <w:lang w:eastAsia="zh-CN"/>
        </w:rPr>
        <w:t>钦州市2026年药监领域检验检测设备采购项目</w:t>
      </w:r>
    </w:p>
    <w:p w14:paraId="4CF7D7AB">
      <w:pPr>
        <w:spacing w:line="360" w:lineRule="auto"/>
        <w:ind w:left="0" w:leftChars="0" w:firstLine="419" w:firstLineChars="139"/>
        <w:rPr>
          <w:rFonts w:hint="eastAsia" w:ascii="仿宋_GB2312" w:hAnsi="宋体" w:eastAsia="仿宋_GB2312"/>
          <w:color w:val="auto"/>
          <w:sz w:val="30"/>
          <w:szCs w:val="72"/>
          <w:highlight w:val="none"/>
          <w:lang w:eastAsia="zh-CN"/>
        </w:rPr>
      </w:pPr>
      <w:r>
        <w:rPr>
          <w:rFonts w:hint="eastAsia" w:ascii="仿宋_GB2312" w:hAnsi="宋体" w:eastAsia="仿宋_GB2312" w:cs="Courier New"/>
          <w:b/>
          <w:bCs/>
          <w:color w:val="auto"/>
          <w:sz w:val="30"/>
          <w:szCs w:val="30"/>
          <w:highlight w:val="none"/>
        </w:rPr>
        <w:t>项目</w:t>
      </w:r>
      <w:r>
        <w:rPr>
          <w:rFonts w:hint="eastAsia" w:ascii="仿宋_GB2312" w:hAnsi="宋体" w:eastAsia="仿宋_GB2312"/>
          <w:b/>
          <w:bCs/>
          <w:color w:val="auto"/>
          <w:sz w:val="30"/>
          <w:szCs w:val="30"/>
          <w:highlight w:val="none"/>
        </w:rPr>
        <w:t>编号</w:t>
      </w:r>
      <w:r>
        <w:rPr>
          <w:rFonts w:hint="eastAsia" w:ascii="仿宋_GB2312" w:hAnsi="宋体" w:eastAsia="仿宋_GB2312" w:cs="Courier New"/>
          <w:b/>
          <w:bCs/>
          <w:color w:val="auto"/>
          <w:sz w:val="30"/>
          <w:szCs w:val="30"/>
          <w:highlight w:val="none"/>
        </w:rPr>
        <w:t>：QZZC2026-G1-990257-YZLZ</w:t>
      </w:r>
    </w:p>
    <w:p w14:paraId="563B991A">
      <w:pPr>
        <w:pStyle w:val="25"/>
        <w:spacing w:line="360" w:lineRule="auto"/>
        <w:ind w:left="0" w:leftChars="0" w:firstLine="419" w:firstLineChars="139"/>
        <w:rPr>
          <w:rFonts w:hint="eastAsia" w:ascii="仿宋_GB2312" w:hAnsi="宋体" w:eastAsia="仿宋_GB2312"/>
          <w:b/>
          <w:bCs/>
          <w:color w:val="auto"/>
          <w:sz w:val="30"/>
          <w:szCs w:val="30"/>
          <w:highlight w:val="none"/>
          <w:lang w:eastAsia="zh-CN"/>
        </w:rPr>
      </w:pPr>
      <w:r>
        <w:rPr>
          <w:rFonts w:hint="eastAsia" w:ascii="仿宋_GB2312" w:hAnsi="宋体" w:eastAsia="仿宋_GB2312"/>
          <w:b/>
          <w:bCs/>
          <w:color w:val="auto"/>
          <w:sz w:val="30"/>
          <w:szCs w:val="30"/>
          <w:highlight w:val="none"/>
        </w:rPr>
        <w:t>采 购 人：</w:t>
      </w:r>
      <w:r>
        <w:rPr>
          <w:rFonts w:hint="eastAsia" w:ascii="仿宋_GB2312" w:hAnsi="宋体" w:eastAsia="仿宋_GB2312"/>
          <w:b/>
          <w:bCs/>
          <w:color w:val="auto"/>
          <w:sz w:val="30"/>
          <w:szCs w:val="30"/>
          <w:highlight w:val="none"/>
          <w:lang w:eastAsia="zh-CN"/>
        </w:rPr>
        <w:t>钦州市检验检测中心</w:t>
      </w:r>
    </w:p>
    <w:p w14:paraId="0F7D5B9E">
      <w:pPr>
        <w:pStyle w:val="25"/>
        <w:spacing w:line="360" w:lineRule="auto"/>
        <w:ind w:left="0" w:leftChars="0" w:firstLine="419" w:firstLineChars="139"/>
        <w:rPr>
          <w:rFonts w:ascii="仿宋_GB2312" w:hAnsi="宋体" w:eastAsia="仿宋_GB2312"/>
          <w:b/>
          <w:bCs/>
          <w:color w:val="auto"/>
          <w:sz w:val="30"/>
          <w:szCs w:val="30"/>
          <w:highlight w:val="none"/>
        </w:rPr>
      </w:pPr>
      <w:r>
        <w:rPr>
          <w:rFonts w:hint="eastAsia" w:ascii="仿宋_GB2312" w:hAnsi="宋体" w:eastAsia="仿宋_GB2312"/>
          <w:b/>
          <w:bCs/>
          <w:color w:val="auto"/>
          <w:sz w:val="30"/>
          <w:szCs w:val="30"/>
          <w:highlight w:val="none"/>
        </w:rPr>
        <w:t>采购代理机构：云之龙咨询集团有限公司</w:t>
      </w:r>
    </w:p>
    <w:p w14:paraId="5DB61EEB">
      <w:pPr>
        <w:pStyle w:val="25"/>
        <w:spacing w:line="360" w:lineRule="auto"/>
        <w:ind w:firstLine="1125"/>
        <w:rPr>
          <w:rFonts w:ascii="仿宋_GB2312" w:hAnsi="宋体" w:eastAsia="仿宋_GB2312"/>
          <w:b/>
          <w:bCs/>
          <w:color w:val="auto"/>
          <w:sz w:val="30"/>
          <w:szCs w:val="30"/>
          <w:highlight w:val="none"/>
        </w:rPr>
      </w:pPr>
    </w:p>
    <w:p w14:paraId="5B13FA30">
      <w:pPr>
        <w:pStyle w:val="25"/>
        <w:spacing w:line="360" w:lineRule="auto"/>
        <w:ind w:firstLine="841"/>
        <w:rPr>
          <w:rFonts w:ascii="仿宋_GB2312" w:hAnsi="宋体" w:eastAsia="仿宋_GB2312"/>
          <w:b/>
          <w:bCs/>
          <w:color w:val="auto"/>
          <w:sz w:val="30"/>
          <w:szCs w:val="30"/>
          <w:highlight w:val="none"/>
        </w:rPr>
      </w:pPr>
    </w:p>
    <w:p w14:paraId="6D318837">
      <w:pPr>
        <w:pStyle w:val="25"/>
        <w:spacing w:line="360" w:lineRule="auto"/>
        <w:ind w:firstLine="841"/>
        <w:rPr>
          <w:rFonts w:ascii="仿宋_GB2312" w:eastAsia="仿宋_GB2312"/>
          <w:color w:val="auto"/>
          <w:szCs w:val="20"/>
          <w:highlight w:val="none"/>
        </w:rPr>
      </w:pPr>
      <w:r>
        <w:rPr>
          <w:rFonts w:hint="eastAsia" w:ascii="仿宋_GB2312" w:hAnsi="宋体" w:eastAsia="仿宋_GB2312"/>
          <w:b/>
          <w:bCs/>
          <w:color w:val="auto"/>
          <w:sz w:val="30"/>
          <w:szCs w:val="30"/>
          <w:highlight w:val="none"/>
        </w:rPr>
        <w:t xml:space="preserve">              2026年</w:t>
      </w:r>
      <w:r>
        <w:rPr>
          <w:rFonts w:hint="eastAsia" w:ascii="仿宋_GB2312" w:hAnsi="宋体" w:eastAsia="仿宋_GB2312"/>
          <w:b/>
          <w:bCs/>
          <w:color w:val="auto"/>
          <w:sz w:val="30"/>
          <w:szCs w:val="30"/>
          <w:highlight w:val="none"/>
          <w:lang w:val="en-US" w:eastAsia="zh-CN"/>
        </w:rPr>
        <w:t>8</w:t>
      </w:r>
      <w:r>
        <w:rPr>
          <w:rFonts w:hint="eastAsia" w:ascii="仿宋_GB2312" w:hAnsi="宋体" w:eastAsia="仿宋_GB2312"/>
          <w:b/>
          <w:bCs/>
          <w:color w:val="auto"/>
          <w:sz w:val="30"/>
          <w:szCs w:val="30"/>
          <w:highlight w:val="none"/>
        </w:rPr>
        <w:t>月</w:t>
      </w:r>
      <w:r>
        <w:rPr>
          <w:rFonts w:hint="eastAsia" w:ascii="仿宋_GB2312" w:hAnsi="宋体" w:eastAsia="仿宋_GB2312"/>
          <w:b/>
          <w:bCs/>
          <w:color w:val="auto"/>
          <w:sz w:val="30"/>
          <w:szCs w:val="30"/>
          <w:highlight w:val="none"/>
          <w:lang w:val="en-US" w:eastAsia="zh-CN"/>
        </w:rPr>
        <w:t>18</w:t>
      </w:r>
      <w:r>
        <w:rPr>
          <w:rFonts w:hint="eastAsia" w:ascii="仿宋_GB2312" w:hAnsi="宋体" w:eastAsia="仿宋_GB2312"/>
          <w:b/>
          <w:bCs/>
          <w:color w:val="auto"/>
          <w:sz w:val="30"/>
          <w:szCs w:val="30"/>
          <w:highlight w:val="none"/>
        </w:rPr>
        <w:t>日</w:t>
      </w:r>
    </w:p>
    <w:p w14:paraId="28BAB8D5">
      <w:pPr>
        <w:pStyle w:val="17"/>
        <w:ind w:firstLine="803"/>
        <w:jc w:val="center"/>
        <w:rPr>
          <w:b/>
          <w:color w:val="auto"/>
          <w:sz w:val="40"/>
          <w:highlight w:val="none"/>
        </w:rPr>
        <w:sectPr>
          <w:footerReference r:id="rId6" w:type="first"/>
          <w:headerReference r:id="rId3" w:type="default"/>
          <w:footerReference r:id="rId4" w:type="default"/>
          <w:footerReference r:id="rId5" w:type="even"/>
          <w:pgSz w:w="11906" w:h="16838"/>
          <w:pgMar w:top="1701" w:right="1701" w:bottom="1701" w:left="1701" w:header="851" w:footer="992" w:gutter="0"/>
          <w:cols w:space="720" w:num="1"/>
          <w:titlePg/>
        </w:sectPr>
      </w:pPr>
    </w:p>
    <w:p w14:paraId="2FBF84A1">
      <w:pPr>
        <w:pStyle w:val="17"/>
        <w:ind w:firstLine="803"/>
        <w:jc w:val="center"/>
        <w:rPr>
          <w:b/>
          <w:color w:val="auto"/>
          <w:sz w:val="40"/>
          <w:highlight w:val="none"/>
        </w:rPr>
      </w:pPr>
    </w:p>
    <w:p w14:paraId="6A0ABFE4">
      <w:pPr>
        <w:pStyle w:val="25"/>
        <w:spacing w:before="120" w:after="120" w:line="360" w:lineRule="auto"/>
        <w:jc w:val="center"/>
        <w:rPr>
          <w:rFonts w:ascii="仿宋_GB2312" w:hAnsi="宋体" w:eastAsia="仿宋_GB2312"/>
          <w:color w:val="auto"/>
          <w:highlight w:val="none"/>
        </w:rPr>
      </w:pPr>
    </w:p>
    <w:p w14:paraId="20FC628A">
      <w:pPr>
        <w:spacing w:line="360" w:lineRule="auto"/>
        <w:jc w:val="center"/>
        <w:rPr>
          <w:rFonts w:ascii="宋体" w:hAnsi="宋体"/>
          <w:b/>
          <w:color w:val="auto"/>
          <w:sz w:val="44"/>
          <w:szCs w:val="44"/>
          <w:highlight w:val="none"/>
        </w:rPr>
      </w:pPr>
      <w:r>
        <w:rPr>
          <w:rFonts w:hint="eastAsia" w:ascii="宋体" w:hAnsi="宋体"/>
          <w:b/>
          <w:color w:val="auto"/>
          <w:sz w:val="44"/>
          <w:szCs w:val="44"/>
          <w:highlight w:val="none"/>
        </w:rPr>
        <w:t>目 录</w:t>
      </w:r>
    </w:p>
    <w:p w14:paraId="7AA95ECB">
      <w:pPr>
        <w:pStyle w:val="33"/>
        <w:tabs>
          <w:tab w:val="right" w:leader="dot" w:pos="8504"/>
          <w:tab w:val="clear" w:pos="8398"/>
        </w:tabs>
        <w:rPr>
          <w:color w:val="auto"/>
          <w:highlight w:val="none"/>
        </w:rPr>
      </w:pPr>
      <w:r>
        <w:rPr>
          <w:rFonts w:ascii="仿宋_GB2312" w:eastAsia="仿宋_GB2312"/>
          <w:b w:val="0"/>
          <w:color w:val="auto"/>
          <w:highlight w:val="none"/>
        </w:rPr>
        <w:fldChar w:fldCharType="begin"/>
      </w:r>
      <w:r>
        <w:rPr>
          <w:rFonts w:ascii="仿宋_GB2312" w:eastAsia="仿宋_GB2312"/>
          <w:b w:val="0"/>
          <w:color w:val="auto"/>
          <w:highlight w:val="none"/>
        </w:rPr>
        <w:instrText xml:space="preserve"> </w:instrText>
      </w:r>
      <w:r>
        <w:rPr>
          <w:rFonts w:hint="eastAsia" w:ascii="仿宋_GB2312" w:eastAsia="仿宋_GB2312"/>
          <w:b w:val="0"/>
          <w:color w:val="auto"/>
          <w:highlight w:val="none"/>
        </w:rPr>
        <w:instrText xml:space="preserve">TOC \o "1-2" \h \z \u</w:instrText>
      </w:r>
      <w:r>
        <w:rPr>
          <w:rFonts w:ascii="仿宋_GB2312" w:eastAsia="仿宋_GB2312"/>
          <w:b w:val="0"/>
          <w:color w:val="auto"/>
          <w:highlight w:val="none"/>
        </w:rPr>
        <w:instrText xml:space="preserve"> </w:instrText>
      </w:r>
      <w:r>
        <w:rPr>
          <w:rFonts w:ascii="仿宋_GB2312" w:eastAsia="仿宋_GB2312"/>
          <w:b w:val="0"/>
          <w:color w:val="auto"/>
          <w:highlight w:val="none"/>
        </w:rPr>
        <w:fldChar w:fldCharType="separate"/>
      </w:r>
      <w:r>
        <w:rPr>
          <w:color w:val="auto"/>
          <w:highlight w:val="none"/>
        </w:rPr>
        <w:fldChar w:fldCharType="begin"/>
      </w:r>
      <w:r>
        <w:rPr>
          <w:color w:val="auto"/>
          <w:highlight w:val="none"/>
        </w:rPr>
        <w:instrText xml:space="preserve"> HYPERLINK \l "_Toc25461" </w:instrText>
      </w:r>
      <w:r>
        <w:rPr>
          <w:color w:val="auto"/>
          <w:highlight w:val="none"/>
        </w:rPr>
        <w:fldChar w:fldCharType="separate"/>
      </w:r>
      <w:r>
        <w:rPr>
          <w:rFonts w:hint="eastAsia"/>
          <w:color w:val="auto"/>
          <w:highlight w:val="none"/>
        </w:rPr>
        <w:t xml:space="preserve">第一章 </w:t>
      </w:r>
      <w:r>
        <w:rPr>
          <w:rFonts w:hint="eastAsia"/>
          <w:color w:val="auto"/>
          <w:highlight w:val="none"/>
          <w:lang w:val="en-US" w:eastAsia="zh-CN"/>
        </w:rPr>
        <w:t xml:space="preserve"> </w:t>
      </w:r>
      <w:r>
        <w:rPr>
          <w:rFonts w:hint="eastAsia"/>
          <w:color w:val="auto"/>
          <w:highlight w:val="none"/>
        </w:rPr>
        <w:t>招标公告</w:t>
      </w:r>
      <w:r>
        <w:rPr>
          <w:color w:val="auto"/>
          <w:highlight w:val="none"/>
        </w:rPr>
        <w:tab/>
      </w:r>
      <w:r>
        <w:rPr>
          <w:color w:val="auto"/>
          <w:highlight w:val="none"/>
        </w:rPr>
        <w:fldChar w:fldCharType="begin"/>
      </w:r>
      <w:r>
        <w:rPr>
          <w:color w:val="auto"/>
          <w:highlight w:val="none"/>
        </w:rPr>
        <w:instrText xml:space="preserve"> PAGEREF _Toc25461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p>
    <w:p w14:paraId="3D526CA1">
      <w:pPr>
        <w:pStyle w:val="33"/>
        <w:tabs>
          <w:tab w:val="right" w:leader="dot" w:pos="8504"/>
          <w:tab w:val="clear" w:pos="8398"/>
        </w:tabs>
        <w:rPr>
          <w:color w:val="auto"/>
          <w:highlight w:val="none"/>
        </w:rPr>
      </w:pPr>
      <w:r>
        <w:rPr>
          <w:color w:val="auto"/>
          <w:highlight w:val="none"/>
        </w:rPr>
        <w:fldChar w:fldCharType="begin"/>
      </w:r>
      <w:r>
        <w:rPr>
          <w:color w:val="auto"/>
          <w:highlight w:val="none"/>
        </w:rPr>
        <w:instrText xml:space="preserve"> HYPERLINK \l "_Toc20586" </w:instrText>
      </w:r>
      <w:r>
        <w:rPr>
          <w:color w:val="auto"/>
          <w:highlight w:val="none"/>
        </w:rPr>
        <w:fldChar w:fldCharType="separate"/>
      </w:r>
      <w:r>
        <w:rPr>
          <w:rFonts w:hint="eastAsia"/>
          <w:color w:val="auto"/>
          <w:highlight w:val="none"/>
        </w:rPr>
        <w:t>第二章  采购需求</w:t>
      </w:r>
      <w:r>
        <w:rPr>
          <w:color w:val="auto"/>
          <w:highlight w:val="none"/>
        </w:rPr>
        <w:tab/>
      </w:r>
      <w:r>
        <w:rPr>
          <w:color w:val="auto"/>
          <w:highlight w:val="none"/>
        </w:rPr>
        <w:fldChar w:fldCharType="begin"/>
      </w:r>
      <w:r>
        <w:rPr>
          <w:color w:val="auto"/>
          <w:highlight w:val="none"/>
        </w:rPr>
        <w:instrText xml:space="preserve"> PAGEREF _Toc20586 \h </w:instrText>
      </w:r>
      <w:r>
        <w:rPr>
          <w:color w:val="auto"/>
          <w:highlight w:val="none"/>
        </w:rPr>
        <w:fldChar w:fldCharType="separate"/>
      </w:r>
      <w:r>
        <w:rPr>
          <w:color w:val="auto"/>
          <w:highlight w:val="none"/>
        </w:rPr>
        <w:t>5</w:t>
      </w:r>
      <w:r>
        <w:rPr>
          <w:color w:val="auto"/>
          <w:highlight w:val="none"/>
        </w:rPr>
        <w:fldChar w:fldCharType="end"/>
      </w:r>
      <w:r>
        <w:rPr>
          <w:color w:val="auto"/>
          <w:highlight w:val="none"/>
        </w:rPr>
        <w:fldChar w:fldCharType="end"/>
      </w:r>
    </w:p>
    <w:p w14:paraId="78818735">
      <w:pPr>
        <w:pStyle w:val="33"/>
        <w:tabs>
          <w:tab w:val="right" w:leader="dot" w:pos="8504"/>
          <w:tab w:val="clear" w:pos="8398"/>
        </w:tabs>
        <w:rPr>
          <w:color w:val="auto"/>
          <w:highlight w:val="none"/>
        </w:rPr>
      </w:pPr>
      <w:r>
        <w:rPr>
          <w:color w:val="auto"/>
          <w:highlight w:val="none"/>
        </w:rPr>
        <w:fldChar w:fldCharType="begin"/>
      </w:r>
      <w:r>
        <w:rPr>
          <w:color w:val="auto"/>
          <w:highlight w:val="none"/>
        </w:rPr>
        <w:instrText xml:space="preserve"> HYPERLINK \l "_Toc24568" </w:instrText>
      </w:r>
      <w:r>
        <w:rPr>
          <w:color w:val="auto"/>
          <w:highlight w:val="none"/>
        </w:rPr>
        <w:fldChar w:fldCharType="separate"/>
      </w:r>
      <w:r>
        <w:rPr>
          <w:rFonts w:hint="eastAsia"/>
          <w:color w:val="auto"/>
          <w:highlight w:val="none"/>
        </w:rPr>
        <w:t>第三章  投标人须知</w:t>
      </w:r>
      <w:r>
        <w:rPr>
          <w:color w:val="auto"/>
          <w:highlight w:val="none"/>
        </w:rPr>
        <w:tab/>
      </w:r>
      <w:r>
        <w:rPr>
          <w:color w:val="auto"/>
          <w:highlight w:val="none"/>
        </w:rPr>
        <w:fldChar w:fldCharType="begin"/>
      </w:r>
      <w:r>
        <w:rPr>
          <w:color w:val="auto"/>
          <w:highlight w:val="none"/>
        </w:rPr>
        <w:instrText xml:space="preserve"> PAGEREF _Toc24568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164571A3">
      <w:pPr>
        <w:pStyle w:val="33"/>
        <w:tabs>
          <w:tab w:val="right" w:leader="dot" w:pos="8504"/>
          <w:tab w:val="clear" w:pos="8398"/>
        </w:tabs>
        <w:rPr>
          <w:color w:val="auto"/>
          <w:highlight w:val="none"/>
        </w:rPr>
      </w:pPr>
      <w:r>
        <w:rPr>
          <w:color w:val="auto"/>
          <w:highlight w:val="none"/>
        </w:rPr>
        <w:fldChar w:fldCharType="begin"/>
      </w:r>
      <w:r>
        <w:rPr>
          <w:color w:val="auto"/>
          <w:highlight w:val="none"/>
        </w:rPr>
        <w:instrText xml:space="preserve"> HYPERLINK \l "_Toc13922" </w:instrText>
      </w:r>
      <w:r>
        <w:rPr>
          <w:color w:val="auto"/>
          <w:highlight w:val="none"/>
        </w:rPr>
        <w:fldChar w:fldCharType="separate"/>
      </w:r>
      <w:r>
        <w:rPr>
          <w:rFonts w:hint="eastAsia"/>
          <w:color w:val="auto"/>
          <w:highlight w:val="none"/>
        </w:rPr>
        <w:t>第四章  评标方法及评标标准</w:t>
      </w:r>
      <w:r>
        <w:rPr>
          <w:color w:val="auto"/>
          <w:highlight w:val="none"/>
        </w:rPr>
        <w:tab/>
      </w:r>
      <w:r>
        <w:rPr>
          <w:color w:val="auto"/>
          <w:highlight w:val="none"/>
        </w:rPr>
        <w:fldChar w:fldCharType="begin"/>
      </w:r>
      <w:r>
        <w:rPr>
          <w:color w:val="auto"/>
          <w:highlight w:val="none"/>
        </w:rPr>
        <w:instrText xml:space="preserve"> PAGEREF _Toc13922 \h </w:instrText>
      </w:r>
      <w:r>
        <w:rPr>
          <w:color w:val="auto"/>
          <w:highlight w:val="none"/>
        </w:rPr>
        <w:fldChar w:fldCharType="separate"/>
      </w:r>
      <w:r>
        <w:rPr>
          <w:color w:val="auto"/>
          <w:highlight w:val="none"/>
        </w:rPr>
        <w:t>50</w:t>
      </w:r>
      <w:r>
        <w:rPr>
          <w:color w:val="auto"/>
          <w:highlight w:val="none"/>
        </w:rPr>
        <w:fldChar w:fldCharType="end"/>
      </w:r>
      <w:r>
        <w:rPr>
          <w:color w:val="auto"/>
          <w:highlight w:val="none"/>
        </w:rPr>
        <w:fldChar w:fldCharType="end"/>
      </w:r>
    </w:p>
    <w:p w14:paraId="12458B90">
      <w:pPr>
        <w:pStyle w:val="33"/>
        <w:tabs>
          <w:tab w:val="right" w:leader="dot" w:pos="8504"/>
          <w:tab w:val="clear" w:pos="8398"/>
        </w:tabs>
        <w:rPr>
          <w:color w:val="auto"/>
          <w:highlight w:val="none"/>
        </w:rPr>
      </w:pPr>
      <w:r>
        <w:rPr>
          <w:color w:val="auto"/>
          <w:highlight w:val="none"/>
        </w:rPr>
        <w:fldChar w:fldCharType="begin"/>
      </w:r>
      <w:r>
        <w:rPr>
          <w:color w:val="auto"/>
          <w:highlight w:val="none"/>
        </w:rPr>
        <w:instrText xml:space="preserve"> HYPERLINK \l "_Toc5670" </w:instrText>
      </w:r>
      <w:r>
        <w:rPr>
          <w:color w:val="auto"/>
          <w:highlight w:val="none"/>
        </w:rPr>
        <w:fldChar w:fldCharType="separate"/>
      </w:r>
      <w:r>
        <w:rPr>
          <w:rFonts w:hint="eastAsia"/>
          <w:color w:val="auto"/>
          <w:highlight w:val="none"/>
        </w:rPr>
        <w:t>第五章  拟签订的合同文本</w:t>
      </w:r>
      <w:r>
        <w:rPr>
          <w:color w:val="auto"/>
          <w:highlight w:val="none"/>
        </w:rPr>
        <w:tab/>
      </w:r>
      <w:r>
        <w:rPr>
          <w:color w:val="auto"/>
          <w:highlight w:val="none"/>
        </w:rPr>
        <w:fldChar w:fldCharType="begin"/>
      </w:r>
      <w:r>
        <w:rPr>
          <w:color w:val="auto"/>
          <w:highlight w:val="none"/>
        </w:rPr>
        <w:instrText xml:space="preserve"> PAGEREF _Toc5670 \h </w:instrText>
      </w:r>
      <w:r>
        <w:rPr>
          <w:color w:val="auto"/>
          <w:highlight w:val="none"/>
        </w:rPr>
        <w:fldChar w:fldCharType="separate"/>
      </w:r>
      <w:r>
        <w:rPr>
          <w:color w:val="auto"/>
          <w:highlight w:val="none"/>
        </w:rPr>
        <w:t>58</w:t>
      </w:r>
      <w:r>
        <w:rPr>
          <w:color w:val="auto"/>
          <w:highlight w:val="none"/>
        </w:rPr>
        <w:fldChar w:fldCharType="end"/>
      </w:r>
      <w:r>
        <w:rPr>
          <w:color w:val="auto"/>
          <w:highlight w:val="none"/>
        </w:rPr>
        <w:fldChar w:fldCharType="end"/>
      </w:r>
    </w:p>
    <w:p w14:paraId="2620ED00">
      <w:pPr>
        <w:pStyle w:val="33"/>
        <w:tabs>
          <w:tab w:val="right" w:leader="dot" w:pos="8504"/>
          <w:tab w:val="clear" w:pos="8398"/>
        </w:tabs>
        <w:rPr>
          <w:color w:val="auto"/>
          <w:highlight w:val="none"/>
        </w:rPr>
      </w:pPr>
      <w:r>
        <w:rPr>
          <w:color w:val="auto"/>
          <w:highlight w:val="none"/>
        </w:rPr>
        <w:fldChar w:fldCharType="begin"/>
      </w:r>
      <w:r>
        <w:rPr>
          <w:color w:val="auto"/>
          <w:highlight w:val="none"/>
        </w:rPr>
        <w:instrText xml:space="preserve"> HYPERLINK \l "_Toc17283" </w:instrText>
      </w:r>
      <w:r>
        <w:rPr>
          <w:color w:val="auto"/>
          <w:highlight w:val="none"/>
        </w:rPr>
        <w:fldChar w:fldCharType="separate"/>
      </w:r>
      <w:r>
        <w:rPr>
          <w:rFonts w:hint="eastAsia"/>
          <w:color w:val="auto"/>
          <w:highlight w:val="none"/>
        </w:rPr>
        <w:t>第六章　投标文件格式</w:t>
      </w:r>
      <w:r>
        <w:rPr>
          <w:color w:val="auto"/>
          <w:highlight w:val="none"/>
        </w:rPr>
        <w:tab/>
      </w:r>
      <w:r>
        <w:rPr>
          <w:color w:val="auto"/>
          <w:highlight w:val="none"/>
        </w:rPr>
        <w:fldChar w:fldCharType="begin"/>
      </w:r>
      <w:r>
        <w:rPr>
          <w:color w:val="auto"/>
          <w:highlight w:val="none"/>
        </w:rPr>
        <w:instrText xml:space="preserve"> PAGEREF _Toc17283 \h </w:instrText>
      </w:r>
      <w:r>
        <w:rPr>
          <w:color w:val="auto"/>
          <w:highlight w:val="none"/>
        </w:rPr>
        <w:fldChar w:fldCharType="separate"/>
      </w:r>
      <w:r>
        <w:rPr>
          <w:color w:val="auto"/>
          <w:highlight w:val="none"/>
        </w:rPr>
        <w:t>66</w:t>
      </w:r>
      <w:r>
        <w:rPr>
          <w:color w:val="auto"/>
          <w:highlight w:val="none"/>
        </w:rPr>
        <w:fldChar w:fldCharType="end"/>
      </w:r>
      <w:r>
        <w:rPr>
          <w:color w:val="auto"/>
          <w:highlight w:val="none"/>
        </w:rPr>
        <w:fldChar w:fldCharType="end"/>
      </w:r>
    </w:p>
    <w:p w14:paraId="19E2BC24">
      <w:pPr>
        <w:spacing w:line="360" w:lineRule="auto"/>
        <w:rPr>
          <w:rFonts w:ascii="仿宋_GB2312" w:hAnsi="宋体" w:eastAsia="仿宋_GB2312"/>
          <w:color w:val="auto"/>
          <w:sz w:val="24"/>
          <w:highlight w:val="none"/>
        </w:rPr>
      </w:pPr>
      <w:r>
        <w:rPr>
          <w:rFonts w:ascii="仿宋_GB2312" w:hAnsi="宋体" w:eastAsia="仿宋_GB2312"/>
          <w:b/>
          <w:color w:val="auto"/>
          <w:sz w:val="24"/>
          <w:highlight w:val="none"/>
        </w:rPr>
        <w:fldChar w:fldCharType="end"/>
      </w:r>
    </w:p>
    <w:p w14:paraId="7AB53C48">
      <w:pPr>
        <w:spacing w:line="480" w:lineRule="exact"/>
        <w:rPr>
          <w:rFonts w:ascii="仿宋_GB2312" w:hAnsi="宋体" w:eastAsia="仿宋_GB2312"/>
          <w:color w:val="auto"/>
          <w:sz w:val="30"/>
          <w:highlight w:val="none"/>
        </w:rPr>
      </w:pPr>
    </w:p>
    <w:p w14:paraId="78AB380C">
      <w:pPr>
        <w:rPr>
          <w:color w:val="auto"/>
          <w:highlight w:val="none"/>
        </w:rPr>
      </w:pPr>
    </w:p>
    <w:p w14:paraId="0A4C1238">
      <w:pPr>
        <w:spacing w:line="480" w:lineRule="exact"/>
        <w:rPr>
          <w:rFonts w:ascii="仿宋_GB2312" w:hAnsi="宋体" w:eastAsia="仿宋_GB2312"/>
          <w:color w:val="auto"/>
          <w:sz w:val="30"/>
          <w:highlight w:val="none"/>
        </w:rPr>
      </w:pPr>
    </w:p>
    <w:p w14:paraId="119EBECE">
      <w:pPr>
        <w:spacing w:line="480" w:lineRule="exact"/>
        <w:rPr>
          <w:rFonts w:ascii="仿宋_GB2312" w:hAnsi="宋体" w:eastAsia="仿宋_GB2312"/>
          <w:color w:val="auto"/>
          <w:sz w:val="30"/>
          <w:highlight w:val="none"/>
        </w:rPr>
      </w:pPr>
      <w:bookmarkStart w:id="6" w:name="_GoBack"/>
      <w:bookmarkEnd w:id="6"/>
    </w:p>
    <w:p w14:paraId="150BEE05">
      <w:pPr>
        <w:pStyle w:val="17"/>
        <w:rPr>
          <w:rFonts w:ascii="宋体" w:hAnsi="宋体" w:cs="宋体"/>
          <w:b/>
          <w:bCs/>
          <w:color w:val="auto"/>
          <w:highlight w:val="none"/>
        </w:rPr>
      </w:pPr>
    </w:p>
    <w:p w14:paraId="3F3BA2D9">
      <w:pPr>
        <w:pStyle w:val="2"/>
        <w:keepNext w:val="0"/>
        <w:keepLines w:val="0"/>
        <w:spacing w:before="0" w:after="0" w:line="240" w:lineRule="auto"/>
        <w:jc w:val="center"/>
        <w:rPr>
          <w:rFonts w:hint="eastAsia"/>
          <w:color w:val="auto"/>
          <w:highlight w:val="none"/>
        </w:rPr>
        <w:sectPr>
          <w:footerReference r:id="rId8" w:type="first"/>
          <w:footerReference r:id="rId7" w:type="default"/>
          <w:pgSz w:w="11906" w:h="16838"/>
          <w:pgMar w:top="1701" w:right="1701" w:bottom="1701" w:left="1701" w:header="851" w:footer="992" w:gutter="0"/>
          <w:pgNumType w:start="1"/>
          <w:cols w:space="720" w:num="1"/>
        </w:sectPr>
      </w:pPr>
      <w:bookmarkStart w:id="0" w:name="_Toc25461"/>
    </w:p>
    <w:p w14:paraId="341E98E6">
      <w:pPr>
        <w:pStyle w:val="2"/>
        <w:keepNext w:val="0"/>
        <w:keepLines w:val="0"/>
        <w:spacing w:before="0" w:after="0" w:line="240" w:lineRule="auto"/>
        <w:jc w:val="center"/>
        <w:rPr>
          <w:color w:val="auto"/>
          <w:highlight w:val="none"/>
        </w:rPr>
      </w:pPr>
      <w:r>
        <w:rPr>
          <w:rFonts w:hint="eastAsia"/>
          <w:color w:val="auto"/>
          <w:highlight w:val="none"/>
        </w:rPr>
        <w:t>第一章 招标公告</w:t>
      </w:r>
      <w:bookmarkEnd w:id="0"/>
    </w:p>
    <w:p w14:paraId="39EDDFE7">
      <w:pPr>
        <w:spacing w:line="360" w:lineRule="auto"/>
        <w:rPr>
          <w:rFonts w:ascii="宋体" w:hAnsi="宋体"/>
          <w:color w:val="auto"/>
          <w:szCs w:val="21"/>
          <w:highlight w:val="none"/>
        </w:rPr>
      </w:pPr>
    </w:p>
    <w:p w14:paraId="5778D9C2">
      <w:pPr>
        <w:pBdr>
          <w:top w:val="single" w:color="000000" w:sz="4" w:space="1"/>
          <w:left w:val="single" w:color="000000" w:sz="4" w:space="4"/>
          <w:bottom w:val="single" w:color="000000" w:sz="4" w:space="1"/>
          <w:right w:val="single" w:color="000000" w:sz="4" w:space="4"/>
        </w:pBdr>
        <w:spacing w:line="480" w:lineRule="exact"/>
        <w:ind w:firstLine="420"/>
        <w:rPr>
          <w:rFonts w:ascii="宋体" w:hAnsi="宋体"/>
          <w:color w:val="auto"/>
          <w:szCs w:val="21"/>
          <w:highlight w:val="none"/>
        </w:rPr>
      </w:pPr>
      <w:r>
        <w:rPr>
          <w:rFonts w:hint="eastAsia" w:ascii="宋体" w:hAnsi="宋体"/>
          <w:color w:val="auto"/>
          <w:szCs w:val="21"/>
          <w:highlight w:val="none"/>
        </w:rPr>
        <w:t>项目概况</w:t>
      </w:r>
    </w:p>
    <w:p w14:paraId="00B68990">
      <w:pPr>
        <w:pBdr>
          <w:top w:val="single" w:color="000000" w:sz="4" w:space="1"/>
          <w:left w:val="single" w:color="000000" w:sz="4" w:space="4"/>
          <w:bottom w:val="single" w:color="000000" w:sz="4" w:space="1"/>
          <w:right w:val="single" w:color="000000" w:sz="4" w:space="4"/>
        </w:pBdr>
        <w:spacing w:line="480" w:lineRule="exact"/>
        <w:ind w:firstLine="420"/>
        <w:rPr>
          <w:rFonts w:ascii="宋体" w:hAnsi="宋体"/>
          <w:color w:val="auto"/>
          <w:szCs w:val="21"/>
          <w:highlight w:val="none"/>
          <w:u w:val="single"/>
        </w:rPr>
      </w:pPr>
      <w:r>
        <w:rPr>
          <w:rFonts w:hint="eastAsia" w:ascii="宋体" w:hAnsi="宋体"/>
          <w:color w:val="auto"/>
          <w:szCs w:val="21"/>
          <w:highlight w:val="none"/>
          <w:u w:val="single"/>
        </w:rPr>
        <w:t xml:space="preserve"> </w:t>
      </w:r>
      <w:r>
        <w:rPr>
          <w:rFonts w:hint="eastAsia" w:ascii="宋体" w:hAnsi="宋体"/>
          <w:color w:val="auto"/>
          <w:szCs w:val="21"/>
          <w:highlight w:val="none"/>
          <w:u w:val="single"/>
          <w:lang w:eastAsia="zh-CN"/>
        </w:rPr>
        <w:t>钦州市2026年药监领域检验检测设备采购项目</w:t>
      </w:r>
      <w:r>
        <w:rPr>
          <w:rFonts w:hint="eastAsia" w:ascii="宋体" w:hAnsi="宋体"/>
          <w:color w:val="auto"/>
          <w:szCs w:val="21"/>
          <w:highlight w:val="none"/>
        </w:rPr>
        <w:t xml:space="preserve"> 招标项目的潜在投标人应在广西政府采购云平台（</w:t>
      </w:r>
      <w:r>
        <w:rPr>
          <w:rFonts w:hint="eastAsia" w:ascii="宋体" w:hAnsi="宋体"/>
          <w:bCs/>
          <w:color w:val="auto"/>
          <w:szCs w:val="21"/>
          <w:highlight w:val="none"/>
        </w:rPr>
        <w:t>https://www.gcy.zfcg.gxzf.gov.cn/</w:t>
      </w:r>
      <w:r>
        <w:rPr>
          <w:rFonts w:hint="eastAsia" w:ascii="宋体" w:hAnsi="宋体"/>
          <w:color w:val="auto"/>
          <w:szCs w:val="21"/>
          <w:highlight w:val="none"/>
        </w:rPr>
        <w:t>）获取（下载）招标文件，并于</w:t>
      </w:r>
      <w:r>
        <w:rPr>
          <w:rFonts w:hint="eastAsia" w:ascii="宋体" w:hAnsi="宋体"/>
          <w:color w:val="auto"/>
          <w:szCs w:val="21"/>
          <w:highlight w:val="none"/>
          <w:u w:val="single"/>
          <w:lang w:eastAsia="zh-CN"/>
        </w:rPr>
        <w:t>2026年</w:t>
      </w:r>
      <w:r>
        <w:rPr>
          <w:rFonts w:hint="eastAsia" w:ascii="宋体" w:hAnsi="宋体"/>
          <w:color w:val="auto"/>
          <w:szCs w:val="21"/>
          <w:highlight w:val="none"/>
          <w:u w:val="single"/>
          <w:lang w:val="en-US" w:eastAsia="zh-CN"/>
        </w:rPr>
        <w:t>9</w:t>
      </w:r>
      <w:r>
        <w:rPr>
          <w:rFonts w:hint="eastAsia" w:ascii="宋体" w:hAnsi="宋体"/>
          <w:color w:val="auto"/>
          <w:szCs w:val="21"/>
          <w:highlight w:val="none"/>
          <w:u w:val="single"/>
          <w:lang w:eastAsia="zh-CN"/>
        </w:rPr>
        <w:t>月</w:t>
      </w:r>
      <w:r>
        <w:rPr>
          <w:rFonts w:hint="eastAsia" w:ascii="宋体" w:hAnsi="宋体"/>
          <w:color w:val="auto"/>
          <w:szCs w:val="21"/>
          <w:highlight w:val="none"/>
          <w:u w:val="single"/>
          <w:lang w:val="en-US" w:eastAsia="zh-CN"/>
        </w:rPr>
        <w:t>9</w:t>
      </w:r>
      <w:r>
        <w:rPr>
          <w:rFonts w:hint="eastAsia" w:ascii="宋体" w:hAnsi="宋体"/>
          <w:color w:val="auto"/>
          <w:szCs w:val="21"/>
          <w:highlight w:val="none"/>
          <w:u w:val="single"/>
          <w:lang w:eastAsia="zh-CN"/>
        </w:rPr>
        <w:t>日</w:t>
      </w:r>
      <w:r>
        <w:rPr>
          <w:rFonts w:hint="eastAsia" w:ascii="宋体" w:hAnsi="宋体"/>
          <w:bCs/>
          <w:color w:val="auto"/>
          <w:szCs w:val="21"/>
          <w:highlight w:val="none"/>
          <w:u w:val="single"/>
        </w:rPr>
        <w:t>9时30分（</w:t>
      </w:r>
      <w:r>
        <w:rPr>
          <w:rFonts w:hint="eastAsia" w:ascii="宋体" w:hAnsi="宋体"/>
          <w:bCs/>
          <w:color w:val="auto"/>
          <w:szCs w:val="21"/>
          <w:highlight w:val="none"/>
        </w:rPr>
        <w:t>北京时间）前按要求递交（上传）投标</w:t>
      </w:r>
      <w:r>
        <w:rPr>
          <w:rFonts w:ascii="宋体" w:hAnsi="宋体"/>
          <w:bCs/>
          <w:color w:val="auto"/>
          <w:szCs w:val="21"/>
          <w:highlight w:val="none"/>
        </w:rPr>
        <w:t>文件</w:t>
      </w:r>
      <w:r>
        <w:rPr>
          <w:rFonts w:hint="eastAsia" w:ascii="宋体" w:hAnsi="宋体"/>
          <w:color w:val="auto"/>
          <w:szCs w:val="21"/>
          <w:highlight w:val="none"/>
        </w:rPr>
        <w:t>。</w:t>
      </w:r>
    </w:p>
    <w:p w14:paraId="414579D3">
      <w:pPr>
        <w:spacing w:line="480" w:lineRule="exact"/>
        <w:rPr>
          <w:rFonts w:ascii="黑体" w:hAnsi="黑体" w:eastAsia="黑体"/>
          <w:b/>
          <w:bCs/>
          <w:color w:val="auto"/>
          <w:sz w:val="24"/>
          <w:highlight w:val="none"/>
        </w:rPr>
      </w:pPr>
      <w:r>
        <w:rPr>
          <w:rFonts w:hint="eastAsia" w:ascii="黑体" w:hAnsi="黑体" w:eastAsia="黑体"/>
          <w:b/>
          <w:bCs/>
          <w:color w:val="auto"/>
          <w:sz w:val="24"/>
          <w:highlight w:val="none"/>
        </w:rPr>
        <w:t>一、项目基本情况</w:t>
      </w:r>
    </w:p>
    <w:p w14:paraId="181C9621">
      <w:pPr>
        <w:spacing w:line="480" w:lineRule="exact"/>
        <w:ind w:firstLine="420"/>
        <w:rPr>
          <w:rFonts w:hint="eastAsia" w:ascii="宋体" w:hAnsi="宋体"/>
          <w:color w:val="auto"/>
          <w:szCs w:val="21"/>
          <w:highlight w:val="none"/>
        </w:rPr>
      </w:pPr>
      <w:r>
        <w:rPr>
          <w:rFonts w:hint="eastAsia" w:ascii="宋体" w:hAnsi="宋体"/>
          <w:color w:val="auto"/>
          <w:szCs w:val="21"/>
          <w:highlight w:val="none"/>
        </w:rPr>
        <w:t>项目编号：QZZC2026-G1-990257-YZLZ</w:t>
      </w:r>
    </w:p>
    <w:p w14:paraId="58D147E6">
      <w:pPr>
        <w:spacing w:line="480" w:lineRule="exact"/>
        <w:ind w:firstLine="420"/>
        <w:rPr>
          <w:rFonts w:hint="eastAsia" w:ascii="宋体" w:hAnsi="宋体"/>
          <w:color w:val="auto"/>
          <w:szCs w:val="21"/>
          <w:highlight w:val="none"/>
          <w:lang w:eastAsia="zh-CN"/>
        </w:rPr>
      </w:pPr>
      <w:r>
        <w:rPr>
          <w:rFonts w:hint="eastAsia" w:ascii="宋体" w:hAnsi="宋体"/>
          <w:color w:val="auto"/>
          <w:szCs w:val="21"/>
          <w:highlight w:val="none"/>
        </w:rPr>
        <w:t>项目名称：</w:t>
      </w:r>
      <w:r>
        <w:rPr>
          <w:rFonts w:hint="eastAsia" w:ascii="宋体" w:hAnsi="宋体"/>
          <w:color w:val="auto"/>
          <w:szCs w:val="21"/>
          <w:highlight w:val="none"/>
          <w:lang w:eastAsia="zh-CN"/>
        </w:rPr>
        <w:t>钦州市2026年药监领域检验检测设备采购项目</w:t>
      </w:r>
    </w:p>
    <w:p w14:paraId="056F314C">
      <w:pPr>
        <w:spacing w:line="480" w:lineRule="exact"/>
        <w:ind w:firstLine="420"/>
        <w:rPr>
          <w:rFonts w:hint="eastAsia" w:ascii="宋体" w:hAnsi="宋体"/>
          <w:bCs/>
          <w:color w:val="auto"/>
          <w:szCs w:val="21"/>
          <w:highlight w:val="none"/>
          <w:u w:val="none"/>
        </w:rPr>
      </w:pPr>
      <w:r>
        <w:rPr>
          <w:rFonts w:hint="eastAsia"/>
          <w:color w:val="auto"/>
          <w:highlight w:val="none"/>
        </w:rPr>
        <w:t>预算总金额（元）</w:t>
      </w:r>
      <w:r>
        <w:rPr>
          <w:rFonts w:hint="eastAsia" w:ascii="宋体" w:hAnsi="宋体"/>
          <w:color w:val="auto"/>
          <w:szCs w:val="21"/>
          <w:highlight w:val="none"/>
        </w:rPr>
        <w:t>：</w:t>
      </w:r>
      <w:r>
        <w:rPr>
          <w:rFonts w:hint="eastAsia" w:ascii="宋体" w:hAnsi="宋体"/>
          <w:bCs/>
          <w:color w:val="auto"/>
          <w:szCs w:val="21"/>
          <w:highlight w:val="none"/>
          <w:u w:val="none"/>
        </w:rPr>
        <w:t>人民币</w:t>
      </w:r>
      <w:r>
        <w:rPr>
          <w:rFonts w:hint="eastAsia" w:ascii="宋体" w:hAnsi="宋体"/>
          <w:bCs/>
          <w:color w:val="auto"/>
          <w:szCs w:val="21"/>
          <w:highlight w:val="none"/>
          <w:u w:val="none"/>
          <w:lang w:val="en-US" w:eastAsia="zh-CN"/>
        </w:rPr>
        <w:t>壹佰柒拾陆万元整</w:t>
      </w:r>
      <w:r>
        <w:rPr>
          <w:rFonts w:hint="eastAsia" w:ascii="宋体" w:hAnsi="宋体"/>
          <w:bCs/>
          <w:color w:val="auto"/>
          <w:szCs w:val="21"/>
          <w:highlight w:val="none"/>
          <w:u w:val="none"/>
        </w:rPr>
        <w:t>（¥</w:t>
      </w:r>
      <w:r>
        <w:rPr>
          <w:rFonts w:hint="eastAsia" w:ascii="宋体" w:hAnsi="宋体"/>
          <w:bCs/>
          <w:color w:val="auto"/>
          <w:szCs w:val="21"/>
          <w:highlight w:val="none"/>
          <w:u w:val="none"/>
          <w:lang w:val="en-US" w:eastAsia="zh-CN"/>
        </w:rPr>
        <w:t>1760</w:t>
      </w:r>
      <w:r>
        <w:rPr>
          <w:rFonts w:hint="eastAsia" w:ascii="宋体" w:hAnsi="宋体"/>
          <w:bCs/>
          <w:color w:val="auto"/>
          <w:szCs w:val="21"/>
          <w:highlight w:val="none"/>
          <w:u w:val="none"/>
        </w:rPr>
        <w:t>000.00）</w:t>
      </w:r>
    </w:p>
    <w:p w14:paraId="1378A500">
      <w:pPr>
        <w:spacing w:line="480" w:lineRule="exact"/>
        <w:ind w:firstLine="420"/>
        <w:rPr>
          <w:rFonts w:hint="eastAsia" w:ascii="宋体" w:hAnsi="宋体"/>
          <w:bCs/>
          <w:color w:val="auto"/>
          <w:szCs w:val="21"/>
          <w:highlight w:val="none"/>
          <w:u w:val="none"/>
        </w:rPr>
      </w:pPr>
      <w:r>
        <w:rPr>
          <w:rFonts w:hint="eastAsia" w:ascii="宋体" w:hAnsi="宋体"/>
          <w:color w:val="auto"/>
          <w:szCs w:val="21"/>
          <w:highlight w:val="none"/>
          <w:u w:val="none"/>
        </w:rPr>
        <w:t>最高限价（如有）：</w:t>
      </w:r>
      <w:r>
        <w:rPr>
          <w:rFonts w:hint="eastAsia" w:ascii="宋体" w:hAnsi="宋体"/>
          <w:bCs/>
          <w:color w:val="auto"/>
          <w:szCs w:val="21"/>
          <w:highlight w:val="none"/>
          <w:u w:val="none"/>
        </w:rPr>
        <w:t>人民币</w:t>
      </w:r>
      <w:r>
        <w:rPr>
          <w:rFonts w:hint="eastAsia" w:ascii="宋体" w:hAnsi="宋体"/>
          <w:bCs/>
          <w:color w:val="auto"/>
          <w:szCs w:val="21"/>
          <w:highlight w:val="none"/>
          <w:u w:val="none"/>
          <w:lang w:val="en-US" w:eastAsia="zh-CN"/>
        </w:rPr>
        <w:t>壹佰柒拾陆万元整</w:t>
      </w:r>
      <w:r>
        <w:rPr>
          <w:rFonts w:hint="eastAsia" w:ascii="宋体" w:hAnsi="宋体"/>
          <w:bCs/>
          <w:color w:val="auto"/>
          <w:szCs w:val="21"/>
          <w:highlight w:val="none"/>
          <w:u w:val="none"/>
        </w:rPr>
        <w:t>（¥</w:t>
      </w:r>
      <w:r>
        <w:rPr>
          <w:rFonts w:hint="eastAsia" w:ascii="宋体" w:hAnsi="宋体"/>
          <w:bCs/>
          <w:color w:val="auto"/>
          <w:szCs w:val="21"/>
          <w:highlight w:val="none"/>
          <w:u w:val="none"/>
          <w:lang w:val="en-US" w:eastAsia="zh-CN"/>
        </w:rPr>
        <w:t>1760</w:t>
      </w:r>
      <w:r>
        <w:rPr>
          <w:rFonts w:hint="eastAsia" w:ascii="宋体" w:hAnsi="宋体"/>
          <w:bCs/>
          <w:color w:val="auto"/>
          <w:szCs w:val="21"/>
          <w:highlight w:val="none"/>
          <w:u w:val="none"/>
        </w:rPr>
        <w:t>000.00）</w:t>
      </w:r>
    </w:p>
    <w:p w14:paraId="7D0A61E6">
      <w:pPr>
        <w:spacing w:line="480" w:lineRule="exact"/>
        <w:ind w:firstLine="420"/>
        <w:rPr>
          <w:rFonts w:hint="eastAsia" w:ascii="宋体" w:hAnsi="宋体"/>
          <w:color w:val="auto"/>
          <w:szCs w:val="21"/>
          <w:highlight w:val="none"/>
        </w:rPr>
      </w:pPr>
      <w:r>
        <w:rPr>
          <w:rFonts w:hint="eastAsia" w:ascii="宋体" w:hAnsi="宋体"/>
          <w:color w:val="auto"/>
          <w:szCs w:val="21"/>
          <w:highlight w:val="none"/>
        </w:rPr>
        <w:t>采购需求：</w:t>
      </w:r>
    </w:p>
    <w:tbl>
      <w:tblPr>
        <w:tblStyle w:val="50"/>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73"/>
        <w:gridCol w:w="1635"/>
        <w:gridCol w:w="958"/>
        <w:gridCol w:w="5472"/>
      </w:tblGrid>
      <w:tr w14:paraId="560C6A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1" w:hRule="atLeast"/>
        </w:trPr>
        <w:tc>
          <w:tcPr>
            <w:tcW w:w="673" w:type="dxa"/>
            <w:tcBorders>
              <w:top w:val="single" w:color="auto" w:sz="4" w:space="0"/>
              <w:left w:val="single" w:color="auto" w:sz="4" w:space="0"/>
              <w:bottom w:val="single" w:color="auto" w:sz="4" w:space="0"/>
              <w:right w:val="single" w:color="auto" w:sz="4" w:space="0"/>
            </w:tcBorders>
            <w:noWrap w:val="0"/>
            <w:vAlign w:val="center"/>
          </w:tcPr>
          <w:p w14:paraId="742061D2">
            <w:pPr>
              <w:spacing w:line="360" w:lineRule="auto"/>
              <w:jc w:val="center"/>
              <w:rPr>
                <w:rFonts w:ascii="宋体" w:hAnsi="宋体"/>
                <w:color w:val="auto"/>
                <w:szCs w:val="21"/>
                <w:highlight w:val="none"/>
              </w:rPr>
            </w:pPr>
            <w:r>
              <w:rPr>
                <w:rFonts w:hint="eastAsia" w:ascii="宋体" w:hAnsi="宋体"/>
                <w:color w:val="auto"/>
                <w:szCs w:val="21"/>
                <w:highlight w:val="none"/>
              </w:rPr>
              <w:t>序号</w:t>
            </w:r>
          </w:p>
        </w:tc>
        <w:tc>
          <w:tcPr>
            <w:tcW w:w="1635" w:type="dxa"/>
            <w:tcBorders>
              <w:top w:val="single" w:color="auto" w:sz="4" w:space="0"/>
              <w:left w:val="single" w:color="auto" w:sz="4" w:space="0"/>
              <w:bottom w:val="single" w:color="auto" w:sz="4" w:space="0"/>
              <w:right w:val="single" w:color="auto" w:sz="4" w:space="0"/>
            </w:tcBorders>
            <w:noWrap w:val="0"/>
            <w:vAlign w:val="center"/>
          </w:tcPr>
          <w:p w14:paraId="5A32D5E1">
            <w:pPr>
              <w:spacing w:line="360" w:lineRule="auto"/>
              <w:jc w:val="center"/>
              <w:rPr>
                <w:rFonts w:ascii="宋体" w:hAnsi="宋体"/>
                <w:color w:val="auto"/>
                <w:szCs w:val="21"/>
                <w:highlight w:val="none"/>
              </w:rPr>
            </w:pPr>
            <w:r>
              <w:rPr>
                <w:rFonts w:hint="eastAsia" w:ascii="宋体" w:hAnsi="宋体"/>
                <w:color w:val="auto"/>
                <w:szCs w:val="21"/>
                <w:highlight w:val="none"/>
              </w:rPr>
              <w:t>标的的名称</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2BE177BC">
            <w:pPr>
              <w:spacing w:line="360" w:lineRule="auto"/>
              <w:jc w:val="center"/>
              <w:rPr>
                <w:rFonts w:ascii="宋体" w:hAnsi="宋体"/>
                <w:color w:val="auto"/>
                <w:szCs w:val="21"/>
                <w:highlight w:val="none"/>
              </w:rPr>
            </w:pPr>
            <w:r>
              <w:rPr>
                <w:rFonts w:hint="eastAsia" w:ascii="宋体" w:hAnsi="宋体"/>
                <w:color w:val="auto"/>
                <w:szCs w:val="21"/>
                <w:highlight w:val="none"/>
              </w:rPr>
              <w:t>数量及</w:t>
            </w:r>
          </w:p>
          <w:p w14:paraId="2315E40A">
            <w:pPr>
              <w:spacing w:line="360" w:lineRule="auto"/>
              <w:jc w:val="center"/>
              <w:rPr>
                <w:rFonts w:ascii="宋体" w:hAnsi="宋体"/>
                <w:color w:val="auto"/>
                <w:szCs w:val="21"/>
                <w:highlight w:val="none"/>
              </w:rPr>
            </w:pPr>
            <w:r>
              <w:rPr>
                <w:rFonts w:hint="eastAsia" w:ascii="宋体" w:hAnsi="宋体"/>
                <w:color w:val="auto"/>
                <w:szCs w:val="21"/>
                <w:highlight w:val="none"/>
              </w:rPr>
              <w:t>单位</w:t>
            </w:r>
          </w:p>
        </w:tc>
        <w:tc>
          <w:tcPr>
            <w:tcW w:w="5472" w:type="dxa"/>
            <w:tcBorders>
              <w:top w:val="single" w:color="auto" w:sz="4" w:space="0"/>
              <w:left w:val="single" w:color="auto" w:sz="4" w:space="0"/>
              <w:bottom w:val="single" w:color="auto" w:sz="4" w:space="0"/>
              <w:right w:val="single" w:color="auto" w:sz="4" w:space="0"/>
            </w:tcBorders>
            <w:noWrap w:val="0"/>
            <w:vAlign w:val="center"/>
          </w:tcPr>
          <w:p w14:paraId="635FDDCA">
            <w:pPr>
              <w:spacing w:line="360" w:lineRule="auto"/>
              <w:jc w:val="center"/>
              <w:rPr>
                <w:rFonts w:ascii="宋体" w:hAnsi="宋体"/>
                <w:color w:val="auto"/>
                <w:szCs w:val="21"/>
                <w:highlight w:val="none"/>
              </w:rPr>
            </w:pPr>
            <w:r>
              <w:rPr>
                <w:rFonts w:hint="eastAsia" w:ascii="宋体" w:hAnsi="宋体"/>
                <w:color w:val="auto"/>
                <w:szCs w:val="21"/>
                <w:highlight w:val="none"/>
              </w:rPr>
              <w:t>简要技术需求或者服务要求</w:t>
            </w:r>
          </w:p>
        </w:tc>
      </w:tr>
      <w:tr w14:paraId="0BEC2A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73" w:type="dxa"/>
            <w:tcBorders>
              <w:top w:val="single" w:color="auto" w:sz="4" w:space="0"/>
              <w:left w:val="single" w:color="auto" w:sz="4" w:space="0"/>
              <w:bottom w:val="single" w:color="auto" w:sz="4" w:space="0"/>
              <w:right w:val="single" w:color="auto" w:sz="4" w:space="0"/>
            </w:tcBorders>
            <w:noWrap w:val="0"/>
            <w:vAlign w:val="center"/>
          </w:tcPr>
          <w:p w14:paraId="17E3C990">
            <w:pPr>
              <w:spacing w:line="360" w:lineRule="auto"/>
              <w:jc w:val="center"/>
              <w:rPr>
                <w:rFonts w:ascii="宋体" w:hAnsi="宋体"/>
                <w:color w:val="auto"/>
                <w:szCs w:val="21"/>
                <w:highlight w:val="none"/>
              </w:rPr>
            </w:pPr>
            <w:r>
              <w:rPr>
                <w:rFonts w:hint="eastAsia" w:ascii="宋体" w:hAnsi="宋体"/>
                <w:color w:val="auto"/>
                <w:szCs w:val="21"/>
                <w:highlight w:val="none"/>
              </w:rPr>
              <w:t>01</w:t>
            </w:r>
          </w:p>
        </w:tc>
        <w:tc>
          <w:tcPr>
            <w:tcW w:w="1635" w:type="dxa"/>
            <w:tcBorders>
              <w:top w:val="single" w:color="auto" w:sz="4" w:space="0"/>
              <w:left w:val="single" w:color="auto" w:sz="4" w:space="0"/>
              <w:bottom w:val="single" w:color="auto" w:sz="4" w:space="0"/>
              <w:right w:val="single" w:color="auto" w:sz="4" w:space="0"/>
            </w:tcBorders>
            <w:noWrap w:val="0"/>
            <w:vAlign w:val="center"/>
          </w:tcPr>
          <w:p w14:paraId="322C917F">
            <w:pPr>
              <w:spacing w:line="360" w:lineRule="auto"/>
              <w:jc w:val="center"/>
              <w:rPr>
                <w:rFonts w:ascii="宋体" w:hAnsi="宋体"/>
                <w:color w:val="auto"/>
                <w:szCs w:val="21"/>
                <w:highlight w:val="none"/>
              </w:rPr>
            </w:pPr>
            <w:r>
              <w:rPr>
                <w:rFonts w:hint="eastAsia" w:ascii="宋体" w:hAnsi="宋体"/>
                <w:color w:val="auto"/>
                <w:szCs w:val="21"/>
                <w:highlight w:val="none"/>
              </w:rPr>
              <w:t>气相色谱/质谱联用仪-3（串联）</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3EB1ED87">
            <w:pPr>
              <w:spacing w:line="360" w:lineRule="auto"/>
              <w:jc w:val="center"/>
              <w:rPr>
                <w:rFonts w:hint="eastAsia" w:ascii="宋体" w:hAnsi="宋体"/>
                <w:color w:val="auto"/>
                <w:szCs w:val="21"/>
                <w:highlight w:val="none"/>
              </w:rPr>
            </w:pPr>
            <w:r>
              <w:rPr>
                <w:rFonts w:hint="eastAsia" w:ascii="宋体" w:hAnsi="宋体"/>
                <w:color w:val="auto"/>
                <w:szCs w:val="21"/>
                <w:highlight w:val="none"/>
              </w:rPr>
              <w:t>1套</w:t>
            </w:r>
          </w:p>
        </w:tc>
        <w:tc>
          <w:tcPr>
            <w:tcW w:w="5472" w:type="dxa"/>
            <w:tcBorders>
              <w:top w:val="single" w:color="auto" w:sz="4" w:space="0"/>
              <w:left w:val="single" w:color="auto" w:sz="4" w:space="0"/>
              <w:bottom w:val="single" w:color="auto" w:sz="4" w:space="0"/>
              <w:right w:val="single" w:color="auto" w:sz="4" w:space="0"/>
            </w:tcBorders>
            <w:noWrap w:val="0"/>
            <w:vAlign w:val="center"/>
          </w:tcPr>
          <w:p w14:paraId="50027160">
            <w:pPr>
              <w:spacing w:line="360" w:lineRule="auto"/>
              <w:rPr>
                <w:rFonts w:hint="eastAsia" w:ascii="宋体" w:hAnsi="宋体"/>
                <w:color w:val="auto"/>
                <w:szCs w:val="21"/>
                <w:highlight w:val="none"/>
              </w:rPr>
            </w:pPr>
            <w:r>
              <w:rPr>
                <w:rFonts w:hint="eastAsia" w:ascii="宋体" w:hAnsi="宋体"/>
                <w:color w:val="auto"/>
                <w:szCs w:val="21"/>
                <w:highlight w:val="none"/>
              </w:rPr>
              <w:t>（一）工作条件：</w:t>
            </w:r>
          </w:p>
          <w:p w14:paraId="6F6D1CF4">
            <w:pPr>
              <w:spacing w:line="360" w:lineRule="auto"/>
              <w:rPr>
                <w:rFonts w:hint="eastAsia" w:ascii="宋体" w:hAnsi="宋体"/>
                <w:color w:val="auto"/>
                <w:szCs w:val="21"/>
                <w:highlight w:val="none"/>
              </w:rPr>
            </w:pPr>
            <w:r>
              <w:rPr>
                <w:rFonts w:hint="eastAsia" w:ascii="宋体" w:hAnsi="宋体"/>
                <w:color w:val="auto"/>
                <w:szCs w:val="21"/>
                <w:highlight w:val="none"/>
              </w:rPr>
              <w:t>1.电源：220V，50Hz；</w:t>
            </w:r>
          </w:p>
          <w:p w14:paraId="0E9ADEE2">
            <w:pPr>
              <w:spacing w:line="360" w:lineRule="auto"/>
              <w:rPr>
                <w:rFonts w:hint="eastAsia" w:ascii="宋体" w:hAnsi="宋体"/>
                <w:color w:val="auto"/>
                <w:szCs w:val="21"/>
                <w:highlight w:val="none"/>
              </w:rPr>
            </w:pPr>
            <w:r>
              <w:rPr>
                <w:rFonts w:hint="eastAsia" w:ascii="宋体" w:hAnsi="宋体"/>
                <w:color w:val="auto"/>
                <w:szCs w:val="21"/>
                <w:highlight w:val="none"/>
              </w:rPr>
              <w:t>2.操作环境温度：20～35℃；</w:t>
            </w:r>
          </w:p>
          <w:p w14:paraId="69F0B0F9">
            <w:pPr>
              <w:spacing w:line="360" w:lineRule="auto"/>
              <w:rPr>
                <w:rFonts w:hint="eastAsia" w:ascii="宋体" w:hAnsi="宋体"/>
                <w:color w:val="auto"/>
                <w:szCs w:val="21"/>
                <w:highlight w:val="none"/>
              </w:rPr>
            </w:pPr>
            <w:r>
              <w:rPr>
                <w:rFonts w:hint="eastAsia" w:ascii="宋体" w:hAnsi="宋体"/>
                <w:color w:val="auto"/>
                <w:szCs w:val="21"/>
                <w:highlight w:val="none"/>
              </w:rPr>
              <w:t>3.操作环境湿度：25～50%。</w:t>
            </w:r>
          </w:p>
          <w:p w14:paraId="32D8316F">
            <w:pPr>
              <w:spacing w:line="360" w:lineRule="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rPr>
              <w:t>具体详见</w:t>
            </w:r>
            <w:r>
              <w:rPr>
                <w:rFonts w:hint="eastAsia"/>
                <w:color w:val="auto"/>
                <w:highlight w:val="none"/>
              </w:rPr>
              <w:t>公告附件</w:t>
            </w:r>
            <w:r>
              <w:rPr>
                <w:rFonts w:hint="eastAsia" w:ascii="宋体" w:hAnsi="宋体" w:cs="宋体"/>
                <w:color w:val="auto"/>
                <w:sz w:val="22"/>
                <w:szCs w:val="22"/>
                <w:highlight w:val="none"/>
              </w:rPr>
              <w:t>采购需求</w:t>
            </w:r>
            <w:r>
              <w:rPr>
                <w:rFonts w:hint="eastAsia" w:ascii="宋体" w:hAnsi="宋体"/>
                <w:color w:val="auto"/>
                <w:szCs w:val="21"/>
                <w:highlight w:val="none"/>
              </w:rPr>
              <w:t>。</w:t>
            </w:r>
          </w:p>
        </w:tc>
      </w:tr>
      <w:tr w14:paraId="179F44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1" w:hRule="atLeast"/>
        </w:trPr>
        <w:tc>
          <w:tcPr>
            <w:tcW w:w="673" w:type="dxa"/>
            <w:tcBorders>
              <w:top w:val="single" w:color="auto" w:sz="4" w:space="0"/>
              <w:left w:val="single" w:color="auto" w:sz="4" w:space="0"/>
              <w:bottom w:val="single" w:color="auto" w:sz="4" w:space="0"/>
              <w:right w:val="single" w:color="auto" w:sz="4" w:space="0"/>
            </w:tcBorders>
            <w:noWrap w:val="0"/>
            <w:vAlign w:val="center"/>
          </w:tcPr>
          <w:p w14:paraId="51D24922">
            <w:pPr>
              <w:spacing w:line="360" w:lineRule="auto"/>
              <w:jc w:val="center"/>
              <w:rPr>
                <w:rFonts w:ascii="宋体" w:hAnsi="宋体" w:eastAsia="宋体"/>
                <w:color w:val="auto"/>
                <w:szCs w:val="21"/>
                <w:highlight w:val="none"/>
                <w:lang w:val="en-US" w:eastAsia="zh-CN"/>
              </w:rPr>
            </w:pPr>
            <w:r>
              <w:rPr>
                <w:rFonts w:hint="eastAsia" w:ascii="宋体" w:hAnsi="宋体"/>
                <w:color w:val="auto"/>
                <w:szCs w:val="21"/>
                <w:highlight w:val="none"/>
                <w:lang w:val="en-US" w:eastAsia="zh-CN"/>
              </w:rPr>
              <w:t>02</w:t>
            </w:r>
          </w:p>
        </w:tc>
        <w:tc>
          <w:tcPr>
            <w:tcW w:w="1635" w:type="dxa"/>
            <w:tcBorders>
              <w:top w:val="single" w:color="auto" w:sz="4" w:space="0"/>
              <w:left w:val="single" w:color="auto" w:sz="4" w:space="0"/>
              <w:bottom w:val="single" w:color="auto" w:sz="4" w:space="0"/>
              <w:right w:val="single" w:color="auto" w:sz="4" w:space="0"/>
            </w:tcBorders>
            <w:noWrap w:val="0"/>
            <w:vAlign w:val="center"/>
          </w:tcPr>
          <w:p w14:paraId="67D3306E">
            <w:pPr>
              <w:spacing w:line="360" w:lineRule="auto"/>
              <w:jc w:val="center"/>
              <w:rPr>
                <w:rFonts w:hint="default" w:ascii="宋体" w:hAnsi="宋体" w:eastAsia="宋体"/>
                <w:color w:val="auto"/>
                <w:szCs w:val="21"/>
                <w:highlight w:val="none"/>
                <w:lang w:val="en-US" w:eastAsia="zh-CN"/>
              </w:rPr>
            </w:pPr>
            <w:r>
              <w:rPr>
                <w:rFonts w:hint="eastAsia" w:ascii="宋体" w:hAnsi="宋体" w:eastAsia="宋体"/>
                <w:color w:val="auto"/>
                <w:szCs w:val="21"/>
                <w:highlight w:val="none"/>
                <w:lang w:val="en-US" w:eastAsia="zh-CN"/>
              </w:rPr>
              <w:t>生物显微镜（数</w:t>
            </w:r>
            <w:r>
              <w:rPr>
                <w:rFonts w:hint="eastAsia" w:ascii="宋体" w:hAnsi="宋体"/>
                <w:color w:val="auto"/>
                <w:szCs w:val="21"/>
                <w:highlight w:val="none"/>
                <w:lang w:val="en-US" w:eastAsia="zh-CN"/>
              </w:rPr>
              <w:t>显）</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49D4D5F6">
            <w:pPr>
              <w:spacing w:line="360" w:lineRule="auto"/>
              <w:jc w:val="center"/>
              <w:rPr>
                <w:rFonts w:ascii="宋体" w:hAnsi="宋体" w:eastAsia="宋体"/>
                <w:color w:val="auto"/>
                <w:szCs w:val="21"/>
                <w:highlight w:val="none"/>
                <w:lang w:val="en-US" w:eastAsia="zh-CN"/>
              </w:rPr>
            </w:pPr>
            <w:r>
              <w:rPr>
                <w:rFonts w:hint="eastAsia" w:ascii="宋体" w:hAnsi="宋体" w:eastAsia="宋体"/>
                <w:color w:val="auto"/>
                <w:szCs w:val="21"/>
                <w:highlight w:val="none"/>
                <w:lang w:val="en-US" w:eastAsia="zh-CN"/>
              </w:rPr>
              <w:t>1套</w:t>
            </w:r>
          </w:p>
        </w:tc>
        <w:tc>
          <w:tcPr>
            <w:tcW w:w="5472" w:type="dxa"/>
            <w:tcBorders>
              <w:top w:val="single" w:color="auto" w:sz="4" w:space="0"/>
              <w:left w:val="single" w:color="auto" w:sz="4" w:space="0"/>
              <w:bottom w:val="single" w:color="auto" w:sz="4" w:space="0"/>
              <w:right w:val="single" w:color="auto" w:sz="4" w:space="0"/>
            </w:tcBorders>
            <w:noWrap w:val="0"/>
            <w:vAlign w:val="center"/>
          </w:tcPr>
          <w:p w14:paraId="21B3F907">
            <w:pPr>
              <w:spacing w:line="360" w:lineRule="auto"/>
              <w:rPr>
                <w:rFonts w:hint="eastAsia" w:ascii="宋体" w:hAnsi="宋体"/>
                <w:color w:val="auto"/>
                <w:szCs w:val="21"/>
                <w:highlight w:val="none"/>
              </w:rPr>
            </w:pPr>
            <w:r>
              <w:rPr>
                <w:rFonts w:hint="eastAsia" w:ascii="宋体" w:hAnsi="宋体"/>
                <w:color w:val="auto"/>
                <w:szCs w:val="21"/>
                <w:highlight w:val="none"/>
              </w:rPr>
              <w:t>1.光学系统：采用无限远色差反差双重校正光学系统，45mm国际标准物镜齐焦距离。</w:t>
            </w:r>
          </w:p>
          <w:p w14:paraId="49AEF655">
            <w:pPr>
              <w:spacing w:line="360" w:lineRule="auto"/>
              <w:rPr>
                <w:rFonts w:hint="eastAsia" w:ascii="宋体" w:hAnsi="宋体"/>
                <w:color w:val="auto"/>
                <w:szCs w:val="21"/>
                <w:highlight w:val="none"/>
              </w:rPr>
            </w:pPr>
            <w:r>
              <w:rPr>
                <w:rFonts w:hint="eastAsia" w:ascii="宋体" w:hAnsi="宋体"/>
                <w:color w:val="auto"/>
                <w:szCs w:val="21"/>
                <w:highlight w:val="none"/>
              </w:rPr>
              <w:t>2.可实现观察方法：明场。</w:t>
            </w:r>
          </w:p>
          <w:p w14:paraId="68DAE84B">
            <w:pPr>
              <w:spacing w:line="360" w:lineRule="auto"/>
              <w:rPr>
                <w:rFonts w:hint="eastAsia" w:ascii="宋体" w:hAnsi="宋体"/>
                <w:color w:val="auto"/>
                <w:szCs w:val="21"/>
                <w:highlight w:val="none"/>
              </w:rPr>
            </w:pPr>
            <w:r>
              <w:rPr>
                <w:rFonts w:hint="eastAsia" w:ascii="宋体" w:hAnsi="宋体"/>
                <w:color w:val="auto"/>
                <w:szCs w:val="21"/>
                <w:highlight w:val="none"/>
              </w:rPr>
              <w:t>3.同轴粗微调焦机构，调焦范围≥15mm，粗调一圈4mm，微调一圈0.4mm及最小刻度能达到2μm。</w:t>
            </w:r>
          </w:p>
          <w:p w14:paraId="3D06E3A4">
            <w:pPr>
              <w:spacing w:line="360" w:lineRule="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rPr>
              <w:t>具体详见</w:t>
            </w:r>
            <w:r>
              <w:rPr>
                <w:rFonts w:hint="eastAsia"/>
                <w:color w:val="auto"/>
                <w:highlight w:val="none"/>
              </w:rPr>
              <w:t>公告附件</w:t>
            </w:r>
            <w:r>
              <w:rPr>
                <w:rFonts w:hint="eastAsia" w:ascii="宋体" w:hAnsi="宋体" w:cs="宋体"/>
                <w:color w:val="auto"/>
                <w:sz w:val="22"/>
                <w:szCs w:val="22"/>
                <w:highlight w:val="none"/>
              </w:rPr>
              <w:t>采购需求</w:t>
            </w:r>
            <w:r>
              <w:rPr>
                <w:rFonts w:hint="eastAsia" w:ascii="宋体" w:hAnsi="宋体"/>
                <w:color w:val="auto"/>
                <w:szCs w:val="21"/>
                <w:highlight w:val="none"/>
              </w:rPr>
              <w:t>。</w:t>
            </w:r>
          </w:p>
        </w:tc>
      </w:tr>
      <w:tr w14:paraId="703683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1" w:hRule="atLeast"/>
        </w:trPr>
        <w:tc>
          <w:tcPr>
            <w:tcW w:w="673" w:type="dxa"/>
            <w:tcBorders>
              <w:top w:val="single" w:color="auto" w:sz="4" w:space="0"/>
              <w:left w:val="single" w:color="auto" w:sz="4" w:space="0"/>
              <w:bottom w:val="single" w:color="auto" w:sz="4" w:space="0"/>
              <w:right w:val="single" w:color="auto" w:sz="4" w:space="0"/>
            </w:tcBorders>
            <w:noWrap w:val="0"/>
            <w:vAlign w:val="center"/>
          </w:tcPr>
          <w:p w14:paraId="35747A8F">
            <w:pPr>
              <w:spacing w:line="360" w:lineRule="auto"/>
              <w:jc w:val="center"/>
              <w:rPr>
                <w:rFonts w:ascii="宋体" w:hAnsi="宋体"/>
                <w:color w:val="auto"/>
                <w:szCs w:val="21"/>
                <w:highlight w:val="none"/>
                <w:lang w:val="en-US" w:eastAsia="zh-CN"/>
              </w:rPr>
            </w:pPr>
            <w:r>
              <w:rPr>
                <w:rFonts w:hint="eastAsia" w:ascii="宋体" w:hAnsi="宋体"/>
                <w:color w:val="auto"/>
                <w:szCs w:val="21"/>
                <w:highlight w:val="none"/>
                <w:lang w:val="en-US" w:eastAsia="zh-CN"/>
              </w:rPr>
              <w:t>03</w:t>
            </w:r>
          </w:p>
        </w:tc>
        <w:tc>
          <w:tcPr>
            <w:tcW w:w="1635" w:type="dxa"/>
            <w:tcBorders>
              <w:top w:val="single" w:color="auto" w:sz="4" w:space="0"/>
              <w:left w:val="single" w:color="auto" w:sz="4" w:space="0"/>
              <w:bottom w:val="single" w:color="auto" w:sz="4" w:space="0"/>
              <w:right w:val="single" w:color="auto" w:sz="4" w:space="0"/>
            </w:tcBorders>
            <w:noWrap w:val="0"/>
            <w:vAlign w:val="center"/>
          </w:tcPr>
          <w:p w14:paraId="340AE0BE">
            <w:pPr>
              <w:spacing w:line="360" w:lineRule="auto"/>
              <w:jc w:val="center"/>
              <w:rPr>
                <w:rFonts w:ascii="宋体" w:hAnsi="宋体" w:eastAsia="宋体"/>
                <w:color w:val="auto"/>
                <w:szCs w:val="21"/>
                <w:highlight w:val="none"/>
                <w:lang w:val="en-US" w:eastAsia="zh-CN"/>
              </w:rPr>
            </w:pPr>
            <w:r>
              <w:rPr>
                <w:rFonts w:ascii="宋体" w:hAnsi="宋体"/>
                <w:color w:val="auto"/>
                <w:szCs w:val="21"/>
                <w:highlight w:val="none"/>
              </w:rPr>
              <w:t>……</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0E4B9782">
            <w:pPr>
              <w:spacing w:line="360" w:lineRule="auto"/>
              <w:jc w:val="center"/>
              <w:rPr>
                <w:rFonts w:hint="eastAsia" w:ascii="宋体" w:hAnsi="宋体" w:eastAsia="宋体"/>
                <w:color w:val="auto"/>
                <w:szCs w:val="21"/>
                <w:highlight w:val="none"/>
                <w:lang w:val="en-US" w:eastAsia="zh-CN"/>
              </w:rPr>
            </w:pPr>
            <w:r>
              <w:rPr>
                <w:rFonts w:ascii="宋体" w:hAnsi="宋体"/>
                <w:color w:val="auto"/>
                <w:szCs w:val="21"/>
                <w:highlight w:val="none"/>
              </w:rPr>
              <w:t>……</w:t>
            </w:r>
          </w:p>
        </w:tc>
        <w:tc>
          <w:tcPr>
            <w:tcW w:w="5472" w:type="dxa"/>
            <w:tcBorders>
              <w:top w:val="single" w:color="auto" w:sz="4" w:space="0"/>
              <w:left w:val="single" w:color="auto" w:sz="4" w:space="0"/>
              <w:bottom w:val="single" w:color="auto" w:sz="4" w:space="0"/>
              <w:right w:val="single" w:color="auto" w:sz="4" w:space="0"/>
            </w:tcBorders>
            <w:noWrap w:val="0"/>
            <w:vAlign w:val="center"/>
          </w:tcPr>
          <w:p w14:paraId="2952E8AF">
            <w:pPr>
              <w:spacing w:line="360" w:lineRule="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rPr>
              <w:t>具体详见</w:t>
            </w:r>
            <w:r>
              <w:rPr>
                <w:rFonts w:hint="eastAsia"/>
                <w:color w:val="auto"/>
                <w:highlight w:val="none"/>
              </w:rPr>
              <w:t>公告附件</w:t>
            </w:r>
            <w:r>
              <w:rPr>
                <w:rFonts w:hint="eastAsia" w:ascii="宋体" w:hAnsi="宋体" w:cs="宋体"/>
                <w:color w:val="auto"/>
                <w:sz w:val="22"/>
                <w:szCs w:val="22"/>
                <w:highlight w:val="none"/>
              </w:rPr>
              <w:t>采购需求</w:t>
            </w:r>
            <w:r>
              <w:rPr>
                <w:rFonts w:hint="eastAsia" w:ascii="宋体" w:hAnsi="宋体"/>
                <w:color w:val="auto"/>
                <w:szCs w:val="21"/>
                <w:highlight w:val="none"/>
              </w:rPr>
              <w:t>。</w:t>
            </w:r>
          </w:p>
        </w:tc>
      </w:tr>
    </w:tbl>
    <w:p w14:paraId="17D9DAAE">
      <w:pPr>
        <w:spacing w:line="360" w:lineRule="auto"/>
        <w:ind w:firstLine="420"/>
        <w:rPr>
          <w:rFonts w:ascii="宋体" w:hAnsi="宋体"/>
          <w:color w:val="auto"/>
          <w:szCs w:val="21"/>
          <w:highlight w:val="none"/>
        </w:rPr>
      </w:pPr>
      <w:r>
        <w:rPr>
          <w:rFonts w:hint="eastAsia" w:ascii="宋体" w:hAnsi="宋体"/>
          <w:color w:val="auto"/>
          <w:szCs w:val="21"/>
          <w:highlight w:val="none"/>
        </w:rPr>
        <w:t>合同履行期限：签订合同之日起</w:t>
      </w:r>
      <w:r>
        <w:rPr>
          <w:rFonts w:hint="eastAsia" w:ascii="宋体" w:hAnsi="宋体"/>
          <w:color w:val="auto"/>
          <w:szCs w:val="21"/>
          <w:highlight w:val="none"/>
          <w:lang w:val="en-US" w:eastAsia="zh-CN"/>
        </w:rPr>
        <w:t>60</w:t>
      </w:r>
      <w:r>
        <w:rPr>
          <w:rFonts w:hint="eastAsia" w:ascii="宋体" w:hAnsi="宋体"/>
          <w:color w:val="auto"/>
          <w:szCs w:val="21"/>
          <w:highlight w:val="none"/>
        </w:rPr>
        <w:t>天内调试完毕验收合格并交付使用。</w:t>
      </w:r>
    </w:p>
    <w:p w14:paraId="781A6488">
      <w:pPr>
        <w:spacing w:line="360" w:lineRule="auto"/>
        <w:ind w:firstLine="420"/>
        <w:rPr>
          <w:rFonts w:ascii="宋体" w:hAnsi="宋体"/>
          <w:color w:val="auto"/>
          <w:szCs w:val="21"/>
          <w:highlight w:val="none"/>
        </w:rPr>
      </w:pPr>
      <w:r>
        <w:rPr>
          <w:rFonts w:hint="eastAsia" w:ascii="宋体" w:hAnsi="宋体"/>
          <w:color w:val="auto"/>
          <w:szCs w:val="21"/>
          <w:highlight w:val="none"/>
        </w:rPr>
        <w:t>本项目（否）接受联合体投标。</w:t>
      </w:r>
    </w:p>
    <w:p w14:paraId="1F9778C5">
      <w:pPr>
        <w:spacing w:line="480" w:lineRule="exact"/>
        <w:rPr>
          <w:rFonts w:ascii="黑体" w:hAnsi="黑体" w:eastAsia="黑体"/>
          <w:b/>
          <w:bCs/>
          <w:color w:val="auto"/>
          <w:sz w:val="24"/>
          <w:highlight w:val="none"/>
        </w:rPr>
      </w:pPr>
      <w:r>
        <w:rPr>
          <w:rFonts w:hint="eastAsia" w:ascii="黑体" w:hAnsi="黑体" w:eastAsia="黑体"/>
          <w:b/>
          <w:bCs/>
          <w:color w:val="auto"/>
          <w:sz w:val="24"/>
          <w:highlight w:val="none"/>
        </w:rPr>
        <w:t>二、申请人的资格要求：</w:t>
      </w:r>
    </w:p>
    <w:p w14:paraId="408F340A">
      <w:pPr>
        <w:spacing w:line="480" w:lineRule="exact"/>
        <w:ind w:firstLine="420"/>
        <w:rPr>
          <w:rFonts w:ascii="宋体" w:hAnsi="宋体"/>
          <w:color w:val="auto"/>
          <w:szCs w:val="21"/>
          <w:highlight w:val="none"/>
        </w:rPr>
      </w:pPr>
      <w:r>
        <w:rPr>
          <w:rFonts w:hint="eastAsia" w:ascii="宋体" w:hAnsi="宋体"/>
          <w:color w:val="auto"/>
          <w:szCs w:val="21"/>
          <w:highlight w:val="none"/>
        </w:rPr>
        <w:t>1.满足《中华人民共和国政府采购法》第二十二条规定；</w:t>
      </w:r>
    </w:p>
    <w:p w14:paraId="07F0CA50">
      <w:pPr>
        <w:spacing w:line="480" w:lineRule="exact"/>
        <w:ind w:firstLine="420"/>
        <w:rPr>
          <w:rFonts w:hint="eastAsia"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.落实政府采购政策需满足的资格要求：</w:t>
      </w:r>
      <w:r>
        <w:rPr>
          <w:rFonts w:hint="eastAsia" w:ascii="宋体" w:hAnsi="宋体"/>
          <w:color w:val="auto"/>
          <w:szCs w:val="21"/>
          <w:highlight w:val="none"/>
          <w:lang w:val="en-US" w:eastAsia="zh-CN"/>
        </w:rPr>
        <w:t>本项目</w:t>
      </w:r>
      <w:r>
        <w:rPr>
          <w:rFonts w:hint="eastAsia" w:ascii="宋体" w:hAnsi="宋体"/>
          <w:color w:val="auto"/>
          <w:szCs w:val="21"/>
          <w:highlight w:val="none"/>
        </w:rPr>
        <w:t>专门面向中小</w:t>
      </w:r>
      <w:r>
        <w:rPr>
          <w:rFonts w:hint="eastAsia" w:ascii="宋体" w:hAnsi="宋体"/>
          <w:color w:val="auto"/>
          <w:szCs w:val="21"/>
          <w:highlight w:val="none"/>
          <w:lang w:val="en-US" w:eastAsia="zh-CN"/>
        </w:rPr>
        <w:t>微</w:t>
      </w:r>
      <w:r>
        <w:rPr>
          <w:rFonts w:hint="eastAsia" w:ascii="宋体" w:hAnsi="宋体"/>
          <w:color w:val="auto"/>
          <w:szCs w:val="21"/>
          <w:highlight w:val="none"/>
        </w:rPr>
        <w:t>企业采购，即在本</w:t>
      </w:r>
      <w:r>
        <w:rPr>
          <w:rFonts w:hint="eastAsia" w:ascii="宋体" w:hAnsi="宋体"/>
          <w:color w:val="auto"/>
          <w:szCs w:val="21"/>
          <w:highlight w:val="none"/>
          <w:lang w:val="en-US" w:eastAsia="zh-CN"/>
        </w:rPr>
        <w:t>项目</w:t>
      </w:r>
      <w:r>
        <w:rPr>
          <w:rFonts w:hint="eastAsia" w:ascii="宋体" w:hAnsi="宋体"/>
          <w:color w:val="auto"/>
          <w:szCs w:val="21"/>
          <w:highlight w:val="none"/>
        </w:rPr>
        <w:t>采购中（货物类），提供的货物全部由中小微企业【符合《政府采购促进中小企业发展管理办法》（财库〔2020〕46号）规定】或监狱企业【符合《财政部、司法部关于政府采购支持监狱企业发展有关问题的通知》（财库〔2014〕68号）规定】或残疾人福利性单位【符合《关于促进残疾人就业政府采购政策的通知》（财库〔2017〕141号）规定】制造。</w:t>
      </w:r>
    </w:p>
    <w:p w14:paraId="4D7582D1">
      <w:pPr>
        <w:spacing w:line="480" w:lineRule="exact"/>
        <w:ind w:firstLine="420"/>
        <w:rPr>
          <w:rFonts w:ascii="宋体" w:hAnsi="宋体"/>
          <w:color w:val="auto"/>
          <w:szCs w:val="21"/>
          <w:highlight w:val="none"/>
        </w:rPr>
      </w:pPr>
      <w:r>
        <w:rPr>
          <w:rFonts w:hint="eastAsia" w:ascii="宋体" w:hAnsi="宋体"/>
          <w:color w:val="auto"/>
          <w:szCs w:val="21"/>
          <w:highlight w:val="none"/>
        </w:rPr>
        <w:t>3.本项目的特定资格要求：无</w:t>
      </w:r>
      <w:r>
        <w:rPr>
          <w:rFonts w:hint="eastAsia" w:ascii="宋体" w:hAnsi="宋体"/>
          <w:iCs/>
          <w:color w:val="auto"/>
          <w:szCs w:val="21"/>
          <w:highlight w:val="none"/>
        </w:rPr>
        <w:t>。</w:t>
      </w:r>
    </w:p>
    <w:p w14:paraId="6A22F5C9">
      <w:pPr>
        <w:spacing w:line="480" w:lineRule="exact"/>
        <w:rPr>
          <w:rFonts w:ascii="黑体" w:hAnsi="黑体" w:eastAsia="黑体"/>
          <w:b/>
          <w:bCs/>
          <w:color w:val="auto"/>
          <w:sz w:val="24"/>
          <w:highlight w:val="none"/>
        </w:rPr>
      </w:pPr>
      <w:r>
        <w:rPr>
          <w:rFonts w:hint="eastAsia" w:ascii="黑体" w:hAnsi="黑体" w:eastAsia="黑体"/>
          <w:b/>
          <w:bCs/>
          <w:color w:val="auto"/>
          <w:sz w:val="24"/>
          <w:highlight w:val="none"/>
        </w:rPr>
        <w:t>三、获取招标文件</w:t>
      </w:r>
    </w:p>
    <w:p w14:paraId="10898F66">
      <w:pPr>
        <w:spacing w:line="480" w:lineRule="exact"/>
        <w:ind w:firstLine="540"/>
        <w:rPr>
          <w:rFonts w:ascii="宋体" w:hAnsi="宋体" w:cs="宋体"/>
          <w:bCs/>
          <w:color w:val="auto"/>
          <w:szCs w:val="21"/>
          <w:highlight w:val="none"/>
        </w:rPr>
      </w:pPr>
      <w:r>
        <w:rPr>
          <w:rFonts w:hint="eastAsia" w:ascii="宋体" w:hAnsi="宋体" w:cs="宋体"/>
          <w:bCs/>
          <w:color w:val="auto"/>
          <w:szCs w:val="21"/>
          <w:highlight w:val="none"/>
        </w:rPr>
        <w:t>时间：</w:t>
      </w:r>
      <w:r>
        <w:rPr>
          <w:rFonts w:ascii="宋体" w:hAnsi="宋体" w:cs="宋体"/>
          <w:bCs/>
          <w:color w:val="auto"/>
          <w:szCs w:val="21"/>
          <w:highlight w:val="none"/>
        </w:rPr>
        <w:t xml:space="preserve"> </w:t>
      </w:r>
      <w:r>
        <w:rPr>
          <w:rFonts w:ascii="宋体" w:hAnsi="宋体" w:cs="宋体"/>
          <w:bCs/>
          <w:color w:val="auto"/>
          <w:szCs w:val="21"/>
          <w:highlight w:val="none"/>
          <w:u w:val="single"/>
        </w:rPr>
        <w:t xml:space="preserve"> </w:t>
      </w:r>
      <w:r>
        <w:rPr>
          <w:rFonts w:hint="eastAsia" w:ascii="宋体" w:hAnsi="宋体" w:cs="宋体"/>
          <w:bCs/>
          <w:color w:val="auto"/>
          <w:szCs w:val="21"/>
          <w:highlight w:val="none"/>
          <w:u w:val="single"/>
        </w:rPr>
        <w:t>2026年</w:t>
      </w:r>
      <w:r>
        <w:rPr>
          <w:rFonts w:hint="eastAsia" w:ascii="宋体" w:hAnsi="宋体" w:cs="宋体"/>
          <w:bCs/>
          <w:color w:val="auto"/>
          <w:szCs w:val="21"/>
          <w:highlight w:val="none"/>
          <w:u w:val="single"/>
          <w:lang w:val="en-US" w:eastAsia="zh-CN"/>
        </w:rPr>
        <w:t>8</w:t>
      </w:r>
      <w:r>
        <w:rPr>
          <w:rFonts w:hint="eastAsia" w:ascii="宋体" w:hAnsi="宋体" w:cs="宋体"/>
          <w:bCs/>
          <w:color w:val="auto"/>
          <w:szCs w:val="21"/>
          <w:highlight w:val="none"/>
          <w:u w:val="single"/>
        </w:rPr>
        <w:t>月</w:t>
      </w:r>
      <w:r>
        <w:rPr>
          <w:rFonts w:hint="eastAsia" w:ascii="宋体" w:hAnsi="宋体" w:cs="宋体"/>
          <w:bCs/>
          <w:color w:val="auto"/>
          <w:szCs w:val="21"/>
          <w:highlight w:val="none"/>
          <w:u w:val="single"/>
          <w:lang w:val="en-US" w:eastAsia="zh-CN"/>
        </w:rPr>
        <w:t>18</w:t>
      </w:r>
      <w:r>
        <w:rPr>
          <w:rFonts w:hint="eastAsia" w:ascii="宋体" w:hAnsi="宋体" w:cs="宋体"/>
          <w:bCs/>
          <w:color w:val="auto"/>
          <w:szCs w:val="21"/>
          <w:highlight w:val="none"/>
          <w:u w:val="single"/>
        </w:rPr>
        <w:t>日</w:t>
      </w:r>
      <w:r>
        <w:rPr>
          <w:rFonts w:hint="eastAsia" w:ascii="宋体" w:hAnsi="宋体" w:cs="宋体"/>
          <w:bCs/>
          <w:color w:val="auto"/>
          <w:szCs w:val="21"/>
          <w:highlight w:val="none"/>
        </w:rPr>
        <w:t>至</w:t>
      </w:r>
      <w:r>
        <w:rPr>
          <w:rFonts w:hint="eastAsia" w:ascii="宋体" w:hAnsi="宋体" w:cs="宋体"/>
          <w:bCs/>
          <w:color w:val="auto"/>
          <w:szCs w:val="21"/>
          <w:highlight w:val="none"/>
          <w:u w:val="single"/>
        </w:rPr>
        <w:t>2026年</w:t>
      </w:r>
      <w:r>
        <w:rPr>
          <w:rFonts w:hint="eastAsia" w:ascii="宋体" w:hAnsi="宋体" w:cs="宋体"/>
          <w:bCs/>
          <w:color w:val="auto"/>
          <w:szCs w:val="21"/>
          <w:highlight w:val="none"/>
          <w:u w:val="single"/>
          <w:lang w:val="en-US" w:eastAsia="zh-CN"/>
        </w:rPr>
        <w:t>8</w:t>
      </w:r>
      <w:r>
        <w:rPr>
          <w:rFonts w:hint="eastAsia" w:ascii="宋体" w:hAnsi="宋体" w:cs="宋体"/>
          <w:bCs/>
          <w:color w:val="auto"/>
          <w:szCs w:val="21"/>
          <w:highlight w:val="none"/>
          <w:u w:val="single"/>
        </w:rPr>
        <w:t>月</w:t>
      </w:r>
      <w:r>
        <w:rPr>
          <w:rFonts w:hint="eastAsia" w:ascii="宋体" w:hAnsi="宋体" w:cs="宋体"/>
          <w:bCs/>
          <w:color w:val="auto"/>
          <w:szCs w:val="21"/>
          <w:highlight w:val="none"/>
          <w:u w:val="single"/>
          <w:lang w:val="en-US" w:eastAsia="zh-CN"/>
        </w:rPr>
        <w:t>25</w:t>
      </w:r>
      <w:r>
        <w:rPr>
          <w:rFonts w:hint="eastAsia" w:ascii="宋体" w:hAnsi="宋体" w:cs="宋体"/>
          <w:bCs/>
          <w:color w:val="auto"/>
          <w:szCs w:val="21"/>
          <w:highlight w:val="none"/>
          <w:u w:val="single"/>
        </w:rPr>
        <w:t>日</w:t>
      </w:r>
      <w:r>
        <w:rPr>
          <w:rFonts w:hint="eastAsia" w:ascii="宋体" w:hAnsi="宋体" w:cs="宋体"/>
          <w:bCs/>
          <w:color w:val="auto"/>
          <w:szCs w:val="21"/>
          <w:highlight w:val="none"/>
        </w:rPr>
        <w:t>，每天上午</w:t>
      </w:r>
      <w:r>
        <w:rPr>
          <w:rFonts w:hint="eastAsia" w:ascii="宋体" w:hAnsi="宋体" w:cs="宋体"/>
          <w:bCs/>
          <w:color w:val="auto"/>
          <w:szCs w:val="21"/>
          <w:highlight w:val="none"/>
          <w:u w:val="single"/>
        </w:rPr>
        <w:t>8：00至12：00　</w:t>
      </w:r>
      <w:r>
        <w:rPr>
          <w:rFonts w:hint="eastAsia" w:ascii="宋体" w:hAnsi="宋体" w:cs="宋体"/>
          <w:bCs/>
          <w:color w:val="auto"/>
          <w:szCs w:val="21"/>
          <w:highlight w:val="none"/>
        </w:rPr>
        <w:t>，</w:t>
      </w:r>
      <w:r>
        <w:rPr>
          <w:rFonts w:hint="eastAsia" w:ascii="宋体" w:hAnsi="宋体" w:cs="宋体"/>
          <w:bCs/>
          <w:color w:val="auto"/>
          <w:szCs w:val="21"/>
          <w:highlight w:val="none"/>
          <w:u w:val="single"/>
        </w:rPr>
        <w:t>下午3：00至6：00</w:t>
      </w:r>
      <w:r>
        <w:rPr>
          <w:rFonts w:hint="eastAsia" w:ascii="宋体" w:hAnsi="宋体" w:cs="宋体"/>
          <w:bCs/>
          <w:color w:val="auto"/>
          <w:szCs w:val="21"/>
          <w:highlight w:val="none"/>
        </w:rPr>
        <w:t>（北京时间，</w:t>
      </w:r>
      <w:r>
        <w:rPr>
          <w:rFonts w:ascii="宋体" w:hAnsi="宋体" w:cs="宋体"/>
          <w:bCs/>
          <w:color w:val="auto"/>
          <w:szCs w:val="21"/>
          <w:highlight w:val="none"/>
        </w:rPr>
        <w:t>法定节假日</w:t>
      </w:r>
      <w:r>
        <w:rPr>
          <w:rFonts w:hint="eastAsia" w:ascii="宋体" w:hAnsi="宋体" w:cs="宋体"/>
          <w:bCs/>
          <w:color w:val="auto"/>
          <w:szCs w:val="21"/>
          <w:highlight w:val="none"/>
        </w:rPr>
        <w:t>除外）</w:t>
      </w:r>
    </w:p>
    <w:p w14:paraId="67DD7888">
      <w:pPr>
        <w:spacing w:line="480" w:lineRule="exact"/>
        <w:ind w:firstLine="540"/>
        <w:rPr>
          <w:rFonts w:ascii="宋体" w:hAnsi="宋体" w:cs="宋体"/>
          <w:bCs/>
          <w:color w:val="auto"/>
          <w:szCs w:val="21"/>
          <w:highlight w:val="none"/>
        </w:rPr>
      </w:pPr>
      <w:r>
        <w:rPr>
          <w:rFonts w:hint="eastAsia" w:ascii="宋体" w:hAnsi="宋体" w:cs="宋体"/>
          <w:bCs/>
          <w:color w:val="auto"/>
          <w:szCs w:val="21"/>
          <w:highlight w:val="none"/>
        </w:rPr>
        <w:t>地点：</w:t>
      </w:r>
      <w:r>
        <w:rPr>
          <w:rFonts w:hint="eastAsia" w:ascii="宋体" w:hAnsi="宋体"/>
          <w:color w:val="auto"/>
          <w:szCs w:val="21"/>
          <w:highlight w:val="none"/>
        </w:rPr>
        <w:t>广西政府采购云平台（</w:t>
      </w:r>
      <w:r>
        <w:rPr>
          <w:rFonts w:hint="eastAsia" w:ascii="宋体" w:hAnsi="宋体"/>
          <w:bCs/>
          <w:color w:val="auto"/>
          <w:szCs w:val="21"/>
          <w:highlight w:val="none"/>
        </w:rPr>
        <w:t>https://www.gcy.zfcg.gxzf.gov.cn/</w:t>
      </w:r>
      <w:r>
        <w:rPr>
          <w:rFonts w:hint="eastAsia" w:ascii="宋体" w:hAnsi="宋体"/>
          <w:color w:val="auto"/>
          <w:szCs w:val="21"/>
          <w:highlight w:val="none"/>
        </w:rPr>
        <w:t>）</w:t>
      </w:r>
    </w:p>
    <w:p w14:paraId="4D92CAD3">
      <w:pPr>
        <w:spacing w:line="480" w:lineRule="exact"/>
        <w:ind w:firstLine="540"/>
        <w:rPr>
          <w:rFonts w:ascii="宋体" w:hAnsi="宋体" w:cs="宋体"/>
          <w:bCs/>
          <w:color w:val="auto"/>
          <w:szCs w:val="21"/>
          <w:highlight w:val="none"/>
        </w:rPr>
      </w:pPr>
      <w:r>
        <w:rPr>
          <w:rFonts w:hint="eastAsia" w:ascii="宋体" w:hAnsi="宋体" w:cs="宋体"/>
          <w:bCs/>
          <w:color w:val="auto"/>
          <w:szCs w:val="21"/>
          <w:highlight w:val="none"/>
        </w:rPr>
        <w:t>方式：网上下载。本项目不提供纸质文件，潜在供应商需在</w:t>
      </w:r>
      <w:r>
        <w:rPr>
          <w:rFonts w:hint="eastAsia" w:ascii="宋体" w:hAnsi="宋体"/>
          <w:color w:val="auto"/>
          <w:szCs w:val="21"/>
          <w:highlight w:val="none"/>
        </w:rPr>
        <w:t>广西政府采购云平台（</w:t>
      </w:r>
      <w:r>
        <w:rPr>
          <w:rFonts w:hint="eastAsia" w:ascii="宋体" w:hAnsi="宋体"/>
          <w:bCs/>
          <w:color w:val="auto"/>
          <w:szCs w:val="21"/>
          <w:highlight w:val="none"/>
        </w:rPr>
        <w:t>https://www.gcy.zfcg.gxzf.gov.cn/</w:t>
      </w:r>
      <w:r>
        <w:rPr>
          <w:rFonts w:hint="eastAsia" w:ascii="宋体" w:hAnsi="宋体"/>
          <w:color w:val="auto"/>
          <w:szCs w:val="21"/>
          <w:highlight w:val="none"/>
        </w:rPr>
        <w:t>）</w:t>
      </w:r>
      <w:r>
        <w:rPr>
          <w:rFonts w:hint="eastAsia" w:ascii="宋体" w:hAnsi="宋体" w:cs="宋体"/>
          <w:bCs/>
          <w:color w:val="auto"/>
          <w:szCs w:val="21"/>
          <w:highlight w:val="none"/>
        </w:rPr>
        <w:t>-进入“项目采购”应用，在获取招标文件菜单中选择项目，获取招标文件。</w:t>
      </w:r>
      <w:r>
        <w:rPr>
          <w:rFonts w:hint="eastAsia" w:ascii="宋体" w:hAnsi="宋体"/>
          <w:color w:val="auto"/>
          <w:szCs w:val="21"/>
          <w:highlight w:val="none"/>
        </w:rPr>
        <w:t>电子投标文件制作需要基于广西政府采购云平台获取的招标文件编制，</w:t>
      </w:r>
      <w:r>
        <w:rPr>
          <w:rFonts w:hint="eastAsia" w:ascii="宋体" w:hAnsi="宋体" w:cs="宋体"/>
          <w:bCs/>
          <w:color w:val="auto"/>
          <w:szCs w:val="21"/>
          <w:highlight w:val="none"/>
        </w:rPr>
        <w:t>通过其他方式获取招标文件的，将有可能导致供应商无法在</w:t>
      </w:r>
      <w:r>
        <w:rPr>
          <w:rFonts w:hint="eastAsia" w:ascii="宋体" w:hAnsi="宋体"/>
          <w:color w:val="auto"/>
          <w:szCs w:val="21"/>
          <w:highlight w:val="none"/>
        </w:rPr>
        <w:t>广西政府采购云平台</w:t>
      </w:r>
      <w:r>
        <w:rPr>
          <w:rFonts w:hint="eastAsia" w:ascii="宋体" w:hAnsi="宋体" w:cs="宋体"/>
          <w:bCs/>
          <w:color w:val="auto"/>
          <w:szCs w:val="21"/>
          <w:highlight w:val="none"/>
        </w:rPr>
        <w:t>编制及上传投标文件。</w:t>
      </w:r>
    </w:p>
    <w:p w14:paraId="5A034212">
      <w:pPr>
        <w:spacing w:line="480" w:lineRule="exact"/>
        <w:ind w:firstLine="540"/>
        <w:rPr>
          <w:rFonts w:ascii="宋体" w:hAnsi="宋体" w:cs="宋体"/>
          <w:color w:val="auto"/>
          <w:szCs w:val="21"/>
          <w:highlight w:val="none"/>
        </w:rPr>
      </w:pPr>
      <w:r>
        <w:rPr>
          <w:rFonts w:hint="eastAsia" w:ascii="宋体" w:hAnsi="宋体" w:cs="宋体"/>
          <w:bCs/>
          <w:color w:val="auto"/>
          <w:szCs w:val="21"/>
          <w:highlight w:val="none"/>
        </w:rPr>
        <w:t>售价：</w:t>
      </w:r>
      <w:r>
        <w:rPr>
          <w:rFonts w:hint="eastAsia" w:ascii="宋体" w:hAnsi="宋体" w:cs="宋体"/>
          <w:i w:val="0"/>
          <w:iCs/>
          <w:color w:val="auto"/>
          <w:szCs w:val="21"/>
          <w:highlight w:val="none"/>
          <w:u w:val="single"/>
        </w:rPr>
        <w:t>0</w:t>
      </w:r>
      <w:r>
        <w:rPr>
          <w:rFonts w:hint="eastAsia" w:ascii="宋体" w:hAnsi="宋体" w:cs="宋体"/>
          <w:i w:val="0"/>
          <w:iCs/>
          <w:color w:val="auto"/>
          <w:szCs w:val="21"/>
          <w:highlight w:val="none"/>
        </w:rPr>
        <w:t>元</w:t>
      </w:r>
    </w:p>
    <w:p w14:paraId="276D58B2">
      <w:pPr>
        <w:spacing w:line="480" w:lineRule="exact"/>
        <w:rPr>
          <w:rFonts w:ascii="黑体" w:hAnsi="黑体" w:eastAsia="黑体"/>
          <w:b/>
          <w:bCs/>
          <w:color w:val="auto"/>
          <w:sz w:val="24"/>
          <w:highlight w:val="none"/>
        </w:rPr>
      </w:pPr>
      <w:r>
        <w:rPr>
          <w:rFonts w:hint="eastAsia" w:ascii="黑体" w:hAnsi="黑体" w:eastAsia="黑体"/>
          <w:b/>
          <w:bCs/>
          <w:color w:val="auto"/>
          <w:sz w:val="24"/>
          <w:highlight w:val="none"/>
        </w:rPr>
        <w:t>四、提交投标文件截止时间、开标时间和地点</w:t>
      </w:r>
    </w:p>
    <w:p w14:paraId="64A9ED1D">
      <w:pPr>
        <w:spacing w:line="480" w:lineRule="exact"/>
        <w:ind w:firstLine="420"/>
        <w:rPr>
          <w:rFonts w:ascii="宋体" w:hAnsi="宋体" w:cs="宋体"/>
          <w:iCs/>
          <w:color w:val="auto"/>
          <w:szCs w:val="21"/>
          <w:highlight w:val="none"/>
          <w:u w:val="single"/>
        </w:rPr>
      </w:pPr>
      <w:r>
        <w:rPr>
          <w:rFonts w:hint="eastAsia" w:ascii="宋体" w:hAnsi="宋体"/>
          <w:color w:val="auto"/>
          <w:szCs w:val="21"/>
          <w:highlight w:val="none"/>
          <w:u w:val="single"/>
          <w:lang w:eastAsia="zh-CN"/>
        </w:rPr>
        <w:t>2026年</w:t>
      </w:r>
      <w:r>
        <w:rPr>
          <w:rFonts w:hint="eastAsia" w:ascii="宋体" w:hAnsi="宋体" w:cs="宋体"/>
          <w:bCs/>
          <w:color w:val="auto"/>
          <w:szCs w:val="21"/>
          <w:highlight w:val="none"/>
          <w:u w:val="single"/>
          <w:lang w:val="en-US" w:eastAsia="zh-CN"/>
        </w:rPr>
        <w:t>9</w:t>
      </w:r>
      <w:r>
        <w:rPr>
          <w:rFonts w:hint="eastAsia" w:ascii="宋体" w:hAnsi="宋体" w:cs="宋体"/>
          <w:bCs/>
          <w:color w:val="auto"/>
          <w:szCs w:val="21"/>
          <w:highlight w:val="none"/>
          <w:u w:val="single"/>
        </w:rPr>
        <w:t>月</w:t>
      </w:r>
      <w:r>
        <w:rPr>
          <w:rFonts w:hint="eastAsia" w:ascii="宋体" w:hAnsi="宋体" w:cs="宋体"/>
          <w:bCs/>
          <w:color w:val="auto"/>
          <w:szCs w:val="21"/>
          <w:highlight w:val="none"/>
          <w:u w:val="single"/>
          <w:lang w:val="en-US" w:eastAsia="zh-CN"/>
        </w:rPr>
        <w:t>9</w:t>
      </w:r>
      <w:r>
        <w:rPr>
          <w:rFonts w:hint="eastAsia" w:ascii="宋体" w:hAnsi="宋体"/>
          <w:color w:val="auto"/>
          <w:szCs w:val="21"/>
          <w:highlight w:val="none"/>
          <w:u w:val="single"/>
          <w:lang w:eastAsia="zh-CN"/>
        </w:rPr>
        <w:t>日</w:t>
      </w:r>
      <w:r>
        <w:rPr>
          <w:rFonts w:hint="eastAsia" w:ascii="宋体" w:hAnsi="宋体"/>
          <w:bCs/>
          <w:color w:val="auto"/>
          <w:szCs w:val="21"/>
          <w:highlight w:val="none"/>
          <w:u w:val="single"/>
        </w:rPr>
        <w:t>9时30分</w:t>
      </w:r>
      <w:r>
        <w:rPr>
          <w:rFonts w:hint="eastAsia" w:ascii="宋体" w:hAnsi="宋体"/>
          <w:bCs/>
          <w:color w:val="auto"/>
          <w:szCs w:val="21"/>
          <w:highlight w:val="none"/>
        </w:rPr>
        <w:t>（北京时间）</w:t>
      </w:r>
    </w:p>
    <w:p w14:paraId="21BD53F3">
      <w:pPr>
        <w:spacing w:line="480" w:lineRule="exact"/>
        <w:ind w:firstLine="420"/>
        <w:rPr>
          <w:rFonts w:ascii="宋体" w:hAnsi="宋体"/>
          <w:color w:val="auto"/>
          <w:szCs w:val="21"/>
          <w:highlight w:val="none"/>
        </w:rPr>
      </w:pPr>
      <w:r>
        <w:rPr>
          <w:rFonts w:hint="eastAsia" w:ascii="宋体" w:hAnsi="宋体"/>
          <w:color w:val="auto"/>
          <w:szCs w:val="21"/>
          <w:highlight w:val="none"/>
        </w:rPr>
        <w:t>地点：钦州市公共资源交易中心电子显示屏所安排的开标室（钦州市金海湾东大街8号，市政务服务中心三楼）</w:t>
      </w:r>
    </w:p>
    <w:p w14:paraId="2696FCC6">
      <w:pPr>
        <w:spacing w:line="480" w:lineRule="exact"/>
        <w:ind w:firstLine="420"/>
        <w:rPr>
          <w:rFonts w:ascii="宋体" w:hAnsi="宋体"/>
          <w:color w:val="auto"/>
          <w:szCs w:val="21"/>
          <w:highlight w:val="none"/>
        </w:rPr>
      </w:pPr>
      <w:r>
        <w:rPr>
          <w:rFonts w:hint="eastAsia" w:ascii="宋体" w:hAnsi="宋体"/>
          <w:color w:val="auto"/>
          <w:szCs w:val="21"/>
          <w:highlight w:val="none"/>
        </w:rPr>
        <w:t>投标地点：广西政府采购云平台（</w:t>
      </w:r>
      <w:r>
        <w:rPr>
          <w:rFonts w:hint="eastAsia" w:ascii="宋体" w:hAnsi="宋体"/>
          <w:bCs/>
          <w:color w:val="auto"/>
          <w:szCs w:val="21"/>
          <w:highlight w:val="none"/>
        </w:rPr>
        <w:t>https://www.gcy.zfcg.gxzf.gov.cn/</w:t>
      </w:r>
      <w:r>
        <w:rPr>
          <w:rFonts w:hint="eastAsia" w:ascii="宋体" w:hAnsi="宋体"/>
          <w:color w:val="auto"/>
          <w:szCs w:val="21"/>
          <w:highlight w:val="none"/>
        </w:rPr>
        <w:t>）</w:t>
      </w:r>
    </w:p>
    <w:p w14:paraId="752A054F">
      <w:pPr>
        <w:spacing w:line="480" w:lineRule="exact"/>
        <w:ind w:firstLine="420"/>
        <w:rPr>
          <w:rFonts w:ascii="宋体" w:hAnsi="宋体"/>
          <w:color w:val="auto"/>
          <w:szCs w:val="21"/>
          <w:highlight w:val="none"/>
        </w:rPr>
      </w:pPr>
      <w:r>
        <w:rPr>
          <w:rFonts w:hint="eastAsia" w:ascii="宋体" w:hAnsi="宋体"/>
          <w:color w:val="auto"/>
          <w:szCs w:val="21"/>
          <w:highlight w:val="none"/>
        </w:rPr>
        <w:t>开标地点：广西政府采购云平台电子开标大厅</w:t>
      </w:r>
    </w:p>
    <w:p w14:paraId="5CD32E94">
      <w:pPr>
        <w:spacing w:line="480" w:lineRule="exact"/>
        <w:rPr>
          <w:rFonts w:ascii="黑体" w:hAnsi="黑体" w:eastAsia="黑体"/>
          <w:b/>
          <w:bCs/>
          <w:color w:val="auto"/>
          <w:sz w:val="24"/>
          <w:highlight w:val="none"/>
        </w:rPr>
      </w:pPr>
      <w:r>
        <w:rPr>
          <w:rFonts w:hint="eastAsia" w:ascii="黑体" w:hAnsi="黑体" w:eastAsia="黑体"/>
          <w:b/>
          <w:bCs/>
          <w:color w:val="auto"/>
          <w:sz w:val="24"/>
          <w:highlight w:val="none"/>
        </w:rPr>
        <w:t>五、公告期限</w:t>
      </w:r>
    </w:p>
    <w:p w14:paraId="1A38F1F7">
      <w:pPr>
        <w:spacing w:line="480" w:lineRule="exact"/>
        <w:ind w:firstLine="420"/>
        <w:rPr>
          <w:rFonts w:ascii="宋体" w:hAnsi="宋体" w:cs="宋体"/>
          <w:color w:val="auto"/>
          <w:szCs w:val="21"/>
          <w:highlight w:val="none"/>
        </w:rPr>
      </w:pPr>
      <w:r>
        <w:rPr>
          <w:rFonts w:hint="eastAsia" w:ascii="宋体" w:hAnsi="宋体" w:cs="宋体"/>
          <w:color w:val="auto"/>
          <w:szCs w:val="21"/>
          <w:highlight w:val="none"/>
        </w:rPr>
        <w:t>自本公告发布之日起5个工作日。</w:t>
      </w:r>
    </w:p>
    <w:p w14:paraId="529A7DD9">
      <w:pPr>
        <w:spacing w:line="480" w:lineRule="exact"/>
        <w:rPr>
          <w:rFonts w:ascii="黑体" w:hAnsi="黑体" w:eastAsia="黑体"/>
          <w:b/>
          <w:bCs/>
          <w:color w:val="auto"/>
          <w:sz w:val="24"/>
          <w:highlight w:val="none"/>
        </w:rPr>
      </w:pPr>
      <w:r>
        <w:rPr>
          <w:rFonts w:hint="eastAsia" w:ascii="黑体" w:hAnsi="黑体" w:eastAsia="黑体"/>
          <w:b/>
          <w:bCs/>
          <w:color w:val="auto"/>
          <w:sz w:val="24"/>
          <w:highlight w:val="none"/>
        </w:rPr>
        <w:t>六、其他补充事宜</w:t>
      </w:r>
    </w:p>
    <w:p w14:paraId="64ADB229">
      <w:pPr>
        <w:spacing w:line="480" w:lineRule="exact"/>
        <w:ind w:firstLine="420"/>
        <w:rPr>
          <w:rFonts w:ascii="宋体" w:hAnsi="宋体" w:cs="宋体"/>
          <w:color w:val="auto"/>
          <w:szCs w:val="21"/>
          <w:highlight w:val="none"/>
        </w:rPr>
      </w:pPr>
      <w:r>
        <w:rPr>
          <w:rFonts w:hint="eastAsia" w:ascii="宋体" w:hAnsi="宋体" w:cs="宋体"/>
          <w:color w:val="auto"/>
          <w:szCs w:val="21"/>
          <w:highlight w:val="none"/>
        </w:rPr>
        <w:t>1.网上查询地址</w:t>
      </w:r>
    </w:p>
    <w:p w14:paraId="414A3FE4">
      <w:pPr>
        <w:keepNext w:val="0"/>
        <w:keepLines w:val="0"/>
        <w:pageBreakBefore w:val="0"/>
        <w:widowControl w:val="0"/>
        <w:kinsoku/>
        <w:wordWrap w:val="0"/>
        <w:overflowPunct/>
        <w:topLinePunct w:val="0"/>
        <w:autoSpaceDE/>
        <w:autoSpaceDN/>
        <w:bidi w:val="0"/>
        <w:adjustRightInd/>
        <w:snapToGrid/>
        <w:spacing w:line="480" w:lineRule="exact"/>
        <w:ind w:firstLine="425"/>
        <w:textAlignment w:val="auto"/>
        <w:rPr>
          <w:rFonts w:ascii="宋体" w:hAnsi="宋体" w:cs="宋体"/>
          <w:color w:val="auto"/>
          <w:szCs w:val="21"/>
          <w:highlight w:val="none"/>
        </w:rPr>
      </w:pPr>
      <w:r>
        <w:rPr>
          <w:rFonts w:hint="eastAsia" w:ascii="宋体" w:hAnsi="宋体" w:cs="宋体"/>
          <w:color w:val="auto"/>
          <w:szCs w:val="21"/>
          <w:highlight w:val="none"/>
        </w:rPr>
        <w:t>http://www.ccgp.gov.cn（中国政府采购网）、http://zfcg.gxzf.gov.cn（广西壮族自治区政府采购网）、全国公共资源交易平台(广西.钦州)（http://ggzy.jgswj.gxzf.gov.cn/qzggzy/）</w:t>
      </w:r>
    </w:p>
    <w:p w14:paraId="27848426">
      <w:pPr>
        <w:spacing w:line="480" w:lineRule="exact"/>
        <w:ind w:firstLine="424"/>
        <w:rPr>
          <w:rFonts w:ascii="宋体" w:hAnsi="宋体" w:cs="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w:t>
      </w:r>
      <w:r>
        <w:rPr>
          <w:rFonts w:hint="eastAsia" w:ascii="宋体" w:hAnsi="宋体" w:cs="宋体"/>
          <w:color w:val="auto"/>
          <w:szCs w:val="21"/>
          <w:highlight w:val="none"/>
        </w:rPr>
        <w:t>本项目需要落实的政府采购政策</w:t>
      </w:r>
    </w:p>
    <w:p w14:paraId="29841631">
      <w:pPr>
        <w:spacing w:line="480" w:lineRule="exact"/>
        <w:ind w:firstLine="420"/>
        <w:rPr>
          <w:rFonts w:ascii="宋体" w:hAnsi="宋体" w:cs="宋体"/>
          <w:iCs/>
          <w:color w:val="auto"/>
          <w:szCs w:val="21"/>
          <w:highlight w:val="none"/>
        </w:rPr>
      </w:pPr>
      <w:r>
        <w:rPr>
          <w:rFonts w:hint="eastAsia" w:ascii="宋体" w:hAnsi="宋体" w:cs="宋体"/>
          <w:iCs/>
          <w:color w:val="auto"/>
          <w:szCs w:val="21"/>
          <w:highlight w:val="none"/>
        </w:rPr>
        <w:t>（1）政府采购促进中小企业发展。</w:t>
      </w:r>
    </w:p>
    <w:p w14:paraId="682B1A5C">
      <w:pPr>
        <w:spacing w:line="480" w:lineRule="exact"/>
        <w:ind w:firstLine="420"/>
        <w:rPr>
          <w:rFonts w:ascii="宋体" w:hAnsi="宋体" w:cs="宋体"/>
          <w:iCs/>
          <w:color w:val="auto"/>
          <w:szCs w:val="21"/>
          <w:highlight w:val="none"/>
        </w:rPr>
      </w:pPr>
      <w:r>
        <w:rPr>
          <w:rFonts w:hint="eastAsia" w:ascii="宋体" w:hAnsi="宋体" w:cs="宋体"/>
          <w:iCs/>
          <w:color w:val="auto"/>
          <w:szCs w:val="21"/>
          <w:highlight w:val="none"/>
        </w:rPr>
        <w:t>（2）政府采购支持采用本国产品的政策。</w:t>
      </w:r>
    </w:p>
    <w:p w14:paraId="05593C84">
      <w:pPr>
        <w:spacing w:line="480" w:lineRule="exact"/>
        <w:ind w:firstLine="420"/>
        <w:rPr>
          <w:rFonts w:ascii="宋体" w:hAnsi="宋体" w:cs="宋体"/>
          <w:iCs/>
          <w:color w:val="auto"/>
          <w:szCs w:val="21"/>
          <w:highlight w:val="none"/>
        </w:rPr>
      </w:pPr>
      <w:r>
        <w:rPr>
          <w:rFonts w:hint="eastAsia" w:ascii="宋体" w:hAnsi="宋体" w:cs="宋体"/>
          <w:iCs/>
          <w:color w:val="auto"/>
          <w:szCs w:val="21"/>
          <w:highlight w:val="none"/>
        </w:rPr>
        <w:t>（3）强制采购节能产品；优先采购节能产品、环境标志产品。</w:t>
      </w:r>
    </w:p>
    <w:p w14:paraId="52FD3B86">
      <w:pPr>
        <w:spacing w:line="480" w:lineRule="exact"/>
        <w:ind w:firstLine="420"/>
        <w:rPr>
          <w:rFonts w:ascii="宋体" w:hAnsi="宋体" w:cs="宋体"/>
          <w:iCs/>
          <w:color w:val="auto"/>
          <w:szCs w:val="21"/>
          <w:highlight w:val="none"/>
        </w:rPr>
      </w:pPr>
      <w:r>
        <w:rPr>
          <w:rFonts w:hint="eastAsia" w:ascii="宋体" w:hAnsi="宋体" w:cs="宋体"/>
          <w:iCs/>
          <w:color w:val="auto"/>
          <w:szCs w:val="21"/>
          <w:highlight w:val="none"/>
        </w:rPr>
        <w:t>（4）政府采购促进残疾人就业政策。</w:t>
      </w:r>
    </w:p>
    <w:p w14:paraId="1329CAD7">
      <w:pPr>
        <w:spacing w:line="480" w:lineRule="exact"/>
        <w:ind w:firstLine="420"/>
        <w:rPr>
          <w:rFonts w:ascii="宋体" w:hAnsi="宋体" w:cs="宋体"/>
          <w:iCs/>
          <w:color w:val="auto"/>
          <w:szCs w:val="21"/>
          <w:highlight w:val="none"/>
        </w:rPr>
      </w:pPr>
      <w:r>
        <w:rPr>
          <w:rFonts w:hint="eastAsia" w:ascii="宋体" w:hAnsi="宋体" w:cs="宋体"/>
          <w:iCs/>
          <w:color w:val="auto"/>
          <w:szCs w:val="21"/>
          <w:highlight w:val="none"/>
        </w:rPr>
        <w:t>（5）政府采购支持监狱企业发展。</w:t>
      </w:r>
    </w:p>
    <w:p w14:paraId="7C1C1D1C">
      <w:pPr>
        <w:widowControl/>
        <w:spacing w:line="480" w:lineRule="exact"/>
        <w:ind w:firstLine="420"/>
        <w:jc w:val="left"/>
        <w:rPr>
          <w:rFonts w:ascii="宋体" w:hAnsi="宋体"/>
          <w:color w:val="auto"/>
          <w:szCs w:val="21"/>
          <w:highlight w:val="none"/>
        </w:rPr>
      </w:pPr>
      <w:r>
        <w:rPr>
          <w:rFonts w:hint="eastAsia" w:ascii="宋体" w:hAnsi="宋体" w:cs="宋体"/>
          <w:color w:val="auto"/>
          <w:szCs w:val="21"/>
          <w:highlight w:val="none"/>
        </w:rPr>
        <w:t>3.投标人</w:t>
      </w:r>
      <w:r>
        <w:rPr>
          <w:rFonts w:hint="eastAsia" w:ascii="宋体" w:hAnsi="宋体"/>
          <w:color w:val="auto"/>
          <w:szCs w:val="21"/>
          <w:highlight w:val="none"/>
        </w:rPr>
        <w:t>投标注意事项</w:t>
      </w:r>
    </w:p>
    <w:p w14:paraId="0AE58A89">
      <w:pPr>
        <w:widowControl/>
        <w:spacing w:line="480" w:lineRule="exact"/>
        <w:ind w:firstLine="420"/>
        <w:jc w:val="left"/>
        <w:rPr>
          <w:rFonts w:ascii="宋体" w:hAnsi="宋体"/>
          <w:color w:val="auto"/>
          <w:szCs w:val="21"/>
          <w:highlight w:val="none"/>
        </w:rPr>
      </w:pPr>
      <w:r>
        <w:rPr>
          <w:rFonts w:hint="eastAsia" w:ascii="宋体" w:hAnsi="宋体"/>
          <w:color w:val="auto"/>
          <w:szCs w:val="21"/>
          <w:highlight w:val="none"/>
        </w:rPr>
        <w:t>（1）本项目为全流程电子化采购项目，通过广西政府采购云平台（</w:t>
      </w:r>
      <w:r>
        <w:rPr>
          <w:rFonts w:hint="eastAsia" w:ascii="宋体" w:hAnsi="宋体"/>
          <w:bCs/>
          <w:color w:val="auto"/>
          <w:szCs w:val="21"/>
          <w:highlight w:val="none"/>
        </w:rPr>
        <w:t>https://www.gcy.zfcg.gxzf.gov.cn/</w:t>
      </w:r>
      <w:r>
        <w:rPr>
          <w:rFonts w:hint="eastAsia" w:ascii="宋体" w:hAnsi="宋体"/>
          <w:color w:val="auto"/>
          <w:szCs w:val="21"/>
          <w:highlight w:val="none"/>
        </w:rPr>
        <w:t>）实行在线电子投标，投标人应按照本项目招标文件和广西政府采购云平台的要求编制、加密后在投标截止时间前通过网络上传至广西政府采购云平台（加密的电子投标文件是指</w:t>
      </w:r>
      <w:r>
        <w:rPr>
          <w:rFonts w:hint="eastAsia"/>
          <w:color w:val="auto"/>
          <w:highlight w:val="none"/>
        </w:rPr>
        <w:t>后缀名为“</w:t>
      </w:r>
      <w:r>
        <w:rPr>
          <w:color w:val="auto"/>
          <w:highlight w:val="none"/>
        </w:rPr>
        <w:t>jmbs</w:t>
      </w:r>
      <w:r>
        <w:rPr>
          <w:rFonts w:hint="eastAsia"/>
          <w:color w:val="auto"/>
          <w:highlight w:val="none"/>
        </w:rPr>
        <w:t>”的文件</w:t>
      </w:r>
      <w:r>
        <w:rPr>
          <w:rFonts w:hint="eastAsia" w:ascii="宋体" w:hAnsi="宋体"/>
          <w:color w:val="auto"/>
          <w:szCs w:val="21"/>
          <w:highlight w:val="none"/>
        </w:rPr>
        <w:t>），</w:t>
      </w:r>
      <w:r>
        <w:rPr>
          <w:rFonts w:hint="eastAsia" w:ascii="宋体" w:hAnsi="宋体"/>
          <w:b/>
          <w:color w:val="auto"/>
          <w:szCs w:val="21"/>
          <w:highlight w:val="none"/>
        </w:rPr>
        <w:t>投标人在广西政府采购云平台提交电子投标文件时，请填写参加远程开标活动经办人联系方式。</w:t>
      </w:r>
      <w:r>
        <w:rPr>
          <w:rFonts w:hint="eastAsia" w:ascii="宋体" w:hAnsi="宋体"/>
          <w:color w:val="auto"/>
          <w:szCs w:val="21"/>
          <w:highlight w:val="none"/>
        </w:rPr>
        <w:t>投标人登录广西政府采购云平台，依次进入“服务中心-项目采购-操作流程-电子招投标-</w:t>
      </w:r>
      <w:r>
        <w:rPr>
          <w:rFonts w:hint="eastAsia"/>
          <w:color w:val="auto"/>
          <w:highlight w:val="none"/>
        </w:rPr>
        <w:t>政府采购项目电子交易管理操作指南</w:t>
      </w:r>
      <w:r>
        <w:rPr>
          <w:color w:val="auto"/>
          <w:highlight w:val="none"/>
        </w:rPr>
        <w:t>-</w:t>
      </w:r>
      <w:r>
        <w:rPr>
          <w:rFonts w:hint="eastAsia"/>
          <w:color w:val="auto"/>
          <w:highlight w:val="none"/>
        </w:rPr>
        <w:t>供应商</w:t>
      </w:r>
      <w:r>
        <w:rPr>
          <w:rFonts w:hint="eastAsia" w:ascii="宋体" w:hAnsi="宋体"/>
          <w:color w:val="auto"/>
          <w:szCs w:val="21"/>
          <w:highlight w:val="none"/>
        </w:rPr>
        <w:t>”查看电子投标具体操作流程。</w:t>
      </w:r>
    </w:p>
    <w:p w14:paraId="6CFCDC64">
      <w:pPr>
        <w:widowControl/>
        <w:spacing w:line="480" w:lineRule="exact"/>
        <w:ind w:firstLine="420"/>
        <w:jc w:val="left"/>
        <w:rPr>
          <w:rFonts w:ascii="宋体" w:hAnsi="宋体"/>
          <w:color w:val="auto"/>
          <w:szCs w:val="21"/>
          <w:highlight w:val="none"/>
        </w:rPr>
      </w:pPr>
      <w:r>
        <w:rPr>
          <w:rFonts w:hint="eastAsia" w:ascii="宋体" w:hAnsi="宋体"/>
          <w:color w:val="auto"/>
          <w:szCs w:val="21"/>
          <w:highlight w:val="none"/>
        </w:rPr>
        <w:t>（2）未进行网上注册并办理数字证书（CA认证）的投标人将无法参与本项目政府采购活动，投标人应当在投标截止时间前，完成电子交易平台上的CA数字证书办理及投标文件的提交（投标人可登录“广西政府采购网”，依次进入“办事服务-下载专区”或者登录广西政府采购云平台</w:t>
      </w:r>
      <w:r>
        <w:rPr>
          <w:rFonts w:hint="eastAsia" w:ascii="宋体" w:hAnsi="宋体" w:cs="宋体"/>
          <w:color w:val="auto"/>
          <w:szCs w:val="21"/>
          <w:highlight w:val="none"/>
        </w:rPr>
        <w:t>，</w:t>
      </w:r>
      <w:r>
        <w:rPr>
          <w:rFonts w:hint="eastAsia" w:ascii="宋体" w:hAnsi="宋体"/>
          <w:color w:val="auto"/>
          <w:szCs w:val="21"/>
          <w:highlight w:val="none"/>
        </w:rPr>
        <w:t>依次进入“服务中心-入驻与配置”中查看CA数字证书办理操作流程。</w:t>
      </w:r>
      <w:r>
        <w:rPr>
          <w:rFonts w:hint="eastAsia" w:ascii="宋体" w:hAnsi="宋体" w:cs="宋体"/>
          <w:bCs/>
          <w:color w:val="auto"/>
          <w:szCs w:val="21"/>
          <w:highlight w:val="none"/>
        </w:rPr>
        <w:t>如在操作过程中遇到问题或者需要技术支持，请致电客服热线：95763或者0771-3381253</w:t>
      </w:r>
      <w:r>
        <w:rPr>
          <w:rFonts w:hint="eastAsia" w:ascii="宋体" w:hAnsi="宋体"/>
          <w:color w:val="auto"/>
          <w:szCs w:val="21"/>
          <w:highlight w:val="none"/>
        </w:rPr>
        <w:t>）。</w:t>
      </w:r>
    </w:p>
    <w:p w14:paraId="20CA90FD">
      <w:pPr>
        <w:spacing w:line="480" w:lineRule="exact"/>
        <w:ind w:firstLine="420"/>
        <w:rPr>
          <w:rFonts w:ascii="宋体" w:hAnsi="宋体" w:cs="宋体"/>
          <w:color w:val="auto"/>
          <w:szCs w:val="21"/>
          <w:highlight w:val="none"/>
        </w:rPr>
      </w:pPr>
      <w:r>
        <w:rPr>
          <w:rFonts w:hint="eastAsia" w:ascii="宋体" w:hAnsi="宋体" w:cs="宋体"/>
          <w:color w:val="auto"/>
          <w:szCs w:val="21"/>
          <w:highlight w:val="none"/>
        </w:rPr>
        <w:t>（3）CA证书在线解密：投标人投标时，需凭制作投标文件时用来加密的有效数字证书（CA认证）登录</w:t>
      </w:r>
      <w:r>
        <w:rPr>
          <w:rFonts w:hint="eastAsia" w:ascii="宋体" w:hAnsi="宋体"/>
          <w:color w:val="auto"/>
          <w:szCs w:val="21"/>
          <w:highlight w:val="none"/>
        </w:rPr>
        <w:t>广西政府采购云平台</w:t>
      </w:r>
      <w:r>
        <w:rPr>
          <w:rFonts w:hint="eastAsia" w:ascii="宋体" w:hAnsi="宋体" w:cs="宋体"/>
          <w:color w:val="auto"/>
          <w:szCs w:val="21"/>
          <w:highlight w:val="none"/>
        </w:rPr>
        <w:t>电子开标大厅现场按规定时间对加密的投标文件进行解密，否则后果自负。</w:t>
      </w:r>
    </w:p>
    <w:p w14:paraId="00502EBC">
      <w:pPr>
        <w:spacing w:line="480" w:lineRule="exact"/>
        <w:ind w:firstLine="424"/>
        <w:rPr>
          <w:rFonts w:ascii="宋体" w:hAnsi="宋体"/>
          <w:bCs/>
          <w:color w:val="auto"/>
          <w:szCs w:val="21"/>
          <w:highlight w:val="none"/>
        </w:rPr>
      </w:pPr>
      <w:r>
        <w:rPr>
          <w:rFonts w:hint="eastAsia" w:ascii="宋体" w:hAnsi="宋体"/>
          <w:color w:val="auto"/>
          <w:szCs w:val="21"/>
          <w:highlight w:val="none"/>
        </w:rPr>
        <w:t>注：1）为确保网上操作合法、有效和安全，请投标人确保在电子投标过程中能够对相关数据电文进行加密和使用电子签章，妥善保管CA数字证书并使用有效的CA数字证书参与整个招标活动。2）</w:t>
      </w:r>
      <w:r>
        <w:rPr>
          <w:rFonts w:hint="eastAsia" w:ascii="宋体" w:hAnsi="宋体"/>
          <w:bCs/>
          <w:color w:val="auto"/>
          <w:szCs w:val="21"/>
          <w:highlight w:val="none"/>
        </w:rPr>
        <w:t>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w:t>
      </w:r>
      <w:r>
        <w:rPr>
          <w:rFonts w:hint="eastAsia" w:ascii="宋体" w:hAnsi="宋体"/>
          <w:color w:val="auto"/>
          <w:szCs w:val="21"/>
          <w:highlight w:val="none"/>
        </w:rPr>
        <w:t>广西政府采购云平台</w:t>
      </w:r>
      <w:r>
        <w:rPr>
          <w:rFonts w:hint="eastAsia" w:ascii="宋体" w:hAnsi="宋体"/>
          <w:bCs/>
          <w:color w:val="auto"/>
          <w:szCs w:val="21"/>
          <w:highlight w:val="none"/>
        </w:rPr>
        <w:t>将予以拒收。</w:t>
      </w:r>
    </w:p>
    <w:p w14:paraId="55B7CBAA">
      <w:pPr>
        <w:spacing w:line="480" w:lineRule="exact"/>
        <w:ind w:firstLine="420"/>
        <w:rPr>
          <w:rFonts w:ascii="宋体" w:hAnsi="宋体"/>
          <w:bCs/>
          <w:color w:val="auto"/>
          <w:szCs w:val="21"/>
          <w:highlight w:val="none"/>
        </w:rPr>
      </w:pPr>
      <w:r>
        <w:rPr>
          <w:rFonts w:hint="eastAsia" w:ascii="宋体" w:hAnsi="宋体"/>
          <w:bCs/>
          <w:color w:val="auto"/>
          <w:szCs w:val="21"/>
          <w:highlight w:val="none"/>
        </w:rPr>
        <w:t>4.交易服务单位：钦州市公共资源交易中心；联系电话：0777-2558900。</w:t>
      </w:r>
    </w:p>
    <w:p w14:paraId="7C36344E">
      <w:pPr>
        <w:spacing w:line="480" w:lineRule="exact"/>
        <w:ind w:firstLine="420"/>
        <w:rPr>
          <w:rFonts w:ascii="宋体" w:hAnsi="宋体"/>
          <w:bCs/>
          <w:color w:val="auto"/>
          <w:szCs w:val="21"/>
          <w:highlight w:val="none"/>
        </w:rPr>
      </w:pPr>
      <w:r>
        <w:rPr>
          <w:rFonts w:hint="eastAsia" w:ascii="宋体" w:hAnsi="宋体"/>
          <w:bCs/>
          <w:color w:val="auto"/>
          <w:szCs w:val="21"/>
          <w:highlight w:val="none"/>
        </w:rPr>
        <w:t>5.监督部门：钦州市财政局政府采购监督管理科；联系电话：0777-2895258。</w:t>
      </w:r>
    </w:p>
    <w:p w14:paraId="6B33A04E">
      <w:pPr>
        <w:spacing w:line="480" w:lineRule="exact"/>
        <w:ind w:firstLine="482"/>
        <w:rPr>
          <w:rFonts w:hint="eastAsia" w:ascii="黑体" w:hAnsi="黑体" w:eastAsia="黑体"/>
          <w:b/>
          <w:bCs/>
          <w:color w:val="auto"/>
          <w:sz w:val="24"/>
          <w:highlight w:val="none"/>
        </w:rPr>
      </w:pPr>
      <w:r>
        <w:rPr>
          <w:rFonts w:hint="eastAsia" w:ascii="黑体" w:hAnsi="黑体" w:eastAsia="黑体"/>
          <w:b/>
          <w:bCs/>
          <w:color w:val="auto"/>
          <w:sz w:val="24"/>
          <w:highlight w:val="none"/>
        </w:rPr>
        <w:t>七、对本次招标提出询问，请按</w:t>
      </w:r>
      <w:r>
        <w:rPr>
          <w:rFonts w:ascii="黑体" w:hAnsi="黑体" w:eastAsia="黑体"/>
          <w:b/>
          <w:bCs/>
          <w:color w:val="auto"/>
          <w:sz w:val="24"/>
          <w:highlight w:val="none"/>
        </w:rPr>
        <w:t>以下方式</w:t>
      </w:r>
      <w:r>
        <w:rPr>
          <w:rFonts w:hint="eastAsia" w:ascii="黑体" w:hAnsi="黑体" w:eastAsia="黑体"/>
          <w:b/>
          <w:bCs/>
          <w:color w:val="auto"/>
          <w:sz w:val="24"/>
          <w:highlight w:val="none"/>
        </w:rPr>
        <w:t>联系。</w:t>
      </w:r>
    </w:p>
    <w:p w14:paraId="104DB3F2">
      <w:pPr>
        <w:spacing w:line="480" w:lineRule="exact"/>
        <w:ind w:firstLine="482"/>
        <w:rPr>
          <w:rFonts w:ascii="宋体" w:hAnsi="宋体" w:cs="宋体"/>
          <w:color w:val="auto"/>
          <w:szCs w:val="21"/>
          <w:highlight w:val="none"/>
        </w:rPr>
      </w:pPr>
      <w:r>
        <w:rPr>
          <w:rFonts w:hint="eastAsia" w:ascii="宋体" w:hAnsi="宋体" w:cs="宋体"/>
          <w:color w:val="auto"/>
          <w:szCs w:val="21"/>
          <w:highlight w:val="none"/>
        </w:rPr>
        <w:t>1.采购人信息</w:t>
      </w:r>
    </w:p>
    <w:p w14:paraId="75BB6683">
      <w:pPr>
        <w:spacing w:line="480" w:lineRule="exact"/>
        <w:ind w:firstLine="420"/>
        <w:rPr>
          <w:rFonts w:ascii="宋体" w:hAnsi="宋体" w:cs="宋体"/>
          <w:color w:val="auto"/>
          <w:szCs w:val="21"/>
          <w:highlight w:val="none"/>
        </w:rPr>
      </w:pPr>
      <w:r>
        <w:rPr>
          <w:rFonts w:hint="eastAsia" w:ascii="宋体" w:hAnsi="宋体" w:cs="宋体"/>
          <w:color w:val="auto"/>
          <w:szCs w:val="21"/>
          <w:highlight w:val="none"/>
        </w:rPr>
        <w:t>名 称：</w:t>
      </w:r>
      <w:r>
        <w:rPr>
          <w:rFonts w:hint="eastAsia" w:ascii="宋体" w:hAnsi="宋体" w:cs="宋体"/>
          <w:color w:val="auto"/>
          <w:szCs w:val="21"/>
          <w:highlight w:val="none"/>
          <w:lang w:eastAsia="zh-CN"/>
        </w:rPr>
        <w:t>钦州市检验检测中心</w:t>
      </w:r>
      <w:r>
        <w:rPr>
          <w:rFonts w:hint="eastAsia" w:ascii="宋体" w:hAnsi="宋体" w:cs="宋体"/>
          <w:color w:val="auto"/>
          <w:szCs w:val="21"/>
          <w:highlight w:val="none"/>
        </w:rPr>
        <w:t>　</w:t>
      </w:r>
    </w:p>
    <w:p w14:paraId="369C548B">
      <w:pPr>
        <w:spacing w:line="480" w:lineRule="exact"/>
        <w:ind w:firstLine="420"/>
        <w:rPr>
          <w:rFonts w:ascii="宋体" w:hAnsi="宋体" w:cs="宋体"/>
          <w:color w:val="auto"/>
          <w:szCs w:val="21"/>
          <w:highlight w:val="none"/>
        </w:rPr>
      </w:pPr>
      <w:r>
        <w:rPr>
          <w:rFonts w:hint="eastAsia" w:ascii="宋体" w:hAnsi="宋体" w:cs="宋体"/>
          <w:color w:val="auto"/>
          <w:szCs w:val="21"/>
          <w:highlight w:val="none"/>
        </w:rPr>
        <w:t>地 址：钦州市小江二街69号 　</w:t>
      </w:r>
    </w:p>
    <w:p w14:paraId="512FE1B9">
      <w:pPr>
        <w:spacing w:line="480" w:lineRule="exact"/>
        <w:ind w:firstLine="420"/>
        <w:rPr>
          <w:rFonts w:ascii="宋体" w:hAnsi="宋体" w:cs="宋体"/>
          <w:color w:val="auto"/>
          <w:szCs w:val="21"/>
          <w:highlight w:val="none"/>
        </w:rPr>
      </w:pPr>
      <w:r>
        <w:rPr>
          <w:rFonts w:hint="eastAsia" w:ascii="宋体" w:hAnsi="宋体" w:cs="宋体"/>
          <w:color w:val="auto"/>
          <w:szCs w:val="21"/>
          <w:highlight w:val="none"/>
        </w:rPr>
        <w:t>联系方式：黄艳萍</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15277777035</w:t>
      </w:r>
    </w:p>
    <w:p w14:paraId="6CBA3FA8">
      <w:pPr>
        <w:spacing w:line="480" w:lineRule="exact"/>
        <w:ind w:firstLine="420"/>
        <w:rPr>
          <w:rFonts w:ascii="宋体" w:hAnsi="宋体" w:cs="宋体"/>
          <w:color w:val="auto"/>
          <w:szCs w:val="21"/>
          <w:highlight w:val="none"/>
        </w:rPr>
      </w:pPr>
      <w:r>
        <w:rPr>
          <w:rFonts w:hint="eastAsia" w:ascii="宋体" w:hAnsi="宋体" w:cs="宋体"/>
          <w:color w:val="auto"/>
          <w:szCs w:val="21"/>
          <w:highlight w:val="none"/>
        </w:rPr>
        <w:t>2.采购代理机构信息</w:t>
      </w:r>
    </w:p>
    <w:p w14:paraId="349A2B7E">
      <w:pPr>
        <w:spacing w:line="480" w:lineRule="exact"/>
        <w:ind w:firstLine="420"/>
        <w:rPr>
          <w:rFonts w:ascii="宋体" w:hAnsi="宋体" w:cs="宋体"/>
          <w:color w:val="auto"/>
          <w:szCs w:val="21"/>
          <w:highlight w:val="none"/>
        </w:rPr>
      </w:pPr>
      <w:r>
        <w:rPr>
          <w:rFonts w:hint="eastAsia" w:ascii="宋体" w:hAnsi="宋体" w:cs="宋体"/>
          <w:color w:val="auto"/>
          <w:szCs w:val="21"/>
          <w:highlight w:val="none"/>
        </w:rPr>
        <w:t>名 称：云之龙咨询集团有限公司　</w:t>
      </w:r>
    </w:p>
    <w:p w14:paraId="43E5A989">
      <w:pPr>
        <w:spacing w:line="480" w:lineRule="exact"/>
        <w:ind w:firstLine="420"/>
        <w:rPr>
          <w:rFonts w:ascii="宋体" w:hAnsi="宋体" w:cs="宋体"/>
          <w:color w:val="auto"/>
          <w:szCs w:val="21"/>
          <w:highlight w:val="none"/>
        </w:rPr>
      </w:pPr>
      <w:r>
        <w:rPr>
          <w:rFonts w:hint="eastAsia" w:ascii="宋体" w:hAnsi="宋体" w:cs="宋体"/>
          <w:color w:val="auto"/>
          <w:szCs w:val="21"/>
          <w:highlight w:val="none"/>
        </w:rPr>
        <w:t>地址：广西钦州市子材东大街19号奥林名城8号楼8层</w:t>
      </w:r>
    </w:p>
    <w:p w14:paraId="474E7495">
      <w:pPr>
        <w:spacing w:line="480" w:lineRule="exact"/>
        <w:ind w:firstLine="42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项目联系人姓名：黄洁年</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梁译</w:t>
      </w:r>
    </w:p>
    <w:p w14:paraId="41A73CE2">
      <w:pPr>
        <w:spacing w:line="480" w:lineRule="exact"/>
        <w:ind w:firstLine="420"/>
        <w:rPr>
          <w:rFonts w:ascii="宋体" w:hAnsi="宋体" w:cs="宋体"/>
          <w:color w:val="auto"/>
          <w:szCs w:val="21"/>
          <w:highlight w:val="none"/>
        </w:rPr>
      </w:pPr>
      <w:r>
        <w:rPr>
          <w:rFonts w:hint="eastAsia" w:ascii="宋体" w:hAnsi="宋体" w:cs="宋体"/>
          <w:color w:val="auto"/>
          <w:szCs w:val="21"/>
          <w:highlight w:val="none"/>
        </w:rPr>
        <w:t>联系电话：0777-5619366</w:t>
      </w:r>
    </w:p>
    <w:p w14:paraId="6348F4BB">
      <w:pPr>
        <w:spacing w:line="480" w:lineRule="exact"/>
        <w:ind w:firstLine="420"/>
        <w:rPr>
          <w:rFonts w:ascii="宋体" w:hAnsi="宋体" w:cs="宋体"/>
          <w:color w:val="auto"/>
          <w:szCs w:val="21"/>
          <w:highlight w:val="none"/>
        </w:rPr>
      </w:pPr>
      <w:r>
        <w:rPr>
          <w:rFonts w:hint="eastAsia" w:ascii="宋体" w:hAnsi="宋体" w:cs="宋体"/>
          <w:color w:val="auto"/>
          <w:szCs w:val="21"/>
          <w:highlight w:val="none"/>
        </w:rPr>
        <w:t>3.项目联系方式</w:t>
      </w:r>
    </w:p>
    <w:p w14:paraId="55BFBEE9">
      <w:pPr>
        <w:spacing w:line="480" w:lineRule="exact"/>
        <w:ind w:firstLine="420"/>
        <w:rPr>
          <w:rFonts w:ascii="宋体" w:hAnsi="宋体" w:cs="宋体"/>
          <w:color w:val="auto"/>
          <w:szCs w:val="21"/>
          <w:highlight w:val="none"/>
        </w:rPr>
      </w:pPr>
      <w:r>
        <w:rPr>
          <w:rFonts w:hint="eastAsia" w:ascii="宋体" w:hAnsi="宋体" w:cs="宋体"/>
          <w:color w:val="auto"/>
          <w:szCs w:val="21"/>
          <w:highlight w:val="none"/>
        </w:rPr>
        <w:t>项目联系人：黄洁年</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梁译</w:t>
      </w:r>
    </w:p>
    <w:p w14:paraId="16A4D170">
      <w:pPr>
        <w:spacing w:line="480" w:lineRule="exact"/>
        <w:ind w:firstLine="420"/>
        <w:rPr>
          <w:rFonts w:ascii="宋体" w:hAnsi="宋体" w:cs="宋体"/>
          <w:color w:val="auto"/>
          <w:szCs w:val="21"/>
          <w:highlight w:val="none"/>
        </w:rPr>
      </w:pPr>
      <w:r>
        <w:rPr>
          <w:rFonts w:hint="eastAsia" w:ascii="宋体" w:hAnsi="宋体" w:cs="宋体"/>
          <w:color w:val="auto"/>
          <w:szCs w:val="21"/>
          <w:highlight w:val="none"/>
        </w:rPr>
        <w:t>电　话：0777-5619366　　</w:t>
      </w:r>
    </w:p>
    <w:p w14:paraId="472E69E6">
      <w:pPr>
        <w:spacing w:line="480" w:lineRule="exact"/>
        <w:rPr>
          <w:rFonts w:ascii="仿宋_GB2312" w:hAnsi="宋体" w:eastAsia="仿宋_GB2312"/>
          <w:color w:val="auto"/>
          <w:sz w:val="24"/>
          <w:szCs w:val="20"/>
          <w:highlight w:val="none"/>
        </w:rPr>
      </w:pPr>
    </w:p>
    <w:p w14:paraId="62CC2533">
      <w:pPr>
        <w:spacing w:line="480" w:lineRule="exact"/>
        <w:ind w:firstLine="420"/>
        <w:rPr>
          <w:rFonts w:ascii="宋体" w:hAnsi="宋体" w:cs="宋体"/>
          <w:color w:val="auto"/>
          <w:szCs w:val="21"/>
          <w:highlight w:val="none"/>
        </w:rPr>
      </w:pPr>
      <w:r>
        <w:rPr>
          <w:rFonts w:hint="eastAsia" w:ascii="宋体" w:hAnsi="宋体" w:cs="宋体"/>
          <w:color w:val="auto"/>
          <w:szCs w:val="21"/>
          <w:highlight w:val="none"/>
        </w:rPr>
        <w:t>附件：采购需求</w:t>
      </w:r>
    </w:p>
    <w:p w14:paraId="7E6E8F78">
      <w:pPr>
        <w:spacing w:line="480" w:lineRule="exact"/>
        <w:rPr>
          <w:rFonts w:ascii="仿宋_GB2312" w:hAnsi="宋体" w:eastAsia="仿宋_GB2312"/>
          <w:color w:val="auto"/>
          <w:sz w:val="24"/>
          <w:szCs w:val="20"/>
          <w:highlight w:val="none"/>
        </w:rPr>
      </w:pPr>
    </w:p>
    <w:p w14:paraId="5FF1C01D">
      <w:pPr>
        <w:pStyle w:val="2"/>
        <w:jc w:val="center"/>
        <w:rPr>
          <w:color w:val="auto"/>
          <w:highlight w:val="none"/>
        </w:rPr>
      </w:pPr>
      <w:r>
        <w:rPr>
          <w:color w:val="auto"/>
          <w:highlight w:val="none"/>
        </w:rPr>
        <w:br w:type="page" w:clear="all"/>
      </w:r>
      <w:bookmarkStart w:id="1" w:name="_Toc20586"/>
      <w:r>
        <w:rPr>
          <w:rFonts w:hint="eastAsia"/>
          <w:color w:val="auto"/>
          <w:highlight w:val="none"/>
        </w:rPr>
        <w:t>第二章 采购需求</w:t>
      </w:r>
      <w:bookmarkEnd w:id="1"/>
    </w:p>
    <w:p w14:paraId="0DB59C25">
      <w:pPr>
        <w:spacing w:line="360" w:lineRule="auto"/>
        <w:jc w:val="left"/>
        <w:rPr>
          <w:rFonts w:ascii="宋体" w:hAnsi="宋体" w:cs="宋体"/>
          <w:color w:val="auto"/>
          <w:szCs w:val="21"/>
          <w:highlight w:val="none"/>
        </w:rPr>
      </w:pPr>
      <w:r>
        <w:rPr>
          <w:rFonts w:hint="eastAsia" w:ascii="宋体" w:hAnsi="宋体" w:cs="宋体"/>
          <w:color w:val="auto"/>
          <w:szCs w:val="21"/>
          <w:highlight w:val="none"/>
        </w:rPr>
        <w:t>说明：</w:t>
      </w:r>
    </w:p>
    <w:p w14:paraId="32EE2844">
      <w:pPr>
        <w:spacing w:line="360" w:lineRule="auto"/>
        <w:ind w:firstLine="420"/>
        <w:jc w:val="left"/>
        <w:rPr>
          <w:rFonts w:ascii="宋体" w:hAnsi="宋体" w:cs="宋体"/>
          <w:color w:val="auto"/>
          <w:szCs w:val="21"/>
          <w:highlight w:val="none"/>
        </w:rPr>
      </w:pPr>
      <w:r>
        <w:rPr>
          <w:rFonts w:hint="eastAsia"/>
          <w:color w:val="auto"/>
          <w:highlight w:val="none"/>
        </w:rPr>
        <w:t>1. 为落实政府采购政策需满足的要求</w:t>
      </w:r>
    </w:p>
    <w:p w14:paraId="0BE31B0F">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（1）本招标文件所称中小企业必须符合《政府采购促进中小企业发展管理办法》（财库〔2020〕46号）的规定。</w:t>
      </w:r>
    </w:p>
    <w:p w14:paraId="543A38B6">
      <w:pPr>
        <w:spacing w:line="360" w:lineRule="auto"/>
        <w:ind w:firstLine="424"/>
        <w:jc w:val="left"/>
        <w:rPr>
          <w:rFonts w:ascii="宋体" w:hAnsi="宋体" w:cs="宋体"/>
          <w:color w:val="auto"/>
          <w:szCs w:val="21"/>
          <w:highlight w:val="none"/>
        </w:rPr>
      </w:pPr>
      <w:r>
        <w:rPr>
          <w:rFonts w:hint="eastAsia" w:ascii="宋体" w:hAnsi="宋体" w:cs="宋体"/>
          <w:color w:val="auto"/>
          <w:szCs w:val="21"/>
          <w:highlight w:val="none"/>
        </w:rPr>
        <w:t>（2）根据《财政部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详见本章后附的节能产品政府采购品目清单），投标人的投标货物必须使用政府强制采购的节能产品，投标人必须在投标文件（商务及技术文件）中提供所投标产品的节能产品认证证书复印件（加盖投标人电子签章），</w:t>
      </w:r>
      <w:r>
        <w:rPr>
          <w:rFonts w:hint="eastAsia" w:ascii="宋体" w:hAnsi="宋体" w:cs="宋体"/>
          <w:b/>
          <w:bCs/>
          <w:color w:val="auto"/>
          <w:szCs w:val="21"/>
          <w:highlight w:val="none"/>
        </w:rPr>
        <w:t>否则按无效投标处理</w:t>
      </w:r>
      <w:r>
        <w:rPr>
          <w:rFonts w:hint="eastAsia" w:ascii="宋体" w:hAnsi="宋体" w:cs="宋体"/>
          <w:color w:val="auto"/>
          <w:szCs w:val="21"/>
          <w:highlight w:val="none"/>
        </w:rPr>
        <w:t>。如本项目包含的货物属于品目清单内非标注“★”的产品时，应优先采购，具体详见“第四章 评标方法及评标标准”。</w:t>
      </w:r>
    </w:p>
    <w:p w14:paraId="363C0463">
      <w:pPr>
        <w:spacing w:line="360" w:lineRule="auto"/>
        <w:ind w:firstLine="424"/>
        <w:jc w:val="left"/>
        <w:rPr>
          <w:rFonts w:ascii="宋体" w:hAnsi="宋体" w:cs="宋体"/>
          <w:color w:val="auto"/>
          <w:szCs w:val="21"/>
          <w:highlight w:val="none"/>
        </w:rPr>
      </w:pPr>
      <w:r>
        <w:rPr>
          <w:rFonts w:hint="eastAsia" w:ascii="宋体" w:hAnsi="宋体" w:cs="宋体"/>
          <w:color w:val="auto"/>
          <w:szCs w:val="21"/>
          <w:highlight w:val="none"/>
        </w:rPr>
        <w:t>（3）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2BC34AF9">
      <w:pPr>
        <w:spacing w:line="360" w:lineRule="auto"/>
        <w:ind w:firstLine="424"/>
        <w:jc w:val="left"/>
        <w:rPr>
          <w:color w:val="auto"/>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w:t>
      </w:r>
      <w:r>
        <w:rPr>
          <w:color w:val="auto"/>
          <w:highlight w:val="none"/>
        </w:rPr>
        <w:t>根据《关于调整网络安全专用产品安全管理有关事项的公告》（2023年</w:t>
      </w:r>
      <w:r>
        <w:rPr>
          <w:rFonts w:hint="eastAsia"/>
          <w:color w:val="auto"/>
          <w:highlight w:val="none"/>
        </w:rPr>
        <w:t>第</w:t>
      </w:r>
      <w:r>
        <w:rPr>
          <w:color w:val="auto"/>
          <w:highlight w:val="none"/>
        </w:rPr>
        <w:t>1号）规定，本项目采购需求中的产品如果包括《网络关键设备和网络安全专用产品目录》</w:t>
      </w:r>
      <w:r>
        <w:rPr>
          <w:rFonts w:hint="eastAsia"/>
          <w:color w:val="auto"/>
          <w:highlight w:val="none"/>
        </w:rPr>
        <w:t>中</w:t>
      </w:r>
      <w:r>
        <w:rPr>
          <w:color w:val="auto"/>
          <w:highlight w:val="none"/>
        </w:rPr>
        <w:t>的网络安全专用产品，供应商在投标文件中应主动列明供货范围中属于网络安全专用产品的投标产品，并在投标文件（商务及技术文件）中提供由中国网信网（http：//www.cac.gov.cn/index.htm）最新发布的《网络关键设备和网络安全专用产品安全认证和安全检测结果》截图证明材料，</w:t>
      </w:r>
      <w:r>
        <w:rPr>
          <w:b/>
          <w:color w:val="auto"/>
          <w:highlight w:val="none"/>
        </w:rPr>
        <w:t>不在《网络关键设备和网络安全专用产品安全认证和安全检测结果》中的，</w:t>
      </w:r>
      <w:r>
        <w:rPr>
          <w:rFonts w:hint="eastAsia"/>
          <w:b/>
          <w:color w:val="auto"/>
          <w:highlight w:val="none"/>
        </w:rPr>
        <w:t>按无效投标处理</w:t>
      </w:r>
      <w:r>
        <w:rPr>
          <w:color w:val="auto"/>
          <w:highlight w:val="none"/>
        </w:rPr>
        <w:t>。如属于《网络关键设备和网络安全专用产品目录》中“二、网络安全专用产品”内“产品类别”中所描述的产品，但不属于所列“产品描述”情形的，应提供相应的说明及证明材料。</w:t>
      </w:r>
    </w:p>
    <w:p w14:paraId="28408174">
      <w:pPr>
        <w:spacing w:line="360" w:lineRule="auto"/>
        <w:ind w:firstLine="424"/>
        <w:jc w:val="left"/>
        <w:rPr>
          <w:rFonts w:ascii="宋体" w:hAnsi="宋体" w:cs="宋体"/>
          <w:b/>
          <w:bCs/>
          <w:color w:val="auto"/>
          <w:szCs w:val="21"/>
          <w:highlight w:val="none"/>
        </w:rPr>
      </w:pPr>
      <w:r>
        <w:rPr>
          <w:rFonts w:hint="eastAsia" w:ascii="宋体" w:hAnsi="宋体" w:cs="宋体"/>
          <w:b/>
          <w:bCs/>
          <w:color w:val="auto"/>
          <w:szCs w:val="21"/>
          <w:highlight w:val="none"/>
        </w:rPr>
        <w:t>2.“实质性要求”是指招标文件中已经指明不满足则投标无效的条款，或者不能负偏离的条款，或者采购需求中带“▲”的条款。</w:t>
      </w:r>
    </w:p>
    <w:p w14:paraId="4E40D996">
      <w:pPr>
        <w:spacing w:line="360" w:lineRule="auto"/>
        <w:ind w:firstLine="424"/>
        <w:jc w:val="left"/>
        <w:rPr>
          <w:color w:val="auto"/>
          <w:highlight w:val="none"/>
        </w:rPr>
      </w:pPr>
      <w:r>
        <w:rPr>
          <w:rFonts w:hint="eastAsia" w:ascii="宋体" w:hAnsi="宋体" w:cs="宋体"/>
          <w:color w:val="auto"/>
          <w:szCs w:val="21"/>
          <w:highlight w:val="none"/>
        </w:rPr>
        <w:t>3. 投标人应根据自身实际情况如实响应招标文件</w:t>
      </w:r>
      <w:r>
        <w:rPr>
          <w:rFonts w:hint="eastAsia" w:ascii="宋体" w:hAnsi="宋体"/>
          <w:color w:val="auto"/>
          <w:szCs w:val="21"/>
          <w:highlight w:val="none"/>
        </w:rPr>
        <w:t>，</w:t>
      </w:r>
      <w:r>
        <w:rPr>
          <w:rFonts w:hint="eastAsia" w:ascii="宋体" w:hAnsi="宋体"/>
          <w:color w:val="auto"/>
          <w:sz w:val="22"/>
          <w:szCs w:val="22"/>
          <w:highlight w:val="none"/>
        </w:rPr>
        <w:t>对招标文件提出的要求和条件作出明确响应</w:t>
      </w:r>
      <w:r>
        <w:rPr>
          <w:rFonts w:hint="eastAsia" w:ascii="宋体" w:hAnsi="宋体"/>
          <w:color w:val="auto"/>
          <w:szCs w:val="21"/>
          <w:highlight w:val="none"/>
        </w:rPr>
        <w:t>，</w:t>
      </w:r>
      <w:r>
        <w:rPr>
          <w:rFonts w:hint="eastAsia" w:ascii="宋体" w:hAnsi="宋体"/>
          <w:b/>
          <w:bCs/>
          <w:color w:val="auto"/>
          <w:szCs w:val="21"/>
          <w:highlight w:val="none"/>
        </w:rPr>
        <w:t>否则将作无效响应处理</w:t>
      </w:r>
      <w:r>
        <w:rPr>
          <w:rFonts w:hint="eastAsia" w:ascii="宋体" w:hAnsi="宋体"/>
          <w:color w:val="auto"/>
          <w:szCs w:val="21"/>
          <w:highlight w:val="none"/>
        </w:rPr>
        <w:t>。</w:t>
      </w:r>
      <w:r>
        <w:rPr>
          <w:rFonts w:hint="eastAsia"/>
          <w:color w:val="auto"/>
          <w:highlight w:val="none"/>
        </w:rPr>
        <w:t>对于重要技术条款或技术参数应当在投标文件中提供技术支持资料，技术支持资料以招标文件中规定的形式为准，</w:t>
      </w:r>
      <w:r>
        <w:rPr>
          <w:rFonts w:hint="eastAsia"/>
          <w:b/>
          <w:bCs/>
          <w:color w:val="auto"/>
          <w:highlight w:val="none"/>
        </w:rPr>
        <w:t>否则将视为无效技术支持资料</w:t>
      </w:r>
      <w:r>
        <w:rPr>
          <w:rFonts w:hint="eastAsia"/>
          <w:color w:val="auto"/>
          <w:highlight w:val="none"/>
        </w:rPr>
        <w:t>。</w:t>
      </w:r>
    </w:p>
    <w:p w14:paraId="00D0130A">
      <w:pPr>
        <w:spacing w:line="360" w:lineRule="auto"/>
        <w:ind w:firstLine="424"/>
        <w:jc w:val="left"/>
        <w:rPr>
          <w:rFonts w:hint="eastAsia"/>
          <w:color w:val="auto"/>
          <w:highlight w:val="none"/>
        </w:rPr>
      </w:pPr>
      <w:r>
        <w:rPr>
          <w:rFonts w:hint="eastAsia" w:ascii="宋体" w:hAnsi="宋体" w:cs="宋体"/>
          <w:color w:val="auto"/>
          <w:szCs w:val="21"/>
          <w:highlight w:val="none"/>
        </w:rPr>
        <w:t>4.</w:t>
      </w:r>
      <w:r>
        <w:rPr>
          <w:rFonts w:hint="eastAsia"/>
          <w:color w:val="auto"/>
          <w:highlight w:val="none"/>
        </w:rPr>
        <w:t>投标人必须自行为其投标产品侵犯他人的知识产权或者专利成果的行为承担相应法律责任。</w:t>
      </w:r>
    </w:p>
    <w:p w14:paraId="49F19D24">
      <w:pPr>
        <w:spacing w:line="360" w:lineRule="auto"/>
        <w:ind w:firstLine="424"/>
        <w:jc w:val="left"/>
        <w:rPr>
          <w:rFonts w:hint="eastAsia"/>
          <w:b/>
          <w:bCs/>
          <w:color w:val="auto"/>
          <w:highlight w:val="none"/>
        </w:rPr>
      </w:pPr>
      <w:r>
        <w:rPr>
          <w:rFonts w:hint="eastAsia"/>
          <w:b/>
          <w:bCs/>
          <w:color w:val="auto"/>
          <w:highlight w:val="none"/>
        </w:rPr>
        <w:t>▲</w:t>
      </w:r>
      <w:r>
        <w:rPr>
          <w:rFonts w:hint="eastAsia"/>
          <w:b/>
          <w:bCs/>
          <w:color w:val="auto"/>
          <w:highlight w:val="none"/>
          <w:lang w:val="en-US" w:eastAsia="zh-CN"/>
        </w:rPr>
        <w:t>5.</w:t>
      </w:r>
      <w:r>
        <w:rPr>
          <w:rFonts w:hint="eastAsia"/>
          <w:b/>
          <w:bCs/>
          <w:color w:val="auto"/>
          <w:highlight w:val="none"/>
        </w:rPr>
        <w:t>根据《关于在政府采购活动中对有关美国企业采取相关措施的通知》（财库〔2026〕10号）的规定，供应商提供的产品不得为财库〔2026〕10号文件附件规定的46家美国企业（不包括在华美资企业）生产的产品。</w:t>
      </w:r>
    </w:p>
    <w:p w14:paraId="72BA9C95">
      <w:pPr>
        <w:spacing w:line="360" w:lineRule="auto"/>
        <w:ind w:firstLine="426"/>
        <w:jc w:val="left"/>
        <w:rPr>
          <w:rFonts w:ascii="宋体" w:hAnsi="宋体"/>
          <w:b/>
          <w:color w:val="auto"/>
          <w:szCs w:val="21"/>
          <w:highlight w:val="none"/>
          <w:u w:val="single"/>
        </w:rPr>
      </w:pPr>
      <w:r>
        <w:rPr>
          <w:rFonts w:hint="eastAsia" w:ascii="宋体" w:hAnsi="宋体" w:cs="宋体"/>
          <w:b/>
          <w:color w:val="auto"/>
          <w:szCs w:val="21"/>
          <w:highlight w:val="none"/>
          <w:lang w:val="en-US" w:eastAsia="zh-CN"/>
        </w:rPr>
        <w:t>6</w:t>
      </w:r>
      <w:r>
        <w:rPr>
          <w:rFonts w:hint="eastAsia" w:ascii="宋体" w:hAnsi="宋体" w:cs="宋体"/>
          <w:b/>
          <w:color w:val="auto"/>
          <w:szCs w:val="21"/>
          <w:highlight w:val="none"/>
        </w:rPr>
        <w:t>.</w:t>
      </w:r>
      <w:r>
        <w:rPr>
          <w:rFonts w:hint="eastAsia" w:ascii="宋体" w:hAnsi="宋体"/>
          <w:b/>
          <w:color w:val="auto"/>
          <w:szCs w:val="21"/>
          <w:highlight w:val="none"/>
          <w:u w:val="single"/>
        </w:rPr>
        <w:t>本项目各采购标的的所属行业：工业</w:t>
      </w:r>
    </w:p>
    <w:tbl>
      <w:tblPr>
        <w:tblStyle w:val="50"/>
        <w:tblW w:w="898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47"/>
        <w:gridCol w:w="1091"/>
        <w:gridCol w:w="884"/>
        <w:gridCol w:w="6561"/>
      </w:tblGrid>
      <w:tr w14:paraId="153C2C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6" w:hRule="atLeast"/>
        </w:trPr>
        <w:tc>
          <w:tcPr>
            <w:tcW w:w="8983" w:type="dxa"/>
            <w:gridSpan w:val="4"/>
            <w:vAlign w:val="center"/>
          </w:tcPr>
          <w:p w14:paraId="0BF1C7BC">
            <w:pPr>
              <w:tabs>
                <w:tab w:val="left" w:pos="180"/>
                <w:tab w:val="left" w:pos="1620"/>
              </w:tabs>
              <w:spacing w:line="360" w:lineRule="auto"/>
              <w:jc w:val="left"/>
              <w:rPr>
                <w:rFonts w:ascii="宋体" w:hAnsi="宋体" w:cs="宋体"/>
                <w:color w:val="auto"/>
                <w:szCs w:val="21"/>
                <w:highlight w:val="none"/>
              </w:rPr>
            </w:pPr>
            <w:r>
              <w:rPr>
                <w:rFonts w:hint="eastAsia" w:ascii="宋体" w:hAnsi="宋体" w:cs="宋体"/>
                <w:color w:val="auto"/>
                <w:szCs w:val="21"/>
                <w:highlight w:val="none"/>
              </w:rPr>
              <w:t>一、技术要求</w:t>
            </w:r>
          </w:p>
        </w:tc>
      </w:tr>
      <w:tr w14:paraId="44DAD5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4" w:hRule="atLeast"/>
        </w:trPr>
        <w:tc>
          <w:tcPr>
            <w:tcW w:w="447" w:type="dxa"/>
            <w:vAlign w:val="center"/>
          </w:tcPr>
          <w:p w14:paraId="675FDB8F">
            <w:pPr>
              <w:tabs>
                <w:tab w:val="left" w:pos="180"/>
                <w:tab w:val="left" w:pos="1620"/>
              </w:tabs>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091" w:type="dxa"/>
            <w:vAlign w:val="center"/>
          </w:tcPr>
          <w:p w14:paraId="3511E472">
            <w:pPr>
              <w:tabs>
                <w:tab w:val="left" w:pos="180"/>
                <w:tab w:val="left" w:pos="1620"/>
              </w:tabs>
              <w:spacing w:line="360" w:lineRule="auto"/>
              <w:jc w:val="center"/>
              <w:rPr>
                <w:rFonts w:ascii="宋体" w:hAnsi="宋体" w:cs="宋体"/>
                <w:color w:val="auto"/>
                <w:szCs w:val="21"/>
                <w:highlight w:val="none"/>
              </w:rPr>
            </w:pPr>
            <w:r>
              <w:rPr>
                <w:rFonts w:hint="eastAsia" w:ascii="宋体" w:hAnsi="宋体" w:cs="宋体"/>
                <w:color w:val="auto"/>
                <w:szCs w:val="21"/>
                <w:highlight w:val="none"/>
              </w:rPr>
              <w:t>标的的名称</w:t>
            </w:r>
          </w:p>
        </w:tc>
        <w:tc>
          <w:tcPr>
            <w:tcW w:w="884" w:type="dxa"/>
          </w:tcPr>
          <w:p w14:paraId="282C8409">
            <w:pPr>
              <w:tabs>
                <w:tab w:val="left" w:pos="180"/>
                <w:tab w:val="left" w:pos="1620"/>
              </w:tabs>
              <w:spacing w:line="360" w:lineRule="auto"/>
              <w:jc w:val="center"/>
              <w:rPr>
                <w:rFonts w:ascii="宋体" w:hAnsi="宋体" w:cs="宋体"/>
                <w:color w:val="auto"/>
                <w:szCs w:val="21"/>
                <w:highlight w:val="none"/>
              </w:rPr>
            </w:pPr>
            <w:r>
              <w:rPr>
                <w:rFonts w:hint="eastAsia" w:ascii="宋体" w:hAnsi="宋体" w:cs="宋体"/>
                <w:color w:val="auto"/>
                <w:szCs w:val="21"/>
                <w:highlight w:val="none"/>
              </w:rPr>
              <w:t>数量及</w:t>
            </w:r>
          </w:p>
          <w:p w14:paraId="07C0F920">
            <w:pPr>
              <w:tabs>
                <w:tab w:val="left" w:pos="180"/>
                <w:tab w:val="left" w:pos="1620"/>
              </w:tabs>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单位</w:t>
            </w:r>
          </w:p>
        </w:tc>
        <w:tc>
          <w:tcPr>
            <w:tcW w:w="6561" w:type="dxa"/>
            <w:vAlign w:val="center"/>
          </w:tcPr>
          <w:p w14:paraId="044E49B4">
            <w:pPr>
              <w:tabs>
                <w:tab w:val="left" w:pos="180"/>
                <w:tab w:val="left" w:pos="1620"/>
              </w:tabs>
              <w:spacing w:line="360" w:lineRule="auto"/>
              <w:jc w:val="center"/>
              <w:rPr>
                <w:rFonts w:ascii="宋体" w:hAnsi="宋体" w:cs="宋体"/>
                <w:color w:val="auto"/>
                <w:szCs w:val="21"/>
                <w:highlight w:val="none"/>
              </w:rPr>
            </w:pPr>
            <w:r>
              <w:rPr>
                <w:rFonts w:hint="eastAsia" w:ascii="宋体" w:hAnsi="宋体" w:cs="宋体"/>
                <w:color w:val="auto"/>
                <w:szCs w:val="21"/>
                <w:highlight w:val="none"/>
              </w:rPr>
              <w:t>技术要求</w:t>
            </w:r>
          </w:p>
        </w:tc>
      </w:tr>
      <w:tr w14:paraId="234F40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62" w:hRule="atLeast"/>
        </w:trPr>
        <w:tc>
          <w:tcPr>
            <w:tcW w:w="447" w:type="dxa"/>
            <w:vAlign w:val="center"/>
          </w:tcPr>
          <w:p w14:paraId="6FE97D47">
            <w:pPr>
              <w:tabs>
                <w:tab w:val="left" w:pos="180"/>
                <w:tab w:val="left" w:pos="1620"/>
              </w:tabs>
              <w:spacing w:line="360" w:lineRule="auto"/>
              <w:jc w:val="center"/>
              <w:rPr>
                <w:rFonts w:ascii="宋体" w:hAnsi="宋体" w:cs="宋体"/>
                <w:color w:val="auto"/>
                <w:szCs w:val="21"/>
                <w:highlight w:val="none"/>
              </w:rPr>
            </w:pPr>
            <w:r>
              <w:rPr>
                <w:rFonts w:hint="eastAsia" w:ascii="宋体" w:hAnsi="宋体" w:cs="宋体"/>
                <w:color w:val="auto"/>
                <w:szCs w:val="21"/>
                <w:highlight w:val="none"/>
              </w:rPr>
              <w:t>1</w:t>
            </w:r>
          </w:p>
        </w:tc>
        <w:tc>
          <w:tcPr>
            <w:tcW w:w="1091" w:type="dxa"/>
            <w:vAlign w:val="center"/>
          </w:tcPr>
          <w:p w14:paraId="6E8DED5B">
            <w:pPr>
              <w:keepNext w:val="0"/>
              <w:keepLines w:val="0"/>
              <w:pageBreakBefore w:val="0"/>
              <w:bidi w:val="0"/>
              <w:spacing w:line="360" w:lineRule="auto"/>
              <w:rPr>
                <w:rFonts w:ascii="宋体" w:hAnsi="宋体" w:cs="宋体"/>
                <w:color w:val="auto"/>
                <w:szCs w:val="21"/>
                <w:highlight w:val="none"/>
              </w:rPr>
            </w:pPr>
            <w:r>
              <w:rPr>
                <w:rFonts w:hint="eastAsia" w:ascii="宋体" w:hAnsi="宋体"/>
                <w:color w:val="auto"/>
                <w:sz w:val="21"/>
                <w:szCs w:val="21"/>
                <w:highlight w:val="none"/>
              </w:rPr>
              <w:t>气相色谱/质谱联用仪-3（串联）</w:t>
            </w:r>
          </w:p>
        </w:tc>
        <w:tc>
          <w:tcPr>
            <w:tcW w:w="884" w:type="dxa"/>
            <w:vAlign w:val="center"/>
          </w:tcPr>
          <w:p w14:paraId="0E1DA844">
            <w:pPr>
              <w:keepNext w:val="0"/>
              <w:keepLines w:val="0"/>
              <w:pageBreakBefore w:val="0"/>
              <w:widowControl/>
              <w:bidi w:val="0"/>
              <w:spacing w:line="360" w:lineRule="auto"/>
              <w:jc w:val="center"/>
              <w:rPr>
                <w:rFonts w:hint="eastAsia" w:ascii="宋体" w:hAnsi="宋体" w:cs="宋体"/>
                <w:color w:val="auto"/>
                <w:szCs w:val="21"/>
                <w:highlight w:val="none"/>
              </w:rPr>
            </w:pPr>
            <w:r>
              <w:rPr>
                <w:rFonts w:hint="eastAsia" w:ascii="宋体" w:hAnsi="宋体"/>
                <w:color w:val="auto"/>
                <w:sz w:val="21"/>
                <w:szCs w:val="21"/>
                <w:highlight w:val="none"/>
              </w:rPr>
              <w:t>1套</w:t>
            </w:r>
          </w:p>
        </w:tc>
        <w:tc>
          <w:tcPr>
            <w:tcW w:w="6561" w:type="dxa"/>
            <w:vAlign w:val="top"/>
          </w:tcPr>
          <w:p w14:paraId="07D2973B">
            <w:pPr>
              <w:keepNext w:val="0"/>
              <w:keepLines w:val="0"/>
              <w:pageBreakBefore w:val="0"/>
              <w:bidi w:val="0"/>
              <w:spacing w:line="360" w:lineRule="auto"/>
              <w:jc w:val="left"/>
              <w:rPr>
                <w:rFonts w:ascii="宋体" w:hAnsi="宋体"/>
                <w:b/>
                <w:bCs/>
                <w:color w:val="auto"/>
                <w:sz w:val="21"/>
                <w:szCs w:val="21"/>
                <w:highlight w:val="none"/>
                <w:lang w:val="en-US" w:eastAsia="zh-CN"/>
              </w:rPr>
            </w:pPr>
            <w:r>
              <w:rPr>
                <w:rFonts w:hint="eastAsia" w:ascii="宋体" w:hAnsi="宋体"/>
                <w:b/>
                <w:bCs/>
                <w:color w:val="auto"/>
                <w:sz w:val="21"/>
                <w:szCs w:val="21"/>
                <w:highlight w:val="none"/>
                <w:lang w:val="en-US" w:eastAsia="zh-CN"/>
              </w:rPr>
              <w:t>（一）</w:t>
            </w:r>
            <w:r>
              <w:rPr>
                <w:rFonts w:ascii="宋体" w:hAnsi="宋体"/>
                <w:b/>
                <w:bCs/>
                <w:color w:val="auto"/>
                <w:sz w:val="21"/>
                <w:szCs w:val="21"/>
                <w:highlight w:val="none"/>
                <w:lang w:val="en-US" w:eastAsia="zh-CN"/>
              </w:rPr>
              <w:t>工作条件：</w:t>
            </w:r>
          </w:p>
          <w:p w14:paraId="367800D7">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1.电源：220V，50Hz；</w:t>
            </w:r>
          </w:p>
          <w:p w14:paraId="1BA4BEF2">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2.操作环境温度：20</w:t>
            </w:r>
            <w:r>
              <w:rPr>
                <w:rFonts w:hint="eastAsia" w:ascii="宋体" w:hAnsi="宋体" w:cs="宋体"/>
                <w:color w:val="auto"/>
                <w:sz w:val="21"/>
                <w:szCs w:val="21"/>
                <w:highlight w:val="none"/>
              </w:rPr>
              <w:t>～</w:t>
            </w:r>
            <w:r>
              <w:rPr>
                <w:rFonts w:ascii="宋体" w:hAnsi="宋体"/>
                <w:color w:val="auto"/>
                <w:sz w:val="21"/>
                <w:szCs w:val="21"/>
                <w:highlight w:val="none"/>
                <w:lang w:val="en-US" w:eastAsia="zh-CN"/>
              </w:rPr>
              <w:t>35℃；</w:t>
            </w:r>
          </w:p>
          <w:p w14:paraId="690F39BF">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3.操作环境湿度：25</w:t>
            </w:r>
            <w:r>
              <w:rPr>
                <w:rFonts w:hint="eastAsia" w:ascii="宋体" w:hAnsi="宋体" w:cs="宋体"/>
                <w:color w:val="auto"/>
                <w:sz w:val="21"/>
                <w:szCs w:val="21"/>
                <w:highlight w:val="none"/>
              </w:rPr>
              <w:t>～</w:t>
            </w:r>
            <w:r>
              <w:rPr>
                <w:rFonts w:ascii="宋体" w:hAnsi="宋体"/>
                <w:color w:val="auto"/>
                <w:sz w:val="21"/>
                <w:szCs w:val="21"/>
                <w:highlight w:val="none"/>
                <w:lang w:val="en-US" w:eastAsia="zh-CN"/>
              </w:rPr>
              <w:t>50%。</w:t>
            </w:r>
          </w:p>
          <w:p w14:paraId="54A2C160">
            <w:pPr>
              <w:keepNext w:val="0"/>
              <w:keepLines w:val="0"/>
              <w:pageBreakBefore w:val="0"/>
              <w:bidi w:val="0"/>
              <w:spacing w:line="360" w:lineRule="auto"/>
              <w:jc w:val="left"/>
              <w:rPr>
                <w:rFonts w:ascii="宋体" w:hAnsi="宋体"/>
                <w:b/>
                <w:bCs/>
                <w:color w:val="auto"/>
                <w:sz w:val="21"/>
                <w:szCs w:val="21"/>
                <w:highlight w:val="none"/>
                <w:lang w:val="en-US" w:eastAsia="zh-CN"/>
              </w:rPr>
            </w:pPr>
            <w:r>
              <w:rPr>
                <w:rFonts w:hint="eastAsia" w:ascii="宋体" w:hAnsi="宋体"/>
                <w:b/>
                <w:bCs/>
                <w:color w:val="auto"/>
                <w:sz w:val="21"/>
                <w:szCs w:val="21"/>
                <w:highlight w:val="none"/>
                <w:lang w:val="en-US" w:eastAsia="zh-CN"/>
              </w:rPr>
              <w:t>（二）</w:t>
            </w:r>
            <w:r>
              <w:rPr>
                <w:rFonts w:ascii="宋体" w:hAnsi="宋体"/>
                <w:b/>
                <w:bCs/>
                <w:color w:val="auto"/>
                <w:sz w:val="21"/>
                <w:szCs w:val="21"/>
                <w:highlight w:val="none"/>
                <w:lang w:val="en-US" w:eastAsia="zh-CN"/>
              </w:rPr>
              <w:t>气相色谱系统功能要求：</w:t>
            </w:r>
          </w:p>
          <w:p w14:paraId="347764F1">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1.色谱性能：保留时间重现性</w:t>
            </w:r>
            <w:r>
              <w:rPr>
                <w:rFonts w:hint="eastAsia"/>
                <w:color w:val="auto"/>
                <w:highlight w:val="none"/>
                <w:lang w:val="en-US" w:eastAsia="zh-CN"/>
              </w:rPr>
              <w:t>＜</w:t>
            </w:r>
            <w:r>
              <w:rPr>
                <w:rFonts w:ascii="宋体" w:hAnsi="宋体"/>
                <w:color w:val="auto"/>
                <w:sz w:val="21"/>
                <w:szCs w:val="21"/>
                <w:highlight w:val="none"/>
                <w:lang w:val="en-US" w:eastAsia="zh-CN"/>
              </w:rPr>
              <w:t>0.008%或</w:t>
            </w:r>
            <w:r>
              <w:rPr>
                <w:rFonts w:hint="eastAsia"/>
                <w:color w:val="auto"/>
                <w:highlight w:val="none"/>
                <w:lang w:val="en-US" w:eastAsia="zh-CN"/>
              </w:rPr>
              <w:t>＜</w:t>
            </w:r>
            <w:r>
              <w:rPr>
                <w:rFonts w:ascii="宋体" w:hAnsi="宋体"/>
                <w:color w:val="auto"/>
                <w:sz w:val="21"/>
                <w:szCs w:val="21"/>
                <w:highlight w:val="none"/>
                <w:lang w:val="en-US" w:eastAsia="zh-CN"/>
              </w:rPr>
              <w:t>0.0008min，峰面积重现性</w:t>
            </w:r>
            <w:r>
              <w:rPr>
                <w:rFonts w:hint="eastAsia"/>
                <w:color w:val="auto"/>
                <w:highlight w:val="none"/>
                <w:lang w:val="en-US" w:eastAsia="zh-CN"/>
              </w:rPr>
              <w:t>＜</w:t>
            </w:r>
            <w:r>
              <w:rPr>
                <w:rFonts w:ascii="宋体" w:hAnsi="宋体"/>
                <w:color w:val="auto"/>
                <w:sz w:val="21"/>
                <w:szCs w:val="21"/>
                <w:highlight w:val="none"/>
                <w:lang w:val="en-US" w:eastAsia="zh-CN"/>
              </w:rPr>
              <w:t>0.5% RSD；</w:t>
            </w:r>
          </w:p>
          <w:p w14:paraId="26F4E62E">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2.压力控制精度：</w:t>
            </w:r>
            <w:r>
              <w:rPr>
                <w:rFonts w:hint="eastAsia" w:ascii="宋体" w:hAnsi="宋体"/>
                <w:color w:val="auto"/>
                <w:sz w:val="21"/>
                <w:szCs w:val="21"/>
                <w:highlight w:val="none"/>
                <w:lang w:val="en-US" w:eastAsia="zh-CN"/>
              </w:rPr>
              <w:t>能达到</w:t>
            </w:r>
            <w:r>
              <w:rPr>
                <w:rFonts w:ascii="宋体" w:hAnsi="宋体"/>
                <w:color w:val="auto"/>
                <w:sz w:val="21"/>
                <w:szCs w:val="21"/>
                <w:highlight w:val="none"/>
                <w:lang w:val="en-US" w:eastAsia="zh-CN"/>
              </w:rPr>
              <w:t>0.001psi；</w:t>
            </w:r>
          </w:p>
          <w:p w14:paraId="6329E812">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3.支持</w:t>
            </w:r>
            <w:r>
              <w:rPr>
                <w:rFonts w:hint="eastAsia" w:ascii="宋体" w:hAnsi="宋体"/>
                <w:color w:val="auto"/>
                <w:sz w:val="21"/>
                <w:szCs w:val="21"/>
                <w:highlight w:val="none"/>
                <w:lang w:val="en-US" w:eastAsia="zh-CN"/>
              </w:rPr>
              <w:t>至少</w:t>
            </w:r>
            <w:r>
              <w:rPr>
                <w:rFonts w:ascii="宋体" w:hAnsi="宋体"/>
                <w:color w:val="auto"/>
                <w:sz w:val="21"/>
                <w:szCs w:val="21"/>
                <w:highlight w:val="none"/>
                <w:lang w:val="en-US" w:eastAsia="zh-CN"/>
              </w:rPr>
              <w:t>4种色谱柱流量控制模块：恒定压力、梯度压力（三个梯度）、恒定流速或梯度流速（三个梯度）、计算色谱柱平均线速度；</w:t>
            </w:r>
          </w:p>
          <w:p w14:paraId="1A26BDD6">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4.具有不小于7 英寸电容式触摸屏界面，可实时访问仪器状态、配置和流路信息，可通过触摸屏直接控制GC主机和自动进样器；在不启动色谱工作站的情况下，可从任意终端（包含平板电脑、笔记本电脑或手机）的浏览器直接远程访问控制仪器，编辑GC方法和序列；</w:t>
            </w:r>
          </w:p>
          <w:p w14:paraId="535873B0">
            <w:pPr>
              <w:keepNext w:val="0"/>
              <w:keepLines w:val="0"/>
              <w:pageBreakBefore w:val="0"/>
              <w:bidi w:val="0"/>
              <w:spacing w:line="360" w:lineRule="auto"/>
              <w:jc w:val="left"/>
              <w:rPr>
                <w:rFonts w:ascii="宋体" w:hAnsi="宋体"/>
                <w:b/>
                <w:bCs/>
                <w:color w:val="auto"/>
                <w:sz w:val="21"/>
                <w:szCs w:val="21"/>
                <w:highlight w:val="none"/>
                <w:lang w:val="en-US" w:eastAsia="zh-CN"/>
              </w:rPr>
            </w:pPr>
            <w:r>
              <w:rPr>
                <w:rFonts w:ascii="宋体" w:hAnsi="宋体"/>
                <w:b/>
                <w:bCs/>
                <w:color w:val="auto"/>
                <w:sz w:val="21"/>
                <w:szCs w:val="21"/>
                <w:highlight w:val="none"/>
                <w:lang w:val="en-US" w:eastAsia="zh-CN"/>
              </w:rPr>
              <w:t>▲5.具有≥5个可读取色谱柱信息的接口，当使用带芯片的色谱柱时，可自动识别柱子长度、膜厚、内径等参数，记录色谱柱使用历史（如最高温度、进样次数等）；</w:t>
            </w:r>
          </w:p>
          <w:p w14:paraId="59F624FB">
            <w:pPr>
              <w:keepNext w:val="0"/>
              <w:keepLines w:val="0"/>
              <w:pageBreakBefore w:val="0"/>
              <w:bidi w:val="0"/>
              <w:spacing w:line="360" w:lineRule="auto"/>
              <w:jc w:val="left"/>
              <w:rPr>
                <w:rFonts w:ascii="宋体" w:hAnsi="宋体"/>
                <w:b/>
                <w:bCs/>
                <w:color w:val="auto"/>
                <w:sz w:val="21"/>
                <w:szCs w:val="21"/>
                <w:highlight w:val="none"/>
                <w:lang w:val="en-US" w:eastAsia="zh-CN"/>
              </w:rPr>
            </w:pPr>
            <w:r>
              <w:rPr>
                <w:rFonts w:ascii="宋体" w:hAnsi="宋体"/>
                <w:b/>
                <w:bCs/>
                <w:color w:val="auto"/>
                <w:sz w:val="21"/>
                <w:szCs w:val="21"/>
                <w:highlight w:val="none"/>
                <w:lang w:val="en-US" w:eastAsia="zh-CN"/>
              </w:rPr>
              <w:t>▲6.早期维护反馈：具有≥30种计数功能（可在仪器触摸屏上显示查看，验收时现场逐条演示），</w:t>
            </w:r>
            <w:r>
              <w:rPr>
                <w:rFonts w:hint="eastAsia" w:ascii="宋体" w:hAnsi="宋体"/>
                <w:b/>
                <w:bCs/>
                <w:color w:val="auto"/>
                <w:sz w:val="21"/>
                <w:szCs w:val="21"/>
                <w:highlight w:val="none"/>
                <w:lang w:val="en-US" w:eastAsia="zh-CN"/>
              </w:rPr>
              <w:t>能</w:t>
            </w:r>
            <w:r>
              <w:rPr>
                <w:rFonts w:ascii="宋体" w:hAnsi="宋体"/>
                <w:b/>
                <w:bCs/>
                <w:color w:val="auto"/>
                <w:sz w:val="21"/>
                <w:szCs w:val="21"/>
                <w:highlight w:val="none"/>
                <w:lang w:val="en-US" w:eastAsia="zh-CN"/>
              </w:rPr>
              <w:t>用于跟踪各种进样口、检测器和自动进样器参数以及消耗品的使用情况。</w:t>
            </w:r>
          </w:p>
          <w:p w14:paraId="52F00A64">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7.仪器可实时记录载气消耗量和耗电量，</w:t>
            </w:r>
            <w:r>
              <w:rPr>
                <w:rFonts w:hint="eastAsia" w:ascii="宋体" w:hAnsi="宋体"/>
                <w:color w:val="auto"/>
                <w:sz w:val="21"/>
                <w:szCs w:val="21"/>
                <w:highlight w:val="none"/>
                <w:lang w:val="en-US" w:eastAsia="zh-CN"/>
              </w:rPr>
              <w:t>采购人</w:t>
            </w:r>
            <w:r>
              <w:rPr>
                <w:rFonts w:ascii="宋体" w:hAnsi="宋体"/>
                <w:color w:val="auto"/>
                <w:sz w:val="21"/>
                <w:szCs w:val="21"/>
                <w:highlight w:val="none"/>
                <w:lang w:val="en-US" w:eastAsia="zh-CN"/>
              </w:rPr>
              <w:t>可通过触摸屏界面，随时查看该仪器在过往的任意日期的载气消耗量和耗电量</w:t>
            </w:r>
            <w:r>
              <w:rPr>
                <w:rFonts w:hint="eastAsia" w:ascii="宋体" w:hAnsi="宋体"/>
                <w:color w:val="auto"/>
                <w:sz w:val="21"/>
                <w:szCs w:val="21"/>
                <w:highlight w:val="none"/>
                <w:lang w:val="en-US" w:eastAsia="zh-CN"/>
              </w:rPr>
              <w:t>。</w:t>
            </w:r>
            <w:r>
              <w:rPr>
                <w:rFonts w:hint="eastAsia" w:ascii="宋体" w:hAnsi="宋体"/>
                <w:b/>
                <w:bCs/>
                <w:color w:val="auto"/>
                <w:sz w:val="21"/>
                <w:szCs w:val="21"/>
                <w:highlight w:val="none"/>
              </w:rPr>
              <w:t>（验收时</w:t>
            </w:r>
            <w:r>
              <w:rPr>
                <w:rFonts w:hint="eastAsia" w:ascii="宋体" w:hAnsi="宋体"/>
                <w:b/>
                <w:bCs/>
                <w:color w:val="auto"/>
                <w:sz w:val="21"/>
                <w:szCs w:val="21"/>
                <w:highlight w:val="none"/>
                <w:lang w:val="en-US" w:eastAsia="zh-CN"/>
              </w:rPr>
              <w:t>须</w:t>
            </w:r>
            <w:r>
              <w:rPr>
                <w:rFonts w:ascii="宋体" w:hAnsi="宋体"/>
                <w:b/>
                <w:bCs/>
                <w:color w:val="auto"/>
                <w:sz w:val="21"/>
                <w:szCs w:val="21"/>
                <w:highlight w:val="none"/>
                <w:lang w:val="en-US" w:eastAsia="zh-CN"/>
              </w:rPr>
              <w:t>现场演示</w:t>
            </w:r>
            <w:r>
              <w:rPr>
                <w:rFonts w:hint="eastAsia" w:ascii="宋体" w:hAnsi="宋体"/>
                <w:b/>
                <w:bCs/>
                <w:color w:val="auto"/>
                <w:sz w:val="21"/>
                <w:szCs w:val="21"/>
                <w:highlight w:val="none"/>
                <w:lang w:val="en-US" w:eastAsia="zh-CN"/>
              </w:rPr>
              <w:t>满足该项参数要求</w:t>
            </w:r>
            <w:r>
              <w:rPr>
                <w:rFonts w:hint="eastAsia" w:ascii="宋体" w:hAnsi="宋体"/>
                <w:b/>
                <w:bCs/>
                <w:color w:val="auto"/>
                <w:sz w:val="21"/>
                <w:szCs w:val="21"/>
                <w:highlight w:val="none"/>
              </w:rPr>
              <w:t>，否则视为验收不通过）</w:t>
            </w:r>
          </w:p>
          <w:p w14:paraId="324323B8">
            <w:pPr>
              <w:keepNext w:val="0"/>
              <w:keepLines w:val="0"/>
              <w:pageBreakBefore w:val="0"/>
              <w:bidi w:val="0"/>
              <w:spacing w:line="360" w:lineRule="auto"/>
              <w:jc w:val="left"/>
              <w:rPr>
                <w:rFonts w:ascii="宋体" w:hAnsi="宋体"/>
                <w:b/>
                <w:bCs/>
                <w:color w:val="auto"/>
                <w:sz w:val="21"/>
                <w:szCs w:val="21"/>
                <w:highlight w:val="none"/>
                <w:lang w:val="en-US" w:eastAsia="zh-CN"/>
              </w:rPr>
            </w:pPr>
            <w:r>
              <w:rPr>
                <w:rFonts w:hint="eastAsia" w:ascii="宋体" w:hAnsi="宋体"/>
                <w:b/>
                <w:bCs/>
                <w:color w:val="auto"/>
                <w:sz w:val="21"/>
                <w:szCs w:val="21"/>
                <w:highlight w:val="none"/>
                <w:lang w:val="en-US" w:eastAsia="zh-CN"/>
              </w:rPr>
              <w:t>（三）</w:t>
            </w:r>
            <w:r>
              <w:rPr>
                <w:rFonts w:ascii="宋体" w:hAnsi="宋体"/>
                <w:b/>
                <w:bCs/>
                <w:color w:val="auto"/>
                <w:sz w:val="21"/>
                <w:szCs w:val="21"/>
                <w:highlight w:val="none"/>
                <w:lang w:val="en-US" w:eastAsia="zh-CN"/>
              </w:rPr>
              <w:t>柱温箱：</w:t>
            </w:r>
          </w:p>
          <w:p w14:paraId="18EF63A8">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1.适用温度范围：环境温度+4℃</w:t>
            </w:r>
            <w:r>
              <w:rPr>
                <w:rFonts w:hint="eastAsia" w:ascii="宋体" w:hAnsi="宋体" w:cs="宋体"/>
                <w:color w:val="auto"/>
                <w:sz w:val="21"/>
                <w:szCs w:val="21"/>
                <w:highlight w:val="none"/>
              </w:rPr>
              <w:t>～</w:t>
            </w:r>
            <w:r>
              <w:rPr>
                <w:rFonts w:ascii="宋体" w:hAnsi="宋体"/>
                <w:color w:val="auto"/>
                <w:sz w:val="21"/>
                <w:szCs w:val="21"/>
                <w:highlight w:val="none"/>
                <w:lang w:val="en-US" w:eastAsia="zh-CN"/>
              </w:rPr>
              <w:t>450℃；</w:t>
            </w:r>
          </w:p>
          <w:p w14:paraId="5C807BB4">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2.温度设定精度：</w:t>
            </w:r>
            <w:r>
              <w:rPr>
                <w:rFonts w:hint="eastAsia" w:ascii="宋体" w:hAnsi="宋体"/>
                <w:color w:val="auto"/>
                <w:sz w:val="21"/>
                <w:szCs w:val="21"/>
                <w:highlight w:val="none"/>
                <w:lang w:val="en-US" w:eastAsia="zh-CN"/>
              </w:rPr>
              <w:t>能达到</w:t>
            </w:r>
            <w:r>
              <w:rPr>
                <w:rFonts w:ascii="宋体" w:hAnsi="宋体"/>
                <w:color w:val="auto"/>
                <w:sz w:val="21"/>
                <w:szCs w:val="21"/>
                <w:highlight w:val="none"/>
                <w:lang w:val="en-US" w:eastAsia="zh-CN"/>
              </w:rPr>
              <w:t>0.1℃；</w:t>
            </w:r>
          </w:p>
          <w:p w14:paraId="46C53018">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3.升温速率：≥120℃/min；</w:t>
            </w:r>
          </w:p>
          <w:p w14:paraId="037A23F5">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4.运行时间：≥999.99min；</w:t>
            </w:r>
          </w:p>
          <w:p w14:paraId="13AD019F">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5.程序升温：≥20阶21平台，可程序降温；</w:t>
            </w:r>
          </w:p>
          <w:p w14:paraId="252E6599">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6.从450℃降温到50℃，时间≤3.5min；</w:t>
            </w:r>
          </w:p>
          <w:p w14:paraId="019453A1">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7.温度波动：室温每波动1℃，柱温箱的温度波动</w:t>
            </w:r>
            <w:r>
              <w:rPr>
                <w:rFonts w:hint="eastAsia"/>
                <w:color w:val="auto"/>
                <w:highlight w:val="none"/>
                <w:lang w:val="en-US" w:eastAsia="zh-CN"/>
              </w:rPr>
              <w:t>＜</w:t>
            </w:r>
            <w:r>
              <w:rPr>
                <w:rFonts w:ascii="宋体" w:hAnsi="宋体"/>
                <w:color w:val="auto"/>
                <w:sz w:val="21"/>
                <w:szCs w:val="21"/>
                <w:highlight w:val="none"/>
                <w:lang w:val="en-US" w:eastAsia="zh-CN"/>
              </w:rPr>
              <w:t>0.01℃。</w:t>
            </w:r>
          </w:p>
          <w:p w14:paraId="20425B96">
            <w:pPr>
              <w:keepNext w:val="0"/>
              <w:keepLines w:val="0"/>
              <w:pageBreakBefore w:val="0"/>
              <w:bidi w:val="0"/>
              <w:spacing w:line="360" w:lineRule="auto"/>
              <w:jc w:val="left"/>
              <w:rPr>
                <w:rFonts w:ascii="宋体" w:hAnsi="宋体"/>
                <w:color w:val="auto"/>
                <w:sz w:val="21"/>
                <w:szCs w:val="21"/>
                <w:highlight w:val="none"/>
                <w:lang w:val="en-US" w:eastAsia="zh-CN"/>
              </w:rPr>
            </w:pPr>
            <w:r>
              <w:rPr>
                <w:rFonts w:hint="eastAsia" w:ascii="宋体" w:hAnsi="宋体"/>
                <w:color w:val="auto"/>
                <w:sz w:val="21"/>
                <w:szCs w:val="21"/>
                <w:highlight w:val="none"/>
                <w:lang w:val="en-US" w:eastAsia="zh-CN"/>
              </w:rPr>
              <w:t>（四）</w:t>
            </w:r>
            <w:r>
              <w:rPr>
                <w:rFonts w:ascii="宋体" w:hAnsi="宋体"/>
                <w:color w:val="auto"/>
                <w:sz w:val="21"/>
                <w:szCs w:val="21"/>
                <w:highlight w:val="none"/>
                <w:lang w:val="en-US" w:eastAsia="zh-CN"/>
              </w:rPr>
              <w:t>惰性分流/不分流进样口：</w:t>
            </w:r>
          </w:p>
          <w:p w14:paraId="475816EB">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1.</w:t>
            </w:r>
            <w:r>
              <w:rPr>
                <w:rFonts w:hint="eastAsia"/>
                <w:color w:val="auto"/>
                <w:highlight w:val="none"/>
                <w:lang w:val="en-US" w:eastAsia="zh-CN"/>
              </w:rPr>
              <w:t>要求能</w:t>
            </w:r>
            <w:r>
              <w:rPr>
                <w:rFonts w:ascii="宋体" w:hAnsi="宋体"/>
                <w:color w:val="auto"/>
                <w:sz w:val="21"/>
                <w:szCs w:val="21"/>
                <w:highlight w:val="none"/>
                <w:lang w:val="en-US" w:eastAsia="zh-CN"/>
              </w:rPr>
              <w:t>适用于内径50</w:t>
            </w:r>
            <w:r>
              <w:rPr>
                <w:color w:val="auto"/>
                <w:highlight w:val="none"/>
              </w:rPr>
              <w:t>～</w:t>
            </w:r>
            <w:r>
              <w:rPr>
                <w:rFonts w:ascii="宋体" w:hAnsi="宋体"/>
                <w:color w:val="auto"/>
                <w:sz w:val="21"/>
                <w:szCs w:val="21"/>
                <w:highlight w:val="none"/>
                <w:lang w:val="en-US" w:eastAsia="zh-CN"/>
              </w:rPr>
              <w:t>530μm的毛细管色谱柱；</w:t>
            </w:r>
          </w:p>
          <w:p w14:paraId="562EB683">
            <w:pPr>
              <w:keepNext w:val="0"/>
              <w:keepLines w:val="0"/>
              <w:pageBreakBefore w:val="0"/>
              <w:bidi w:val="0"/>
              <w:spacing w:line="360" w:lineRule="auto"/>
              <w:jc w:val="left"/>
              <w:rPr>
                <w:rFonts w:ascii="宋体" w:hAnsi="宋体"/>
                <w:b/>
                <w:bCs/>
                <w:color w:val="auto"/>
                <w:sz w:val="21"/>
                <w:szCs w:val="21"/>
                <w:highlight w:val="none"/>
                <w:lang w:val="en-US" w:eastAsia="zh-CN"/>
              </w:rPr>
            </w:pPr>
            <w:r>
              <w:rPr>
                <w:rFonts w:ascii="宋体" w:hAnsi="宋体"/>
                <w:b/>
                <w:bCs/>
                <w:color w:val="auto"/>
                <w:sz w:val="21"/>
                <w:szCs w:val="21"/>
                <w:highlight w:val="none"/>
                <w:lang w:val="en-US" w:eastAsia="zh-CN"/>
              </w:rPr>
              <w:t>▲2.最大分流比：≥12000:1；（供应商需在</w:t>
            </w:r>
            <w:r>
              <w:rPr>
                <w:rFonts w:hint="eastAsia" w:ascii="宋体" w:hAnsi="宋体"/>
                <w:b/>
                <w:bCs/>
                <w:color w:val="auto"/>
                <w:sz w:val="21"/>
                <w:szCs w:val="21"/>
                <w:highlight w:val="none"/>
                <w:lang w:val="en-US" w:eastAsia="zh-CN"/>
              </w:rPr>
              <w:t>投标文件</w:t>
            </w:r>
            <w:r>
              <w:rPr>
                <w:rFonts w:ascii="宋体" w:hAnsi="宋体"/>
                <w:b/>
                <w:bCs/>
                <w:color w:val="auto"/>
                <w:sz w:val="21"/>
                <w:szCs w:val="21"/>
                <w:highlight w:val="none"/>
                <w:lang w:val="en-US" w:eastAsia="zh-CN"/>
              </w:rPr>
              <w:t>中提供满足该参数要求的软件截图）</w:t>
            </w:r>
          </w:p>
          <w:p w14:paraId="7E8D8018">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3.最高温度</w:t>
            </w:r>
            <w:r>
              <w:rPr>
                <w:rFonts w:hint="eastAsia" w:ascii="宋体" w:hAnsi="宋体"/>
                <w:color w:val="auto"/>
                <w:sz w:val="21"/>
                <w:szCs w:val="21"/>
                <w:highlight w:val="none"/>
                <w:lang w:val="en-US" w:eastAsia="zh-CN"/>
              </w:rPr>
              <w:t>能达到</w:t>
            </w:r>
            <w:r>
              <w:rPr>
                <w:rFonts w:ascii="宋体" w:hAnsi="宋体"/>
                <w:color w:val="auto"/>
                <w:sz w:val="21"/>
                <w:szCs w:val="21"/>
                <w:highlight w:val="none"/>
                <w:lang w:val="en-US" w:eastAsia="zh-CN"/>
              </w:rPr>
              <w:t>400℃；</w:t>
            </w:r>
          </w:p>
          <w:p w14:paraId="3010BCDE">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4.扳转式进样口密封系统：无需工具、无需拆卸螺丝，可在30秒内更换进样口衬管；</w:t>
            </w:r>
          </w:p>
          <w:p w14:paraId="3646F866">
            <w:pPr>
              <w:keepNext w:val="0"/>
              <w:keepLines w:val="0"/>
              <w:pageBreakBefore w:val="0"/>
              <w:bidi w:val="0"/>
              <w:spacing w:line="360" w:lineRule="auto"/>
              <w:jc w:val="left"/>
              <w:rPr>
                <w:rFonts w:ascii="宋体" w:hAnsi="宋体"/>
                <w:b/>
                <w:bCs/>
                <w:color w:val="auto"/>
                <w:sz w:val="21"/>
                <w:szCs w:val="21"/>
                <w:highlight w:val="none"/>
                <w:lang w:val="en-US" w:eastAsia="zh-CN"/>
              </w:rPr>
            </w:pPr>
            <w:r>
              <w:rPr>
                <w:rFonts w:hint="eastAsia" w:ascii="宋体" w:hAnsi="宋体"/>
                <w:b/>
                <w:bCs/>
                <w:color w:val="auto"/>
                <w:sz w:val="21"/>
                <w:szCs w:val="21"/>
                <w:highlight w:val="none"/>
                <w:lang w:val="en-US" w:eastAsia="zh-CN"/>
              </w:rPr>
              <w:t>（五）</w:t>
            </w:r>
            <w:r>
              <w:rPr>
                <w:rFonts w:ascii="宋体" w:hAnsi="宋体"/>
                <w:b/>
                <w:bCs/>
                <w:color w:val="auto"/>
                <w:sz w:val="21"/>
                <w:szCs w:val="21"/>
                <w:highlight w:val="none"/>
                <w:lang w:val="en-US" w:eastAsia="zh-CN"/>
              </w:rPr>
              <w:t>自动进样系统：</w:t>
            </w:r>
          </w:p>
          <w:p w14:paraId="4E3A5BB0">
            <w:pPr>
              <w:keepNext w:val="0"/>
              <w:keepLines w:val="0"/>
              <w:pageBreakBefore w:val="0"/>
              <w:bidi w:val="0"/>
              <w:spacing w:line="360" w:lineRule="auto"/>
              <w:jc w:val="left"/>
              <w:rPr>
                <w:rFonts w:ascii="宋体" w:hAnsi="宋体"/>
                <w:b/>
                <w:bCs/>
                <w:color w:val="auto"/>
                <w:sz w:val="21"/>
                <w:szCs w:val="21"/>
                <w:highlight w:val="none"/>
                <w:lang w:val="en-US" w:eastAsia="zh-CN"/>
              </w:rPr>
            </w:pPr>
            <w:r>
              <w:rPr>
                <w:rFonts w:ascii="宋体" w:hAnsi="宋体"/>
                <w:b/>
                <w:bCs/>
                <w:color w:val="auto"/>
                <w:sz w:val="21"/>
                <w:szCs w:val="21"/>
                <w:highlight w:val="none"/>
                <w:lang w:val="en-US" w:eastAsia="zh-CN"/>
              </w:rPr>
              <w:t>▲1.由1套独立进样塔（≥16位）和1套独立样品盘系统（≥150位，含三维机械导轨及样品瓶抓手）组成；</w:t>
            </w:r>
          </w:p>
          <w:p w14:paraId="2B5DE253">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2.液体进样量范围：</w:t>
            </w:r>
            <w:r>
              <w:rPr>
                <w:rFonts w:hint="eastAsia" w:ascii="宋体" w:hAnsi="宋体"/>
                <w:color w:val="auto"/>
                <w:sz w:val="21"/>
                <w:szCs w:val="21"/>
                <w:highlight w:val="none"/>
                <w:lang w:val="en-US" w:eastAsia="zh-CN"/>
              </w:rPr>
              <w:t>能达到</w:t>
            </w:r>
            <w:r>
              <w:rPr>
                <w:rFonts w:ascii="宋体" w:hAnsi="宋体"/>
                <w:color w:val="auto"/>
                <w:sz w:val="21"/>
                <w:szCs w:val="21"/>
                <w:highlight w:val="none"/>
                <w:lang w:val="en-US" w:eastAsia="zh-CN"/>
              </w:rPr>
              <w:t>0.1</w:t>
            </w:r>
            <w:r>
              <w:rPr>
                <w:rFonts w:hint="eastAsia" w:ascii="宋体" w:hAnsi="宋体" w:cs="宋体"/>
                <w:color w:val="auto"/>
                <w:sz w:val="21"/>
                <w:szCs w:val="21"/>
                <w:highlight w:val="none"/>
              </w:rPr>
              <w:t>～</w:t>
            </w:r>
            <w:r>
              <w:rPr>
                <w:rFonts w:ascii="宋体" w:hAnsi="宋体"/>
                <w:color w:val="auto"/>
                <w:sz w:val="21"/>
                <w:szCs w:val="21"/>
                <w:highlight w:val="none"/>
                <w:lang w:val="en-US" w:eastAsia="zh-CN"/>
              </w:rPr>
              <w:t>50μL；</w:t>
            </w:r>
          </w:p>
          <w:p w14:paraId="5DD75E30">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3.样品位数：≥166位；</w:t>
            </w:r>
          </w:p>
          <w:p w14:paraId="576D2CB6">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4.进样量线性：≥99%；</w:t>
            </w:r>
          </w:p>
          <w:p w14:paraId="50F2D686">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5.交叉污染：＜十万分之一；</w:t>
            </w:r>
          </w:p>
          <w:p w14:paraId="10CD98C4">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4.进样速度：</w:t>
            </w:r>
            <w:r>
              <w:rPr>
                <w:rFonts w:hint="eastAsia" w:ascii="宋体" w:hAnsi="宋体"/>
                <w:color w:val="auto"/>
                <w:sz w:val="21"/>
                <w:szCs w:val="21"/>
                <w:highlight w:val="none"/>
                <w:lang w:val="en-US" w:eastAsia="zh-CN"/>
              </w:rPr>
              <w:t>具有高速、低速、自定义速度进样模式</w:t>
            </w:r>
            <w:r>
              <w:rPr>
                <w:rFonts w:ascii="宋体" w:hAnsi="宋体"/>
                <w:color w:val="auto"/>
                <w:sz w:val="21"/>
                <w:szCs w:val="21"/>
                <w:highlight w:val="none"/>
                <w:lang w:val="en-US" w:eastAsia="zh-CN"/>
              </w:rPr>
              <w:t>，吸取样品深度可调；</w:t>
            </w:r>
          </w:p>
          <w:p w14:paraId="02F3FE1E">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5.可实现快速进样，进样速度</w:t>
            </w:r>
            <w:r>
              <w:rPr>
                <w:rFonts w:hint="eastAsia" w:ascii="宋体" w:hAnsi="宋体"/>
                <w:color w:val="auto"/>
                <w:sz w:val="21"/>
                <w:szCs w:val="21"/>
                <w:highlight w:val="none"/>
                <w:lang w:val="en-US" w:eastAsia="zh-CN"/>
              </w:rPr>
              <w:t>≥</w:t>
            </w:r>
            <w:r>
              <w:rPr>
                <w:rFonts w:ascii="宋体" w:hAnsi="宋体"/>
                <w:color w:val="auto"/>
                <w:sz w:val="21"/>
                <w:szCs w:val="21"/>
                <w:highlight w:val="none"/>
                <w:lang w:val="en-US" w:eastAsia="zh-CN"/>
              </w:rPr>
              <w:t>0.1 sec；</w:t>
            </w:r>
          </w:p>
          <w:p w14:paraId="4460822A">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6.安装后系统</w:t>
            </w:r>
            <w:r>
              <w:rPr>
                <w:rFonts w:hint="eastAsia" w:ascii="宋体" w:hAnsi="宋体"/>
                <w:color w:val="auto"/>
                <w:sz w:val="21"/>
                <w:szCs w:val="21"/>
                <w:highlight w:val="none"/>
                <w:lang w:val="en-US" w:eastAsia="zh-CN"/>
              </w:rPr>
              <w:t>能</w:t>
            </w:r>
            <w:r>
              <w:rPr>
                <w:rFonts w:ascii="宋体" w:hAnsi="宋体"/>
                <w:color w:val="auto"/>
                <w:sz w:val="21"/>
                <w:szCs w:val="21"/>
                <w:highlight w:val="none"/>
                <w:lang w:val="en-US" w:eastAsia="zh-CN"/>
              </w:rPr>
              <w:t>自动识别、直接使用，无需重新安装驱动程序。</w:t>
            </w:r>
          </w:p>
          <w:p w14:paraId="67C0BC30">
            <w:pPr>
              <w:keepNext w:val="0"/>
              <w:keepLines w:val="0"/>
              <w:pageBreakBefore w:val="0"/>
              <w:bidi w:val="0"/>
              <w:spacing w:line="360" w:lineRule="auto"/>
              <w:jc w:val="left"/>
              <w:rPr>
                <w:rFonts w:ascii="宋体" w:hAnsi="宋体"/>
                <w:b/>
                <w:bCs/>
                <w:color w:val="auto"/>
                <w:sz w:val="21"/>
                <w:szCs w:val="21"/>
                <w:highlight w:val="none"/>
                <w:lang w:val="en-US" w:eastAsia="zh-CN"/>
              </w:rPr>
            </w:pPr>
            <w:r>
              <w:rPr>
                <w:rFonts w:hint="eastAsia" w:ascii="宋体" w:hAnsi="宋体"/>
                <w:b/>
                <w:bCs/>
                <w:color w:val="auto"/>
                <w:sz w:val="21"/>
                <w:szCs w:val="21"/>
                <w:highlight w:val="none"/>
                <w:lang w:val="en-US" w:eastAsia="zh-CN"/>
              </w:rPr>
              <w:t>（六）</w:t>
            </w:r>
            <w:r>
              <w:rPr>
                <w:rFonts w:ascii="宋体" w:hAnsi="宋体"/>
                <w:b/>
                <w:bCs/>
                <w:color w:val="auto"/>
                <w:sz w:val="21"/>
                <w:szCs w:val="21"/>
                <w:highlight w:val="none"/>
                <w:lang w:val="en-US" w:eastAsia="zh-CN"/>
              </w:rPr>
              <w:t>三重四极杆质谱仪主机技术指标要求：</w:t>
            </w:r>
          </w:p>
          <w:p w14:paraId="302A4A27">
            <w:pPr>
              <w:keepNext w:val="0"/>
              <w:keepLines w:val="0"/>
              <w:pageBreakBefore w:val="0"/>
              <w:bidi w:val="0"/>
              <w:spacing w:line="360" w:lineRule="auto"/>
              <w:jc w:val="left"/>
              <w:rPr>
                <w:rFonts w:hint="eastAsia" w:ascii="宋体" w:hAnsi="宋体"/>
                <w:color w:val="auto"/>
                <w:sz w:val="21"/>
                <w:szCs w:val="21"/>
                <w:highlight w:val="none"/>
                <w:lang w:val="en-US" w:eastAsia="zh-CN"/>
              </w:rPr>
            </w:pPr>
            <w:r>
              <w:rPr>
                <w:rFonts w:ascii="宋体" w:hAnsi="宋体"/>
                <w:color w:val="auto"/>
                <w:sz w:val="21"/>
                <w:szCs w:val="21"/>
                <w:highlight w:val="none"/>
                <w:lang w:val="en-US" w:eastAsia="zh-CN"/>
              </w:rPr>
              <w:t>1.质量数范围：</w:t>
            </w:r>
            <w:r>
              <w:rPr>
                <w:rFonts w:hint="eastAsia" w:ascii="宋体" w:hAnsi="宋体"/>
                <w:color w:val="auto"/>
                <w:sz w:val="21"/>
                <w:szCs w:val="21"/>
                <w:highlight w:val="none"/>
                <w:lang w:val="en-US" w:eastAsia="zh-CN"/>
              </w:rPr>
              <w:t xml:space="preserve">能达到10-1050 m/z；信噪比：≥1500:1（1µL10fg/µL的OFN，He 气做载气，MS/MS 离子对：m/z 272 →222，使用色谱柱 HP-5MS 30 m × 0.25 </w:t>
            </w:r>
          </w:p>
          <w:p w14:paraId="79A3785E">
            <w:pPr>
              <w:keepNext w:val="0"/>
              <w:keepLines w:val="0"/>
              <w:pageBreakBefore w:val="0"/>
              <w:bidi w:val="0"/>
              <w:spacing w:line="360" w:lineRule="auto"/>
              <w:jc w:val="left"/>
              <w:rPr>
                <w:rFonts w:ascii="宋体" w:hAnsi="宋体"/>
                <w:color w:val="auto"/>
                <w:sz w:val="21"/>
                <w:szCs w:val="21"/>
                <w:highlight w:val="none"/>
                <w:lang w:val="en-US" w:eastAsia="zh-CN"/>
              </w:rPr>
            </w:pPr>
            <w:r>
              <w:rPr>
                <w:rFonts w:hint="eastAsia" w:ascii="宋体" w:hAnsi="宋体"/>
                <w:color w:val="auto"/>
                <w:sz w:val="21"/>
                <w:szCs w:val="21"/>
                <w:highlight w:val="none"/>
                <w:lang w:val="en-US" w:eastAsia="zh-CN"/>
              </w:rPr>
              <w:t xml:space="preserve">mm,0.25 µm）； </w:t>
            </w:r>
          </w:p>
          <w:p w14:paraId="03C8179D">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2.离子源：EI源，独立控温，最高温度</w:t>
            </w:r>
            <w:r>
              <w:rPr>
                <w:rFonts w:hint="eastAsia" w:ascii="宋体" w:hAnsi="宋体"/>
                <w:color w:val="auto"/>
                <w:sz w:val="21"/>
                <w:szCs w:val="21"/>
                <w:highlight w:val="none"/>
                <w:lang w:val="en-US" w:eastAsia="zh-CN"/>
              </w:rPr>
              <w:t>能达到</w:t>
            </w:r>
            <w:r>
              <w:rPr>
                <w:rFonts w:ascii="宋体" w:hAnsi="宋体"/>
                <w:color w:val="auto"/>
                <w:sz w:val="21"/>
                <w:szCs w:val="21"/>
                <w:highlight w:val="none"/>
                <w:lang w:val="en-US" w:eastAsia="zh-CN"/>
              </w:rPr>
              <w:t>350˚C；</w:t>
            </w:r>
          </w:p>
          <w:p w14:paraId="0B237973">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3.分辨率：0.4</w:t>
            </w:r>
            <w:r>
              <w:rPr>
                <w:rFonts w:hint="eastAsia" w:ascii="宋体" w:hAnsi="宋体" w:cs="宋体"/>
                <w:color w:val="auto"/>
                <w:sz w:val="21"/>
                <w:szCs w:val="21"/>
                <w:highlight w:val="none"/>
              </w:rPr>
              <w:t>～</w:t>
            </w:r>
            <w:r>
              <w:rPr>
                <w:rFonts w:ascii="宋体" w:hAnsi="宋体"/>
                <w:color w:val="auto"/>
                <w:sz w:val="21"/>
                <w:szCs w:val="21"/>
                <w:highlight w:val="none"/>
                <w:lang w:val="en-US" w:eastAsia="zh-CN"/>
              </w:rPr>
              <w:t>4amu</w:t>
            </w:r>
            <w:r>
              <w:rPr>
                <w:rFonts w:hint="eastAsia" w:ascii="宋体" w:hAnsi="宋体"/>
                <w:color w:val="auto"/>
                <w:sz w:val="21"/>
                <w:szCs w:val="21"/>
                <w:highlight w:val="none"/>
                <w:lang w:val="en-US" w:eastAsia="zh-CN"/>
              </w:rPr>
              <w:t>分辨</w:t>
            </w:r>
            <w:r>
              <w:rPr>
                <w:rFonts w:ascii="宋体" w:hAnsi="宋体"/>
                <w:color w:val="auto"/>
                <w:sz w:val="21"/>
                <w:szCs w:val="21"/>
                <w:highlight w:val="none"/>
                <w:lang w:val="en-US" w:eastAsia="zh-CN"/>
              </w:rPr>
              <w:t>可调；</w:t>
            </w:r>
          </w:p>
          <w:p w14:paraId="3D6B32FB">
            <w:pPr>
              <w:keepNext w:val="0"/>
              <w:keepLines w:val="0"/>
              <w:pageBreakBefore w:val="0"/>
              <w:bidi w:val="0"/>
              <w:spacing w:line="360" w:lineRule="auto"/>
              <w:jc w:val="left"/>
              <w:rPr>
                <w:rFonts w:ascii="宋体" w:hAnsi="宋体"/>
                <w:b/>
                <w:bCs/>
                <w:color w:val="auto"/>
                <w:sz w:val="21"/>
                <w:szCs w:val="21"/>
                <w:highlight w:val="none"/>
                <w:lang w:val="en-US" w:eastAsia="zh-CN"/>
              </w:rPr>
            </w:pPr>
            <w:r>
              <w:rPr>
                <w:rFonts w:ascii="宋体" w:hAnsi="宋体"/>
                <w:b/>
                <w:bCs/>
                <w:color w:val="auto"/>
                <w:sz w:val="21"/>
                <w:szCs w:val="21"/>
                <w:highlight w:val="none"/>
                <w:lang w:val="en-US" w:eastAsia="zh-CN"/>
              </w:rPr>
              <w:t>▲4.灯丝电流：≥280μA；（供应商需在</w:t>
            </w:r>
            <w:r>
              <w:rPr>
                <w:rFonts w:hint="eastAsia" w:ascii="宋体" w:hAnsi="宋体"/>
                <w:b/>
                <w:bCs/>
                <w:color w:val="auto"/>
                <w:sz w:val="21"/>
                <w:szCs w:val="21"/>
                <w:highlight w:val="none"/>
                <w:lang w:val="en-US" w:eastAsia="zh-CN"/>
              </w:rPr>
              <w:t>投标文件</w:t>
            </w:r>
            <w:r>
              <w:rPr>
                <w:rFonts w:ascii="宋体" w:hAnsi="宋体"/>
                <w:b/>
                <w:bCs/>
                <w:color w:val="auto"/>
                <w:sz w:val="21"/>
                <w:szCs w:val="21"/>
                <w:highlight w:val="none"/>
                <w:lang w:val="en-US" w:eastAsia="zh-CN"/>
              </w:rPr>
              <w:t>中提供满足该参数要求的软件截图）</w:t>
            </w:r>
          </w:p>
          <w:p w14:paraId="0419D65E">
            <w:pPr>
              <w:keepNext w:val="0"/>
              <w:keepLines w:val="0"/>
              <w:pageBreakBefore w:val="0"/>
              <w:bidi w:val="0"/>
              <w:spacing w:line="360" w:lineRule="auto"/>
              <w:jc w:val="left"/>
              <w:rPr>
                <w:rFonts w:ascii="宋体" w:hAnsi="宋体"/>
                <w:b/>
                <w:bCs/>
                <w:color w:val="auto"/>
                <w:sz w:val="21"/>
                <w:szCs w:val="21"/>
                <w:highlight w:val="none"/>
                <w:lang w:val="en-US" w:eastAsia="zh-CN"/>
              </w:rPr>
            </w:pPr>
            <w:r>
              <w:rPr>
                <w:rFonts w:ascii="宋体" w:hAnsi="宋体"/>
                <w:b/>
                <w:bCs/>
                <w:color w:val="auto"/>
                <w:sz w:val="21"/>
                <w:szCs w:val="21"/>
                <w:highlight w:val="none"/>
                <w:lang w:val="en-US" w:eastAsia="zh-CN"/>
              </w:rPr>
              <w:t>▲5.离子化能量：≥280eV；（供应商需在</w:t>
            </w:r>
            <w:r>
              <w:rPr>
                <w:rFonts w:hint="eastAsia" w:ascii="宋体" w:hAnsi="宋体"/>
                <w:b/>
                <w:bCs/>
                <w:color w:val="auto"/>
                <w:sz w:val="21"/>
                <w:szCs w:val="21"/>
                <w:highlight w:val="none"/>
                <w:lang w:val="en-US" w:eastAsia="zh-CN"/>
              </w:rPr>
              <w:t>投标文件</w:t>
            </w:r>
            <w:r>
              <w:rPr>
                <w:rFonts w:ascii="宋体" w:hAnsi="宋体"/>
                <w:b/>
                <w:bCs/>
                <w:color w:val="auto"/>
                <w:sz w:val="21"/>
                <w:szCs w:val="21"/>
                <w:highlight w:val="none"/>
                <w:lang w:val="en-US" w:eastAsia="zh-CN"/>
              </w:rPr>
              <w:t>中提供满足该参数要求的软件截图）</w:t>
            </w:r>
          </w:p>
          <w:p w14:paraId="48549312">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6.碰撞池以氮气为碰撞气，节省实验成本；</w:t>
            </w:r>
          </w:p>
          <w:p w14:paraId="6A8AC996">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7.仪器具有氦气消除功能，可消除载气氦气所带来的背景噪音干扰，氦气消除气体流量范围</w:t>
            </w:r>
            <w:r>
              <w:rPr>
                <w:rFonts w:hint="eastAsia" w:ascii="宋体" w:hAnsi="宋体"/>
                <w:color w:val="auto"/>
                <w:sz w:val="21"/>
                <w:szCs w:val="21"/>
                <w:highlight w:val="none"/>
                <w:lang w:val="en-US" w:eastAsia="zh-CN"/>
              </w:rPr>
              <w:t>能</w:t>
            </w:r>
            <w:r>
              <w:rPr>
                <w:rFonts w:ascii="宋体" w:hAnsi="宋体"/>
                <w:color w:val="auto"/>
                <w:sz w:val="21"/>
                <w:szCs w:val="21"/>
                <w:highlight w:val="none"/>
                <w:lang w:val="en-US" w:eastAsia="zh-CN"/>
              </w:rPr>
              <w:t>在0</w:t>
            </w:r>
            <w:r>
              <w:rPr>
                <w:rFonts w:hint="eastAsia" w:ascii="宋体" w:hAnsi="宋体" w:cs="宋体"/>
                <w:color w:val="auto"/>
                <w:sz w:val="21"/>
                <w:szCs w:val="21"/>
                <w:highlight w:val="none"/>
              </w:rPr>
              <w:t>～</w:t>
            </w:r>
            <w:r>
              <w:rPr>
                <w:rFonts w:ascii="宋体" w:hAnsi="宋体"/>
                <w:color w:val="auto"/>
                <w:sz w:val="21"/>
                <w:szCs w:val="21"/>
                <w:highlight w:val="none"/>
                <w:lang w:val="en-US" w:eastAsia="zh-CN"/>
              </w:rPr>
              <w:t>5.0 ml/min可调；</w:t>
            </w:r>
          </w:p>
          <w:p w14:paraId="4E4CE2F6">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b/>
                <w:bCs/>
                <w:color w:val="auto"/>
                <w:sz w:val="21"/>
                <w:szCs w:val="21"/>
                <w:highlight w:val="none"/>
                <w:lang w:val="en-US" w:eastAsia="zh-CN"/>
              </w:rPr>
              <w:t>▲8.四极杆质量分析器：能独立温控，可通过质谱软件设置四极杆温度，最高可达190℃，非预四极杆加热；（供应商需在</w:t>
            </w:r>
            <w:r>
              <w:rPr>
                <w:rFonts w:hint="eastAsia" w:ascii="宋体" w:hAnsi="宋体"/>
                <w:b/>
                <w:bCs/>
                <w:color w:val="auto"/>
                <w:sz w:val="21"/>
                <w:szCs w:val="21"/>
                <w:highlight w:val="none"/>
                <w:lang w:val="en-US" w:eastAsia="zh-CN"/>
              </w:rPr>
              <w:t>投标文件</w:t>
            </w:r>
            <w:r>
              <w:rPr>
                <w:rFonts w:ascii="宋体" w:hAnsi="宋体"/>
                <w:b/>
                <w:bCs/>
                <w:color w:val="auto"/>
                <w:sz w:val="21"/>
                <w:szCs w:val="21"/>
                <w:highlight w:val="none"/>
                <w:lang w:val="en-US" w:eastAsia="zh-CN"/>
              </w:rPr>
              <w:t>中提供满足该参数要求的软件截图）</w:t>
            </w:r>
          </w:p>
          <w:p w14:paraId="623E60CD">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9.扫描速率：最大</w:t>
            </w:r>
            <w:r>
              <w:rPr>
                <w:rFonts w:hint="eastAsia" w:ascii="宋体" w:hAnsi="宋体"/>
                <w:color w:val="auto"/>
                <w:sz w:val="21"/>
                <w:szCs w:val="21"/>
                <w:highlight w:val="none"/>
                <w:lang w:val="en-US" w:eastAsia="zh-CN"/>
              </w:rPr>
              <w:t>能达到</w:t>
            </w:r>
            <w:r>
              <w:rPr>
                <w:rFonts w:ascii="宋体" w:hAnsi="宋体"/>
                <w:color w:val="auto"/>
                <w:sz w:val="21"/>
                <w:szCs w:val="21"/>
                <w:highlight w:val="none"/>
                <w:lang w:val="en-US" w:eastAsia="zh-CN"/>
              </w:rPr>
              <w:t>800个MRM/秒，最小SRM扫描时间：</w:t>
            </w:r>
            <w:r>
              <w:rPr>
                <w:rFonts w:hint="eastAsia" w:ascii="宋体" w:hAnsi="宋体"/>
                <w:color w:val="auto"/>
                <w:sz w:val="21"/>
                <w:szCs w:val="21"/>
                <w:highlight w:val="none"/>
                <w:lang w:val="en-US" w:eastAsia="zh-CN"/>
              </w:rPr>
              <w:t>≤</w:t>
            </w:r>
            <w:r>
              <w:rPr>
                <w:rFonts w:ascii="宋体" w:hAnsi="宋体"/>
                <w:color w:val="auto"/>
                <w:sz w:val="21"/>
                <w:szCs w:val="21"/>
                <w:highlight w:val="none"/>
                <w:lang w:val="en-US" w:eastAsia="zh-CN"/>
              </w:rPr>
              <w:t>0.5ms；</w:t>
            </w:r>
          </w:p>
          <w:p w14:paraId="002B5196">
            <w:pPr>
              <w:keepNext w:val="0"/>
              <w:keepLines w:val="0"/>
              <w:pageBreakBefore w:val="0"/>
              <w:bidi w:val="0"/>
              <w:spacing w:line="360" w:lineRule="auto"/>
              <w:jc w:val="left"/>
              <w:rPr>
                <w:rFonts w:ascii="宋体" w:hAnsi="宋体"/>
                <w:b/>
                <w:bCs/>
                <w:color w:val="auto"/>
                <w:sz w:val="21"/>
                <w:szCs w:val="21"/>
                <w:highlight w:val="none"/>
                <w:lang w:val="en-US" w:eastAsia="zh-CN"/>
              </w:rPr>
            </w:pPr>
            <w:r>
              <w:rPr>
                <w:rFonts w:ascii="宋体" w:hAnsi="宋体"/>
                <w:b/>
                <w:bCs/>
                <w:color w:val="auto"/>
                <w:sz w:val="21"/>
                <w:szCs w:val="21"/>
                <w:highlight w:val="none"/>
                <w:lang w:val="en-US" w:eastAsia="zh-CN"/>
              </w:rPr>
              <w:t>▲10.仪器检测限指标（验收指标以30 m × 0.25 mm</w:t>
            </w:r>
            <w:r>
              <w:rPr>
                <w:rFonts w:hint="eastAsia" w:ascii="宋体" w:hAnsi="宋体"/>
                <w:b/>
                <w:bCs/>
                <w:color w:val="auto"/>
                <w:sz w:val="21"/>
                <w:szCs w:val="21"/>
                <w:highlight w:val="none"/>
                <w:lang w:val="en-US" w:eastAsia="zh-CN"/>
              </w:rPr>
              <w:t>，</w:t>
            </w:r>
            <w:r>
              <w:rPr>
                <w:rFonts w:ascii="宋体" w:hAnsi="宋体"/>
                <w:b/>
                <w:bCs/>
                <w:color w:val="auto"/>
                <w:sz w:val="21"/>
                <w:szCs w:val="21"/>
                <w:highlight w:val="none"/>
                <w:lang w:val="en-US" w:eastAsia="zh-CN"/>
              </w:rPr>
              <w:t>0.25 µm色谱柱为标准）：</w:t>
            </w:r>
          </w:p>
          <w:p w14:paraId="446C602A">
            <w:pPr>
              <w:keepNext w:val="0"/>
              <w:keepLines w:val="0"/>
              <w:pageBreakBefore w:val="0"/>
              <w:bidi w:val="0"/>
              <w:spacing w:line="360" w:lineRule="auto"/>
              <w:jc w:val="left"/>
              <w:rPr>
                <w:rFonts w:ascii="宋体" w:hAnsi="宋体"/>
                <w:b/>
                <w:bCs/>
                <w:color w:val="auto"/>
                <w:sz w:val="21"/>
                <w:szCs w:val="21"/>
                <w:highlight w:val="none"/>
                <w:lang w:val="en-US" w:eastAsia="zh-CN"/>
              </w:rPr>
            </w:pPr>
            <w:r>
              <w:rPr>
                <w:rFonts w:ascii="宋体" w:hAnsi="宋体"/>
                <w:b/>
                <w:bCs/>
                <w:color w:val="auto"/>
                <w:sz w:val="21"/>
                <w:szCs w:val="21"/>
                <w:highlight w:val="none"/>
                <w:lang w:val="en-US" w:eastAsia="zh-CN"/>
              </w:rPr>
              <w:t>IDL(MRM)：≤4.0fg，氦气做载气，10fg OFN 连续8次进样，m/z272→222处的MS/MS离子对所得峰面积精密度在99%置信水平下统计得出。</w:t>
            </w:r>
          </w:p>
          <w:p w14:paraId="7E699092">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11.扫描功能：全扫描模式、子离子扫描模式、母离子扫描模式、中性丢失扫描模式、选择离子扫描模式、多反应扫描模式、触发产物离子扫描；</w:t>
            </w:r>
          </w:p>
          <w:p w14:paraId="49803FE5">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12.质谱工作站同时具有分段扫描功能和dMRM功能，可实现dMRM、SCAN及tMRM、SCAN同时扫描；</w:t>
            </w:r>
          </w:p>
          <w:p w14:paraId="5FB21D9F">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13.真空系统：配有前级机械泵和独立分子涡轮泵，无需额外水冷却系统。</w:t>
            </w:r>
          </w:p>
          <w:p w14:paraId="6A8354C8">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14.数据处理系统：</w:t>
            </w:r>
          </w:p>
          <w:p w14:paraId="46201319">
            <w:pPr>
              <w:keepNext w:val="0"/>
              <w:keepLines w:val="0"/>
              <w:pageBreakBefore w:val="0"/>
              <w:bidi w:val="0"/>
              <w:spacing w:line="360" w:lineRule="auto"/>
              <w:jc w:val="left"/>
              <w:rPr>
                <w:rFonts w:ascii="宋体" w:hAnsi="宋体"/>
                <w:b/>
                <w:bCs/>
                <w:color w:val="auto"/>
                <w:sz w:val="21"/>
                <w:szCs w:val="21"/>
                <w:highlight w:val="none"/>
                <w:lang w:val="en-US" w:eastAsia="zh-CN"/>
              </w:rPr>
            </w:pPr>
            <w:r>
              <w:rPr>
                <w:rFonts w:ascii="宋体" w:hAnsi="宋体"/>
                <w:b/>
                <w:bCs/>
                <w:color w:val="auto"/>
                <w:sz w:val="21"/>
                <w:szCs w:val="21"/>
                <w:highlight w:val="none"/>
                <w:lang w:val="en-US" w:eastAsia="zh-CN"/>
              </w:rPr>
              <w:t>▲14.1软件：气质串接软件应同时包含中文和英文两种软件，包含未知物解析、解卷积（非NIST带有的AMDIS）功能；</w:t>
            </w:r>
          </w:p>
          <w:p w14:paraId="69E0E808">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14.2通用谱库：</w:t>
            </w:r>
            <w:r>
              <w:rPr>
                <w:rFonts w:hint="eastAsia" w:ascii="宋体" w:hAnsi="宋体"/>
                <w:color w:val="auto"/>
                <w:sz w:val="21"/>
                <w:szCs w:val="21"/>
                <w:highlight w:val="none"/>
                <w:lang w:val="en-US" w:eastAsia="zh-CN"/>
              </w:rPr>
              <w:t>要求提供</w:t>
            </w:r>
            <w:r>
              <w:rPr>
                <w:rFonts w:ascii="宋体" w:hAnsi="宋体"/>
                <w:color w:val="auto"/>
                <w:sz w:val="21"/>
                <w:szCs w:val="21"/>
                <w:highlight w:val="none"/>
                <w:lang w:val="en-US" w:eastAsia="zh-CN"/>
              </w:rPr>
              <w:t>NIST最新版谱库和化学结构式库（包含至少30万种化合物的35万幅EI谱图以及13.9万种化合物的气相色谱方法/保留指数库）。</w:t>
            </w:r>
          </w:p>
          <w:p w14:paraId="3B741C36">
            <w:pPr>
              <w:keepNext w:val="0"/>
              <w:keepLines w:val="0"/>
              <w:pageBreakBefore w:val="0"/>
              <w:bidi w:val="0"/>
              <w:spacing w:line="360" w:lineRule="auto"/>
              <w:jc w:val="left"/>
              <w:rPr>
                <w:rFonts w:ascii="宋体" w:hAnsi="宋体"/>
                <w:b/>
                <w:bCs/>
                <w:color w:val="auto"/>
                <w:sz w:val="21"/>
                <w:szCs w:val="21"/>
                <w:highlight w:val="none"/>
                <w:lang w:val="en-US" w:eastAsia="zh-CN"/>
              </w:rPr>
            </w:pPr>
            <w:r>
              <w:rPr>
                <w:rFonts w:hint="eastAsia" w:ascii="宋体" w:hAnsi="宋体"/>
                <w:b/>
                <w:bCs/>
                <w:color w:val="auto"/>
                <w:sz w:val="21"/>
                <w:szCs w:val="21"/>
                <w:highlight w:val="none"/>
                <w:lang w:val="en-US" w:eastAsia="zh-CN"/>
              </w:rPr>
              <w:t>（七）</w:t>
            </w:r>
            <w:r>
              <w:rPr>
                <w:rFonts w:ascii="宋体" w:hAnsi="宋体"/>
                <w:b/>
                <w:bCs/>
                <w:color w:val="auto"/>
                <w:sz w:val="21"/>
                <w:szCs w:val="21"/>
                <w:highlight w:val="none"/>
                <w:lang w:val="en-US" w:eastAsia="zh-CN"/>
              </w:rPr>
              <w:t>配置</w:t>
            </w:r>
            <w:r>
              <w:rPr>
                <w:rFonts w:hint="eastAsia" w:ascii="宋体" w:hAnsi="宋体"/>
                <w:b/>
                <w:bCs/>
                <w:color w:val="auto"/>
                <w:sz w:val="21"/>
                <w:szCs w:val="21"/>
                <w:highlight w:val="none"/>
                <w:lang w:val="en-US" w:eastAsia="zh-CN"/>
              </w:rPr>
              <w:t>至少包含</w:t>
            </w:r>
            <w:r>
              <w:rPr>
                <w:rFonts w:ascii="宋体" w:hAnsi="宋体"/>
                <w:b/>
                <w:bCs/>
                <w:color w:val="auto"/>
                <w:sz w:val="21"/>
                <w:szCs w:val="21"/>
                <w:highlight w:val="none"/>
                <w:lang w:val="en-US" w:eastAsia="zh-CN"/>
              </w:rPr>
              <w:t>：</w:t>
            </w:r>
          </w:p>
          <w:p w14:paraId="484B6BE6">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1.气相色谱仪主机1套；</w:t>
            </w:r>
          </w:p>
          <w:p w14:paraId="1A3346B1">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2.惰性分流/不分流进样口1个；</w:t>
            </w:r>
          </w:p>
          <w:p w14:paraId="52F96472">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3.质谱接口1个；</w:t>
            </w:r>
          </w:p>
          <w:p w14:paraId="286DBCEC">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4.自动进样系统1套；</w:t>
            </w:r>
          </w:p>
          <w:p w14:paraId="7652B1E4">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5.三重四极杆质谱仪主机1套；</w:t>
            </w:r>
          </w:p>
          <w:p w14:paraId="25995E06">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6.用于MS/MS的碰撞池套件1套；</w:t>
            </w:r>
          </w:p>
          <w:p w14:paraId="5CC5366F">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7.原装工作站软件1套；</w:t>
            </w:r>
          </w:p>
          <w:p w14:paraId="247081E7">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8.工作站硬件1套；</w:t>
            </w:r>
          </w:p>
          <w:p w14:paraId="6223E7DC">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9.双面网络输出设备1套；</w:t>
            </w:r>
          </w:p>
          <w:p w14:paraId="58EBACD8">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10.NIST最新版谱库1套；</w:t>
            </w:r>
          </w:p>
          <w:p w14:paraId="006C013C">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11.气相色谱起始工具包1套；</w:t>
            </w:r>
          </w:p>
          <w:p w14:paraId="7C67B5DC">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13.色谱柱1根</w:t>
            </w:r>
          </w:p>
          <w:p w14:paraId="353B7995">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14.不粘连BTO进样隔垫（50/包）1包；</w:t>
            </w:r>
          </w:p>
          <w:p w14:paraId="352BDDE2">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15.不粘连衬管O形圈（10/包）1包；</w:t>
            </w:r>
          </w:p>
          <w:p w14:paraId="3E227674">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16.密封垫圈（</w:t>
            </w:r>
            <w:r>
              <w:rPr>
                <w:rFonts w:hint="eastAsia" w:ascii="宋体" w:hAnsi="宋体"/>
                <w:color w:val="auto"/>
                <w:sz w:val="21"/>
                <w:szCs w:val="21"/>
                <w:highlight w:val="none"/>
                <w:lang w:val="en-US" w:eastAsia="zh-CN"/>
              </w:rPr>
              <w:t>要求</w:t>
            </w:r>
            <w:r>
              <w:rPr>
                <w:rFonts w:ascii="宋体" w:hAnsi="宋体"/>
                <w:color w:val="auto"/>
                <w:sz w:val="21"/>
                <w:szCs w:val="21"/>
                <w:highlight w:val="none"/>
                <w:lang w:val="en-US" w:eastAsia="zh-CN"/>
              </w:rPr>
              <w:t>适用于0.1</w:t>
            </w:r>
            <w:r>
              <w:rPr>
                <w:rFonts w:hint="eastAsia" w:ascii="宋体" w:hAnsi="宋体" w:cs="宋体"/>
                <w:color w:val="auto"/>
                <w:sz w:val="21"/>
                <w:szCs w:val="21"/>
                <w:highlight w:val="none"/>
              </w:rPr>
              <w:t>～</w:t>
            </w:r>
            <w:r>
              <w:rPr>
                <w:rFonts w:ascii="宋体" w:hAnsi="宋体"/>
                <w:color w:val="auto"/>
                <w:sz w:val="21"/>
                <w:szCs w:val="21"/>
                <w:highlight w:val="none"/>
                <w:lang w:val="en-US" w:eastAsia="zh-CN"/>
              </w:rPr>
              <w:t>0.25 mm的色谱柱，10/包）1包；</w:t>
            </w:r>
          </w:p>
          <w:p w14:paraId="4CFF344E">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17.超高惰性衬管（分流/不分流，5</w:t>
            </w:r>
            <w:r>
              <w:rPr>
                <w:rFonts w:hint="eastAsia" w:ascii="宋体" w:hAnsi="宋体"/>
                <w:color w:val="auto"/>
                <w:sz w:val="21"/>
                <w:szCs w:val="21"/>
                <w:highlight w:val="none"/>
                <w:lang w:val="en-US" w:eastAsia="zh-CN"/>
              </w:rPr>
              <w:t>个</w:t>
            </w:r>
            <w:r>
              <w:rPr>
                <w:rFonts w:ascii="宋体" w:hAnsi="宋体"/>
                <w:color w:val="auto"/>
                <w:sz w:val="21"/>
                <w:szCs w:val="21"/>
                <w:highlight w:val="none"/>
                <w:lang w:val="en-US" w:eastAsia="zh-CN"/>
              </w:rPr>
              <w:t>/包）1包；</w:t>
            </w:r>
          </w:p>
          <w:p w14:paraId="08235CBE">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18.带垫圈的惰性分流平板10个；</w:t>
            </w:r>
          </w:p>
          <w:p w14:paraId="0A848B64">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19.自紧型手拧柱螺帽（带锁定环，用于气相色谱端）2个；</w:t>
            </w:r>
          </w:p>
          <w:p w14:paraId="721EA0B9">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20.自紧型手拧柱螺帽（带锁定环，用于质谱端）2个；</w:t>
            </w:r>
          </w:p>
          <w:p w14:paraId="4D1F5538">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21.备用进样针（10μL）1支；</w:t>
            </w:r>
          </w:p>
          <w:p w14:paraId="774558AE">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22.备用离子源灯丝1包；</w:t>
            </w:r>
          </w:p>
          <w:p w14:paraId="7DD83382">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23.通用氦气捕集阱1套；</w:t>
            </w:r>
          </w:p>
          <w:p w14:paraId="5739621E">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24.载气净化过滤器1套；</w:t>
            </w:r>
          </w:p>
          <w:p w14:paraId="79634C5B">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25.样品瓶套装（2ml、透明、含盖垫、500个/盒）1盒；</w:t>
            </w:r>
          </w:p>
          <w:p w14:paraId="2BA6CF7D">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26.样品瓶套装（2ml、棕色、含盖垫、500个/盒）1盒；</w:t>
            </w:r>
          </w:p>
          <w:p w14:paraId="77F2E2DD">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30.UPS不间断电源1套；</w:t>
            </w:r>
          </w:p>
          <w:p w14:paraId="1B264C28">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31.高纯氮气钢瓶（含减压阀）1套；</w:t>
            </w:r>
          </w:p>
          <w:p w14:paraId="4A6FF9D3">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32.高纯氦气钢瓶（含减压阀）1套</w:t>
            </w:r>
            <w:r>
              <w:rPr>
                <w:rFonts w:hint="eastAsia" w:ascii="宋体" w:hAnsi="宋体"/>
                <w:color w:val="auto"/>
                <w:sz w:val="21"/>
                <w:szCs w:val="21"/>
                <w:highlight w:val="none"/>
                <w:lang w:val="en-US" w:eastAsia="zh-CN"/>
              </w:rPr>
              <w:t>；</w:t>
            </w:r>
          </w:p>
          <w:p w14:paraId="009C1592">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33.室内恒温器1台</w:t>
            </w:r>
            <w:r>
              <w:rPr>
                <w:rFonts w:hint="eastAsia" w:ascii="宋体" w:hAnsi="宋体"/>
                <w:color w:val="auto"/>
                <w:sz w:val="21"/>
                <w:szCs w:val="21"/>
                <w:highlight w:val="none"/>
                <w:lang w:val="en-US" w:eastAsia="zh-CN"/>
              </w:rPr>
              <w:t>；</w:t>
            </w:r>
          </w:p>
          <w:p w14:paraId="7E20DAA9">
            <w:pPr>
              <w:keepNext w:val="0"/>
              <w:keepLines w:val="0"/>
              <w:pageBreakBefore w:val="0"/>
              <w:bidi w:val="0"/>
              <w:spacing w:line="360" w:lineRule="auto"/>
              <w:jc w:val="left"/>
              <w:rPr>
                <w:rFonts w:hint="eastAsia" w:ascii="宋体" w:hAnsi="宋体" w:cs="宋体"/>
                <w:color w:val="auto"/>
                <w:szCs w:val="21"/>
                <w:highlight w:val="none"/>
              </w:rPr>
            </w:pPr>
            <w:r>
              <w:rPr>
                <w:rFonts w:ascii="宋体" w:hAnsi="宋体"/>
                <w:color w:val="auto"/>
                <w:sz w:val="21"/>
                <w:szCs w:val="21"/>
                <w:highlight w:val="none"/>
                <w:lang w:val="en-US" w:eastAsia="zh-CN"/>
              </w:rPr>
              <w:t>34.机械泵油2瓶</w:t>
            </w:r>
            <w:r>
              <w:rPr>
                <w:rFonts w:hint="eastAsia" w:ascii="宋体" w:hAnsi="宋体"/>
                <w:color w:val="auto"/>
                <w:sz w:val="21"/>
                <w:szCs w:val="21"/>
                <w:highlight w:val="none"/>
                <w:lang w:val="en-US" w:eastAsia="zh-CN"/>
              </w:rPr>
              <w:t>。</w:t>
            </w:r>
          </w:p>
        </w:tc>
      </w:tr>
      <w:tr w14:paraId="7DE42C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447" w:type="dxa"/>
            <w:vAlign w:val="center"/>
          </w:tcPr>
          <w:p w14:paraId="390E2E84">
            <w:pPr>
              <w:tabs>
                <w:tab w:val="left" w:pos="180"/>
                <w:tab w:val="left" w:pos="1620"/>
              </w:tabs>
              <w:spacing w:line="360" w:lineRule="auto"/>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w:t>
            </w:r>
          </w:p>
        </w:tc>
        <w:tc>
          <w:tcPr>
            <w:tcW w:w="1091" w:type="dxa"/>
            <w:vAlign w:val="center"/>
          </w:tcPr>
          <w:p w14:paraId="0C8D1CAF">
            <w:pPr>
              <w:keepNext w:val="0"/>
              <w:keepLines w:val="0"/>
              <w:widowControl/>
              <w:suppressLineNumbers w:val="0"/>
              <w:jc w:val="center"/>
              <w:rPr>
                <w:rFonts w:ascii="宋体" w:hAnsi="宋体" w:cs="宋体"/>
                <w:color w:val="auto"/>
                <w:szCs w:val="21"/>
                <w:highlight w:val="none"/>
              </w:rPr>
            </w:pPr>
            <w:r>
              <w:rPr>
                <w:rFonts w:hint="eastAsia" w:ascii="宋体" w:hAnsi="宋体" w:eastAsia="宋体" w:cs="宋体"/>
                <w:i w:val="0"/>
                <w:iCs w:val="0"/>
                <w:color w:val="auto"/>
                <w:sz w:val="20"/>
                <w:szCs w:val="20"/>
                <w:highlight w:val="none"/>
                <w:u w:val="none"/>
                <w:lang w:val="en-US" w:eastAsia="zh-CN" w:bidi="ar"/>
              </w:rPr>
              <w:t>生物显微镜</w:t>
            </w:r>
            <w:r>
              <w:rPr>
                <w:rFonts w:hint="eastAsia" w:ascii="宋体" w:hAnsi="宋体" w:cs="宋体"/>
                <w:i w:val="0"/>
                <w:iCs w:val="0"/>
                <w:color w:val="auto"/>
                <w:sz w:val="20"/>
                <w:szCs w:val="20"/>
                <w:highlight w:val="none"/>
                <w:u w:val="none"/>
                <w:lang w:val="en-US" w:eastAsia="zh-CN" w:bidi="ar"/>
              </w:rPr>
              <w:t>（数显）</w:t>
            </w:r>
          </w:p>
        </w:tc>
        <w:tc>
          <w:tcPr>
            <w:tcW w:w="884" w:type="dxa"/>
            <w:vAlign w:val="center"/>
          </w:tcPr>
          <w:p w14:paraId="1D423086">
            <w:pPr>
              <w:keepNext w:val="0"/>
              <w:keepLines w:val="0"/>
              <w:widowControl/>
              <w:suppressLineNumbers w:val="0"/>
              <w:jc w:val="center"/>
              <w:rPr>
                <w:rFonts w:hint="eastAsia" w:ascii="宋体" w:hAnsi="宋体" w:cs="宋体"/>
                <w:color w:val="auto"/>
                <w:szCs w:val="21"/>
                <w:highlight w:val="none"/>
              </w:rPr>
            </w:pPr>
            <w:r>
              <w:rPr>
                <w:rFonts w:hint="eastAsia" w:ascii="宋体" w:hAnsi="宋体" w:eastAsia="宋体" w:cs="宋体"/>
                <w:i w:val="0"/>
                <w:iCs w:val="0"/>
                <w:color w:val="auto"/>
                <w:sz w:val="22"/>
                <w:szCs w:val="22"/>
                <w:highlight w:val="none"/>
                <w:u w:val="none"/>
                <w:lang w:val="en-US" w:eastAsia="zh-CN" w:bidi="ar"/>
              </w:rPr>
              <w:t>1套</w:t>
            </w:r>
          </w:p>
        </w:tc>
        <w:tc>
          <w:tcPr>
            <w:tcW w:w="6561" w:type="dxa"/>
            <w:vAlign w:val="top"/>
          </w:tcPr>
          <w:p w14:paraId="1737B979">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b/>
                <w:bCs/>
                <w:color w:val="auto"/>
                <w:sz w:val="21"/>
                <w:szCs w:val="21"/>
                <w:highlight w:val="none"/>
                <w:lang w:val="en-US" w:eastAsia="zh-CN"/>
              </w:rPr>
              <w:t>▲1.光学系统：</w:t>
            </w:r>
            <w:r>
              <w:rPr>
                <w:rFonts w:hint="eastAsia" w:ascii="宋体" w:hAnsi="宋体"/>
                <w:b/>
                <w:bCs/>
                <w:color w:val="auto"/>
                <w:sz w:val="21"/>
                <w:szCs w:val="21"/>
                <w:highlight w:val="none"/>
                <w:lang w:val="en-US" w:eastAsia="zh-CN"/>
              </w:rPr>
              <w:t>采用</w:t>
            </w:r>
            <w:r>
              <w:rPr>
                <w:rFonts w:ascii="宋体" w:hAnsi="宋体"/>
                <w:b/>
                <w:bCs/>
                <w:color w:val="auto"/>
                <w:sz w:val="21"/>
                <w:szCs w:val="21"/>
                <w:highlight w:val="none"/>
                <w:lang w:val="en-US" w:eastAsia="zh-CN"/>
              </w:rPr>
              <w:t>无限远色差反差双重校正光学系统，45mm</w:t>
            </w:r>
            <w:r>
              <w:rPr>
                <w:rFonts w:hint="eastAsia" w:ascii="宋体" w:hAnsi="宋体"/>
                <w:b/>
                <w:bCs/>
                <w:color w:val="auto"/>
                <w:sz w:val="21"/>
                <w:szCs w:val="21"/>
                <w:highlight w:val="none"/>
                <w:lang w:val="en-US" w:eastAsia="zh-CN"/>
              </w:rPr>
              <w:t>国际标准</w:t>
            </w:r>
            <w:r>
              <w:rPr>
                <w:rFonts w:ascii="宋体" w:hAnsi="宋体"/>
                <w:b/>
                <w:bCs/>
                <w:color w:val="auto"/>
                <w:sz w:val="21"/>
                <w:szCs w:val="21"/>
                <w:highlight w:val="none"/>
                <w:lang w:val="en-US" w:eastAsia="zh-CN"/>
              </w:rPr>
              <w:t>物镜齐焦距离</w:t>
            </w:r>
            <w:r>
              <w:rPr>
                <w:rFonts w:ascii="宋体" w:hAnsi="宋体"/>
                <w:color w:val="auto"/>
                <w:sz w:val="21"/>
                <w:szCs w:val="21"/>
                <w:highlight w:val="none"/>
                <w:lang w:val="en-US" w:eastAsia="zh-CN"/>
              </w:rPr>
              <w:t>。</w:t>
            </w:r>
          </w:p>
          <w:p w14:paraId="5318937A">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2.可实现观察方法：明场</w:t>
            </w:r>
            <w:r>
              <w:rPr>
                <w:rFonts w:hint="eastAsia" w:ascii="宋体" w:hAnsi="宋体"/>
                <w:color w:val="auto"/>
                <w:sz w:val="21"/>
                <w:szCs w:val="21"/>
                <w:highlight w:val="none"/>
                <w:lang w:val="en-US" w:eastAsia="zh-CN"/>
              </w:rPr>
              <w:t>。</w:t>
            </w:r>
          </w:p>
          <w:p w14:paraId="2C4F66CE">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3.同轴粗微调焦机构，调焦范围≥15mm，粗调一圈4mm，微调一圈0.4mm及</w:t>
            </w:r>
            <w:r>
              <w:rPr>
                <w:rFonts w:hint="eastAsia" w:ascii="宋体" w:hAnsi="宋体"/>
                <w:color w:val="auto"/>
                <w:sz w:val="21"/>
                <w:szCs w:val="21"/>
                <w:highlight w:val="none"/>
                <w:lang w:val="en-US" w:eastAsia="zh-CN"/>
              </w:rPr>
              <w:t>最小刻度能达到2μm</w:t>
            </w:r>
            <w:r>
              <w:rPr>
                <w:rFonts w:ascii="宋体" w:hAnsi="宋体"/>
                <w:color w:val="auto"/>
                <w:sz w:val="21"/>
                <w:szCs w:val="21"/>
                <w:highlight w:val="none"/>
                <w:lang w:val="en-US" w:eastAsia="zh-CN"/>
              </w:rPr>
              <w:t>。</w:t>
            </w:r>
          </w:p>
          <w:p w14:paraId="2E9E5535">
            <w:pPr>
              <w:keepNext w:val="0"/>
              <w:keepLines w:val="0"/>
              <w:pageBreakBefore w:val="0"/>
              <w:bidi w:val="0"/>
              <w:spacing w:line="360" w:lineRule="auto"/>
              <w:jc w:val="left"/>
              <w:rPr>
                <w:rFonts w:ascii="宋体" w:hAnsi="宋体"/>
                <w:b/>
                <w:bCs/>
                <w:color w:val="auto"/>
                <w:sz w:val="21"/>
                <w:szCs w:val="21"/>
                <w:highlight w:val="none"/>
                <w:lang w:val="en-US" w:eastAsia="zh-CN"/>
              </w:rPr>
            </w:pPr>
            <w:r>
              <w:rPr>
                <w:rFonts w:ascii="宋体" w:hAnsi="宋体"/>
                <w:b/>
                <w:bCs/>
                <w:color w:val="auto"/>
                <w:sz w:val="21"/>
                <w:szCs w:val="21"/>
                <w:highlight w:val="none"/>
                <w:lang w:val="en-US" w:eastAsia="zh-CN"/>
              </w:rPr>
              <w:t>▲4.明场照明装置主动光强管理系统，</w:t>
            </w:r>
            <w:r>
              <w:rPr>
                <w:rFonts w:hint="eastAsia" w:ascii="宋体" w:hAnsi="宋体"/>
                <w:b/>
                <w:bCs/>
                <w:color w:val="auto"/>
                <w:sz w:val="21"/>
                <w:szCs w:val="21"/>
                <w:highlight w:val="none"/>
                <w:lang w:val="en-US" w:eastAsia="zh-CN"/>
              </w:rPr>
              <w:t>要求能</w:t>
            </w:r>
            <w:r>
              <w:rPr>
                <w:rFonts w:ascii="宋体" w:hAnsi="宋体"/>
                <w:b/>
                <w:bCs/>
                <w:color w:val="auto"/>
                <w:sz w:val="21"/>
                <w:szCs w:val="21"/>
                <w:highlight w:val="none"/>
                <w:lang w:val="en-US" w:eastAsia="zh-CN"/>
              </w:rPr>
              <w:t>适用于所有物镜，</w:t>
            </w:r>
            <w:r>
              <w:rPr>
                <w:rFonts w:hint="eastAsia" w:ascii="宋体" w:hAnsi="宋体"/>
                <w:b/>
                <w:bCs/>
                <w:color w:val="auto"/>
                <w:sz w:val="21"/>
                <w:szCs w:val="21"/>
                <w:highlight w:val="none"/>
                <w:lang w:val="en-US" w:eastAsia="zh-CN"/>
              </w:rPr>
              <w:t>能</w:t>
            </w:r>
            <w:r>
              <w:rPr>
                <w:rFonts w:ascii="宋体" w:hAnsi="宋体"/>
                <w:b/>
                <w:bCs/>
                <w:color w:val="auto"/>
                <w:sz w:val="21"/>
                <w:szCs w:val="21"/>
                <w:highlight w:val="none"/>
                <w:lang w:val="en-US" w:eastAsia="zh-CN"/>
              </w:rPr>
              <w:t>用于自动调节对应物镜位置的光强度。</w:t>
            </w:r>
          </w:p>
          <w:p w14:paraId="456AFB7D">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5.内置透射光科勒照明器，LED光源，功率≥10W，≥60000小时使用寿命，无需额外供电。</w:t>
            </w:r>
          </w:p>
          <w:p w14:paraId="5D43FF37">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6.载物台：载物台无暴露齿条，载物台手柄松紧度高度可调，双玻片样品夹持器。</w:t>
            </w:r>
          </w:p>
          <w:p w14:paraId="2A3C5C66">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7.三目镜筒，视场数≥23mm，倾角</w:t>
            </w:r>
            <w:r>
              <w:rPr>
                <w:rFonts w:hint="eastAsia" w:ascii="宋体" w:hAnsi="宋体"/>
                <w:color w:val="auto"/>
                <w:sz w:val="21"/>
                <w:szCs w:val="21"/>
                <w:highlight w:val="none"/>
                <w:lang w:val="en-US" w:eastAsia="zh-CN"/>
              </w:rPr>
              <w:t>≥</w:t>
            </w:r>
            <w:r>
              <w:rPr>
                <w:rFonts w:ascii="宋体" w:hAnsi="宋体"/>
                <w:color w:val="auto"/>
                <w:sz w:val="21"/>
                <w:szCs w:val="21"/>
                <w:highlight w:val="none"/>
                <w:lang w:val="en-US" w:eastAsia="zh-CN"/>
              </w:rPr>
              <w:t>30度。</w:t>
            </w:r>
          </w:p>
          <w:p w14:paraId="2F439A29">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 xml:space="preserve">8. </w:t>
            </w:r>
            <w:r>
              <w:rPr>
                <w:rFonts w:hint="eastAsia" w:ascii="宋体" w:hAnsi="宋体"/>
                <w:color w:val="auto"/>
                <w:sz w:val="21"/>
                <w:szCs w:val="21"/>
                <w:highlight w:val="none"/>
                <w:lang w:val="en-US" w:eastAsia="zh-CN"/>
              </w:rPr>
              <w:t>要求≥</w:t>
            </w:r>
            <w:r>
              <w:rPr>
                <w:rFonts w:ascii="宋体" w:hAnsi="宋体"/>
                <w:color w:val="auto"/>
                <w:sz w:val="21"/>
                <w:szCs w:val="21"/>
                <w:highlight w:val="none"/>
                <w:lang w:val="en-US" w:eastAsia="zh-CN"/>
              </w:rPr>
              <w:t>10倍视野目镜，高眼点设计，视场数≥23mm，双目屈光度可调。</w:t>
            </w:r>
          </w:p>
          <w:p w14:paraId="046FC682">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9. 5位编码型物镜转换器，不同倍数物镜可分别定义光强，切换时</w:t>
            </w:r>
            <w:r>
              <w:rPr>
                <w:rFonts w:hint="eastAsia" w:ascii="宋体" w:hAnsi="宋体"/>
                <w:color w:val="auto"/>
                <w:sz w:val="21"/>
                <w:szCs w:val="21"/>
                <w:highlight w:val="none"/>
                <w:lang w:val="en-US" w:eastAsia="zh-CN"/>
              </w:rPr>
              <w:t>可</w:t>
            </w:r>
            <w:r>
              <w:rPr>
                <w:rFonts w:ascii="宋体" w:hAnsi="宋体"/>
                <w:color w:val="auto"/>
                <w:sz w:val="21"/>
                <w:szCs w:val="21"/>
                <w:highlight w:val="none"/>
                <w:lang w:val="en-US" w:eastAsia="zh-CN"/>
              </w:rPr>
              <w:t>自动匹配亮度。同时，切换不同倍数镜头时，</w:t>
            </w:r>
            <w:r>
              <w:rPr>
                <w:rFonts w:hint="eastAsia" w:ascii="宋体" w:hAnsi="宋体"/>
                <w:color w:val="auto"/>
                <w:sz w:val="21"/>
                <w:szCs w:val="21"/>
                <w:highlight w:val="none"/>
                <w:lang w:val="en-US" w:eastAsia="zh-CN"/>
              </w:rPr>
              <w:t>能</w:t>
            </w:r>
            <w:r>
              <w:rPr>
                <w:rFonts w:ascii="宋体" w:hAnsi="宋体"/>
                <w:color w:val="auto"/>
                <w:sz w:val="21"/>
                <w:szCs w:val="21"/>
                <w:highlight w:val="none"/>
                <w:lang w:val="en-US" w:eastAsia="zh-CN"/>
              </w:rPr>
              <w:t>自动计算标尺。</w:t>
            </w:r>
          </w:p>
          <w:p w14:paraId="463738CC">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10.全套物镜</w:t>
            </w:r>
            <w:r>
              <w:rPr>
                <w:rFonts w:hint="eastAsia" w:ascii="宋体" w:hAnsi="宋体"/>
                <w:color w:val="auto"/>
                <w:sz w:val="21"/>
                <w:szCs w:val="21"/>
                <w:highlight w:val="none"/>
                <w:lang w:val="en-US" w:eastAsia="zh-CN"/>
              </w:rPr>
              <w:t>：</w:t>
            </w:r>
          </w:p>
          <w:p w14:paraId="4E7DE713">
            <w:pPr>
              <w:keepNext w:val="0"/>
              <w:keepLines w:val="0"/>
              <w:pageBreakBefore w:val="0"/>
              <w:bidi w:val="0"/>
              <w:spacing w:line="360" w:lineRule="auto"/>
              <w:jc w:val="left"/>
              <w:rPr>
                <w:rFonts w:ascii="宋体" w:hAnsi="宋体"/>
                <w:color w:val="auto"/>
                <w:sz w:val="21"/>
                <w:szCs w:val="21"/>
                <w:highlight w:val="none"/>
                <w:lang w:val="en-US" w:eastAsia="zh-CN"/>
              </w:rPr>
            </w:pPr>
            <w:r>
              <w:rPr>
                <w:rFonts w:hint="eastAsia" w:ascii="宋体" w:hAnsi="宋体"/>
                <w:color w:val="auto"/>
                <w:sz w:val="21"/>
                <w:szCs w:val="21"/>
                <w:highlight w:val="none"/>
                <w:lang w:val="en-US" w:eastAsia="zh-CN"/>
              </w:rPr>
              <w:t>10.1.</w:t>
            </w:r>
            <w:r>
              <w:rPr>
                <w:rFonts w:ascii="宋体" w:hAnsi="宋体"/>
                <w:color w:val="auto"/>
                <w:sz w:val="21"/>
                <w:szCs w:val="21"/>
                <w:highlight w:val="none"/>
                <w:lang w:val="en-US" w:eastAsia="zh-CN"/>
              </w:rPr>
              <w:t>平场消色差物镜 5×， 数值孔径：NA≥0.12；</w:t>
            </w:r>
          </w:p>
          <w:p w14:paraId="241CC7C8">
            <w:pPr>
              <w:keepNext w:val="0"/>
              <w:keepLines w:val="0"/>
              <w:pageBreakBefore w:val="0"/>
              <w:bidi w:val="0"/>
              <w:spacing w:line="360" w:lineRule="auto"/>
              <w:jc w:val="left"/>
              <w:rPr>
                <w:rFonts w:ascii="宋体" w:hAnsi="宋体"/>
                <w:color w:val="auto"/>
                <w:sz w:val="21"/>
                <w:szCs w:val="21"/>
                <w:highlight w:val="none"/>
                <w:lang w:val="en-US" w:eastAsia="zh-CN"/>
              </w:rPr>
            </w:pPr>
            <w:r>
              <w:rPr>
                <w:rFonts w:hint="eastAsia" w:ascii="宋体" w:hAnsi="宋体"/>
                <w:color w:val="auto"/>
                <w:sz w:val="21"/>
                <w:szCs w:val="21"/>
                <w:highlight w:val="none"/>
                <w:lang w:val="en-US" w:eastAsia="zh-CN"/>
              </w:rPr>
              <w:t>10.2.</w:t>
            </w:r>
            <w:r>
              <w:rPr>
                <w:rFonts w:ascii="宋体" w:hAnsi="宋体"/>
                <w:color w:val="auto"/>
                <w:sz w:val="21"/>
                <w:szCs w:val="21"/>
                <w:highlight w:val="none"/>
                <w:lang w:val="en-US" w:eastAsia="zh-CN"/>
              </w:rPr>
              <w:t>平场消色差物镜 10×，数值孔径：NA≥0.25</w:t>
            </w:r>
            <w:r>
              <w:rPr>
                <w:rFonts w:hint="eastAsia" w:ascii="宋体" w:hAnsi="宋体"/>
                <w:color w:val="auto"/>
                <w:sz w:val="21"/>
                <w:szCs w:val="21"/>
                <w:highlight w:val="none"/>
                <w:lang w:val="en-US" w:eastAsia="zh-CN"/>
              </w:rPr>
              <w:t>；</w:t>
            </w:r>
          </w:p>
          <w:p w14:paraId="3FF07BC8">
            <w:pPr>
              <w:keepNext w:val="0"/>
              <w:keepLines w:val="0"/>
              <w:pageBreakBefore w:val="0"/>
              <w:bidi w:val="0"/>
              <w:spacing w:line="360" w:lineRule="auto"/>
              <w:jc w:val="left"/>
              <w:rPr>
                <w:rFonts w:ascii="宋体" w:hAnsi="宋体"/>
                <w:color w:val="auto"/>
                <w:sz w:val="21"/>
                <w:szCs w:val="21"/>
                <w:highlight w:val="none"/>
                <w:lang w:val="en-US" w:eastAsia="zh-CN"/>
              </w:rPr>
            </w:pPr>
            <w:r>
              <w:rPr>
                <w:rFonts w:hint="eastAsia" w:ascii="宋体" w:hAnsi="宋体"/>
                <w:color w:val="auto"/>
                <w:sz w:val="21"/>
                <w:szCs w:val="21"/>
                <w:highlight w:val="none"/>
                <w:lang w:val="en-US" w:eastAsia="zh-CN"/>
              </w:rPr>
              <w:t>10.3.</w:t>
            </w:r>
            <w:r>
              <w:rPr>
                <w:rFonts w:ascii="宋体" w:hAnsi="宋体"/>
                <w:color w:val="auto"/>
                <w:sz w:val="21"/>
                <w:szCs w:val="21"/>
                <w:highlight w:val="none"/>
                <w:lang w:val="en-US" w:eastAsia="zh-CN"/>
              </w:rPr>
              <w:t>平场消色差物镜 40×，数值孔径：NA≥0.65；</w:t>
            </w:r>
          </w:p>
          <w:p w14:paraId="6BCBA36C">
            <w:pPr>
              <w:keepNext w:val="0"/>
              <w:keepLines w:val="0"/>
              <w:pageBreakBefore w:val="0"/>
              <w:bidi w:val="0"/>
              <w:spacing w:line="360" w:lineRule="auto"/>
              <w:jc w:val="left"/>
              <w:rPr>
                <w:rFonts w:ascii="宋体" w:hAnsi="宋体"/>
                <w:color w:val="auto"/>
                <w:sz w:val="21"/>
                <w:szCs w:val="21"/>
                <w:highlight w:val="none"/>
                <w:lang w:val="en-US" w:eastAsia="zh-CN"/>
              </w:rPr>
            </w:pPr>
            <w:r>
              <w:rPr>
                <w:rFonts w:hint="eastAsia" w:ascii="宋体" w:hAnsi="宋体"/>
                <w:color w:val="auto"/>
                <w:sz w:val="21"/>
                <w:szCs w:val="21"/>
                <w:highlight w:val="none"/>
                <w:lang w:val="en-US" w:eastAsia="zh-CN"/>
              </w:rPr>
              <w:t>10.4.</w:t>
            </w:r>
            <w:r>
              <w:rPr>
                <w:rFonts w:ascii="宋体" w:hAnsi="宋体"/>
                <w:color w:val="auto"/>
                <w:sz w:val="21"/>
                <w:szCs w:val="21"/>
                <w:highlight w:val="none"/>
                <w:lang w:val="en-US" w:eastAsia="zh-CN"/>
              </w:rPr>
              <w:t>平场消色差油镜 100×，数值孔径：NA≥1.25。</w:t>
            </w:r>
          </w:p>
          <w:p w14:paraId="251B6409">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11.聚光镜：NA≥0.912</w:t>
            </w:r>
            <w:r>
              <w:rPr>
                <w:rFonts w:hint="eastAsia" w:ascii="宋体" w:hAnsi="宋体"/>
                <w:color w:val="auto"/>
                <w:sz w:val="21"/>
                <w:szCs w:val="21"/>
                <w:highlight w:val="none"/>
                <w:lang w:val="en-US" w:eastAsia="zh-CN"/>
              </w:rPr>
              <w:t xml:space="preserve"> 内置节能模式，</w:t>
            </w:r>
            <w:r>
              <w:rPr>
                <w:rFonts w:ascii="宋体" w:hAnsi="宋体"/>
                <w:color w:val="auto"/>
                <w:sz w:val="21"/>
                <w:szCs w:val="21"/>
                <w:highlight w:val="none"/>
                <w:lang w:val="en-US" w:eastAsia="zh-CN"/>
              </w:rPr>
              <w:t>当显微镜在空闲15分钟后会自动进入待机状态。</w:t>
            </w:r>
          </w:p>
          <w:p w14:paraId="6EC46B6B">
            <w:pPr>
              <w:keepNext w:val="0"/>
              <w:keepLines w:val="0"/>
              <w:pageBreakBefore w:val="0"/>
              <w:bidi w:val="0"/>
              <w:spacing w:line="360" w:lineRule="auto"/>
              <w:jc w:val="left"/>
              <w:rPr>
                <w:rFonts w:ascii="宋体" w:hAnsi="宋体"/>
                <w:b/>
                <w:bCs/>
                <w:color w:val="auto"/>
                <w:sz w:val="21"/>
                <w:szCs w:val="21"/>
                <w:highlight w:val="none"/>
                <w:lang w:val="en-US" w:eastAsia="zh-CN"/>
              </w:rPr>
            </w:pPr>
            <w:r>
              <w:rPr>
                <w:rFonts w:ascii="宋体" w:hAnsi="宋体"/>
                <w:b/>
                <w:bCs/>
                <w:color w:val="auto"/>
                <w:sz w:val="21"/>
                <w:szCs w:val="21"/>
                <w:highlight w:val="none"/>
                <w:lang w:val="en-US" w:eastAsia="zh-CN"/>
              </w:rPr>
              <w:t>▲13.机身集成两个快速拍摄图像按钮，靠近两侧调焦旋钮，可快速获取图像或视频信息</w:t>
            </w:r>
            <w:r>
              <w:rPr>
                <w:rFonts w:hint="eastAsia" w:ascii="宋体" w:hAnsi="宋体"/>
                <w:b/>
                <w:bCs/>
                <w:color w:val="auto"/>
                <w:sz w:val="21"/>
                <w:szCs w:val="21"/>
                <w:highlight w:val="none"/>
                <w:lang w:val="en-US" w:eastAsia="zh-CN"/>
              </w:rPr>
              <w:t>。</w:t>
            </w:r>
          </w:p>
          <w:p w14:paraId="3D1AA527">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 xml:space="preserve">14.成像系统： </w:t>
            </w:r>
          </w:p>
          <w:p w14:paraId="362EF1A1">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14.1.彩色CMOS芯片尺寸≥1/2.1英寸</w:t>
            </w:r>
            <w:r>
              <w:rPr>
                <w:rFonts w:hint="eastAsia" w:ascii="宋体" w:hAnsi="宋体"/>
                <w:color w:val="auto"/>
                <w:sz w:val="21"/>
                <w:szCs w:val="21"/>
                <w:highlight w:val="none"/>
                <w:lang w:val="en-US" w:eastAsia="zh-CN"/>
              </w:rPr>
              <w:t>。</w:t>
            </w:r>
          </w:p>
          <w:p w14:paraId="2608C123">
            <w:pPr>
              <w:keepNext w:val="0"/>
              <w:keepLines w:val="0"/>
              <w:pageBreakBefore w:val="0"/>
              <w:bidi w:val="0"/>
              <w:spacing w:line="360" w:lineRule="auto"/>
              <w:jc w:val="left"/>
              <w:rPr>
                <w:rFonts w:ascii="宋体" w:hAnsi="宋体"/>
                <w:b/>
                <w:bCs/>
                <w:color w:val="auto"/>
                <w:sz w:val="21"/>
                <w:szCs w:val="21"/>
                <w:highlight w:val="none"/>
                <w:lang w:val="en-US" w:eastAsia="zh-CN"/>
              </w:rPr>
            </w:pPr>
            <w:r>
              <w:rPr>
                <w:rFonts w:ascii="宋体" w:hAnsi="宋体"/>
                <w:b/>
                <w:bCs/>
                <w:color w:val="auto"/>
                <w:sz w:val="21"/>
                <w:szCs w:val="21"/>
                <w:highlight w:val="none"/>
                <w:lang w:val="en-US" w:eastAsia="zh-CN"/>
              </w:rPr>
              <w:t>▲14.2.物理像素≥1200万，Ultra HD(4K)，像素点大小≤1.85 μm x 1.85 μm</w:t>
            </w:r>
            <w:r>
              <w:rPr>
                <w:rFonts w:hint="eastAsia" w:ascii="宋体" w:hAnsi="宋体"/>
                <w:b/>
                <w:bCs/>
                <w:color w:val="auto"/>
                <w:sz w:val="21"/>
                <w:szCs w:val="21"/>
                <w:highlight w:val="none"/>
                <w:lang w:val="en-US" w:eastAsia="zh-CN"/>
              </w:rPr>
              <w:t>。</w:t>
            </w:r>
          </w:p>
          <w:p w14:paraId="2CB9C13E">
            <w:pPr>
              <w:keepNext w:val="0"/>
              <w:keepLines w:val="0"/>
              <w:pageBreakBefore w:val="0"/>
              <w:bidi w:val="0"/>
              <w:spacing w:line="360" w:lineRule="auto"/>
              <w:jc w:val="left"/>
              <w:rPr>
                <w:rFonts w:ascii="宋体" w:hAnsi="宋体"/>
                <w:b/>
                <w:bCs/>
                <w:color w:val="auto"/>
                <w:sz w:val="21"/>
                <w:szCs w:val="21"/>
                <w:highlight w:val="none"/>
                <w:lang w:val="en-US" w:eastAsia="zh-CN"/>
              </w:rPr>
            </w:pPr>
            <w:r>
              <w:rPr>
                <w:rFonts w:ascii="宋体" w:hAnsi="宋体"/>
                <w:b/>
                <w:bCs/>
                <w:color w:val="auto"/>
                <w:sz w:val="21"/>
                <w:szCs w:val="21"/>
                <w:highlight w:val="none"/>
                <w:lang w:val="en-US" w:eastAsia="zh-CN"/>
              </w:rPr>
              <w:t>14.3.拍摄速度≥30幅/秒（分辨率3840 x 2160）</w:t>
            </w:r>
            <w:r>
              <w:rPr>
                <w:rFonts w:hint="eastAsia" w:ascii="宋体" w:hAnsi="宋体"/>
                <w:b/>
                <w:bCs/>
                <w:color w:val="auto"/>
                <w:sz w:val="21"/>
                <w:szCs w:val="21"/>
                <w:highlight w:val="none"/>
                <w:lang w:val="en-US" w:eastAsia="zh-CN"/>
              </w:rPr>
              <w:t>。</w:t>
            </w:r>
          </w:p>
          <w:p w14:paraId="18C3103C">
            <w:pPr>
              <w:keepNext w:val="0"/>
              <w:keepLines w:val="0"/>
              <w:pageBreakBefore w:val="0"/>
              <w:bidi w:val="0"/>
              <w:spacing w:line="360" w:lineRule="auto"/>
              <w:jc w:val="left"/>
              <w:rPr>
                <w:rFonts w:ascii="宋体" w:hAnsi="宋体"/>
                <w:b/>
                <w:bCs/>
                <w:color w:val="auto"/>
                <w:sz w:val="21"/>
                <w:szCs w:val="21"/>
                <w:highlight w:val="none"/>
                <w:lang w:val="en-US" w:eastAsia="zh-CN"/>
              </w:rPr>
            </w:pPr>
            <w:r>
              <w:rPr>
                <w:rFonts w:ascii="宋体" w:hAnsi="宋体"/>
                <w:b/>
                <w:bCs/>
                <w:color w:val="auto"/>
                <w:sz w:val="21"/>
                <w:szCs w:val="21"/>
                <w:highlight w:val="none"/>
                <w:lang w:val="en-US" w:eastAsia="zh-CN"/>
              </w:rPr>
              <w:t>▲14.4. 1-27x增益可调</w:t>
            </w:r>
            <w:r>
              <w:rPr>
                <w:rFonts w:hint="eastAsia" w:ascii="宋体" w:hAnsi="宋体"/>
                <w:b/>
                <w:bCs/>
                <w:color w:val="auto"/>
                <w:sz w:val="21"/>
                <w:szCs w:val="21"/>
                <w:highlight w:val="none"/>
                <w:lang w:val="en-US" w:eastAsia="zh-CN"/>
              </w:rPr>
              <w:t>。</w:t>
            </w:r>
          </w:p>
          <w:p w14:paraId="3ECFA773">
            <w:pPr>
              <w:keepNext w:val="0"/>
              <w:keepLines w:val="0"/>
              <w:pageBreakBefore w:val="0"/>
              <w:bidi w:val="0"/>
              <w:spacing w:line="360" w:lineRule="auto"/>
              <w:jc w:val="left"/>
              <w:rPr>
                <w:rFonts w:ascii="宋体" w:hAnsi="宋体"/>
                <w:b/>
                <w:bCs/>
                <w:color w:val="auto"/>
                <w:sz w:val="21"/>
                <w:szCs w:val="21"/>
                <w:highlight w:val="none"/>
                <w:lang w:val="en-US" w:eastAsia="zh-CN"/>
              </w:rPr>
            </w:pPr>
            <w:r>
              <w:rPr>
                <w:rFonts w:ascii="宋体" w:hAnsi="宋体"/>
                <w:b/>
                <w:bCs/>
                <w:color w:val="auto"/>
                <w:sz w:val="21"/>
                <w:szCs w:val="21"/>
                <w:highlight w:val="none"/>
                <w:lang w:val="en-US" w:eastAsia="zh-CN"/>
              </w:rPr>
              <w:t>▲14.5.HDMI×1/USB3.0 Type C ×1/Ethernet×1/USB2.0 Type A×2多种数据传输接口</w:t>
            </w:r>
            <w:r>
              <w:rPr>
                <w:rFonts w:hint="eastAsia" w:ascii="宋体" w:hAnsi="宋体"/>
                <w:b/>
                <w:bCs/>
                <w:color w:val="auto"/>
                <w:sz w:val="21"/>
                <w:szCs w:val="21"/>
                <w:highlight w:val="none"/>
                <w:lang w:val="en-US" w:eastAsia="zh-CN"/>
              </w:rPr>
              <w:t>。</w:t>
            </w:r>
          </w:p>
          <w:p w14:paraId="427DECF6">
            <w:pPr>
              <w:keepNext w:val="0"/>
              <w:keepLines w:val="0"/>
              <w:pageBreakBefore w:val="0"/>
              <w:bidi w:val="0"/>
              <w:spacing w:line="360" w:lineRule="auto"/>
              <w:jc w:val="left"/>
              <w:rPr>
                <w:rFonts w:ascii="宋体" w:hAnsi="宋体"/>
                <w:b/>
                <w:bCs/>
                <w:color w:val="auto"/>
                <w:sz w:val="21"/>
                <w:szCs w:val="21"/>
                <w:highlight w:val="none"/>
                <w:lang w:val="en-US" w:eastAsia="zh-CN"/>
              </w:rPr>
            </w:pPr>
            <w:r>
              <w:rPr>
                <w:rFonts w:ascii="宋体" w:hAnsi="宋体"/>
                <w:b/>
                <w:bCs/>
                <w:color w:val="auto"/>
                <w:sz w:val="21"/>
                <w:szCs w:val="21"/>
                <w:highlight w:val="none"/>
                <w:lang w:val="en-US" w:eastAsia="zh-CN"/>
              </w:rPr>
              <w:t>▲14.6.相机自带OSD图像采集系统，可利用HDMI直接连接显示器进行图像采集，数据直接存储至USB设备，无需额外配备电脑。</w:t>
            </w:r>
          </w:p>
          <w:p w14:paraId="1A974DCA">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14.7.相机带有主动降噪、主动锐化功能并可进行HDR模式采集</w:t>
            </w:r>
            <w:r>
              <w:rPr>
                <w:rFonts w:hint="eastAsia" w:ascii="宋体" w:hAnsi="宋体"/>
                <w:color w:val="auto"/>
                <w:sz w:val="21"/>
                <w:szCs w:val="21"/>
                <w:highlight w:val="none"/>
                <w:lang w:val="en-US" w:eastAsia="zh-CN"/>
              </w:rPr>
              <w:t>。</w:t>
            </w:r>
          </w:p>
          <w:p w14:paraId="5E54D813">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15.</w:t>
            </w:r>
            <w:r>
              <w:rPr>
                <w:rFonts w:hint="eastAsia"/>
                <w:color w:val="auto"/>
                <w:highlight w:val="none"/>
              </w:rPr>
              <w:t>要求具有</w:t>
            </w:r>
            <w:r>
              <w:rPr>
                <w:rFonts w:ascii="宋体" w:hAnsi="宋体"/>
                <w:color w:val="auto"/>
                <w:sz w:val="21"/>
                <w:szCs w:val="21"/>
                <w:highlight w:val="none"/>
                <w:lang w:val="en-US" w:eastAsia="zh-CN"/>
              </w:rPr>
              <w:t xml:space="preserve">同品牌软件系统：  </w:t>
            </w:r>
          </w:p>
          <w:p w14:paraId="0F14775C">
            <w:pPr>
              <w:keepNext w:val="0"/>
              <w:keepLines w:val="0"/>
              <w:pageBreakBefore w:val="0"/>
              <w:bidi w:val="0"/>
              <w:spacing w:line="360" w:lineRule="auto"/>
              <w:jc w:val="left"/>
              <w:rPr>
                <w:rFonts w:ascii="宋体" w:hAnsi="宋体"/>
                <w:b/>
                <w:bCs/>
                <w:color w:val="auto"/>
                <w:sz w:val="21"/>
                <w:szCs w:val="21"/>
                <w:highlight w:val="none"/>
                <w:lang w:val="en-US" w:eastAsia="zh-CN"/>
              </w:rPr>
            </w:pPr>
            <w:r>
              <w:rPr>
                <w:rFonts w:ascii="宋体" w:hAnsi="宋体"/>
                <w:b/>
                <w:bCs/>
                <w:color w:val="auto"/>
                <w:sz w:val="21"/>
                <w:szCs w:val="21"/>
                <w:highlight w:val="none"/>
                <w:lang w:val="en-US" w:eastAsia="zh-CN"/>
              </w:rPr>
              <w:t>▲15.1.</w:t>
            </w:r>
            <w:r>
              <w:rPr>
                <w:rFonts w:hint="eastAsia" w:ascii="宋体" w:hAnsi="宋体"/>
                <w:b/>
                <w:bCs/>
                <w:color w:val="auto"/>
                <w:sz w:val="21"/>
                <w:szCs w:val="21"/>
                <w:highlight w:val="none"/>
                <w:lang w:val="en-US" w:eastAsia="zh-CN"/>
              </w:rPr>
              <w:t>具有</w:t>
            </w:r>
            <w:r>
              <w:rPr>
                <w:rFonts w:ascii="宋体" w:hAnsi="宋体"/>
                <w:b/>
                <w:bCs/>
                <w:color w:val="auto"/>
                <w:sz w:val="21"/>
                <w:szCs w:val="21"/>
                <w:highlight w:val="none"/>
                <w:lang w:val="en-US" w:eastAsia="zh-CN"/>
              </w:rPr>
              <w:t>识别编码部件，包括物镜转盘等编码部件。能实现显微镜编码读出、自动功能设置及记忆等功能。拍摄信息与图像一起保存，可控制 LED 光源</w:t>
            </w:r>
            <w:r>
              <w:rPr>
                <w:rFonts w:hint="eastAsia" w:ascii="宋体" w:hAnsi="宋体"/>
                <w:b/>
                <w:bCs/>
                <w:color w:val="auto"/>
                <w:sz w:val="21"/>
                <w:szCs w:val="21"/>
                <w:highlight w:val="none"/>
                <w:lang w:val="en-US" w:eastAsia="zh-CN"/>
              </w:rPr>
              <w:t>。</w:t>
            </w:r>
          </w:p>
          <w:p w14:paraId="7B28F811">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15.2.手动大图拼接功能</w:t>
            </w:r>
            <w:r>
              <w:rPr>
                <w:rFonts w:hint="eastAsia" w:ascii="宋体" w:hAnsi="宋体"/>
                <w:color w:val="auto"/>
                <w:sz w:val="21"/>
                <w:szCs w:val="21"/>
                <w:highlight w:val="none"/>
                <w:lang w:val="en-US" w:eastAsia="zh-CN"/>
              </w:rPr>
              <w:t>；</w:t>
            </w:r>
          </w:p>
          <w:p w14:paraId="786910AF">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15.3.视频拍摄功能</w:t>
            </w:r>
            <w:r>
              <w:rPr>
                <w:rFonts w:hint="eastAsia" w:ascii="宋体" w:hAnsi="宋体"/>
                <w:color w:val="auto"/>
                <w:sz w:val="21"/>
                <w:szCs w:val="21"/>
                <w:highlight w:val="none"/>
                <w:lang w:val="en-US" w:eastAsia="zh-CN"/>
              </w:rPr>
              <w:t>；</w:t>
            </w:r>
          </w:p>
          <w:p w14:paraId="155D8719">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15.4.可以进行交互式测量包括：面积，间距，周长，灰度值，角度等</w:t>
            </w:r>
            <w:r>
              <w:rPr>
                <w:rFonts w:hint="eastAsia" w:ascii="宋体" w:hAnsi="宋体"/>
                <w:color w:val="auto"/>
                <w:sz w:val="21"/>
                <w:szCs w:val="21"/>
                <w:highlight w:val="none"/>
                <w:lang w:val="en-US" w:eastAsia="zh-CN"/>
              </w:rPr>
              <w:t>；</w:t>
            </w:r>
          </w:p>
          <w:p w14:paraId="28F7A93D">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15.5.可同时进行多幅图像的对比，可以阵列预览，可以通道预览，可以2.5D图像预览</w:t>
            </w:r>
            <w:r>
              <w:rPr>
                <w:rFonts w:hint="eastAsia" w:ascii="宋体" w:hAnsi="宋体"/>
                <w:color w:val="auto"/>
                <w:sz w:val="21"/>
                <w:szCs w:val="21"/>
                <w:highlight w:val="none"/>
                <w:lang w:val="en-US" w:eastAsia="zh-CN"/>
              </w:rPr>
              <w:t>；</w:t>
            </w:r>
          </w:p>
          <w:p w14:paraId="29B18E04">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15.6.可对图像进行反差、明暗、伽马值、色彩、平滑、锐度等处理。</w:t>
            </w:r>
          </w:p>
          <w:p w14:paraId="5B7D76AA">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15.7.对图像进行标记：添加文本或箭头、标尺等</w:t>
            </w:r>
          </w:p>
          <w:p w14:paraId="22D8994C">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15.8.图像展示：具有多视野比对功能，最多可16张图像进行同时比对。</w:t>
            </w:r>
          </w:p>
          <w:p w14:paraId="2CD59AFA">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15.9.具备图像去模糊功能：基于最近邻算法的2D背景去除函数，适用于处理2D图片，可增强图片对比度。</w:t>
            </w:r>
          </w:p>
          <w:p w14:paraId="469AE04D">
            <w:pPr>
              <w:keepNext w:val="0"/>
              <w:keepLines w:val="0"/>
              <w:pageBreakBefore w:val="0"/>
              <w:bidi w:val="0"/>
              <w:spacing w:line="360" w:lineRule="auto"/>
              <w:jc w:val="left"/>
              <w:rPr>
                <w:rFonts w:ascii="宋体" w:hAnsi="宋体"/>
                <w:color w:val="auto"/>
                <w:sz w:val="21"/>
                <w:szCs w:val="21"/>
                <w:highlight w:val="none"/>
                <w:lang w:val="en-US" w:eastAsia="zh-CN"/>
              </w:rPr>
            </w:pPr>
            <w:r>
              <w:rPr>
                <w:rFonts w:ascii="宋体" w:hAnsi="宋体"/>
                <w:color w:val="auto"/>
                <w:sz w:val="21"/>
                <w:szCs w:val="21"/>
                <w:highlight w:val="none"/>
                <w:lang w:val="en-US" w:eastAsia="zh-CN"/>
              </w:rPr>
              <w:t>15.10.Connect Basic：支持将多个显微平台数据进行二维关联并校正位移。</w:t>
            </w:r>
          </w:p>
          <w:p w14:paraId="22424496">
            <w:pPr>
              <w:keepNext w:val="0"/>
              <w:keepLines w:val="0"/>
              <w:pageBreakBefore w:val="0"/>
              <w:bidi w:val="0"/>
              <w:spacing w:line="360" w:lineRule="auto"/>
              <w:jc w:val="left"/>
              <w:rPr>
                <w:rFonts w:ascii="宋体" w:hAnsi="宋体"/>
                <w:color w:val="auto"/>
                <w:sz w:val="21"/>
                <w:szCs w:val="21"/>
                <w:highlight w:val="none"/>
                <w:lang w:val="en-US" w:eastAsia="zh-CN"/>
              </w:rPr>
            </w:pPr>
            <w:r>
              <w:rPr>
                <w:rFonts w:hint="eastAsia" w:ascii="宋体" w:hAnsi="宋体"/>
                <w:color w:val="auto"/>
                <w:sz w:val="21"/>
                <w:szCs w:val="21"/>
                <w:highlight w:val="none"/>
                <w:lang w:val="en-US" w:eastAsia="zh-CN"/>
              </w:rPr>
              <w:t>16.</w:t>
            </w:r>
            <w:r>
              <w:rPr>
                <w:rFonts w:ascii="宋体" w:hAnsi="宋体"/>
                <w:color w:val="auto"/>
                <w:sz w:val="21"/>
                <w:szCs w:val="21"/>
                <w:highlight w:val="none"/>
                <w:lang w:val="en-US" w:eastAsia="zh-CN"/>
              </w:rPr>
              <w:t>配置</w:t>
            </w:r>
            <w:r>
              <w:rPr>
                <w:rFonts w:hint="eastAsia" w:ascii="宋体" w:hAnsi="宋体"/>
                <w:color w:val="auto"/>
                <w:sz w:val="21"/>
                <w:szCs w:val="21"/>
                <w:highlight w:val="none"/>
                <w:lang w:val="en-US" w:eastAsia="zh-CN"/>
              </w:rPr>
              <w:t>至少包含以下内容</w:t>
            </w:r>
            <w:r>
              <w:rPr>
                <w:rFonts w:ascii="宋体" w:hAnsi="宋体"/>
                <w:color w:val="auto"/>
                <w:sz w:val="21"/>
                <w:szCs w:val="21"/>
                <w:highlight w:val="none"/>
                <w:lang w:val="en-US" w:eastAsia="zh-CN"/>
              </w:rPr>
              <w:t>：</w:t>
            </w:r>
          </w:p>
          <w:p w14:paraId="689656AF">
            <w:pPr>
              <w:keepNext w:val="0"/>
              <w:keepLines w:val="0"/>
              <w:pageBreakBefore w:val="0"/>
              <w:bidi w:val="0"/>
              <w:spacing w:line="360" w:lineRule="auto"/>
              <w:jc w:val="left"/>
              <w:rPr>
                <w:rFonts w:ascii="宋体" w:hAnsi="宋体"/>
                <w:color w:val="auto"/>
                <w:sz w:val="21"/>
                <w:szCs w:val="21"/>
                <w:highlight w:val="none"/>
                <w:lang w:val="en-US" w:eastAsia="zh-CN"/>
              </w:rPr>
            </w:pPr>
            <w:r>
              <w:rPr>
                <w:rFonts w:hint="eastAsia" w:ascii="宋体" w:hAnsi="宋体"/>
                <w:color w:val="auto"/>
                <w:sz w:val="21"/>
                <w:szCs w:val="21"/>
                <w:highlight w:val="none"/>
                <w:lang w:val="en-US" w:eastAsia="zh-CN"/>
              </w:rPr>
              <w:t>16.1</w:t>
            </w:r>
            <w:r>
              <w:rPr>
                <w:rFonts w:ascii="宋体" w:hAnsi="宋体"/>
                <w:color w:val="auto"/>
                <w:sz w:val="21"/>
                <w:szCs w:val="21"/>
                <w:highlight w:val="none"/>
                <w:lang w:val="en-US" w:eastAsia="zh-CN"/>
              </w:rPr>
              <w:t>工作站硬件1套；</w:t>
            </w:r>
          </w:p>
          <w:p w14:paraId="337CB39F">
            <w:pPr>
              <w:keepNext w:val="0"/>
              <w:keepLines w:val="0"/>
              <w:pageBreakBefore w:val="0"/>
              <w:bidi w:val="0"/>
              <w:spacing w:line="360" w:lineRule="auto"/>
              <w:jc w:val="left"/>
              <w:rPr>
                <w:rFonts w:ascii="宋体" w:hAnsi="宋体"/>
                <w:color w:val="auto"/>
                <w:sz w:val="21"/>
                <w:szCs w:val="21"/>
                <w:highlight w:val="none"/>
                <w:lang w:val="en-US" w:eastAsia="zh-CN"/>
              </w:rPr>
            </w:pPr>
            <w:r>
              <w:rPr>
                <w:rFonts w:hint="eastAsia" w:ascii="宋体" w:hAnsi="宋体"/>
                <w:color w:val="auto"/>
                <w:sz w:val="21"/>
                <w:szCs w:val="21"/>
                <w:highlight w:val="none"/>
                <w:lang w:val="en-US" w:eastAsia="zh-CN"/>
              </w:rPr>
              <w:t>16.2</w:t>
            </w:r>
            <w:r>
              <w:rPr>
                <w:rFonts w:ascii="宋体" w:hAnsi="宋体"/>
                <w:color w:val="auto"/>
                <w:sz w:val="21"/>
                <w:szCs w:val="21"/>
                <w:highlight w:val="none"/>
                <w:lang w:val="en-US" w:eastAsia="zh-CN"/>
              </w:rPr>
              <w:t>双面彩色网络输出设备1套；</w:t>
            </w:r>
          </w:p>
          <w:p w14:paraId="0A787686">
            <w:pPr>
              <w:keepNext w:val="0"/>
              <w:keepLines w:val="0"/>
              <w:pageBreakBefore w:val="0"/>
              <w:bidi w:val="0"/>
              <w:spacing w:line="360" w:lineRule="auto"/>
              <w:jc w:val="left"/>
              <w:rPr>
                <w:rFonts w:ascii="宋体" w:hAnsi="宋体"/>
                <w:color w:val="auto"/>
                <w:sz w:val="21"/>
                <w:szCs w:val="21"/>
                <w:highlight w:val="none"/>
                <w:lang w:val="en-US" w:eastAsia="zh-CN"/>
              </w:rPr>
            </w:pPr>
            <w:r>
              <w:rPr>
                <w:rFonts w:hint="eastAsia" w:ascii="宋体" w:hAnsi="宋体"/>
                <w:color w:val="auto"/>
                <w:sz w:val="21"/>
                <w:szCs w:val="21"/>
                <w:highlight w:val="none"/>
                <w:lang w:val="en-US" w:eastAsia="zh-CN"/>
              </w:rPr>
              <w:t>16.3</w:t>
            </w:r>
            <w:r>
              <w:rPr>
                <w:rFonts w:ascii="宋体" w:hAnsi="宋体"/>
                <w:color w:val="auto"/>
                <w:sz w:val="21"/>
                <w:szCs w:val="21"/>
                <w:highlight w:val="none"/>
                <w:lang w:val="en-US" w:eastAsia="zh-CN"/>
              </w:rPr>
              <w:t>正置主机</w:t>
            </w:r>
            <w:r>
              <w:rPr>
                <w:rFonts w:hint="eastAsia" w:ascii="宋体" w:hAnsi="宋体"/>
                <w:color w:val="auto"/>
                <w:sz w:val="21"/>
                <w:szCs w:val="21"/>
                <w:highlight w:val="none"/>
                <w:lang w:val="en-US" w:eastAsia="zh-CN"/>
              </w:rPr>
              <w:t>1</w:t>
            </w:r>
            <w:r>
              <w:rPr>
                <w:rFonts w:ascii="宋体" w:hAnsi="宋体"/>
                <w:color w:val="auto"/>
                <w:sz w:val="21"/>
                <w:szCs w:val="21"/>
                <w:highlight w:val="none"/>
                <w:lang w:val="en-US" w:eastAsia="zh-CN"/>
              </w:rPr>
              <w:t>台</w:t>
            </w:r>
            <w:r>
              <w:rPr>
                <w:rFonts w:hint="eastAsia" w:ascii="宋体" w:hAnsi="宋体"/>
                <w:color w:val="auto"/>
                <w:sz w:val="21"/>
                <w:szCs w:val="21"/>
                <w:highlight w:val="none"/>
                <w:lang w:val="en-US" w:eastAsia="zh-CN"/>
              </w:rPr>
              <w:t>；</w:t>
            </w:r>
          </w:p>
          <w:p w14:paraId="70F9AF2A">
            <w:pPr>
              <w:keepNext w:val="0"/>
              <w:keepLines w:val="0"/>
              <w:pageBreakBefore w:val="0"/>
              <w:bidi w:val="0"/>
              <w:spacing w:line="360" w:lineRule="auto"/>
              <w:jc w:val="left"/>
              <w:rPr>
                <w:rFonts w:ascii="宋体" w:hAnsi="宋体"/>
                <w:color w:val="auto"/>
                <w:sz w:val="21"/>
                <w:szCs w:val="21"/>
                <w:highlight w:val="none"/>
                <w:lang w:val="en-US" w:eastAsia="zh-CN"/>
              </w:rPr>
            </w:pPr>
            <w:r>
              <w:rPr>
                <w:rFonts w:hint="eastAsia" w:ascii="宋体" w:hAnsi="宋体"/>
                <w:color w:val="auto"/>
                <w:sz w:val="21"/>
                <w:szCs w:val="21"/>
                <w:highlight w:val="none"/>
                <w:lang w:val="en-US" w:eastAsia="zh-CN"/>
              </w:rPr>
              <w:t>16.4</w:t>
            </w:r>
            <w:r>
              <w:rPr>
                <w:rFonts w:ascii="宋体" w:hAnsi="宋体"/>
                <w:color w:val="auto"/>
                <w:sz w:val="21"/>
                <w:szCs w:val="21"/>
                <w:highlight w:val="none"/>
                <w:lang w:val="en-US" w:eastAsia="zh-CN"/>
              </w:rPr>
              <w:t>物镜</w:t>
            </w:r>
            <w:r>
              <w:rPr>
                <w:rFonts w:hint="eastAsia" w:ascii="宋体" w:hAnsi="宋体"/>
                <w:color w:val="auto"/>
                <w:sz w:val="21"/>
                <w:szCs w:val="21"/>
                <w:highlight w:val="none"/>
                <w:lang w:val="en-US" w:eastAsia="zh-CN"/>
              </w:rPr>
              <w:t>1</w:t>
            </w:r>
            <w:r>
              <w:rPr>
                <w:rFonts w:ascii="宋体" w:hAnsi="宋体"/>
                <w:color w:val="auto"/>
                <w:sz w:val="21"/>
                <w:szCs w:val="21"/>
                <w:highlight w:val="none"/>
                <w:lang w:val="en-US" w:eastAsia="zh-CN"/>
              </w:rPr>
              <w:t>套</w:t>
            </w:r>
            <w:r>
              <w:rPr>
                <w:rFonts w:hint="eastAsia" w:ascii="宋体" w:hAnsi="宋体"/>
                <w:color w:val="auto"/>
                <w:sz w:val="21"/>
                <w:szCs w:val="21"/>
                <w:highlight w:val="none"/>
                <w:lang w:val="en-US" w:eastAsia="zh-CN"/>
              </w:rPr>
              <w:t>；</w:t>
            </w:r>
          </w:p>
          <w:p w14:paraId="45F6D0AA">
            <w:pPr>
              <w:keepNext w:val="0"/>
              <w:keepLines w:val="0"/>
              <w:pageBreakBefore w:val="0"/>
              <w:bidi w:val="0"/>
              <w:spacing w:line="360" w:lineRule="auto"/>
              <w:jc w:val="left"/>
              <w:rPr>
                <w:rFonts w:ascii="宋体" w:hAnsi="宋体"/>
                <w:color w:val="auto"/>
                <w:sz w:val="21"/>
                <w:szCs w:val="21"/>
                <w:highlight w:val="none"/>
                <w:lang w:val="en-US" w:eastAsia="zh-CN"/>
              </w:rPr>
            </w:pPr>
            <w:r>
              <w:rPr>
                <w:rFonts w:hint="eastAsia" w:ascii="宋体" w:hAnsi="宋体"/>
                <w:color w:val="auto"/>
                <w:sz w:val="21"/>
                <w:szCs w:val="21"/>
                <w:highlight w:val="none"/>
                <w:lang w:val="en-US" w:eastAsia="zh-CN"/>
              </w:rPr>
              <w:t>16.5</w:t>
            </w:r>
            <w:r>
              <w:rPr>
                <w:rFonts w:ascii="宋体" w:hAnsi="宋体"/>
                <w:color w:val="auto"/>
                <w:sz w:val="21"/>
                <w:szCs w:val="21"/>
                <w:highlight w:val="none"/>
                <w:lang w:val="en-US" w:eastAsia="zh-CN"/>
              </w:rPr>
              <w:t>同品牌彩色相机</w:t>
            </w:r>
            <w:r>
              <w:rPr>
                <w:rFonts w:hint="eastAsia" w:ascii="宋体" w:hAnsi="宋体"/>
                <w:color w:val="auto"/>
                <w:sz w:val="21"/>
                <w:szCs w:val="21"/>
                <w:highlight w:val="none"/>
                <w:lang w:val="en-US" w:eastAsia="zh-CN"/>
              </w:rPr>
              <w:t>1</w:t>
            </w:r>
            <w:r>
              <w:rPr>
                <w:rFonts w:ascii="宋体" w:hAnsi="宋体"/>
                <w:color w:val="auto"/>
                <w:sz w:val="21"/>
                <w:szCs w:val="21"/>
                <w:highlight w:val="none"/>
                <w:lang w:val="en-US" w:eastAsia="zh-CN"/>
              </w:rPr>
              <w:t>个</w:t>
            </w:r>
            <w:r>
              <w:rPr>
                <w:rFonts w:hint="eastAsia" w:ascii="宋体" w:hAnsi="宋体"/>
                <w:color w:val="auto"/>
                <w:sz w:val="21"/>
                <w:szCs w:val="21"/>
                <w:highlight w:val="none"/>
                <w:lang w:val="en-US" w:eastAsia="zh-CN"/>
              </w:rPr>
              <w:t>；</w:t>
            </w:r>
          </w:p>
          <w:p w14:paraId="7D213DA0">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olor w:val="auto"/>
                <w:sz w:val="21"/>
                <w:szCs w:val="21"/>
                <w:highlight w:val="none"/>
                <w:lang w:val="en-US" w:eastAsia="zh-CN"/>
              </w:rPr>
              <w:t>16.6</w:t>
            </w:r>
            <w:r>
              <w:rPr>
                <w:rFonts w:ascii="宋体" w:hAnsi="宋体"/>
                <w:color w:val="auto"/>
                <w:sz w:val="21"/>
                <w:szCs w:val="21"/>
                <w:highlight w:val="none"/>
                <w:lang w:val="en-US" w:eastAsia="zh-CN"/>
              </w:rPr>
              <w:t>软件</w:t>
            </w:r>
            <w:r>
              <w:rPr>
                <w:rFonts w:hint="eastAsia" w:ascii="宋体" w:hAnsi="宋体"/>
                <w:color w:val="auto"/>
                <w:sz w:val="21"/>
                <w:szCs w:val="21"/>
                <w:highlight w:val="none"/>
                <w:lang w:val="en-US" w:eastAsia="zh-CN"/>
              </w:rPr>
              <w:t>1</w:t>
            </w:r>
            <w:r>
              <w:rPr>
                <w:rFonts w:ascii="宋体" w:hAnsi="宋体"/>
                <w:color w:val="auto"/>
                <w:sz w:val="21"/>
                <w:szCs w:val="21"/>
                <w:highlight w:val="none"/>
                <w:lang w:val="en-US" w:eastAsia="zh-CN"/>
              </w:rPr>
              <w:t>套</w:t>
            </w:r>
            <w:r>
              <w:rPr>
                <w:rFonts w:hint="eastAsia" w:ascii="宋体" w:hAnsi="宋体"/>
                <w:color w:val="auto"/>
                <w:sz w:val="21"/>
                <w:szCs w:val="21"/>
                <w:highlight w:val="none"/>
                <w:lang w:val="en-US" w:eastAsia="zh-CN"/>
              </w:rPr>
              <w:t>。</w:t>
            </w:r>
          </w:p>
        </w:tc>
      </w:tr>
      <w:tr w14:paraId="214DDB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62" w:hRule="atLeast"/>
        </w:trPr>
        <w:tc>
          <w:tcPr>
            <w:tcW w:w="447" w:type="dxa"/>
            <w:vAlign w:val="center"/>
          </w:tcPr>
          <w:p w14:paraId="605A6DC9">
            <w:pPr>
              <w:tabs>
                <w:tab w:val="left" w:pos="180"/>
                <w:tab w:val="left" w:pos="1620"/>
              </w:tabs>
              <w:spacing w:line="360" w:lineRule="auto"/>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w:t>
            </w:r>
          </w:p>
        </w:tc>
        <w:tc>
          <w:tcPr>
            <w:tcW w:w="1091" w:type="dxa"/>
            <w:vAlign w:val="center"/>
          </w:tcPr>
          <w:p w14:paraId="5E22C77F">
            <w:pPr>
              <w:keepNext w:val="0"/>
              <w:keepLines w:val="0"/>
              <w:widowControl/>
              <w:suppressLineNumbers w:val="0"/>
              <w:jc w:val="center"/>
              <w:rPr>
                <w:rFonts w:ascii="宋体" w:hAnsi="宋体" w:cs="宋体"/>
                <w:color w:val="auto"/>
                <w:szCs w:val="21"/>
                <w:highlight w:val="none"/>
              </w:rPr>
            </w:pPr>
            <w:r>
              <w:rPr>
                <w:rFonts w:hint="eastAsia" w:ascii="宋体" w:hAnsi="宋体" w:eastAsia="宋体" w:cs="宋体"/>
                <w:i w:val="0"/>
                <w:iCs w:val="0"/>
                <w:color w:val="auto"/>
                <w:sz w:val="20"/>
                <w:szCs w:val="20"/>
                <w:highlight w:val="none"/>
                <w:u w:val="none"/>
                <w:lang w:val="en-US" w:eastAsia="zh-CN" w:bidi="ar"/>
              </w:rPr>
              <w:t>电导率测定仪</w:t>
            </w:r>
          </w:p>
        </w:tc>
        <w:tc>
          <w:tcPr>
            <w:tcW w:w="884" w:type="dxa"/>
            <w:vAlign w:val="center"/>
          </w:tcPr>
          <w:p w14:paraId="4ABA06CD">
            <w:pPr>
              <w:keepNext w:val="0"/>
              <w:keepLines w:val="0"/>
              <w:widowControl/>
              <w:suppressLineNumbers w:val="0"/>
              <w:jc w:val="center"/>
              <w:rPr>
                <w:rFonts w:hint="eastAsia" w:ascii="宋体" w:hAnsi="宋体" w:cs="宋体"/>
                <w:color w:val="auto"/>
                <w:szCs w:val="21"/>
                <w:highlight w:val="none"/>
              </w:rPr>
            </w:pPr>
            <w:r>
              <w:rPr>
                <w:rFonts w:hint="eastAsia" w:ascii="宋体" w:hAnsi="宋体" w:eastAsia="宋体" w:cs="宋体"/>
                <w:i w:val="0"/>
                <w:iCs w:val="0"/>
                <w:color w:val="auto"/>
                <w:sz w:val="22"/>
                <w:szCs w:val="22"/>
                <w:highlight w:val="none"/>
                <w:u w:val="none"/>
                <w:lang w:val="en-US" w:eastAsia="zh-CN" w:bidi="ar"/>
              </w:rPr>
              <w:t>1台</w:t>
            </w:r>
          </w:p>
        </w:tc>
        <w:tc>
          <w:tcPr>
            <w:tcW w:w="6561" w:type="dxa"/>
            <w:vAlign w:val="top"/>
          </w:tcPr>
          <w:p w14:paraId="1F29CFA4">
            <w:pPr>
              <w:keepNext w:val="0"/>
              <w:keepLines w:val="0"/>
              <w:pageBreakBefore w:val="0"/>
              <w:bidi w:val="0"/>
              <w:spacing w:line="360" w:lineRule="auto"/>
              <w:jc w:val="left"/>
              <w:rPr>
                <w:rFonts w:ascii="宋体" w:hAnsi="宋体" w:eastAsia="宋体" w:cs="Times New Roman"/>
                <w:b/>
                <w:bCs/>
                <w:color w:val="auto"/>
                <w:sz w:val="21"/>
                <w:szCs w:val="21"/>
                <w:highlight w:val="none"/>
                <w:lang w:val="en-US" w:eastAsia="zh-CN"/>
              </w:rPr>
            </w:pPr>
            <w:r>
              <w:rPr>
                <w:rFonts w:ascii="宋体" w:hAnsi="宋体" w:eastAsia="宋体" w:cs="Times New Roman"/>
                <w:b/>
                <w:bCs/>
                <w:color w:val="auto"/>
                <w:sz w:val="21"/>
                <w:szCs w:val="21"/>
                <w:highlight w:val="none"/>
                <w:lang w:val="en-US" w:eastAsia="zh-CN"/>
              </w:rPr>
              <w:t>1.运行环境</w:t>
            </w:r>
          </w:p>
          <w:p w14:paraId="15FE2C5D">
            <w:pPr>
              <w:keepNext w:val="0"/>
              <w:keepLines w:val="0"/>
              <w:pageBreakBefore w:val="0"/>
              <w:bidi w:val="0"/>
              <w:spacing w:line="360" w:lineRule="auto"/>
              <w:jc w:val="left"/>
              <w:rPr>
                <w:rFonts w:ascii="宋体" w:hAnsi="宋体" w:eastAsia="宋体" w:cs="Times New Roman"/>
                <w:color w:val="auto"/>
                <w:sz w:val="21"/>
                <w:szCs w:val="21"/>
                <w:highlight w:val="none"/>
                <w:lang w:val="en-US" w:eastAsia="zh-CN"/>
              </w:rPr>
            </w:pPr>
            <w:r>
              <w:rPr>
                <w:rFonts w:ascii="宋体" w:hAnsi="宋体" w:eastAsia="宋体" w:cs="Times New Roman"/>
                <w:color w:val="auto"/>
                <w:sz w:val="21"/>
                <w:szCs w:val="21"/>
                <w:highlight w:val="none"/>
                <w:lang w:val="en-US" w:eastAsia="zh-CN"/>
              </w:rPr>
              <w:t>1.1</w:t>
            </w:r>
            <w:r>
              <w:rPr>
                <w:rFonts w:hint="eastAsia" w:ascii="宋体" w:hAnsi="宋体" w:eastAsia="宋体" w:cs="Times New Roman"/>
                <w:color w:val="auto"/>
                <w:sz w:val="21"/>
                <w:szCs w:val="21"/>
                <w:highlight w:val="none"/>
                <w:lang w:val="en-US" w:eastAsia="zh-CN"/>
              </w:rPr>
              <w:t>.</w:t>
            </w:r>
            <w:r>
              <w:rPr>
                <w:rFonts w:ascii="宋体" w:hAnsi="宋体" w:eastAsia="宋体" w:cs="Times New Roman"/>
                <w:color w:val="auto"/>
                <w:sz w:val="21"/>
                <w:szCs w:val="21"/>
                <w:highlight w:val="none"/>
                <w:lang w:val="en-US" w:eastAsia="zh-CN"/>
              </w:rPr>
              <w:t>工作电压：100～240V</w:t>
            </w:r>
          </w:p>
          <w:p w14:paraId="2B292A35">
            <w:pPr>
              <w:keepNext w:val="0"/>
              <w:keepLines w:val="0"/>
              <w:pageBreakBefore w:val="0"/>
              <w:bidi w:val="0"/>
              <w:spacing w:line="360" w:lineRule="auto"/>
              <w:jc w:val="left"/>
              <w:rPr>
                <w:rFonts w:ascii="宋体" w:hAnsi="宋体" w:eastAsia="宋体" w:cs="Times New Roman"/>
                <w:color w:val="auto"/>
                <w:sz w:val="21"/>
                <w:szCs w:val="21"/>
                <w:highlight w:val="none"/>
                <w:lang w:val="en-US" w:eastAsia="zh-CN"/>
              </w:rPr>
            </w:pPr>
            <w:r>
              <w:rPr>
                <w:rFonts w:ascii="宋体" w:hAnsi="宋体" w:eastAsia="宋体" w:cs="Times New Roman"/>
                <w:color w:val="auto"/>
                <w:sz w:val="21"/>
                <w:szCs w:val="21"/>
                <w:highlight w:val="none"/>
                <w:lang w:val="en-US" w:eastAsia="zh-CN"/>
              </w:rPr>
              <w:t>1.2</w:t>
            </w:r>
            <w:r>
              <w:rPr>
                <w:rFonts w:hint="eastAsia" w:ascii="宋体" w:hAnsi="宋体" w:eastAsia="宋体" w:cs="Times New Roman"/>
                <w:color w:val="auto"/>
                <w:sz w:val="21"/>
                <w:szCs w:val="21"/>
                <w:highlight w:val="none"/>
                <w:lang w:val="en-US" w:eastAsia="zh-CN"/>
              </w:rPr>
              <w:t>.</w:t>
            </w:r>
            <w:r>
              <w:rPr>
                <w:rFonts w:ascii="宋体" w:hAnsi="宋体" w:eastAsia="宋体" w:cs="Times New Roman"/>
                <w:color w:val="auto"/>
                <w:sz w:val="21"/>
                <w:szCs w:val="21"/>
                <w:highlight w:val="none"/>
                <w:lang w:val="en-US" w:eastAsia="zh-CN"/>
              </w:rPr>
              <w:t>环境温度：5～40℃</w:t>
            </w:r>
          </w:p>
          <w:p w14:paraId="1BEB9FC4">
            <w:pPr>
              <w:keepNext w:val="0"/>
              <w:keepLines w:val="0"/>
              <w:pageBreakBefore w:val="0"/>
              <w:bidi w:val="0"/>
              <w:spacing w:line="360" w:lineRule="auto"/>
              <w:jc w:val="left"/>
              <w:rPr>
                <w:rFonts w:ascii="宋体" w:hAnsi="宋体" w:eastAsia="宋体" w:cs="Times New Roman"/>
                <w:color w:val="auto"/>
                <w:sz w:val="21"/>
                <w:szCs w:val="21"/>
                <w:highlight w:val="none"/>
                <w:lang w:val="en-US" w:eastAsia="zh-CN"/>
              </w:rPr>
            </w:pPr>
            <w:r>
              <w:rPr>
                <w:rFonts w:ascii="宋体" w:hAnsi="宋体" w:eastAsia="宋体" w:cs="Times New Roman"/>
                <w:color w:val="auto"/>
                <w:sz w:val="21"/>
                <w:szCs w:val="21"/>
                <w:highlight w:val="none"/>
                <w:lang w:val="en-US" w:eastAsia="zh-CN"/>
              </w:rPr>
              <w:t>1.3</w:t>
            </w:r>
            <w:r>
              <w:rPr>
                <w:rFonts w:hint="eastAsia" w:ascii="宋体" w:hAnsi="宋体" w:eastAsia="宋体" w:cs="Times New Roman"/>
                <w:color w:val="auto"/>
                <w:sz w:val="21"/>
                <w:szCs w:val="21"/>
                <w:highlight w:val="none"/>
                <w:lang w:val="en-US" w:eastAsia="zh-CN"/>
              </w:rPr>
              <w:t>.</w:t>
            </w:r>
            <w:r>
              <w:rPr>
                <w:rFonts w:ascii="宋体" w:hAnsi="宋体" w:eastAsia="宋体" w:cs="Times New Roman"/>
                <w:color w:val="auto"/>
                <w:sz w:val="21"/>
                <w:szCs w:val="21"/>
                <w:highlight w:val="none"/>
                <w:lang w:val="en-US" w:eastAsia="zh-CN"/>
              </w:rPr>
              <w:t>环境湿度：50～80%RH</w:t>
            </w:r>
          </w:p>
          <w:p w14:paraId="29517095">
            <w:pPr>
              <w:keepNext w:val="0"/>
              <w:keepLines w:val="0"/>
              <w:pageBreakBefore w:val="0"/>
              <w:bidi w:val="0"/>
              <w:spacing w:line="360" w:lineRule="auto"/>
              <w:jc w:val="left"/>
              <w:rPr>
                <w:rFonts w:ascii="宋体" w:hAnsi="宋体" w:eastAsia="宋体" w:cs="Times New Roman"/>
                <w:b/>
                <w:bCs/>
                <w:color w:val="auto"/>
                <w:sz w:val="21"/>
                <w:szCs w:val="21"/>
                <w:highlight w:val="none"/>
                <w:lang w:val="en-US" w:eastAsia="zh-CN"/>
              </w:rPr>
            </w:pPr>
            <w:r>
              <w:rPr>
                <w:rFonts w:ascii="宋体" w:hAnsi="宋体" w:eastAsia="宋体" w:cs="Times New Roman"/>
                <w:b/>
                <w:bCs/>
                <w:color w:val="auto"/>
                <w:sz w:val="21"/>
                <w:szCs w:val="21"/>
                <w:highlight w:val="none"/>
                <w:lang w:val="en-US" w:eastAsia="zh-CN"/>
              </w:rPr>
              <w:t>2.技术参数</w:t>
            </w:r>
          </w:p>
          <w:p w14:paraId="6AA0CC5A">
            <w:pPr>
              <w:keepNext w:val="0"/>
              <w:keepLines w:val="0"/>
              <w:pageBreakBefore w:val="0"/>
              <w:bidi w:val="0"/>
              <w:spacing w:line="360" w:lineRule="auto"/>
              <w:jc w:val="left"/>
              <w:rPr>
                <w:rFonts w:ascii="宋体" w:hAnsi="宋体" w:eastAsia="宋体" w:cs="Times New Roman"/>
                <w:color w:val="auto"/>
                <w:sz w:val="21"/>
                <w:szCs w:val="21"/>
                <w:highlight w:val="none"/>
                <w:lang w:val="en-US" w:eastAsia="zh-CN"/>
              </w:rPr>
            </w:pPr>
            <w:r>
              <w:rPr>
                <w:rFonts w:ascii="宋体" w:hAnsi="宋体" w:eastAsia="宋体" w:cs="Times New Roman"/>
                <w:color w:val="auto"/>
                <w:sz w:val="21"/>
                <w:szCs w:val="21"/>
                <w:highlight w:val="none"/>
                <w:lang w:val="en-US" w:eastAsia="zh-CN"/>
              </w:rPr>
              <w:t>2.1</w:t>
            </w:r>
            <w:r>
              <w:rPr>
                <w:rFonts w:hint="eastAsia" w:ascii="宋体" w:hAnsi="宋体" w:eastAsia="宋体" w:cs="Times New Roman"/>
                <w:color w:val="auto"/>
                <w:sz w:val="21"/>
                <w:szCs w:val="21"/>
                <w:highlight w:val="none"/>
                <w:lang w:val="en-US" w:eastAsia="zh-CN"/>
              </w:rPr>
              <w:t>.</w:t>
            </w:r>
            <w:r>
              <w:rPr>
                <w:rFonts w:ascii="宋体" w:hAnsi="宋体" w:eastAsia="宋体" w:cs="Times New Roman"/>
                <w:color w:val="auto"/>
                <w:sz w:val="21"/>
                <w:szCs w:val="21"/>
                <w:highlight w:val="none"/>
                <w:lang w:val="en-US" w:eastAsia="zh-CN"/>
              </w:rPr>
              <w:t>主机测量范围</w:t>
            </w:r>
            <w:r>
              <w:rPr>
                <w:rFonts w:hint="eastAsia" w:ascii="宋体" w:hAnsi="宋体" w:eastAsia="宋体" w:cs="Times New Roman"/>
                <w:color w:val="auto"/>
                <w:sz w:val="21"/>
                <w:szCs w:val="21"/>
                <w:highlight w:val="none"/>
                <w:lang w:val="en-US" w:eastAsia="zh-CN"/>
              </w:rPr>
              <w:t>能达到</w:t>
            </w:r>
            <w:r>
              <w:rPr>
                <w:rFonts w:ascii="宋体" w:hAnsi="宋体" w:eastAsia="宋体" w:cs="Times New Roman"/>
                <w:color w:val="auto"/>
                <w:sz w:val="21"/>
                <w:szCs w:val="21"/>
                <w:highlight w:val="none"/>
                <w:lang w:val="en-US" w:eastAsia="zh-CN"/>
              </w:rPr>
              <w:t xml:space="preserve">： </w:t>
            </w:r>
          </w:p>
          <w:p w14:paraId="5AD01500">
            <w:pPr>
              <w:keepNext w:val="0"/>
              <w:keepLines w:val="0"/>
              <w:pageBreakBefore w:val="0"/>
              <w:bidi w:val="0"/>
              <w:spacing w:line="360" w:lineRule="auto"/>
              <w:jc w:val="left"/>
              <w:rPr>
                <w:rFonts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（1）</w:t>
            </w:r>
            <w:r>
              <w:rPr>
                <w:rFonts w:ascii="宋体" w:hAnsi="宋体" w:eastAsia="宋体" w:cs="Times New Roman"/>
                <w:color w:val="auto"/>
                <w:sz w:val="21"/>
                <w:szCs w:val="21"/>
                <w:highlight w:val="none"/>
                <w:lang w:val="en-US" w:eastAsia="zh-CN"/>
              </w:rPr>
              <w:t xml:space="preserve">pH：-2.000～20.000 ； </w:t>
            </w:r>
          </w:p>
          <w:p w14:paraId="28FCC0C7">
            <w:pPr>
              <w:keepNext w:val="0"/>
              <w:keepLines w:val="0"/>
              <w:pageBreakBefore w:val="0"/>
              <w:bidi w:val="0"/>
              <w:spacing w:line="360" w:lineRule="auto"/>
              <w:jc w:val="left"/>
              <w:rPr>
                <w:rFonts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（2）</w:t>
            </w:r>
            <w:r>
              <w:rPr>
                <w:rFonts w:ascii="宋体" w:hAnsi="宋体" w:eastAsia="宋体" w:cs="Times New Roman"/>
                <w:color w:val="auto"/>
                <w:sz w:val="21"/>
                <w:szCs w:val="21"/>
                <w:highlight w:val="none"/>
                <w:lang w:val="en-US" w:eastAsia="zh-CN"/>
              </w:rPr>
              <w:t xml:space="preserve">mV：-2000～+2000mV； </w:t>
            </w:r>
          </w:p>
          <w:p w14:paraId="6B7BCF8D">
            <w:pPr>
              <w:keepNext w:val="0"/>
              <w:keepLines w:val="0"/>
              <w:pageBreakBefore w:val="0"/>
              <w:bidi w:val="0"/>
              <w:spacing w:line="360" w:lineRule="auto"/>
              <w:jc w:val="left"/>
              <w:rPr>
                <w:rFonts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（3）</w:t>
            </w:r>
            <w:r>
              <w:rPr>
                <w:rFonts w:ascii="宋体" w:hAnsi="宋体" w:eastAsia="宋体" w:cs="Times New Roman"/>
                <w:color w:val="auto"/>
                <w:sz w:val="21"/>
                <w:szCs w:val="21"/>
                <w:highlight w:val="none"/>
                <w:lang w:val="en-US" w:eastAsia="zh-CN"/>
              </w:rPr>
              <w:t>温度：-30.0～130.0℃</w:t>
            </w:r>
          </w:p>
          <w:p w14:paraId="4F550055">
            <w:pPr>
              <w:keepNext w:val="0"/>
              <w:keepLines w:val="0"/>
              <w:pageBreakBefore w:val="0"/>
              <w:bidi w:val="0"/>
              <w:spacing w:line="360" w:lineRule="auto"/>
              <w:jc w:val="left"/>
              <w:rPr>
                <w:rFonts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（4）</w:t>
            </w:r>
            <w:r>
              <w:rPr>
                <w:rFonts w:ascii="宋体" w:hAnsi="宋体" w:eastAsia="宋体" w:cs="Times New Roman"/>
                <w:color w:val="auto"/>
                <w:sz w:val="21"/>
                <w:szCs w:val="21"/>
                <w:highlight w:val="none"/>
                <w:lang w:val="en-US" w:eastAsia="zh-CN"/>
              </w:rPr>
              <w:t xml:space="preserve">电导率：0.001μS/cm -2000 mS/cm </w:t>
            </w:r>
          </w:p>
          <w:p w14:paraId="6A2ADD27">
            <w:pPr>
              <w:keepNext w:val="0"/>
              <w:keepLines w:val="0"/>
              <w:pageBreakBefore w:val="0"/>
              <w:bidi w:val="0"/>
              <w:spacing w:line="360" w:lineRule="auto"/>
              <w:jc w:val="left"/>
              <w:rPr>
                <w:rFonts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（5）</w:t>
            </w:r>
            <w:r>
              <w:rPr>
                <w:rFonts w:ascii="宋体" w:hAnsi="宋体" w:eastAsia="宋体" w:cs="Times New Roman"/>
                <w:color w:val="auto"/>
                <w:sz w:val="21"/>
                <w:szCs w:val="21"/>
                <w:highlight w:val="none"/>
                <w:lang w:val="en-US" w:eastAsia="zh-CN"/>
              </w:rPr>
              <w:t>离子：0</w:t>
            </w:r>
            <w:r>
              <w:rPr>
                <w:rFonts w:hint="eastAsia" w:ascii="宋体" w:hAnsi="宋体" w:cs="Times New Roman"/>
                <w:color w:val="auto"/>
                <w:sz w:val="21"/>
                <w:szCs w:val="21"/>
                <w:highlight w:val="none"/>
                <w:lang w:val="en-US" w:eastAsia="zh-CN"/>
              </w:rPr>
              <w:t>…</w:t>
            </w:r>
            <w:r>
              <w:rPr>
                <w:rFonts w:ascii="宋体" w:hAnsi="宋体" w:eastAsia="宋体" w:cs="Times New Roman"/>
                <w:color w:val="auto"/>
                <w:sz w:val="21"/>
                <w:szCs w:val="21"/>
                <w:highlight w:val="none"/>
                <w:lang w:val="en-US" w:eastAsia="zh-CN"/>
              </w:rPr>
              <w:t>999999mmg/L，ppm</w:t>
            </w:r>
          </w:p>
          <w:p w14:paraId="1A675033">
            <w:pPr>
              <w:keepNext w:val="0"/>
              <w:keepLines w:val="0"/>
              <w:pageBreakBefore w:val="0"/>
              <w:bidi w:val="0"/>
              <w:spacing w:line="360" w:lineRule="auto"/>
              <w:jc w:val="left"/>
              <w:rPr>
                <w:rFonts w:ascii="宋体" w:hAnsi="宋体" w:eastAsia="宋体" w:cs="Times New Roman"/>
                <w:color w:val="auto"/>
                <w:sz w:val="21"/>
                <w:szCs w:val="21"/>
                <w:highlight w:val="none"/>
                <w:lang w:val="en-US" w:eastAsia="zh-CN"/>
              </w:rPr>
            </w:pPr>
            <w:r>
              <w:rPr>
                <w:rFonts w:ascii="宋体" w:hAnsi="宋体" w:eastAsia="宋体" w:cs="Times New Roman"/>
                <w:color w:val="auto"/>
                <w:sz w:val="21"/>
                <w:szCs w:val="21"/>
                <w:highlight w:val="none"/>
                <w:lang w:val="en-US" w:eastAsia="zh-CN"/>
              </w:rPr>
              <w:t>2.2</w:t>
            </w:r>
            <w:r>
              <w:rPr>
                <w:rFonts w:hint="eastAsia" w:ascii="宋体" w:hAnsi="宋体" w:eastAsia="宋体" w:cs="Times New Roman"/>
                <w:color w:val="auto"/>
                <w:sz w:val="21"/>
                <w:szCs w:val="21"/>
                <w:highlight w:val="none"/>
                <w:lang w:val="en-US" w:eastAsia="zh-CN"/>
              </w:rPr>
              <w:t>.</w:t>
            </w:r>
            <w:r>
              <w:rPr>
                <w:rFonts w:ascii="宋体" w:hAnsi="宋体" w:eastAsia="宋体" w:cs="Times New Roman"/>
                <w:color w:val="auto"/>
                <w:sz w:val="21"/>
                <w:szCs w:val="21"/>
                <w:highlight w:val="none"/>
                <w:lang w:val="en-US" w:eastAsia="zh-CN"/>
              </w:rPr>
              <w:t>主机分辨率</w:t>
            </w:r>
            <w:r>
              <w:rPr>
                <w:rFonts w:hint="eastAsia" w:ascii="宋体" w:hAnsi="宋体" w:eastAsia="宋体" w:cs="Times New Roman"/>
                <w:color w:val="auto"/>
                <w:sz w:val="21"/>
                <w:szCs w:val="21"/>
                <w:highlight w:val="none"/>
                <w:lang w:val="en-US" w:eastAsia="zh-CN"/>
              </w:rPr>
              <w:t>能达到</w:t>
            </w:r>
            <w:r>
              <w:rPr>
                <w:rFonts w:ascii="宋体" w:hAnsi="宋体" w:eastAsia="宋体" w:cs="Times New Roman"/>
                <w:color w:val="auto"/>
                <w:sz w:val="21"/>
                <w:szCs w:val="21"/>
                <w:highlight w:val="none"/>
                <w:lang w:val="en-US" w:eastAsia="zh-CN"/>
              </w:rPr>
              <w:t xml:space="preserve">： </w:t>
            </w:r>
          </w:p>
          <w:p w14:paraId="7A2C502B">
            <w:pPr>
              <w:keepNext w:val="0"/>
              <w:keepLines w:val="0"/>
              <w:pageBreakBefore w:val="0"/>
              <w:bidi w:val="0"/>
              <w:spacing w:line="360" w:lineRule="auto"/>
              <w:jc w:val="left"/>
              <w:rPr>
                <w:rFonts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（1）</w:t>
            </w:r>
            <w:r>
              <w:rPr>
                <w:rFonts w:ascii="宋体" w:hAnsi="宋体" w:eastAsia="宋体" w:cs="Times New Roman"/>
                <w:color w:val="auto"/>
                <w:sz w:val="21"/>
                <w:szCs w:val="21"/>
                <w:highlight w:val="none"/>
                <w:lang w:val="en-US" w:eastAsia="zh-CN"/>
              </w:rPr>
              <w:t>pH：0.001/0.01/0.1（可调分辨率）；</w:t>
            </w:r>
          </w:p>
          <w:p w14:paraId="07408296">
            <w:pPr>
              <w:keepNext w:val="0"/>
              <w:keepLines w:val="0"/>
              <w:pageBreakBefore w:val="0"/>
              <w:bidi w:val="0"/>
              <w:spacing w:line="360" w:lineRule="auto"/>
              <w:jc w:val="left"/>
              <w:rPr>
                <w:rFonts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（2）</w:t>
            </w:r>
            <w:r>
              <w:rPr>
                <w:rFonts w:ascii="宋体" w:hAnsi="宋体" w:eastAsia="宋体" w:cs="Times New Roman"/>
                <w:color w:val="auto"/>
                <w:sz w:val="21"/>
                <w:szCs w:val="21"/>
                <w:highlight w:val="none"/>
                <w:lang w:val="en-US" w:eastAsia="zh-CN"/>
              </w:rPr>
              <w:t>mV：1/1 mV；</w:t>
            </w:r>
          </w:p>
          <w:p w14:paraId="4B00FDE4">
            <w:pPr>
              <w:keepNext w:val="0"/>
              <w:keepLines w:val="0"/>
              <w:pageBreakBefore w:val="0"/>
              <w:bidi w:val="0"/>
              <w:spacing w:line="360" w:lineRule="auto"/>
              <w:jc w:val="left"/>
              <w:rPr>
                <w:rFonts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（3）</w:t>
            </w:r>
            <w:r>
              <w:rPr>
                <w:rFonts w:ascii="宋体" w:hAnsi="宋体" w:eastAsia="宋体" w:cs="Times New Roman"/>
                <w:color w:val="auto"/>
                <w:sz w:val="21"/>
                <w:szCs w:val="21"/>
                <w:highlight w:val="none"/>
                <w:lang w:val="en-US" w:eastAsia="zh-CN"/>
              </w:rPr>
              <w:t>温度：0.1℃</w:t>
            </w:r>
          </w:p>
          <w:p w14:paraId="5E7143A0">
            <w:pPr>
              <w:keepNext w:val="0"/>
              <w:keepLines w:val="0"/>
              <w:pageBreakBefore w:val="0"/>
              <w:bidi w:val="0"/>
              <w:spacing w:line="360" w:lineRule="auto"/>
              <w:jc w:val="left"/>
              <w:rPr>
                <w:rFonts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（4）</w:t>
            </w:r>
            <w:r>
              <w:rPr>
                <w:rFonts w:ascii="宋体" w:hAnsi="宋体" w:eastAsia="宋体" w:cs="Times New Roman"/>
                <w:color w:val="auto"/>
                <w:sz w:val="21"/>
                <w:szCs w:val="21"/>
                <w:highlight w:val="none"/>
                <w:lang w:val="en-US" w:eastAsia="zh-CN"/>
              </w:rPr>
              <w:t>电导率：0.0001</w:t>
            </w:r>
            <w:r>
              <w:rPr>
                <w:rFonts w:hint="eastAsia" w:ascii="宋体" w:hAnsi="宋体" w:eastAsia="宋体" w:cs="Times New Roman"/>
                <w:color w:val="auto"/>
                <w:sz w:val="21"/>
                <w:szCs w:val="21"/>
                <w:highlight w:val="none"/>
                <w:lang w:val="en-US" w:eastAsia="zh-CN"/>
              </w:rPr>
              <w:t>；</w:t>
            </w:r>
            <w:r>
              <w:rPr>
                <w:rFonts w:ascii="宋体" w:hAnsi="宋体" w:eastAsia="宋体" w:cs="Times New Roman"/>
                <w:color w:val="auto"/>
                <w:sz w:val="21"/>
                <w:szCs w:val="21"/>
                <w:highlight w:val="none"/>
                <w:lang w:val="en-US" w:eastAsia="zh-CN"/>
              </w:rPr>
              <w:t>0.001</w:t>
            </w:r>
            <w:r>
              <w:rPr>
                <w:rFonts w:hint="eastAsia" w:ascii="宋体" w:hAnsi="宋体" w:eastAsia="宋体" w:cs="Times New Roman"/>
                <w:color w:val="auto"/>
                <w:sz w:val="21"/>
                <w:szCs w:val="21"/>
                <w:highlight w:val="none"/>
                <w:lang w:val="en-US" w:eastAsia="zh-CN"/>
              </w:rPr>
              <w:t>；</w:t>
            </w:r>
            <w:r>
              <w:rPr>
                <w:rFonts w:ascii="宋体" w:hAnsi="宋体" w:eastAsia="宋体" w:cs="Times New Roman"/>
                <w:color w:val="auto"/>
                <w:sz w:val="21"/>
                <w:szCs w:val="21"/>
                <w:highlight w:val="none"/>
                <w:lang w:val="en-US" w:eastAsia="zh-CN"/>
              </w:rPr>
              <w:t>0.01</w:t>
            </w:r>
            <w:r>
              <w:rPr>
                <w:rFonts w:hint="eastAsia" w:ascii="宋体" w:hAnsi="宋体" w:eastAsia="宋体" w:cs="Times New Roman"/>
                <w:color w:val="auto"/>
                <w:sz w:val="21"/>
                <w:szCs w:val="21"/>
                <w:highlight w:val="none"/>
                <w:lang w:val="en-US" w:eastAsia="zh-CN"/>
              </w:rPr>
              <w:t>；</w:t>
            </w:r>
            <w:r>
              <w:rPr>
                <w:rFonts w:ascii="宋体" w:hAnsi="宋体" w:eastAsia="宋体" w:cs="Times New Roman"/>
                <w:color w:val="auto"/>
                <w:sz w:val="21"/>
                <w:szCs w:val="21"/>
                <w:highlight w:val="none"/>
                <w:lang w:val="en-US" w:eastAsia="zh-CN"/>
              </w:rPr>
              <w:t>0.1(取决于所选单位)</w:t>
            </w:r>
          </w:p>
          <w:p w14:paraId="3C566B2E">
            <w:pPr>
              <w:keepNext w:val="0"/>
              <w:keepLines w:val="0"/>
              <w:pageBreakBefore w:val="0"/>
              <w:bidi w:val="0"/>
              <w:spacing w:line="360" w:lineRule="auto"/>
              <w:jc w:val="left"/>
              <w:rPr>
                <w:rFonts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（5）</w:t>
            </w:r>
            <w:r>
              <w:rPr>
                <w:rFonts w:ascii="宋体" w:hAnsi="宋体" w:eastAsia="宋体" w:cs="Times New Roman"/>
                <w:color w:val="auto"/>
                <w:sz w:val="21"/>
                <w:szCs w:val="21"/>
                <w:highlight w:val="none"/>
                <w:lang w:val="en-US" w:eastAsia="zh-CN"/>
              </w:rPr>
              <w:t>离子：0.0001</w:t>
            </w:r>
            <w:r>
              <w:rPr>
                <w:rFonts w:hint="eastAsia" w:ascii="宋体" w:hAnsi="宋体" w:eastAsia="宋体" w:cs="Times New Roman"/>
                <w:color w:val="auto"/>
                <w:sz w:val="21"/>
                <w:szCs w:val="21"/>
                <w:highlight w:val="none"/>
                <w:lang w:val="en-US" w:eastAsia="zh-CN"/>
              </w:rPr>
              <w:t>；</w:t>
            </w:r>
            <w:r>
              <w:rPr>
                <w:rFonts w:ascii="宋体" w:hAnsi="宋体" w:eastAsia="宋体" w:cs="Times New Roman"/>
                <w:color w:val="auto"/>
                <w:sz w:val="21"/>
                <w:szCs w:val="21"/>
                <w:highlight w:val="none"/>
                <w:lang w:val="en-US" w:eastAsia="zh-CN"/>
              </w:rPr>
              <w:t>0.001</w:t>
            </w:r>
            <w:r>
              <w:rPr>
                <w:rFonts w:hint="eastAsia" w:ascii="宋体" w:hAnsi="宋体" w:eastAsia="宋体" w:cs="Times New Roman"/>
                <w:color w:val="auto"/>
                <w:sz w:val="21"/>
                <w:szCs w:val="21"/>
                <w:highlight w:val="none"/>
                <w:lang w:val="en-US" w:eastAsia="zh-CN"/>
              </w:rPr>
              <w:t>；</w:t>
            </w:r>
            <w:r>
              <w:rPr>
                <w:rFonts w:ascii="宋体" w:hAnsi="宋体" w:eastAsia="宋体" w:cs="Times New Roman"/>
                <w:color w:val="auto"/>
                <w:sz w:val="21"/>
                <w:szCs w:val="21"/>
                <w:highlight w:val="none"/>
                <w:lang w:val="en-US" w:eastAsia="zh-CN"/>
              </w:rPr>
              <w:t>0.01</w:t>
            </w:r>
            <w:r>
              <w:rPr>
                <w:rFonts w:hint="eastAsia" w:ascii="宋体" w:hAnsi="宋体" w:eastAsia="宋体" w:cs="Times New Roman"/>
                <w:color w:val="auto"/>
                <w:sz w:val="21"/>
                <w:szCs w:val="21"/>
                <w:highlight w:val="none"/>
                <w:lang w:val="en-US" w:eastAsia="zh-CN"/>
              </w:rPr>
              <w:t>；</w:t>
            </w:r>
            <w:r>
              <w:rPr>
                <w:rFonts w:ascii="宋体" w:hAnsi="宋体" w:eastAsia="宋体" w:cs="Times New Roman"/>
                <w:color w:val="auto"/>
                <w:sz w:val="21"/>
                <w:szCs w:val="21"/>
                <w:highlight w:val="none"/>
                <w:lang w:val="en-US" w:eastAsia="zh-CN"/>
              </w:rPr>
              <w:t>0.1(取决于所选单位)</w:t>
            </w:r>
          </w:p>
          <w:p w14:paraId="3DD6F050">
            <w:pPr>
              <w:keepNext w:val="0"/>
              <w:keepLines w:val="0"/>
              <w:pageBreakBefore w:val="0"/>
              <w:bidi w:val="0"/>
              <w:spacing w:line="360" w:lineRule="auto"/>
              <w:jc w:val="left"/>
              <w:rPr>
                <w:rFonts w:ascii="宋体" w:hAnsi="宋体" w:eastAsia="宋体" w:cs="Times New Roman"/>
                <w:color w:val="auto"/>
                <w:sz w:val="21"/>
                <w:szCs w:val="21"/>
                <w:highlight w:val="none"/>
                <w:lang w:val="en-US" w:eastAsia="zh-CN"/>
              </w:rPr>
            </w:pPr>
            <w:r>
              <w:rPr>
                <w:rFonts w:ascii="宋体" w:hAnsi="宋体" w:eastAsia="宋体" w:cs="Times New Roman"/>
                <w:color w:val="auto"/>
                <w:sz w:val="21"/>
                <w:szCs w:val="21"/>
                <w:highlight w:val="none"/>
                <w:lang w:val="en-US" w:eastAsia="zh-CN"/>
              </w:rPr>
              <w:t>2.3</w:t>
            </w:r>
            <w:r>
              <w:rPr>
                <w:rFonts w:hint="eastAsia" w:ascii="宋体" w:hAnsi="宋体" w:eastAsia="宋体" w:cs="Times New Roman"/>
                <w:color w:val="auto"/>
                <w:sz w:val="21"/>
                <w:szCs w:val="21"/>
                <w:highlight w:val="none"/>
                <w:lang w:val="en-US" w:eastAsia="zh-CN"/>
              </w:rPr>
              <w:t>.</w:t>
            </w:r>
            <w:r>
              <w:rPr>
                <w:rFonts w:ascii="宋体" w:hAnsi="宋体" w:eastAsia="宋体" w:cs="Times New Roman"/>
                <w:color w:val="auto"/>
                <w:sz w:val="21"/>
                <w:szCs w:val="21"/>
                <w:highlight w:val="none"/>
                <w:lang w:val="en-US" w:eastAsia="zh-CN"/>
              </w:rPr>
              <w:t xml:space="preserve">主机精度：  </w:t>
            </w:r>
          </w:p>
          <w:p w14:paraId="52A9FBFB">
            <w:pPr>
              <w:keepNext w:val="0"/>
              <w:keepLines w:val="0"/>
              <w:pageBreakBefore w:val="0"/>
              <w:bidi w:val="0"/>
              <w:spacing w:line="360" w:lineRule="auto"/>
              <w:jc w:val="left"/>
              <w:rPr>
                <w:rFonts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（1）</w:t>
            </w:r>
            <w:r>
              <w:rPr>
                <w:rFonts w:ascii="宋体" w:hAnsi="宋体" w:eastAsia="宋体" w:cs="Times New Roman"/>
                <w:color w:val="auto"/>
                <w:sz w:val="21"/>
                <w:szCs w:val="21"/>
                <w:highlight w:val="none"/>
                <w:lang w:val="en-US" w:eastAsia="zh-CN"/>
              </w:rPr>
              <w:t xml:space="preserve">pH：±0.002； </w:t>
            </w:r>
          </w:p>
          <w:p w14:paraId="52EF80C9">
            <w:pPr>
              <w:keepNext w:val="0"/>
              <w:keepLines w:val="0"/>
              <w:pageBreakBefore w:val="0"/>
              <w:bidi w:val="0"/>
              <w:spacing w:line="360" w:lineRule="auto"/>
              <w:jc w:val="left"/>
              <w:rPr>
                <w:rFonts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（2）</w:t>
            </w:r>
            <w:r>
              <w:rPr>
                <w:rFonts w:ascii="宋体" w:hAnsi="宋体" w:eastAsia="宋体" w:cs="Times New Roman"/>
                <w:color w:val="auto"/>
                <w:sz w:val="21"/>
                <w:szCs w:val="21"/>
                <w:highlight w:val="none"/>
                <w:lang w:val="en-US" w:eastAsia="zh-CN"/>
              </w:rPr>
              <w:t xml:space="preserve">mV：±0.1 mV； </w:t>
            </w:r>
          </w:p>
          <w:p w14:paraId="715C204A">
            <w:pPr>
              <w:keepNext w:val="0"/>
              <w:keepLines w:val="0"/>
              <w:pageBreakBefore w:val="0"/>
              <w:bidi w:val="0"/>
              <w:spacing w:line="360" w:lineRule="auto"/>
              <w:jc w:val="left"/>
              <w:rPr>
                <w:rFonts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（3）</w:t>
            </w:r>
            <w:r>
              <w:rPr>
                <w:rFonts w:ascii="宋体" w:hAnsi="宋体" w:eastAsia="宋体" w:cs="Times New Roman"/>
                <w:color w:val="auto"/>
                <w:sz w:val="21"/>
                <w:szCs w:val="21"/>
                <w:highlight w:val="none"/>
                <w:lang w:val="en-US" w:eastAsia="zh-CN"/>
              </w:rPr>
              <w:t>温度：±0.1℃（0～100℃）/±0.3℃（-30～130℃）</w:t>
            </w:r>
          </w:p>
          <w:p w14:paraId="5D65C5EE">
            <w:pPr>
              <w:keepNext w:val="0"/>
              <w:keepLines w:val="0"/>
              <w:pageBreakBefore w:val="0"/>
              <w:bidi w:val="0"/>
              <w:spacing w:line="360" w:lineRule="auto"/>
              <w:jc w:val="left"/>
              <w:rPr>
                <w:rFonts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（4）</w:t>
            </w:r>
            <w:r>
              <w:rPr>
                <w:rFonts w:ascii="宋体" w:hAnsi="宋体" w:eastAsia="宋体" w:cs="Times New Roman"/>
                <w:color w:val="auto"/>
                <w:sz w:val="21"/>
                <w:szCs w:val="21"/>
                <w:highlight w:val="none"/>
                <w:lang w:val="en-US" w:eastAsia="zh-CN"/>
              </w:rPr>
              <w:t>电导率：± 0.50%</w:t>
            </w:r>
          </w:p>
          <w:p w14:paraId="411BD420">
            <w:pPr>
              <w:keepNext w:val="0"/>
              <w:keepLines w:val="0"/>
              <w:pageBreakBefore w:val="0"/>
              <w:bidi w:val="0"/>
              <w:spacing w:line="360" w:lineRule="auto"/>
              <w:jc w:val="left"/>
              <w:rPr>
                <w:rFonts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（5）</w:t>
            </w:r>
            <w:r>
              <w:rPr>
                <w:rFonts w:ascii="宋体" w:hAnsi="宋体" w:eastAsia="宋体" w:cs="Times New Roman"/>
                <w:color w:val="auto"/>
                <w:sz w:val="21"/>
                <w:szCs w:val="21"/>
                <w:highlight w:val="none"/>
                <w:lang w:val="en-US" w:eastAsia="zh-CN"/>
              </w:rPr>
              <w:t>离子：± 0.50%</w:t>
            </w:r>
          </w:p>
          <w:p w14:paraId="667E74F7">
            <w:pPr>
              <w:keepNext w:val="0"/>
              <w:keepLines w:val="0"/>
              <w:pageBreakBefore w:val="0"/>
              <w:bidi w:val="0"/>
              <w:spacing w:line="360" w:lineRule="auto"/>
              <w:jc w:val="left"/>
              <w:rPr>
                <w:rFonts w:ascii="宋体" w:hAnsi="宋体" w:eastAsia="宋体" w:cs="Times New Roman"/>
                <w:b/>
                <w:bCs/>
                <w:color w:val="auto"/>
                <w:sz w:val="21"/>
                <w:szCs w:val="21"/>
                <w:highlight w:val="none"/>
                <w:lang w:val="en-US" w:eastAsia="zh-CN"/>
              </w:rPr>
            </w:pPr>
            <w:r>
              <w:rPr>
                <w:rFonts w:ascii="宋体" w:hAnsi="宋体" w:eastAsia="宋体" w:cs="Times New Roman"/>
                <w:b/>
                <w:bCs/>
                <w:color w:val="auto"/>
                <w:sz w:val="21"/>
                <w:szCs w:val="21"/>
                <w:highlight w:val="none"/>
                <w:lang w:val="en-US" w:eastAsia="zh-CN"/>
              </w:rPr>
              <w:t>▲2.4</w:t>
            </w:r>
            <w:r>
              <w:rPr>
                <w:rFonts w:hint="eastAsia" w:ascii="宋体" w:hAnsi="宋体" w:eastAsia="宋体" w:cs="Times New Roman"/>
                <w:b/>
                <w:bCs/>
                <w:color w:val="auto"/>
                <w:sz w:val="21"/>
                <w:szCs w:val="21"/>
                <w:highlight w:val="none"/>
                <w:lang w:val="en-US" w:eastAsia="zh-CN"/>
              </w:rPr>
              <w:t>.</w:t>
            </w:r>
            <w:r>
              <w:rPr>
                <w:rFonts w:ascii="宋体" w:hAnsi="宋体" w:eastAsia="宋体" w:cs="Times New Roman"/>
                <w:b/>
                <w:bCs/>
                <w:color w:val="auto"/>
                <w:sz w:val="21"/>
                <w:szCs w:val="21"/>
                <w:highlight w:val="none"/>
                <w:lang w:val="en-US" w:eastAsia="zh-CN"/>
              </w:rPr>
              <w:t>主机校准点：PH≥5个校准点，≥8组预定义缓冲液组，≥20组用户自定义缓冲液；电导率≥2个校准点，≥8组预定义缓冲液组，≥20组用户自定义缓冲液；离子≥9个校准点；</w:t>
            </w:r>
          </w:p>
          <w:p w14:paraId="20FEBDCA">
            <w:pPr>
              <w:keepNext w:val="0"/>
              <w:keepLines w:val="0"/>
              <w:pageBreakBefore w:val="0"/>
              <w:bidi w:val="0"/>
              <w:spacing w:line="360" w:lineRule="auto"/>
              <w:jc w:val="left"/>
              <w:rPr>
                <w:rFonts w:ascii="宋体" w:hAnsi="宋体" w:eastAsia="宋体" w:cs="Times New Roman"/>
                <w:b/>
                <w:bCs/>
                <w:color w:val="auto"/>
                <w:sz w:val="21"/>
                <w:szCs w:val="21"/>
                <w:highlight w:val="none"/>
                <w:lang w:val="en-US" w:eastAsia="zh-CN"/>
              </w:rPr>
            </w:pPr>
            <w:r>
              <w:rPr>
                <w:rFonts w:ascii="宋体" w:hAnsi="宋体" w:eastAsia="宋体" w:cs="Times New Roman"/>
                <w:b/>
                <w:bCs/>
                <w:color w:val="auto"/>
                <w:sz w:val="21"/>
                <w:szCs w:val="21"/>
                <w:highlight w:val="none"/>
                <w:lang w:val="en-US" w:eastAsia="zh-CN"/>
              </w:rPr>
              <w:t>3</w:t>
            </w:r>
            <w:r>
              <w:rPr>
                <w:rFonts w:hint="eastAsia" w:ascii="宋体" w:hAnsi="宋体" w:eastAsia="宋体" w:cs="Times New Roman"/>
                <w:b/>
                <w:bCs/>
                <w:color w:val="auto"/>
                <w:sz w:val="21"/>
                <w:szCs w:val="21"/>
                <w:highlight w:val="none"/>
                <w:lang w:val="en-US" w:eastAsia="zh-CN"/>
              </w:rPr>
              <w:t>.设备要求</w:t>
            </w:r>
          </w:p>
          <w:p w14:paraId="011ACB5B">
            <w:pPr>
              <w:keepNext w:val="0"/>
              <w:keepLines w:val="0"/>
              <w:pageBreakBefore w:val="0"/>
              <w:bidi w:val="0"/>
              <w:spacing w:line="360" w:lineRule="auto"/>
              <w:jc w:val="left"/>
              <w:rPr>
                <w:rFonts w:ascii="宋体" w:hAnsi="宋体" w:eastAsia="宋体" w:cs="Times New Roman"/>
                <w:b/>
                <w:bCs/>
                <w:color w:val="auto"/>
                <w:sz w:val="21"/>
                <w:szCs w:val="21"/>
                <w:highlight w:val="none"/>
                <w:lang w:val="en-US" w:eastAsia="zh-CN"/>
              </w:rPr>
            </w:pPr>
            <w:r>
              <w:rPr>
                <w:rFonts w:ascii="宋体" w:hAnsi="宋体" w:eastAsia="宋体" w:cs="Times New Roman"/>
                <w:b/>
                <w:bCs/>
                <w:color w:val="auto"/>
                <w:sz w:val="21"/>
                <w:szCs w:val="21"/>
                <w:highlight w:val="none"/>
                <w:lang w:val="en-US" w:eastAsia="zh-CN"/>
              </w:rPr>
              <w:t>▲3.1</w:t>
            </w:r>
            <w:r>
              <w:rPr>
                <w:rFonts w:hint="eastAsia" w:ascii="宋体" w:hAnsi="宋体" w:eastAsia="宋体" w:cs="Times New Roman"/>
                <w:b/>
                <w:bCs/>
                <w:color w:val="auto"/>
                <w:sz w:val="21"/>
                <w:szCs w:val="21"/>
                <w:highlight w:val="none"/>
                <w:lang w:val="en-US" w:eastAsia="zh-CN"/>
              </w:rPr>
              <w:t>.</w:t>
            </w:r>
            <w:r>
              <w:rPr>
                <w:rFonts w:ascii="宋体" w:hAnsi="宋体" w:eastAsia="宋体" w:cs="Times New Roman"/>
                <w:b/>
                <w:bCs/>
                <w:color w:val="auto"/>
                <w:sz w:val="21"/>
                <w:szCs w:val="21"/>
                <w:highlight w:val="none"/>
                <w:lang w:val="en-US" w:eastAsia="zh-CN"/>
              </w:rPr>
              <w:t>仪器主机采用模块化设计，配置pH/mv模块，离子模块，电导率模块，可实现pH，离子，电导率四通道同时测量。</w:t>
            </w:r>
          </w:p>
          <w:p w14:paraId="77FFB781">
            <w:pPr>
              <w:keepNext w:val="0"/>
              <w:keepLines w:val="0"/>
              <w:pageBreakBefore w:val="0"/>
              <w:bidi w:val="0"/>
              <w:spacing w:line="360" w:lineRule="auto"/>
              <w:jc w:val="left"/>
              <w:rPr>
                <w:rFonts w:ascii="宋体" w:hAnsi="宋体" w:eastAsia="宋体" w:cs="Times New Roman"/>
                <w:b/>
                <w:bCs/>
                <w:color w:val="auto"/>
                <w:sz w:val="21"/>
                <w:szCs w:val="21"/>
                <w:highlight w:val="none"/>
                <w:lang w:val="en-US" w:eastAsia="zh-CN"/>
              </w:rPr>
            </w:pPr>
            <w:r>
              <w:rPr>
                <w:rFonts w:ascii="宋体" w:hAnsi="宋体" w:eastAsia="宋体" w:cs="Times New Roman"/>
                <w:b/>
                <w:bCs/>
                <w:color w:val="auto"/>
                <w:sz w:val="21"/>
                <w:szCs w:val="21"/>
                <w:highlight w:val="none"/>
                <w:lang w:val="en-US" w:eastAsia="zh-CN"/>
              </w:rPr>
              <w:t>▲3.2</w:t>
            </w:r>
            <w:r>
              <w:rPr>
                <w:rFonts w:hint="eastAsia" w:ascii="宋体" w:hAnsi="宋体" w:eastAsia="宋体" w:cs="Times New Roman"/>
                <w:b/>
                <w:bCs/>
                <w:color w:val="auto"/>
                <w:sz w:val="21"/>
                <w:szCs w:val="21"/>
                <w:highlight w:val="none"/>
                <w:lang w:val="en-US" w:eastAsia="zh-CN"/>
              </w:rPr>
              <w:t>.</w:t>
            </w:r>
            <w:r>
              <w:rPr>
                <w:rFonts w:ascii="宋体" w:hAnsi="宋体" w:eastAsia="宋体" w:cs="Times New Roman"/>
                <w:b/>
                <w:bCs/>
                <w:color w:val="auto"/>
                <w:sz w:val="21"/>
                <w:szCs w:val="21"/>
                <w:highlight w:val="none"/>
                <w:lang w:val="en-US" w:eastAsia="zh-CN"/>
              </w:rPr>
              <w:t>主机内置≥ 1组数字功能模块，其余≥3个拓展端口可支持数字、模拟模块自由选配。</w:t>
            </w:r>
          </w:p>
          <w:p w14:paraId="6C2B51C2">
            <w:pPr>
              <w:keepNext w:val="0"/>
              <w:keepLines w:val="0"/>
              <w:pageBreakBefore w:val="0"/>
              <w:bidi w:val="0"/>
              <w:spacing w:line="360" w:lineRule="auto"/>
              <w:jc w:val="left"/>
              <w:rPr>
                <w:rFonts w:ascii="宋体" w:hAnsi="宋体" w:eastAsia="宋体" w:cs="Times New Roman"/>
                <w:color w:val="auto"/>
                <w:sz w:val="21"/>
                <w:szCs w:val="21"/>
                <w:highlight w:val="none"/>
                <w:lang w:val="en-US" w:eastAsia="zh-CN"/>
              </w:rPr>
            </w:pPr>
            <w:r>
              <w:rPr>
                <w:rFonts w:ascii="宋体" w:hAnsi="宋体" w:eastAsia="宋体" w:cs="Times New Roman"/>
                <w:color w:val="auto"/>
                <w:sz w:val="21"/>
                <w:szCs w:val="21"/>
                <w:highlight w:val="none"/>
                <w:lang w:val="en-US" w:eastAsia="zh-CN"/>
              </w:rPr>
              <w:t>3.4</w:t>
            </w:r>
            <w:r>
              <w:rPr>
                <w:rFonts w:hint="eastAsia" w:ascii="宋体" w:hAnsi="宋体" w:eastAsia="宋体" w:cs="Times New Roman"/>
                <w:color w:val="auto"/>
                <w:sz w:val="21"/>
                <w:szCs w:val="21"/>
                <w:highlight w:val="none"/>
                <w:lang w:val="en-US" w:eastAsia="zh-CN"/>
              </w:rPr>
              <w:t>.配置</w:t>
            </w:r>
            <w:r>
              <w:rPr>
                <w:rFonts w:ascii="宋体" w:hAnsi="宋体" w:eastAsia="宋体" w:cs="Times New Roman"/>
                <w:color w:val="auto"/>
                <w:sz w:val="21"/>
                <w:szCs w:val="21"/>
                <w:highlight w:val="none"/>
                <w:lang w:val="en-US" w:eastAsia="zh-CN"/>
              </w:rPr>
              <w:t>≥7寸彩色触摸屏。</w:t>
            </w:r>
          </w:p>
          <w:p w14:paraId="71F9C489">
            <w:pPr>
              <w:keepNext w:val="0"/>
              <w:keepLines w:val="0"/>
              <w:pageBreakBefore w:val="0"/>
              <w:bidi w:val="0"/>
              <w:spacing w:line="360" w:lineRule="auto"/>
              <w:jc w:val="left"/>
              <w:rPr>
                <w:rFonts w:ascii="宋体" w:hAnsi="宋体" w:eastAsia="宋体" w:cs="Times New Roman"/>
                <w:color w:val="auto"/>
                <w:sz w:val="21"/>
                <w:szCs w:val="21"/>
                <w:highlight w:val="none"/>
                <w:lang w:val="en-US" w:eastAsia="zh-CN"/>
              </w:rPr>
            </w:pPr>
            <w:r>
              <w:rPr>
                <w:rFonts w:ascii="宋体" w:hAnsi="宋体" w:eastAsia="宋体" w:cs="Times New Roman"/>
                <w:color w:val="auto"/>
                <w:sz w:val="21"/>
                <w:szCs w:val="21"/>
                <w:highlight w:val="none"/>
                <w:lang w:val="en-US" w:eastAsia="zh-CN"/>
              </w:rPr>
              <w:t>3.5</w:t>
            </w:r>
            <w:r>
              <w:rPr>
                <w:rFonts w:hint="eastAsia" w:ascii="宋体" w:hAnsi="宋体" w:eastAsia="宋体" w:cs="Times New Roman"/>
                <w:color w:val="auto"/>
                <w:sz w:val="21"/>
                <w:szCs w:val="21"/>
                <w:highlight w:val="none"/>
                <w:lang w:val="en-US" w:eastAsia="zh-CN"/>
              </w:rPr>
              <w:t>.配置</w:t>
            </w:r>
            <w:r>
              <w:rPr>
                <w:rFonts w:ascii="宋体" w:hAnsi="宋体" w:eastAsia="宋体" w:cs="Times New Roman"/>
                <w:color w:val="auto"/>
                <w:sz w:val="21"/>
                <w:szCs w:val="21"/>
                <w:highlight w:val="none"/>
                <w:lang w:val="en-US" w:eastAsia="zh-CN"/>
              </w:rPr>
              <w:t>USB-A/Type C口，以太网口，可连接打印机和电脑。</w:t>
            </w:r>
          </w:p>
          <w:p w14:paraId="3000DA29">
            <w:pPr>
              <w:keepNext w:val="0"/>
              <w:keepLines w:val="0"/>
              <w:pageBreakBefore w:val="0"/>
              <w:bidi w:val="0"/>
              <w:spacing w:line="360" w:lineRule="auto"/>
              <w:jc w:val="left"/>
              <w:rPr>
                <w:rFonts w:ascii="宋体" w:hAnsi="宋体" w:eastAsia="宋体" w:cs="Times New Roman"/>
                <w:color w:val="auto"/>
                <w:sz w:val="21"/>
                <w:szCs w:val="21"/>
                <w:highlight w:val="none"/>
                <w:lang w:val="en-US" w:eastAsia="zh-CN"/>
              </w:rPr>
            </w:pPr>
            <w:r>
              <w:rPr>
                <w:rFonts w:ascii="宋体" w:hAnsi="宋体" w:eastAsia="宋体" w:cs="Times New Roman"/>
                <w:color w:val="auto"/>
                <w:sz w:val="21"/>
                <w:szCs w:val="21"/>
                <w:highlight w:val="none"/>
                <w:lang w:val="en-US" w:eastAsia="zh-CN"/>
              </w:rPr>
              <w:t>3.6</w:t>
            </w:r>
            <w:r>
              <w:rPr>
                <w:rFonts w:hint="eastAsia" w:ascii="宋体" w:hAnsi="宋体" w:eastAsia="宋体" w:cs="Times New Roman"/>
                <w:color w:val="auto"/>
                <w:sz w:val="21"/>
                <w:szCs w:val="21"/>
                <w:highlight w:val="none"/>
                <w:lang w:val="en-US" w:eastAsia="zh-CN"/>
              </w:rPr>
              <w:t>.</w:t>
            </w:r>
            <w:r>
              <w:rPr>
                <w:rFonts w:ascii="宋体" w:hAnsi="宋体" w:eastAsia="宋体" w:cs="Times New Roman"/>
                <w:color w:val="auto"/>
                <w:sz w:val="21"/>
                <w:szCs w:val="21"/>
                <w:highlight w:val="none"/>
                <w:lang w:val="en-US" w:eastAsia="zh-CN"/>
              </w:rPr>
              <w:t>操作界面</w:t>
            </w:r>
            <w:r>
              <w:rPr>
                <w:rFonts w:hint="eastAsia" w:ascii="宋体" w:hAnsi="宋体" w:eastAsia="宋体" w:cs="Times New Roman"/>
                <w:color w:val="auto"/>
                <w:sz w:val="21"/>
                <w:szCs w:val="21"/>
                <w:highlight w:val="none"/>
                <w:lang w:val="en-US" w:eastAsia="zh-CN"/>
              </w:rPr>
              <w:t>具有</w:t>
            </w:r>
            <w:r>
              <w:rPr>
                <w:rFonts w:hint="eastAsia"/>
                <w:color w:val="auto"/>
                <w:highlight w:val="none"/>
                <w:lang w:val="en-US" w:eastAsia="zh-CN"/>
              </w:rPr>
              <w:t>中文、英文等</w:t>
            </w:r>
            <w:r>
              <w:rPr>
                <w:rFonts w:ascii="宋体" w:hAnsi="宋体" w:eastAsia="宋体" w:cs="Times New Roman"/>
                <w:color w:val="auto"/>
                <w:sz w:val="21"/>
                <w:szCs w:val="21"/>
                <w:highlight w:val="none"/>
                <w:lang w:val="en-US" w:eastAsia="zh-CN"/>
              </w:rPr>
              <w:t>语言。3.7</w:t>
            </w:r>
            <w:r>
              <w:rPr>
                <w:rFonts w:hint="eastAsia" w:ascii="宋体" w:hAnsi="宋体" w:eastAsia="宋体" w:cs="Times New Roman"/>
                <w:color w:val="auto"/>
                <w:sz w:val="21"/>
                <w:szCs w:val="21"/>
                <w:highlight w:val="none"/>
                <w:lang w:val="en-US" w:eastAsia="zh-CN"/>
              </w:rPr>
              <w:t>.</w:t>
            </w:r>
            <w:r>
              <w:rPr>
                <w:rFonts w:ascii="宋体" w:hAnsi="宋体" w:eastAsia="宋体" w:cs="Times New Roman"/>
                <w:color w:val="auto"/>
                <w:sz w:val="21"/>
                <w:szCs w:val="21"/>
                <w:highlight w:val="none"/>
                <w:lang w:val="en-US" w:eastAsia="zh-CN"/>
              </w:rPr>
              <w:t>存储至少有3000个结果集或200MB</w:t>
            </w:r>
            <w:r>
              <w:rPr>
                <w:rFonts w:hint="eastAsia" w:ascii="宋体" w:hAnsi="宋体" w:eastAsia="宋体" w:cs="Times New Roman"/>
                <w:color w:val="auto"/>
                <w:sz w:val="21"/>
                <w:szCs w:val="21"/>
                <w:highlight w:val="none"/>
                <w:lang w:val="en-US" w:eastAsia="zh-CN"/>
              </w:rPr>
              <w:t>，</w:t>
            </w:r>
            <w:r>
              <w:rPr>
                <w:rFonts w:ascii="宋体" w:hAnsi="宋体" w:eastAsia="宋体" w:cs="Times New Roman"/>
                <w:color w:val="auto"/>
                <w:sz w:val="21"/>
                <w:szCs w:val="21"/>
                <w:highlight w:val="none"/>
                <w:lang w:val="en-US" w:eastAsia="zh-CN"/>
              </w:rPr>
              <w:t>数据导出可使用U盘或软件。</w:t>
            </w:r>
          </w:p>
          <w:p w14:paraId="5C784BEF">
            <w:pPr>
              <w:keepNext w:val="0"/>
              <w:keepLines w:val="0"/>
              <w:pageBreakBefore w:val="0"/>
              <w:bidi w:val="0"/>
              <w:spacing w:line="360" w:lineRule="auto"/>
              <w:jc w:val="left"/>
              <w:rPr>
                <w:rFonts w:ascii="宋体" w:hAnsi="宋体" w:eastAsia="宋体" w:cs="Times New Roman"/>
                <w:b/>
                <w:bCs/>
                <w:color w:val="auto"/>
                <w:sz w:val="21"/>
                <w:szCs w:val="21"/>
                <w:highlight w:val="none"/>
                <w:lang w:val="en-US" w:eastAsia="zh-CN"/>
              </w:rPr>
            </w:pPr>
            <w:r>
              <w:rPr>
                <w:rFonts w:ascii="宋体" w:hAnsi="宋体" w:eastAsia="宋体" w:cs="Times New Roman"/>
                <w:b/>
                <w:bCs/>
                <w:color w:val="auto"/>
                <w:sz w:val="21"/>
                <w:szCs w:val="21"/>
                <w:highlight w:val="none"/>
                <w:lang w:val="en-US" w:eastAsia="zh-CN"/>
              </w:rPr>
              <w:t>▲3.</w:t>
            </w:r>
            <w:r>
              <w:rPr>
                <w:rFonts w:hint="eastAsia" w:ascii="宋体" w:hAnsi="宋体" w:eastAsia="宋体" w:cs="Times New Roman"/>
                <w:b/>
                <w:bCs/>
                <w:color w:val="auto"/>
                <w:sz w:val="21"/>
                <w:szCs w:val="21"/>
                <w:highlight w:val="none"/>
                <w:lang w:val="en-US" w:eastAsia="zh-CN"/>
              </w:rPr>
              <w:t>8.</w:t>
            </w:r>
            <w:r>
              <w:rPr>
                <w:rFonts w:ascii="宋体" w:hAnsi="宋体" w:eastAsia="宋体" w:cs="Times New Roman"/>
                <w:b/>
                <w:bCs/>
                <w:color w:val="auto"/>
                <w:sz w:val="21"/>
                <w:szCs w:val="21"/>
                <w:highlight w:val="none"/>
                <w:lang w:val="en-US" w:eastAsia="zh-CN"/>
              </w:rPr>
              <w:t>仪表配置磁力搅拌器接口，可连接磁力搅拌器，搅拌速度可由主机进行控制。</w:t>
            </w:r>
            <w:r>
              <w:rPr>
                <w:rFonts w:hint="eastAsia" w:ascii="宋体" w:hAnsi="宋体" w:cs="Times New Roman"/>
                <w:b/>
                <w:bCs/>
                <w:color w:val="auto"/>
                <w:sz w:val="21"/>
                <w:szCs w:val="21"/>
                <w:highlight w:val="none"/>
                <w:lang w:val="en-US" w:eastAsia="zh-CN"/>
              </w:rPr>
              <w:t>（投标人需在投标文件中提供满足该项参数要求的相关图片证明）</w:t>
            </w:r>
          </w:p>
          <w:p w14:paraId="2F64535C">
            <w:pPr>
              <w:keepNext w:val="0"/>
              <w:keepLines w:val="0"/>
              <w:pageBreakBefore w:val="0"/>
              <w:bidi w:val="0"/>
              <w:spacing w:line="360" w:lineRule="auto"/>
              <w:jc w:val="left"/>
              <w:rPr>
                <w:rFonts w:ascii="宋体" w:hAnsi="宋体" w:eastAsia="宋体" w:cs="Times New Roman"/>
                <w:b/>
                <w:bCs/>
                <w:color w:val="auto"/>
                <w:sz w:val="21"/>
                <w:szCs w:val="21"/>
                <w:highlight w:val="none"/>
                <w:lang w:val="en-US" w:eastAsia="zh-CN"/>
              </w:rPr>
            </w:pPr>
            <w:r>
              <w:rPr>
                <w:rFonts w:ascii="宋体" w:hAnsi="宋体" w:eastAsia="宋体" w:cs="Times New Roman"/>
                <w:b/>
                <w:bCs/>
                <w:color w:val="auto"/>
                <w:sz w:val="21"/>
                <w:szCs w:val="21"/>
                <w:highlight w:val="none"/>
                <w:lang w:val="en-US" w:eastAsia="zh-CN"/>
              </w:rPr>
              <w:t>▲3.</w:t>
            </w:r>
            <w:r>
              <w:rPr>
                <w:rFonts w:hint="eastAsia" w:ascii="宋体" w:hAnsi="宋体" w:eastAsia="宋体" w:cs="Times New Roman"/>
                <w:b/>
                <w:bCs/>
                <w:color w:val="auto"/>
                <w:sz w:val="21"/>
                <w:szCs w:val="21"/>
                <w:highlight w:val="none"/>
                <w:lang w:val="en-US" w:eastAsia="zh-CN"/>
              </w:rPr>
              <w:t>9.</w:t>
            </w:r>
            <w:r>
              <w:rPr>
                <w:rFonts w:ascii="宋体" w:hAnsi="宋体" w:eastAsia="宋体" w:cs="Times New Roman"/>
                <w:b/>
                <w:bCs/>
                <w:color w:val="auto"/>
                <w:sz w:val="21"/>
                <w:szCs w:val="21"/>
                <w:highlight w:val="none"/>
                <w:lang w:val="en-US" w:eastAsia="zh-CN"/>
              </w:rPr>
              <w:t>具有校准周期提醒功能（用户可设置）、电极状态提示和电极自诊断功能。</w:t>
            </w:r>
          </w:p>
          <w:p w14:paraId="174DAB0C">
            <w:pPr>
              <w:keepNext w:val="0"/>
              <w:keepLines w:val="0"/>
              <w:pageBreakBefore w:val="0"/>
              <w:bidi w:val="0"/>
              <w:spacing w:line="360" w:lineRule="auto"/>
              <w:jc w:val="left"/>
              <w:rPr>
                <w:rFonts w:hint="default" w:ascii="宋体" w:hAnsi="宋体" w:eastAsia="宋体" w:cs="Times New Roman"/>
                <w:b/>
                <w:bCs/>
                <w:color w:val="auto"/>
                <w:sz w:val="21"/>
                <w:szCs w:val="21"/>
                <w:highlight w:val="none"/>
                <w:lang w:val="en-US" w:eastAsia="zh-CN"/>
              </w:rPr>
            </w:pPr>
            <w:r>
              <w:rPr>
                <w:rFonts w:ascii="宋体" w:hAnsi="宋体" w:eastAsia="宋体" w:cs="Times New Roman"/>
                <w:b/>
                <w:bCs/>
                <w:color w:val="auto"/>
                <w:sz w:val="21"/>
                <w:szCs w:val="21"/>
                <w:highlight w:val="none"/>
                <w:lang w:val="en-US" w:eastAsia="zh-CN"/>
              </w:rPr>
              <w:t>▲</w:t>
            </w:r>
            <w:r>
              <w:rPr>
                <w:rFonts w:hint="eastAsia" w:ascii="宋体" w:hAnsi="宋体" w:cs="Times New Roman"/>
                <w:b/>
                <w:bCs/>
                <w:color w:val="auto"/>
                <w:sz w:val="21"/>
                <w:szCs w:val="21"/>
                <w:highlight w:val="none"/>
                <w:lang w:val="en-US" w:eastAsia="zh-CN"/>
              </w:rPr>
              <w:t>3.10.可查看电极校准数据，校准数据包含偏移、斜率、校准日期等数据。（投标人需在投标文件中提供满足该项参数要求的相关图片证明）</w:t>
            </w:r>
          </w:p>
          <w:p w14:paraId="1EFC29A1">
            <w:pPr>
              <w:keepNext w:val="0"/>
              <w:keepLines w:val="0"/>
              <w:pageBreakBefore w:val="0"/>
              <w:bidi w:val="0"/>
              <w:spacing w:line="360" w:lineRule="auto"/>
              <w:jc w:val="left"/>
              <w:rPr>
                <w:rFonts w:ascii="宋体" w:hAnsi="宋体" w:eastAsia="宋体" w:cs="Times New Roman"/>
                <w:color w:val="auto"/>
                <w:sz w:val="21"/>
                <w:szCs w:val="21"/>
                <w:highlight w:val="none"/>
                <w:lang w:val="en-US" w:eastAsia="zh-CN"/>
              </w:rPr>
            </w:pPr>
            <w:r>
              <w:rPr>
                <w:rFonts w:ascii="宋体" w:hAnsi="宋体" w:eastAsia="宋体" w:cs="Times New Roman"/>
                <w:color w:val="auto"/>
                <w:sz w:val="21"/>
                <w:szCs w:val="21"/>
                <w:highlight w:val="none"/>
                <w:lang w:val="en-US" w:eastAsia="zh-CN"/>
              </w:rPr>
              <w:t>3.</w:t>
            </w:r>
            <w:r>
              <w:rPr>
                <w:rFonts w:hint="eastAsia" w:ascii="宋体" w:hAnsi="宋体" w:eastAsia="宋体" w:cs="Times New Roman"/>
                <w:color w:val="auto"/>
                <w:sz w:val="21"/>
                <w:szCs w:val="21"/>
                <w:highlight w:val="none"/>
                <w:lang w:val="en-US" w:eastAsia="zh-CN"/>
              </w:rPr>
              <w:t>1</w:t>
            </w:r>
            <w:r>
              <w:rPr>
                <w:rFonts w:hint="eastAsia" w:ascii="宋体" w:hAnsi="宋体" w:cs="Times New Roman"/>
                <w:color w:val="auto"/>
                <w:sz w:val="21"/>
                <w:szCs w:val="21"/>
                <w:highlight w:val="none"/>
                <w:lang w:val="en-US" w:eastAsia="zh-CN"/>
              </w:rPr>
              <w:t>1</w:t>
            </w:r>
            <w:r>
              <w:rPr>
                <w:rFonts w:hint="eastAsia" w:ascii="宋体" w:hAnsi="宋体" w:eastAsia="宋体" w:cs="Times New Roman"/>
                <w:color w:val="auto"/>
                <w:sz w:val="21"/>
                <w:szCs w:val="21"/>
                <w:highlight w:val="none"/>
                <w:lang w:val="en-US" w:eastAsia="zh-CN"/>
              </w:rPr>
              <w:t>.</w:t>
            </w:r>
            <w:r>
              <w:rPr>
                <w:rFonts w:ascii="宋体" w:hAnsi="宋体" w:eastAsia="宋体" w:cs="Times New Roman"/>
                <w:color w:val="auto"/>
                <w:sz w:val="21"/>
                <w:szCs w:val="21"/>
                <w:highlight w:val="none"/>
                <w:lang w:val="en-US" w:eastAsia="zh-CN"/>
              </w:rPr>
              <w:t>电极支架：支架</w:t>
            </w:r>
            <w:r>
              <w:rPr>
                <w:rFonts w:hint="eastAsia" w:ascii="宋体" w:hAnsi="宋体" w:eastAsia="宋体" w:cs="Times New Roman"/>
                <w:color w:val="auto"/>
                <w:sz w:val="21"/>
                <w:szCs w:val="21"/>
                <w:highlight w:val="none"/>
                <w:lang w:val="en-US" w:eastAsia="zh-CN"/>
              </w:rPr>
              <w:t>可</w:t>
            </w:r>
            <w:r>
              <w:rPr>
                <w:rFonts w:ascii="宋体" w:hAnsi="宋体" w:eastAsia="宋体" w:cs="Times New Roman"/>
                <w:color w:val="auto"/>
                <w:sz w:val="21"/>
                <w:szCs w:val="21"/>
                <w:highlight w:val="none"/>
                <w:lang w:val="en-US" w:eastAsia="zh-CN"/>
              </w:rPr>
              <w:t>上下垂直移动。</w:t>
            </w:r>
          </w:p>
          <w:p w14:paraId="0227052B">
            <w:pPr>
              <w:keepNext w:val="0"/>
              <w:keepLines w:val="0"/>
              <w:pageBreakBefore w:val="0"/>
              <w:bidi w:val="0"/>
              <w:spacing w:line="360" w:lineRule="auto"/>
              <w:jc w:val="left"/>
              <w:rPr>
                <w:rFonts w:ascii="宋体" w:hAnsi="宋体" w:eastAsia="宋体" w:cs="Times New Roman"/>
                <w:color w:val="auto"/>
                <w:sz w:val="21"/>
                <w:szCs w:val="21"/>
                <w:highlight w:val="none"/>
                <w:lang w:val="en-US" w:eastAsia="zh-CN"/>
              </w:rPr>
            </w:pPr>
            <w:r>
              <w:rPr>
                <w:rFonts w:ascii="宋体" w:hAnsi="宋体" w:eastAsia="宋体" w:cs="Times New Roman"/>
                <w:color w:val="auto"/>
                <w:sz w:val="21"/>
                <w:szCs w:val="21"/>
                <w:highlight w:val="none"/>
                <w:lang w:val="en-US" w:eastAsia="zh-CN"/>
              </w:rPr>
              <w:t>3.1</w:t>
            </w:r>
            <w:r>
              <w:rPr>
                <w:rFonts w:hint="eastAsia" w:ascii="宋体" w:hAnsi="宋体" w:cs="Times New Roman"/>
                <w:color w:val="auto"/>
                <w:sz w:val="21"/>
                <w:szCs w:val="21"/>
                <w:highlight w:val="none"/>
                <w:lang w:val="en-US" w:eastAsia="zh-CN"/>
              </w:rPr>
              <w:t>2</w:t>
            </w:r>
            <w:r>
              <w:rPr>
                <w:rFonts w:ascii="宋体" w:hAnsi="宋体" w:eastAsia="宋体" w:cs="Times New Roman"/>
                <w:color w:val="auto"/>
                <w:sz w:val="21"/>
                <w:szCs w:val="21"/>
                <w:highlight w:val="none"/>
                <w:lang w:val="en-US" w:eastAsia="zh-CN"/>
              </w:rPr>
              <w:t>仪器内置时钟，符合GLP规范。</w:t>
            </w:r>
          </w:p>
          <w:p w14:paraId="2D90A5BD">
            <w:pPr>
              <w:keepNext w:val="0"/>
              <w:keepLines w:val="0"/>
              <w:pageBreakBefore w:val="0"/>
              <w:bidi w:val="0"/>
              <w:spacing w:line="360" w:lineRule="auto"/>
              <w:jc w:val="left"/>
              <w:rPr>
                <w:rFonts w:ascii="宋体" w:hAnsi="宋体" w:eastAsia="宋体" w:cs="Times New Roman"/>
                <w:b/>
                <w:bCs/>
                <w:color w:val="auto"/>
                <w:sz w:val="21"/>
                <w:szCs w:val="21"/>
                <w:highlight w:val="none"/>
                <w:lang w:val="en-US" w:eastAsia="zh-CN"/>
              </w:rPr>
            </w:pPr>
            <w:r>
              <w:rPr>
                <w:rFonts w:ascii="宋体" w:hAnsi="宋体" w:eastAsia="宋体" w:cs="Times New Roman"/>
                <w:b/>
                <w:bCs/>
                <w:color w:val="auto"/>
                <w:sz w:val="21"/>
                <w:szCs w:val="21"/>
                <w:highlight w:val="none"/>
                <w:lang w:val="en-US" w:eastAsia="zh-CN"/>
              </w:rPr>
              <w:t>▲3.1</w:t>
            </w:r>
            <w:r>
              <w:rPr>
                <w:rFonts w:hint="eastAsia" w:ascii="宋体" w:hAnsi="宋体" w:cs="Times New Roman"/>
                <w:b/>
                <w:bCs/>
                <w:color w:val="auto"/>
                <w:sz w:val="21"/>
                <w:szCs w:val="21"/>
                <w:highlight w:val="none"/>
                <w:lang w:val="en-US" w:eastAsia="zh-CN"/>
              </w:rPr>
              <w:t>3</w:t>
            </w:r>
            <w:r>
              <w:rPr>
                <w:rFonts w:hint="eastAsia" w:ascii="宋体" w:hAnsi="宋体" w:eastAsia="宋体" w:cs="Times New Roman"/>
                <w:b/>
                <w:bCs/>
                <w:color w:val="auto"/>
                <w:sz w:val="21"/>
                <w:szCs w:val="21"/>
                <w:highlight w:val="none"/>
                <w:lang w:val="en-US" w:eastAsia="zh-CN"/>
              </w:rPr>
              <w:t>.</w:t>
            </w:r>
            <w:r>
              <w:rPr>
                <w:rFonts w:ascii="宋体" w:hAnsi="宋体" w:eastAsia="宋体" w:cs="Times New Roman"/>
                <w:b/>
                <w:bCs/>
                <w:color w:val="auto"/>
                <w:sz w:val="21"/>
                <w:szCs w:val="21"/>
                <w:highlight w:val="none"/>
                <w:lang w:val="en-US" w:eastAsia="zh-CN"/>
              </w:rPr>
              <w:t>仪器具备可配置智能电极和数字电极，仪器可智能识别接入仪表的电极，并读取和存储电极的相关参数，如校准数据等。</w:t>
            </w:r>
          </w:p>
          <w:p w14:paraId="1668C5B9">
            <w:pPr>
              <w:keepNext w:val="0"/>
              <w:keepLines w:val="0"/>
              <w:pageBreakBefore w:val="0"/>
              <w:bidi w:val="0"/>
              <w:spacing w:line="360" w:lineRule="auto"/>
              <w:jc w:val="left"/>
              <w:rPr>
                <w:rFonts w:ascii="宋体" w:hAnsi="宋体" w:eastAsia="宋体" w:cs="Times New Roman"/>
                <w:b/>
                <w:bCs/>
                <w:color w:val="auto"/>
                <w:sz w:val="21"/>
                <w:szCs w:val="21"/>
                <w:highlight w:val="none"/>
                <w:lang w:val="en-US" w:eastAsia="zh-CN"/>
              </w:rPr>
            </w:pPr>
            <w:r>
              <w:rPr>
                <w:rFonts w:ascii="宋体" w:hAnsi="宋体" w:eastAsia="宋体" w:cs="Times New Roman"/>
                <w:b/>
                <w:bCs/>
                <w:color w:val="auto"/>
                <w:sz w:val="21"/>
                <w:szCs w:val="21"/>
                <w:highlight w:val="none"/>
                <w:lang w:val="en-US" w:eastAsia="zh-CN"/>
              </w:rPr>
              <w:t>▲3.1</w:t>
            </w:r>
            <w:r>
              <w:rPr>
                <w:rFonts w:hint="eastAsia" w:ascii="宋体" w:hAnsi="宋体" w:cs="Times New Roman"/>
                <w:b/>
                <w:bCs/>
                <w:color w:val="auto"/>
                <w:sz w:val="21"/>
                <w:szCs w:val="21"/>
                <w:highlight w:val="none"/>
                <w:lang w:val="en-US" w:eastAsia="zh-CN"/>
              </w:rPr>
              <w:t>4</w:t>
            </w:r>
            <w:r>
              <w:rPr>
                <w:rFonts w:hint="eastAsia" w:ascii="宋体" w:hAnsi="宋体" w:eastAsia="宋体" w:cs="Times New Roman"/>
                <w:b/>
                <w:bCs/>
                <w:color w:val="auto"/>
                <w:sz w:val="21"/>
                <w:szCs w:val="21"/>
                <w:highlight w:val="none"/>
                <w:lang w:val="en-US" w:eastAsia="zh-CN"/>
              </w:rPr>
              <w:t>.</w:t>
            </w:r>
            <w:r>
              <w:rPr>
                <w:rFonts w:ascii="宋体" w:hAnsi="宋体" w:eastAsia="宋体" w:cs="Times New Roman"/>
                <w:b/>
                <w:bCs/>
                <w:color w:val="auto"/>
                <w:sz w:val="21"/>
                <w:szCs w:val="21"/>
                <w:highlight w:val="none"/>
                <w:lang w:val="en-US" w:eastAsia="zh-CN"/>
              </w:rPr>
              <w:t>仪器可选配连接全自动进样器，实现自动化测试。</w:t>
            </w:r>
          </w:p>
          <w:p w14:paraId="19D87F86">
            <w:pPr>
              <w:keepNext w:val="0"/>
              <w:keepLines w:val="0"/>
              <w:pageBreakBefore w:val="0"/>
              <w:bidi w:val="0"/>
              <w:spacing w:line="360" w:lineRule="auto"/>
              <w:jc w:val="left"/>
              <w:rPr>
                <w:rFonts w:ascii="宋体" w:hAnsi="宋体" w:eastAsia="宋体" w:cs="Times New Roman"/>
                <w:b/>
                <w:bCs/>
                <w:color w:val="auto"/>
                <w:sz w:val="21"/>
                <w:szCs w:val="21"/>
                <w:highlight w:val="none"/>
                <w:lang w:val="en-US" w:eastAsia="zh-CN"/>
              </w:rPr>
            </w:pPr>
            <w:r>
              <w:rPr>
                <w:rFonts w:hint="eastAsia" w:ascii="宋体" w:hAnsi="宋体" w:eastAsia="宋体" w:cs="Times New Roman"/>
                <w:b/>
                <w:bCs/>
                <w:color w:val="auto"/>
                <w:sz w:val="21"/>
                <w:szCs w:val="21"/>
                <w:highlight w:val="none"/>
                <w:lang w:val="en-US" w:eastAsia="zh-CN"/>
              </w:rPr>
              <w:t>4.</w:t>
            </w:r>
            <w:r>
              <w:rPr>
                <w:rFonts w:ascii="宋体" w:hAnsi="宋体" w:eastAsia="宋体" w:cs="Times New Roman"/>
                <w:b/>
                <w:bCs/>
                <w:color w:val="auto"/>
                <w:sz w:val="21"/>
                <w:szCs w:val="21"/>
                <w:highlight w:val="none"/>
                <w:lang w:val="en-US" w:eastAsia="zh-CN"/>
              </w:rPr>
              <w:t>配置</w:t>
            </w:r>
            <w:r>
              <w:rPr>
                <w:rFonts w:hint="eastAsia" w:ascii="宋体" w:hAnsi="宋体" w:eastAsia="宋体" w:cs="Times New Roman"/>
                <w:b/>
                <w:bCs/>
                <w:color w:val="auto"/>
                <w:sz w:val="21"/>
                <w:szCs w:val="21"/>
                <w:highlight w:val="none"/>
                <w:lang w:val="en-US" w:eastAsia="zh-CN"/>
              </w:rPr>
              <w:t>至少包含</w:t>
            </w:r>
            <w:r>
              <w:rPr>
                <w:rFonts w:ascii="宋体" w:hAnsi="宋体" w:eastAsia="宋体" w:cs="Times New Roman"/>
                <w:b/>
                <w:bCs/>
                <w:color w:val="auto"/>
                <w:sz w:val="21"/>
                <w:szCs w:val="21"/>
                <w:highlight w:val="none"/>
                <w:lang w:val="en-US" w:eastAsia="zh-CN"/>
              </w:rPr>
              <w:t>：</w:t>
            </w:r>
          </w:p>
          <w:p w14:paraId="444F7135">
            <w:pPr>
              <w:keepNext w:val="0"/>
              <w:keepLines w:val="0"/>
              <w:pageBreakBefore w:val="0"/>
              <w:tabs>
                <w:tab w:val="left" w:pos="4000"/>
              </w:tabs>
              <w:bidi w:val="0"/>
              <w:spacing w:line="360" w:lineRule="auto"/>
              <w:jc w:val="left"/>
              <w:rPr>
                <w:rFonts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4.1.</w:t>
            </w:r>
            <w:r>
              <w:rPr>
                <w:rFonts w:ascii="宋体" w:hAnsi="宋体" w:eastAsia="宋体" w:cs="Times New Roman"/>
                <w:color w:val="auto"/>
                <w:sz w:val="21"/>
                <w:szCs w:val="21"/>
                <w:highlight w:val="none"/>
                <w:lang w:val="en-US" w:eastAsia="zh-CN"/>
              </w:rPr>
              <w:t>主机1台（内置数字测量模块1个）；</w:t>
            </w:r>
          </w:p>
          <w:p w14:paraId="070D92C4">
            <w:pPr>
              <w:keepNext w:val="0"/>
              <w:keepLines w:val="0"/>
              <w:pageBreakBefore w:val="0"/>
              <w:bidi w:val="0"/>
              <w:spacing w:line="360" w:lineRule="auto"/>
              <w:jc w:val="left"/>
              <w:rPr>
                <w:rFonts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4.2.</w:t>
            </w:r>
            <w:r>
              <w:rPr>
                <w:rFonts w:ascii="宋体" w:hAnsi="宋体" w:eastAsia="宋体" w:cs="Times New Roman"/>
                <w:color w:val="auto"/>
                <w:sz w:val="21"/>
                <w:szCs w:val="21"/>
                <w:highlight w:val="none"/>
                <w:lang w:val="en-US" w:eastAsia="zh-CN"/>
              </w:rPr>
              <w:t>可拆卸 pH/氧化还原/离子模拟信号测量模块 2个；</w:t>
            </w:r>
          </w:p>
          <w:p w14:paraId="27800417">
            <w:pPr>
              <w:keepNext w:val="0"/>
              <w:keepLines w:val="0"/>
              <w:pageBreakBefore w:val="0"/>
              <w:bidi w:val="0"/>
              <w:spacing w:line="360" w:lineRule="auto"/>
              <w:jc w:val="left"/>
              <w:rPr>
                <w:rFonts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4.3.</w:t>
            </w:r>
            <w:r>
              <w:rPr>
                <w:rFonts w:ascii="宋体" w:hAnsi="宋体" w:eastAsia="宋体" w:cs="Times New Roman"/>
                <w:color w:val="auto"/>
                <w:sz w:val="21"/>
                <w:szCs w:val="21"/>
                <w:highlight w:val="none"/>
                <w:lang w:val="en-US" w:eastAsia="zh-CN"/>
              </w:rPr>
              <w:t>常规样品电导率数字电极1支（包含电极，信号转换器，</w:t>
            </w:r>
            <w:r>
              <w:rPr>
                <w:rFonts w:hint="eastAsia" w:ascii="宋体" w:hAnsi="宋体" w:eastAsia="宋体" w:cs="Times New Roman"/>
                <w:color w:val="auto"/>
                <w:sz w:val="21"/>
                <w:szCs w:val="21"/>
                <w:highlight w:val="none"/>
                <w:lang w:val="en-US" w:eastAsia="zh-CN"/>
              </w:rPr>
              <w:t>≥</w:t>
            </w:r>
            <w:r>
              <w:rPr>
                <w:rFonts w:ascii="宋体" w:hAnsi="宋体" w:eastAsia="宋体" w:cs="Times New Roman"/>
                <w:color w:val="auto"/>
                <w:sz w:val="21"/>
                <w:szCs w:val="21"/>
                <w:highlight w:val="none"/>
                <w:lang w:val="en-US" w:eastAsia="zh-CN"/>
              </w:rPr>
              <w:t>1.2米传输线缆）；</w:t>
            </w:r>
          </w:p>
          <w:p w14:paraId="4F491D6F">
            <w:pPr>
              <w:keepNext w:val="0"/>
              <w:keepLines w:val="0"/>
              <w:pageBreakBefore w:val="0"/>
              <w:bidi w:val="0"/>
              <w:spacing w:line="360" w:lineRule="auto"/>
              <w:jc w:val="left"/>
              <w:rPr>
                <w:rFonts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4.4.</w:t>
            </w:r>
            <w:r>
              <w:rPr>
                <w:rFonts w:ascii="宋体" w:hAnsi="宋体" w:eastAsia="宋体" w:cs="Times New Roman"/>
                <w:color w:val="auto"/>
                <w:sz w:val="21"/>
                <w:szCs w:val="21"/>
                <w:highlight w:val="none"/>
                <w:lang w:val="en-US" w:eastAsia="zh-CN"/>
              </w:rPr>
              <w:t>三合一PH电极1支（0</w:t>
            </w:r>
            <w:r>
              <w:rPr>
                <w:rFonts w:hint="eastAsia" w:ascii="宋体" w:hAnsi="宋体" w:cs="宋体"/>
                <w:color w:val="auto"/>
                <w:sz w:val="21"/>
                <w:szCs w:val="21"/>
                <w:highlight w:val="none"/>
              </w:rPr>
              <w:t>～</w:t>
            </w:r>
            <w:r>
              <w:rPr>
                <w:rFonts w:ascii="宋体" w:hAnsi="宋体" w:eastAsia="宋体" w:cs="Times New Roman"/>
                <w:color w:val="auto"/>
                <w:sz w:val="21"/>
                <w:szCs w:val="21"/>
                <w:highlight w:val="none"/>
                <w:lang w:val="en-US" w:eastAsia="zh-CN"/>
              </w:rPr>
              <w:t>14pH，0</w:t>
            </w:r>
            <w:r>
              <w:rPr>
                <w:rFonts w:hint="eastAsia" w:ascii="宋体" w:hAnsi="宋体" w:cs="宋体"/>
                <w:color w:val="auto"/>
                <w:sz w:val="21"/>
                <w:szCs w:val="21"/>
                <w:highlight w:val="none"/>
              </w:rPr>
              <w:t>～</w:t>
            </w:r>
            <w:r>
              <w:rPr>
                <w:rFonts w:ascii="宋体" w:hAnsi="宋体" w:eastAsia="宋体" w:cs="Times New Roman"/>
                <w:color w:val="auto"/>
                <w:sz w:val="21"/>
                <w:szCs w:val="21"/>
                <w:highlight w:val="none"/>
                <w:lang w:val="en-US" w:eastAsia="zh-CN"/>
              </w:rPr>
              <w:t>100℃），PEEK材质，</w:t>
            </w:r>
            <w:r>
              <w:rPr>
                <w:rFonts w:hint="eastAsia" w:ascii="宋体" w:hAnsi="宋体" w:eastAsia="宋体" w:cs="Times New Roman"/>
                <w:color w:val="auto"/>
                <w:sz w:val="21"/>
                <w:szCs w:val="21"/>
                <w:highlight w:val="none"/>
                <w:lang w:val="en-US" w:eastAsia="zh-CN"/>
              </w:rPr>
              <w:t>≥</w:t>
            </w:r>
            <w:r>
              <w:rPr>
                <w:rFonts w:ascii="宋体" w:hAnsi="宋体" w:eastAsia="宋体" w:cs="Times New Roman"/>
                <w:color w:val="auto"/>
                <w:sz w:val="21"/>
                <w:szCs w:val="21"/>
                <w:highlight w:val="none"/>
                <w:lang w:val="en-US" w:eastAsia="zh-CN"/>
              </w:rPr>
              <w:t>1.2米线缆）；</w:t>
            </w:r>
          </w:p>
          <w:p w14:paraId="13DA1EFC">
            <w:pPr>
              <w:keepNext w:val="0"/>
              <w:keepLines w:val="0"/>
              <w:pageBreakBefore w:val="0"/>
              <w:bidi w:val="0"/>
              <w:spacing w:line="360" w:lineRule="auto"/>
              <w:jc w:val="left"/>
              <w:rPr>
                <w:rFonts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4.5.</w:t>
            </w:r>
            <w:r>
              <w:rPr>
                <w:rFonts w:ascii="宋体" w:hAnsi="宋体" w:eastAsia="宋体" w:cs="Times New Roman"/>
                <w:color w:val="auto"/>
                <w:sz w:val="21"/>
                <w:szCs w:val="21"/>
                <w:highlight w:val="none"/>
                <w:lang w:val="en-US" w:eastAsia="zh-CN"/>
              </w:rPr>
              <w:t>复合氟离子电极1支(10</w:t>
            </w:r>
            <w:r>
              <w:rPr>
                <w:rFonts w:hint="eastAsia" w:ascii="宋体" w:hAnsi="宋体" w:cs="宋体"/>
                <w:color w:val="auto"/>
                <w:sz w:val="21"/>
                <w:szCs w:val="21"/>
                <w:highlight w:val="none"/>
              </w:rPr>
              <w:t>～</w:t>
            </w:r>
            <w:r>
              <w:rPr>
                <w:rFonts w:ascii="宋体" w:hAnsi="宋体" w:eastAsia="宋体" w:cs="Times New Roman"/>
                <w:color w:val="auto"/>
                <w:sz w:val="21"/>
                <w:szCs w:val="21"/>
                <w:highlight w:val="none"/>
                <w:lang w:val="en-US" w:eastAsia="zh-CN"/>
              </w:rPr>
              <w:t>6mol/L～1mol/L，</w:t>
            </w:r>
            <w:r>
              <w:rPr>
                <w:rFonts w:hint="eastAsia" w:ascii="宋体" w:hAnsi="宋体" w:eastAsia="宋体" w:cs="Times New Roman"/>
                <w:color w:val="auto"/>
                <w:sz w:val="21"/>
                <w:szCs w:val="21"/>
                <w:highlight w:val="none"/>
                <w:lang w:val="en-US" w:eastAsia="zh-CN"/>
              </w:rPr>
              <w:t>≥</w:t>
            </w:r>
            <w:r>
              <w:rPr>
                <w:rFonts w:ascii="宋体" w:hAnsi="宋体" w:eastAsia="宋体" w:cs="Times New Roman"/>
                <w:color w:val="auto"/>
                <w:sz w:val="21"/>
                <w:szCs w:val="21"/>
                <w:highlight w:val="none"/>
                <w:lang w:val="en-US" w:eastAsia="zh-CN"/>
              </w:rPr>
              <w:t>1.2m线缆）；</w:t>
            </w:r>
          </w:p>
          <w:p w14:paraId="632127DF">
            <w:pPr>
              <w:keepNext w:val="0"/>
              <w:keepLines w:val="0"/>
              <w:pageBreakBefore w:val="0"/>
              <w:bidi w:val="0"/>
              <w:spacing w:line="360" w:lineRule="auto"/>
              <w:jc w:val="left"/>
              <w:rPr>
                <w:rFonts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4.6.</w:t>
            </w:r>
            <w:r>
              <w:rPr>
                <w:rFonts w:ascii="宋体" w:hAnsi="宋体" w:eastAsia="宋体" w:cs="Times New Roman"/>
                <w:color w:val="auto"/>
                <w:sz w:val="21"/>
                <w:szCs w:val="21"/>
                <w:highlight w:val="none"/>
                <w:lang w:val="en-US" w:eastAsia="zh-CN"/>
              </w:rPr>
              <w:t>电极支架1个；</w:t>
            </w:r>
          </w:p>
          <w:p w14:paraId="22528AE3">
            <w:pPr>
              <w:keepNext w:val="0"/>
              <w:keepLines w:val="0"/>
              <w:pageBreakBefore w:val="0"/>
              <w:bidi w:val="0"/>
              <w:spacing w:line="360" w:lineRule="auto"/>
              <w:jc w:val="left"/>
              <w:rPr>
                <w:rFonts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4.7.</w:t>
            </w:r>
            <w:r>
              <w:rPr>
                <w:rFonts w:ascii="宋体" w:hAnsi="宋体" w:eastAsia="宋体" w:cs="Times New Roman"/>
                <w:color w:val="auto"/>
                <w:sz w:val="21"/>
                <w:szCs w:val="21"/>
                <w:highlight w:val="none"/>
                <w:lang w:val="en-US" w:eastAsia="zh-CN"/>
              </w:rPr>
              <w:t>袋装缓冲液1份；</w:t>
            </w:r>
          </w:p>
          <w:p w14:paraId="6FEBF6BC">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eastAsia="宋体" w:cs="Times New Roman"/>
                <w:color w:val="auto"/>
                <w:sz w:val="21"/>
                <w:szCs w:val="21"/>
                <w:highlight w:val="none"/>
                <w:lang w:val="en-US" w:eastAsia="zh-CN"/>
              </w:rPr>
              <w:t>4.8.</w:t>
            </w:r>
            <w:r>
              <w:rPr>
                <w:rFonts w:ascii="宋体" w:hAnsi="宋体" w:eastAsia="宋体" w:cs="Times New Roman"/>
                <w:color w:val="auto"/>
                <w:sz w:val="21"/>
                <w:szCs w:val="21"/>
                <w:highlight w:val="none"/>
                <w:lang w:val="en-US" w:eastAsia="zh-CN"/>
              </w:rPr>
              <w:t>说明书1份；</w:t>
            </w:r>
          </w:p>
        </w:tc>
      </w:tr>
      <w:tr w14:paraId="452317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62" w:hRule="atLeast"/>
        </w:trPr>
        <w:tc>
          <w:tcPr>
            <w:tcW w:w="447" w:type="dxa"/>
            <w:vAlign w:val="center"/>
          </w:tcPr>
          <w:p w14:paraId="5C6F2A5E">
            <w:pPr>
              <w:tabs>
                <w:tab w:val="left" w:pos="180"/>
                <w:tab w:val="left" w:pos="1620"/>
              </w:tabs>
              <w:spacing w:line="360" w:lineRule="auto"/>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4</w:t>
            </w:r>
          </w:p>
        </w:tc>
        <w:tc>
          <w:tcPr>
            <w:tcW w:w="1091" w:type="dxa"/>
            <w:vAlign w:val="center"/>
          </w:tcPr>
          <w:p w14:paraId="205963A7">
            <w:pPr>
              <w:keepNext w:val="0"/>
              <w:keepLines w:val="0"/>
              <w:widowControl/>
              <w:suppressLineNumbers w:val="0"/>
              <w:jc w:val="center"/>
              <w:rPr>
                <w:rFonts w:ascii="宋体" w:hAnsi="宋体" w:cs="宋体"/>
                <w:color w:val="auto"/>
                <w:szCs w:val="21"/>
                <w:highlight w:val="none"/>
              </w:rPr>
            </w:pPr>
            <w:r>
              <w:rPr>
                <w:rFonts w:hint="eastAsia" w:ascii="宋体" w:hAnsi="宋体" w:eastAsia="宋体" w:cs="宋体"/>
                <w:i w:val="0"/>
                <w:iCs w:val="0"/>
                <w:color w:val="auto"/>
                <w:sz w:val="20"/>
                <w:szCs w:val="20"/>
                <w:highlight w:val="none"/>
                <w:u w:val="none"/>
                <w:lang w:val="en-US" w:eastAsia="zh-CN" w:bidi="ar"/>
              </w:rPr>
              <w:t>万分之一电子天平</w:t>
            </w:r>
          </w:p>
        </w:tc>
        <w:tc>
          <w:tcPr>
            <w:tcW w:w="884" w:type="dxa"/>
            <w:vAlign w:val="center"/>
          </w:tcPr>
          <w:p w14:paraId="4985AAC6">
            <w:pPr>
              <w:keepNext w:val="0"/>
              <w:keepLines w:val="0"/>
              <w:widowControl/>
              <w:suppressLineNumbers w:val="0"/>
              <w:jc w:val="center"/>
              <w:rPr>
                <w:rFonts w:hint="eastAsia" w:ascii="宋体" w:hAnsi="宋体" w:cs="宋体"/>
                <w:color w:val="auto"/>
                <w:szCs w:val="21"/>
                <w:highlight w:val="none"/>
              </w:rPr>
            </w:pPr>
            <w:r>
              <w:rPr>
                <w:rFonts w:hint="eastAsia" w:ascii="宋体" w:hAnsi="宋体" w:eastAsia="宋体" w:cs="宋体"/>
                <w:i w:val="0"/>
                <w:iCs w:val="0"/>
                <w:color w:val="auto"/>
                <w:sz w:val="22"/>
                <w:szCs w:val="22"/>
                <w:highlight w:val="none"/>
                <w:u w:val="none"/>
                <w:lang w:val="en-US" w:eastAsia="zh-CN" w:bidi="ar"/>
              </w:rPr>
              <w:t>1台</w:t>
            </w:r>
          </w:p>
        </w:tc>
        <w:tc>
          <w:tcPr>
            <w:tcW w:w="6561" w:type="dxa"/>
            <w:vAlign w:val="center"/>
          </w:tcPr>
          <w:p w14:paraId="0678FF47">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1.最大称量：达到220g；</w:t>
            </w:r>
          </w:p>
          <w:p w14:paraId="0C5F30E8">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2.可读性：≤0.1mg；</w:t>
            </w:r>
          </w:p>
          <w:p w14:paraId="6EDBDF05">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3.重复性（5%载荷下）：≤﻿0.08mg；</w:t>
            </w:r>
          </w:p>
          <w:p w14:paraId="6F4B9F38">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4.线性误差：≤﻿0.06mg；</w:t>
            </w:r>
          </w:p>
          <w:p w14:paraId="70DE4483">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5.灵敏度便偏移（标称加载下）：≤0.5mg；</w:t>
            </w:r>
          </w:p>
          <w:p w14:paraId="7D19C9DA">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6.最小称量值（USP，允差=0.10% ）：160mg；</w:t>
            </w:r>
          </w:p>
          <w:p w14:paraId="4646D28F">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7.稳定时间：≤﻿2S；</w:t>
            </w:r>
          </w:p>
          <w:p w14:paraId="09F8C52A">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8.秤盘直径：≥﻿Ø 90mm；</w:t>
            </w:r>
          </w:p>
          <w:p w14:paraId="5DBF1CED">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9.具有自动内部校正功能；</w:t>
            </w:r>
          </w:p>
          <w:p w14:paraId="04D5F1BC">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▲10.采用金属底座与PBT顶部外壳的材质；</w:t>
            </w:r>
          </w:p>
          <w:p w14:paraId="0FA2F72A">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▲11.天平具有LCD混合触摸屏；</w:t>
            </w:r>
          </w:p>
          <w:p w14:paraId="60228459">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12.要求至少可自定义5种外部环境条件，使天平测量能适应不同环境；</w:t>
            </w:r>
          </w:p>
          <w:p w14:paraId="36989C36">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13.机身标配In use cover 保护罩，要求能避免散落样品的腐蚀和对天平表面的损伤；</w:t>
            </w:r>
          </w:p>
          <w:p w14:paraId="1820B8D1">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▲14.具有密码保护功能实现权限管理，能防止意外更改天平设置；</w:t>
            </w:r>
          </w:p>
          <w:p w14:paraId="355F1068">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15具有样品ID设置功能，能为样品分配ID号；</w:t>
            </w:r>
          </w:p>
          <w:p w14:paraId="7E11BDA6">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16.通信接口：USB-A接口和RS232接口；</w:t>
            </w:r>
          </w:p>
          <w:p w14:paraId="760DA36B">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▲17.修改为：后期可升级可选配支持数据管理软件，可同时连接最多10台天平实现数据传输管理；</w:t>
            </w:r>
          </w:p>
          <w:p w14:paraId="10FEDE65">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▲18.天平可将称量结果直接传输至PC端Excel等开放式应用程序，传输过程自动开始，无需安装其它辅助软件；</w:t>
            </w:r>
          </w:p>
          <w:p w14:paraId="61BEDD87">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▲19.天平防护等级≥IP43，天平铭牌上需有IP4标识；</w:t>
            </w:r>
          </w:p>
          <w:p w14:paraId="13C23519">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20.配置至少包含：天平主机1套、操作说明书1套，不锈钢实心秤盘1个、电源适配器1个。</w:t>
            </w:r>
          </w:p>
        </w:tc>
      </w:tr>
      <w:tr w14:paraId="78EF2E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62" w:hRule="atLeast"/>
        </w:trPr>
        <w:tc>
          <w:tcPr>
            <w:tcW w:w="447" w:type="dxa"/>
            <w:vAlign w:val="center"/>
          </w:tcPr>
          <w:p w14:paraId="3BC230B6">
            <w:pPr>
              <w:tabs>
                <w:tab w:val="left" w:pos="180"/>
                <w:tab w:val="left" w:pos="1620"/>
              </w:tabs>
              <w:spacing w:line="360" w:lineRule="auto"/>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5</w:t>
            </w:r>
          </w:p>
        </w:tc>
        <w:tc>
          <w:tcPr>
            <w:tcW w:w="1091" w:type="dxa"/>
            <w:vAlign w:val="center"/>
          </w:tcPr>
          <w:p w14:paraId="73301F78">
            <w:pPr>
              <w:keepNext w:val="0"/>
              <w:keepLines w:val="0"/>
              <w:widowControl/>
              <w:suppressLineNumbers w:val="0"/>
              <w:jc w:val="center"/>
              <w:rPr>
                <w:rFonts w:ascii="宋体" w:hAnsi="宋体" w:cs="宋体"/>
                <w:color w:val="auto"/>
                <w:szCs w:val="21"/>
                <w:highlight w:val="none"/>
              </w:rPr>
            </w:pPr>
            <w:r>
              <w:rPr>
                <w:rFonts w:hint="eastAsia" w:ascii="宋体" w:hAnsi="宋体" w:eastAsia="宋体" w:cs="宋体"/>
                <w:i w:val="0"/>
                <w:iCs w:val="0"/>
                <w:color w:val="auto"/>
                <w:sz w:val="20"/>
                <w:szCs w:val="20"/>
                <w:highlight w:val="none"/>
                <w:u w:val="none"/>
                <w:lang w:val="en-US" w:eastAsia="zh-CN" w:bidi="ar"/>
              </w:rPr>
              <w:t>微量天平</w:t>
            </w:r>
          </w:p>
        </w:tc>
        <w:tc>
          <w:tcPr>
            <w:tcW w:w="884" w:type="dxa"/>
            <w:vAlign w:val="center"/>
          </w:tcPr>
          <w:p w14:paraId="3CF82084">
            <w:pPr>
              <w:keepNext w:val="0"/>
              <w:keepLines w:val="0"/>
              <w:widowControl/>
              <w:suppressLineNumbers w:val="0"/>
              <w:jc w:val="center"/>
              <w:rPr>
                <w:rFonts w:hint="eastAsia" w:ascii="宋体" w:hAnsi="宋体" w:cs="宋体"/>
                <w:color w:val="auto"/>
                <w:szCs w:val="21"/>
                <w:highlight w:val="none"/>
              </w:rPr>
            </w:pPr>
            <w:r>
              <w:rPr>
                <w:rFonts w:hint="eastAsia" w:ascii="宋体" w:hAnsi="宋体" w:eastAsia="宋体" w:cs="宋体"/>
                <w:i w:val="0"/>
                <w:iCs w:val="0"/>
                <w:color w:val="auto"/>
                <w:sz w:val="22"/>
                <w:szCs w:val="22"/>
                <w:highlight w:val="none"/>
                <w:u w:val="none"/>
                <w:lang w:val="en-US" w:eastAsia="zh-CN" w:bidi="ar"/>
              </w:rPr>
              <w:t>1台</w:t>
            </w:r>
          </w:p>
        </w:tc>
        <w:tc>
          <w:tcPr>
            <w:tcW w:w="6561" w:type="dxa"/>
            <w:vAlign w:val="center"/>
          </w:tcPr>
          <w:p w14:paraId="783A744B">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 xml:space="preserve">1.实际分度值：≥1μg； </w:t>
            </w:r>
          </w:p>
          <w:p w14:paraId="69DAE6BB">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 xml:space="preserve">2.5%负载时的可重复性允差：≤3μg； </w:t>
            </w:r>
          </w:p>
          <w:p w14:paraId="121D25E2">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 xml:space="preserve">3.100%负载时的可重复性典型值：≥0.4μg； </w:t>
            </w:r>
          </w:p>
          <w:p w14:paraId="2CA98E60">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4.约为最大负载时的可重复性允差：≤5μg；</w:t>
            </w:r>
          </w:p>
          <w:p w14:paraId="28A92E80">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5.称量范围：能达到5.1g/30g；</w:t>
            </w:r>
          </w:p>
          <w:p w14:paraId="55181B8D">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6.可读性(d)：1μg/0.01mg；</w:t>
            </w:r>
          </w:p>
          <w:p w14:paraId="3BEBDCD7">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7.重复性误差(≤)：±5μg/±0.01mg；</w:t>
            </w:r>
          </w:p>
          <w:p w14:paraId="77641661">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8.线性误差(≤)：±3μg/±0.01mg；</w:t>
            </w:r>
          </w:p>
          <w:p w14:paraId="2E1607D6">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9.最小称量样：能达到0.1mg；</w:t>
            </w:r>
          </w:p>
          <w:p w14:paraId="7F78B017">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10.净重：≥4680g；</w:t>
            </w:r>
          </w:p>
          <w:p w14:paraId="38DD2020">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11.稳定时间：约 5s/2s；</w:t>
            </w:r>
          </w:p>
          <w:p w14:paraId="74AC9FE1">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12.显示屏：≤7寸彩色触摸屏；</w:t>
            </w:r>
          </w:p>
          <w:p w14:paraId="52F4E533">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13.接口：标配 USB 接口/RS232 串口；</w:t>
            </w:r>
          </w:p>
          <w:p w14:paraId="393FA0D5">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14.称量模式至少包含：密度测定、基本称重、百分比称重、动物称量、计件称量；</w:t>
            </w:r>
          </w:p>
          <w:p w14:paraId="6979F881">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15.秤盘（不锈钢）：ø 40 mm；</w:t>
            </w:r>
          </w:p>
          <w:p w14:paraId="0D29F0B8">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16.环境湿度范围：20～85 % 相对 (非冷凝)；</w:t>
            </w:r>
          </w:p>
          <w:p w14:paraId="53639856">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17.环境温度（建议）：+18°C to +23°C；</w:t>
            </w:r>
          </w:p>
          <w:p w14:paraId="0B2D42D2">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18.精度级别：达到I级；</w:t>
            </w:r>
          </w:p>
          <w:p w14:paraId="3D54E2FD">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19.工作电源：AC110-220V/50-60Hz；</w:t>
            </w:r>
          </w:p>
          <w:p w14:paraId="55A97913">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20.功率：≥10W；</w:t>
            </w:r>
          </w:p>
          <w:p w14:paraId="014025C4">
            <w:pPr>
              <w:keepNext w:val="0"/>
              <w:keepLines w:val="0"/>
              <w:pageBreakBefore w:val="0"/>
              <w:bidi w:val="0"/>
              <w:spacing w:line="360" w:lineRule="auto"/>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21.含外部风罩</w:t>
            </w:r>
            <w:r>
              <w:rPr>
                <w:rFonts w:hint="eastAsia" w:ascii="宋体" w:hAnsi="宋体" w:cs="宋体"/>
                <w:color w:val="auto"/>
                <w:szCs w:val="21"/>
                <w:highlight w:val="none"/>
                <w:lang w:eastAsia="zh-CN"/>
              </w:rPr>
              <w:t>。</w:t>
            </w:r>
          </w:p>
        </w:tc>
      </w:tr>
      <w:tr w14:paraId="32E5A5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62" w:hRule="atLeast"/>
        </w:trPr>
        <w:tc>
          <w:tcPr>
            <w:tcW w:w="447" w:type="dxa"/>
            <w:vAlign w:val="center"/>
          </w:tcPr>
          <w:p w14:paraId="1A8B8531">
            <w:pPr>
              <w:tabs>
                <w:tab w:val="left" w:pos="180"/>
                <w:tab w:val="left" w:pos="1620"/>
              </w:tabs>
              <w:spacing w:line="360" w:lineRule="auto"/>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6</w:t>
            </w:r>
          </w:p>
        </w:tc>
        <w:tc>
          <w:tcPr>
            <w:tcW w:w="1091" w:type="dxa"/>
            <w:vAlign w:val="center"/>
          </w:tcPr>
          <w:p w14:paraId="068C906F">
            <w:pPr>
              <w:keepNext w:val="0"/>
              <w:keepLines w:val="0"/>
              <w:widowControl/>
              <w:suppressLineNumbers w:val="0"/>
              <w:jc w:val="center"/>
              <w:rPr>
                <w:rFonts w:ascii="宋体" w:hAnsi="宋体" w:cs="宋体"/>
                <w:color w:val="auto"/>
                <w:szCs w:val="21"/>
                <w:highlight w:val="none"/>
              </w:rPr>
            </w:pPr>
            <w:r>
              <w:rPr>
                <w:rFonts w:hint="eastAsia" w:ascii="宋体" w:hAnsi="宋体" w:eastAsia="宋体" w:cs="宋体"/>
                <w:i w:val="0"/>
                <w:iCs w:val="0"/>
                <w:color w:val="auto"/>
                <w:sz w:val="20"/>
                <w:szCs w:val="20"/>
                <w:highlight w:val="none"/>
                <w:u w:val="none"/>
                <w:lang w:val="en-US" w:eastAsia="zh-CN" w:bidi="ar"/>
              </w:rPr>
              <w:t>超纯水机</w:t>
            </w:r>
          </w:p>
        </w:tc>
        <w:tc>
          <w:tcPr>
            <w:tcW w:w="884" w:type="dxa"/>
            <w:vAlign w:val="center"/>
          </w:tcPr>
          <w:p w14:paraId="446E9F9D">
            <w:pPr>
              <w:keepNext w:val="0"/>
              <w:keepLines w:val="0"/>
              <w:widowControl/>
              <w:suppressLineNumbers w:val="0"/>
              <w:jc w:val="center"/>
              <w:rPr>
                <w:rFonts w:hint="eastAsia" w:ascii="宋体" w:hAnsi="宋体" w:cs="宋体"/>
                <w:color w:val="auto"/>
                <w:szCs w:val="21"/>
                <w:highlight w:val="none"/>
              </w:rPr>
            </w:pPr>
            <w:r>
              <w:rPr>
                <w:rFonts w:hint="eastAsia" w:ascii="宋体" w:hAnsi="宋体" w:eastAsia="宋体" w:cs="宋体"/>
                <w:i w:val="0"/>
                <w:iCs w:val="0"/>
                <w:color w:val="auto"/>
                <w:sz w:val="22"/>
                <w:szCs w:val="22"/>
                <w:highlight w:val="none"/>
                <w:u w:val="none"/>
                <w:lang w:val="en-US" w:eastAsia="zh-CN" w:bidi="ar"/>
              </w:rPr>
              <w:t>1台</w:t>
            </w:r>
          </w:p>
        </w:tc>
        <w:tc>
          <w:tcPr>
            <w:tcW w:w="6561" w:type="dxa"/>
            <w:vAlign w:val="top"/>
          </w:tcPr>
          <w:p w14:paraId="43D9A4A5">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超纯水机可由城市自来水作进水，利用多级别过滤（三级预处理组件、反渗透膜组件、离子交换组件、双波长紫外灯组件、UF超滤组件、终端除菌）制作出实验室超纯水，水质标准达到或优于中国实验室用水规格GB6682-2008、中国国家电子级超纯水规格GB/T11466.1-2013的一级水标准。可应用于DNA序列分析、细胞免疫化学、内毒素分析、电泳等。</w:t>
            </w:r>
          </w:p>
          <w:p w14:paraId="7E4798ED">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2.工作条件</w:t>
            </w:r>
          </w:p>
          <w:p w14:paraId="26181DD4">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2.1.环境温度：5～45℃；</w:t>
            </w:r>
          </w:p>
          <w:p w14:paraId="4D8D6BE0">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2.2.电源：AC220V，50Hz；</w:t>
            </w:r>
          </w:p>
          <w:p w14:paraId="31A564B9">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3.技术规格</w:t>
            </w:r>
          </w:p>
          <w:p w14:paraId="32C8804C">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3.1.进水要求：城市自来水；</w:t>
            </w:r>
          </w:p>
          <w:p w14:paraId="38048DFF">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3.2.系统可制备2种纯水：RO纯水和UP超纯水；</w:t>
            </w:r>
          </w:p>
          <w:p w14:paraId="042E5050">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3.3纯水水质（三级水）；</w:t>
            </w:r>
          </w:p>
          <w:p w14:paraId="6B9490DC">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3.3.1三级水电导率：≤进水电导率x2%；</w:t>
            </w:r>
          </w:p>
          <w:p w14:paraId="33863244">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3.3.2有机物去除率：＞99%，当分子量＞200道尔顿时；</w:t>
            </w:r>
          </w:p>
          <w:p w14:paraId="49E7F015">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3.3.3颗粒和微生物去除率：＞99%；</w:t>
            </w:r>
          </w:p>
          <w:p w14:paraId="1EABF15F">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3.3.4产水量（25℃）：≥30升/小时；</w:t>
            </w:r>
          </w:p>
          <w:p w14:paraId="22779EB3">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3.4超纯水水质（一级水）；</w:t>
            </w:r>
          </w:p>
          <w:p w14:paraId="2F7D3A4B">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3.4.1电阻率：18.2MΩ.cm@25℃；</w:t>
            </w:r>
          </w:p>
          <w:p w14:paraId="4A98DC2A">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3.4.2重金属离子：＜0.1ppb；</w:t>
            </w:r>
          </w:p>
          <w:p w14:paraId="4BAEAC28">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3.3.3细菌：＜0.01cfu/ml；</w:t>
            </w:r>
          </w:p>
          <w:p w14:paraId="728A5DCE">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3.4.4颗粒物（＞0.2μm）：＜1个/ml；</w:t>
            </w:r>
          </w:p>
          <w:p w14:paraId="776DA9F8">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3.4.5总有机碳(TOC)：＜3ppb；</w:t>
            </w:r>
          </w:p>
          <w:p w14:paraId="719ECEB0">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3.4.6热原(内毒素)：＜0.001Eu/ml；</w:t>
            </w:r>
          </w:p>
          <w:p w14:paraId="764CDBFA">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3.4.7核糖核酸酶（RNases)：＜0.004ng/ml；</w:t>
            </w:r>
          </w:p>
          <w:p w14:paraId="6CA6B0DA">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3.4.8</w:t>
            </w:r>
            <w:r>
              <w:rPr>
                <w:rFonts w:hint="eastAsia"/>
                <w:color w:val="auto"/>
                <w:highlight w:val="none"/>
              </w:rPr>
              <w:t>脱氧核糖核酸酶</w:t>
            </w:r>
            <w:r>
              <w:rPr>
                <w:rFonts w:hint="eastAsia" w:ascii="宋体" w:hAnsi="宋体" w:cs="宋体"/>
                <w:color w:val="auto"/>
                <w:szCs w:val="21"/>
                <w:highlight w:val="none"/>
              </w:rPr>
              <w:t>（DNases)：＜0.024pg/μl；</w:t>
            </w:r>
          </w:p>
          <w:p w14:paraId="24941B4A">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3.4.9产水量：0-2.0升/分钟，无级调速；</w:t>
            </w:r>
          </w:p>
          <w:p w14:paraId="13942631">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 xml:space="preserve">3.5性能要求: </w:t>
            </w:r>
          </w:p>
          <w:p w14:paraId="4891720E">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3.5.1要求具备四路水质检测：源水电导率、RO纯水电导率、去离子水（中间水）电阻率、超纯水电阻率检测；</w:t>
            </w:r>
          </w:p>
          <w:p w14:paraId="3B3FF5F4">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▲3.5.2水箱：有效容积≥30L，顶部具有空气过滤器和浸入式紫外灯；</w:t>
            </w:r>
          </w:p>
          <w:p w14:paraId="797ED23C">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3.5.3水箱采用触摸感应取水（非手动阀门），取水流速0-2升/分钟（流速无级可调）；</w:t>
            </w:r>
          </w:p>
          <w:p w14:paraId="5B7B3C46">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3.5.4水箱连续液位监测：水箱使用连续式液位传感器监测液位（非分段式），液位以升数显示，精度±1%；</w:t>
            </w:r>
          </w:p>
          <w:p w14:paraId="767F462A">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3.5.5系统中预处理柱、RO膜、DI柱、UP柱、UF超滤柱、终端过滤器、紫外灯等所有滤芯均具备智能识别芯片自动识别，具有可追溯性；</w:t>
            </w:r>
          </w:p>
          <w:p w14:paraId="4B2FA984">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▲3.5.6独立显示器：≥8英寸触摸屏，支持壁挂安装；</w:t>
            </w:r>
          </w:p>
          <w:p w14:paraId="1B417DFA">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▲3.5.7独立显示器与主机采用无线连接，蓝牙通讯；</w:t>
            </w:r>
          </w:p>
          <w:p w14:paraId="61E30329">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3.5.8漏水保护：自动检测系统是否漏水，漏水后系统停止工作并自动报警；</w:t>
            </w:r>
          </w:p>
          <w:p w14:paraId="330EEFAC">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▲3.5.9移动取水臂：流量0-2升/分钟无级调速，取水臂底座带有独立显示屏显示关键水质指标；</w:t>
            </w:r>
          </w:p>
          <w:p w14:paraId="565C0653">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3.5.10取水方式：立即取水、辅助定量取水、任意量取水、脚踏开关取水、取水臂取水等多种方式任意选择；</w:t>
            </w:r>
          </w:p>
          <w:p w14:paraId="542D4FEF">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3.5.11耗材寿命检测：系统所有耗材寿命报警，提前15天可发出预更换提醒；</w:t>
            </w:r>
          </w:p>
          <w:p w14:paraId="5EE00218">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▲3.5.12配备独立的超滤预过滤系统，过滤精度＜0.1微米，且带有独立可编程式显示屏；</w:t>
            </w:r>
          </w:p>
          <w:p w14:paraId="4291EB3F">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4.配置至少包含：</w:t>
            </w:r>
          </w:p>
          <w:p w14:paraId="183C791E">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4.1.超纯水主机1 台；</w:t>
            </w:r>
          </w:p>
          <w:p w14:paraId="5B154A93">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4.2.预处理纯化柱1；</w:t>
            </w:r>
          </w:p>
          <w:p w14:paraId="391E8B82">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4.3.RO反渗透膜1组；</w:t>
            </w:r>
          </w:p>
          <w:p w14:paraId="7D0A31C2">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4.4.双联体去离子纯化柱1组；</w:t>
            </w:r>
          </w:p>
          <w:p w14:paraId="6875DDE2">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4.5.双联体超纯化柱1组；</w:t>
            </w:r>
          </w:p>
          <w:p w14:paraId="51150A32">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4.6.双波长紫外灯组件1 套；</w:t>
            </w:r>
          </w:p>
          <w:p w14:paraId="77EB758D">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4.7.超滤组件1个；</w:t>
            </w:r>
          </w:p>
          <w:p w14:paraId="300BF8CA">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4.8.终端过滤器1个；</w:t>
            </w:r>
          </w:p>
          <w:p w14:paraId="4586DE4D">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4.9.多功能水箱1个；</w:t>
            </w:r>
          </w:p>
          <w:p w14:paraId="3A8C6625">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4.10.水箱空气过滤器1个；</w:t>
            </w:r>
          </w:p>
          <w:p w14:paraId="439316EC">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4.11.水箱浸入式紫外灯1个；</w:t>
            </w:r>
          </w:p>
          <w:p w14:paraId="594A404C">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4.12.移动取水臂1个；</w:t>
            </w:r>
          </w:p>
          <w:p w14:paraId="5DC2787A">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4.13.独立显示器1个；</w:t>
            </w:r>
          </w:p>
          <w:p w14:paraId="4909045C">
            <w:pPr>
              <w:keepNext w:val="0"/>
              <w:keepLines w:val="0"/>
              <w:pageBreakBefore w:val="0"/>
              <w:bidi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4.14.附件包、说明书等辅助工具1套。</w:t>
            </w:r>
          </w:p>
        </w:tc>
      </w:tr>
    </w:tbl>
    <w:p w14:paraId="543196A1">
      <w:pPr>
        <w:widowControl/>
        <w:jc w:val="left"/>
        <w:rPr>
          <w:rFonts w:asciiTheme="minorEastAsia" w:hAnsiTheme="minorEastAsia" w:eastAsiaTheme="minorEastAsia" w:cstheme="minorEastAsia"/>
          <w:color w:val="auto"/>
          <w:szCs w:val="21"/>
          <w:highlight w:val="none"/>
        </w:rPr>
      </w:pPr>
    </w:p>
    <w:tbl>
      <w:tblPr>
        <w:tblStyle w:val="50"/>
        <w:tblW w:w="9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4"/>
        <w:gridCol w:w="7655"/>
      </w:tblGrid>
      <w:tr w14:paraId="633D3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9019" w:type="dxa"/>
            <w:gridSpan w:val="2"/>
            <w:tcBorders>
              <w:top w:val="single" w:color="auto" w:sz="4" w:space="0"/>
              <w:left w:val="single" w:color="auto" w:sz="4" w:space="0"/>
              <w:bottom w:val="single" w:color="auto" w:sz="4" w:space="0"/>
              <w:right w:val="single" w:color="auto" w:sz="4" w:space="0"/>
            </w:tcBorders>
            <w:noWrap/>
          </w:tcPr>
          <w:p w14:paraId="4B16391F">
            <w:pPr>
              <w:widowControl/>
              <w:spacing w:after="120" w:line="440" w:lineRule="exact"/>
              <w:rPr>
                <w:rFonts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color w:val="auto"/>
                <w:szCs w:val="21"/>
                <w:highlight w:val="none"/>
              </w:rPr>
              <w:t>▲二、</w:t>
            </w:r>
            <w:r>
              <w:rPr>
                <w:rFonts w:hint="eastAsia" w:asciiTheme="minorEastAsia" w:hAnsiTheme="minorEastAsia" w:eastAsiaTheme="minorEastAsia" w:cstheme="minorEastAsia"/>
                <w:b/>
                <w:bCs/>
                <w:color w:val="auto"/>
                <w:szCs w:val="21"/>
                <w:highlight w:val="none"/>
              </w:rPr>
              <w:t>商务条款要求</w:t>
            </w:r>
          </w:p>
        </w:tc>
      </w:tr>
      <w:tr w14:paraId="5EB01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tcBorders>
              <w:top w:val="single" w:color="auto" w:sz="4" w:space="0"/>
              <w:left w:val="single" w:color="auto" w:sz="4" w:space="0"/>
              <w:bottom w:val="single" w:color="auto" w:sz="4" w:space="0"/>
              <w:right w:val="single" w:color="auto" w:sz="4" w:space="0"/>
            </w:tcBorders>
            <w:noWrap/>
            <w:vAlign w:val="center"/>
          </w:tcPr>
          <w:p w14:paraId="70C17830">
            <w:pPr>
              <w:spacing w:line="440" w:lineRule="exact"/>
              <w:ind w:firstLine="198"/>
              <w:jc w:val="center"/>
              <w:rPr>
                <w:rFonts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color w:val="auto"/>
                <w:szCs w:val="21"/>
                <w:highlight w:val="none"/>
              </w:rPr>
              <w:t>质保期</w:t>
            </w:r>
          </w:p>
        </w:tc>
        <w:tc>
          <w:tcPr>
            <w:tcW w:w="7655" w:type="dxa"/>
            <w:tcBorders>
              <w:top w:val="single" w:color="auto" w:sz="4" w:space="0"/>
              <w:left w:val="single" w:color="auto" w:sz="4" w:space="0"/>
              <w:bottom w:val="single" w:color="auto" w:sz="4" w:space="0"/>
              <w:right w:val="single" w:color="auto" w:sz="4" w:space="0"/>
            </w:tcBorders>
            <w:noWrap/>
            <w:vAlign w:val="center"/>
          </w:tcPr>
          <w:p w14:paraId="18CC2EB0">
            <w:pPr>
              <w:spacing w:line="440" w:lineRule="exact"/>
              <w:ind w:firstLine="420"/>
              <w:jc w:val="left"/>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按国家有关的产品“三包”规定实行“三包”，所有产品为全新产品，符合国家相关标准；所有设备安装调试并经用户验收合格之日起质保期不少于2年（若国家或生产厂家对本项目所涉及货物的质量保证期的规定高于本项目要求的，应按国家或生产厂家的规定执行，若投标人在投标文件中承诺高于该期限，按照投标人承诺），质保期内维修、更换配件，提供设备维修及正常维护保养所需的零部件，质保期外提供终身维修服务。需求表中特别注明的按需求表中的执行。</w:t>
            </w:r>
          </w:p>
        </w:tc>
      </w:tr>
      <w:tr w14:paraId="0BFA1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noWrap/>
            <w:vAlign w:val="center"/>
          </w:tcPr>
          <w:p w14:paraId="63DB0DF1">
            <w:pPr>
              <w:spacing w:line="440" w:lineRule="exact"/>
              <w:ind w:firstLine="198"/>
              <w:jc w:val="center"/>
              <w:rPr>
                <w:rFonts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color w:val="auto"/>
                <w:szCs w:val="21"/>
                <w:highlight w:val="none"/>
              </w:rPr>
              <w:t>售后服务要求</w:t>
            </w:r>
          </w:p>
        </w:tc>
        <w:tc>
          <w:tcPr>
            <w:tcW w:w="7655" w:type="dxa"/>
            <w:noWrap/>
            <w:vAlign w:val="center"/>
          </w:tcPr>
          <w:p w14:paraId="355F3494">
            <w:pPr>
              <w:numPr>
                <w:ilvl w:val="0"/>
                <w:numId w:val="3"/>
              </w:numPr>
              <w:spacing w:line="440" w:lineRule="exact"/>
              <w:ind w:firstLine="198"/>
              <w:jc w:val="left"/>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中标人负责送货至</w:t>
            </w:r>
            <w:r>
              <w:rPr>
                <w:rFonts w:hint="eastAsia" w:asciiTheme="minorEastAsia" w:hAnsiTheme="minorEastAsia" w:eastAsiaTheme="minorEastAsia" w:cstheme="minorEastAsia"/>
                <w:color w:val="auto"/>
                <w:szCs w:val="21"/>
                <w:highlight w:val="none"/>
                <w:lang w:eastAsia="zh-CN"/>
              </w:rPr>
              <w:t>钦州市检验检测中心</w:t>
            </w:r>
            <w:r>
              <w:rPr>
                <w:rFonts w:hint="eastAsia" w:asciiTheme="minorEastAsia" w:hAnsiTheme="minorEastAsia" w:eastAsiaTheme="minorEastAsia" w:cstheme="minorEastAsia"/>
                <w:color w:val="auto"/>
                <w:szCs w:val="21"/>
                <w:highlight w:val="none"/>
              </w:rPr>
              <w:t>，负责安装调试，并对操作人员进行操作培训。</w:t>
            </w:r>
          </w:p>
          <w:p w14:paraId="4C2CA8F3">
            <w:pPr>
              <w:spacing w:line="440" w:lineRule="exact"/>
              <w:ind w:firstLine="210"/>
              <w:jc w:val="left"/>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2.维护保养的安排：中标人一年至少两次派工程技术人员对设备进行维护保养。质保期内当设备有重大级别提升时，中标人应为设备进行软件升级。</w:t>
            </w:r>
          </w:p>
          <w:p w14:paraId="6BF845BF">
            <w:pPr>
              <w:spacing w:line="440" w:lineRule="exact"/>
              <w:ind w:firstLine="198"/>
              <w:jc w:val="left"/>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3.维修时间安排应急维修时间安排：至少提供5×8小时远程桌面及7×24小时电话技术支持，使用中出</w:t>
            </w:r>
            <w:r>
              <w:rPr>
                <w:rFonts w:hint="eastAsia" w:asciiTheme="minorEastAsia" w:hAnsiTheme="minorEastAsia" w:cstheme="minorEastAsia"/>
                <w:color w:val="auto"/>
                <w:szCs w:val="21"/>
                <w:highlight w:val="none"/>
              </w:rPr>
              <w:t>现</w:t>
            </w:r>
            <w:r>
              <w:rPr>
                <w:rFonts w:hint="eastAsia" w:asciiTheme="minorEastAsia" w:hAnsiTheme="minorEastAsia" w:eastAsiaTheme="minorEastAsia" w:cstheme="minorEastAsia"/>
                <w:color w:val="auto"/>
                <w:szCs w:val="21"/>
                <w:highlight w:val="none"/>
              </w:rPr>
              <w:t>故障接到通知后应立即响应，对重大问题提供现场技术支持，24小时内派工程技术人员到达现场维修。如果需要更换配件的，更换的配件应跟被更换的品牌、类型相一致或者是同类同档次的替代品，后者需征得采购人管理人员同意。</w:t>
            </w:r>
          </w:p>
          <w:p w14:paraId="0BDA230A">
            <w:pPr>
              <w:spacing w:line="440" w:lineRule="exact"/>
              <w:ind w:firstLine="198"/>
              <w:jc w:val="left"/>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4.设备质保期内一周如出现3次及以上停机或设备故障的，采购人有权要求中标人退货或更换新机器，所产生费用由中标人承担。</w:t>
            </w:r>
          </w:p>
          <w:p w14:paraId="29ACBBD6">
            <w:pPr>
              <w:widowControl/>
              <w:shd w:val="clear" w:color="auto" w:fill="FFFFFF"/>
              <w:spacing w:line="480" w:lineRule="exact"/>
              <w:ind w:firstLine="210" w:firstLineChars="100"/>
              <w:jc w:val="left"/>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5</w:t>
            </w:r>
            <w:r>
              <w:rPr>
                <w:rFonts w:hint="eastAsia" w:asciiTheme="minorEastAsia" w:hAnsiTheme="minorEastAsia" w:eastAsiaTheme="minorEastAsia" w:cstheme="minorEastAsia"/>
                <w:color w:val="auto"/>
                <w:szCs w:val="21"/>
                <w:highlight w:val="none"/>
              </w:rPr>
              <w:t>.培训计划：对</w:t>
            </w:r>
            <w:r>
              <w:rPr>
                <w:rFonts w:hint="eastAsia" w:asciiTheme="minorEastAsia" w:hAnsiTheme="minorEastAsia" w:eastAsiaTheme="minorEastAsia" w:cstheme="minorEastAsia"/>
                <w:color w:val="auto"/>
                <w:szCs w:val="21"/>
                <w:highlight w:val="none"/>
                <w:lang w:val="en-US" w:eastAsia="zh-CN"/>
              </w:rPr>
              <w:t>采购</w:t>
            </w:r>
            <w:r>
              <w:rPr>
                <w:rFonts w:hint="eastAsia" w:asciiTheme="minorEastAsia" w:hAnsiTheme="minorEastAsia" w:eastAsiaTheme="minorEastAsia" w:cstheme="minorEastAsia"/>
                <w:color w:val="auto"/>
                <w:szCs w:val="21"/>
                <w:highlight w:val="none"/>
              </w:rPr>
              <w:t>人的操作人员现场进行使用及维护培训，培训内容包含：仪器设备操作、应用、维修、保养等方面知识，培训时间不少于2天；仪器自验收合格之日起一年内安排采购人不少于2名技术人员进行3天/人的培训（包括上机操作），如需差旅费由采购人自理。</w:t>
            </w:r>
          </w:p>
        </w:tc>
      </w:tr>
      <w:tr w14:paraId="05697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noWrap/>
            <w:vAlign w:val="center"/>
          </w:tcPr>
          <w:p w14:paraId="17CA4733">
            <w:pPr>
              <w:spacing w:line="440" w:lineRule="exact"/>
              <w:ind w:firstLine="198"/>
              <w:jc w:val="center"/>
              <w:rPr>
                <w:rFonts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color w:val="auto"/>
                <w:szCs w:val="21"/>
                <w:highlight w:val="none"/>
              </w:rPr>
              <w:t>交货期</w:t>
            </w:r>
          </w:p>
        </w:tc>
        <w:tc>
          <w:tcPr>
            <w:tcW w:w="7655" w:type="dxa"/>
            <w:noWrap/>
            <w:vAlign w:val="center"/>
          </w:tcPr>
          <w:p w14:paraId="73ED9FCB">
            <w:pPr>
              <w:spacing w:line="440" w:lineRule="exact"/>
              <w:jc w:val="left"/>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签订合同之日起</w:t>
            </w:r>
            <w:r>
              <w:rPr>
                <w:rFonts w:hint="eastAsia" w:asciiTheme="minorEastAsia" w:hAnsiTheme="minorEastAsia" w:eastAsiaTheme="minorEastAsia" w:cstheme="minorEastAsia"/>
                <w:color w:val="auto"/>
                <w:szCs w:val="21"/>
                <w:highlight w:val="none"/>
                <w:lang w:val="en-US" w:eastAsia="zh-CN"/>
              </w:rPr>
              <w:t>60</w:t>
            </w:r>
            <w:r>
              <w:rPr>
                <w:rFonts w:hint="eastAsia" w:asciiTheme="minorEastAsia" w:hAnsiTheme="minorEastAsia" w:eastAsiaTheme="minorEastAsia" w:cstheme="minorEastAsia"/>
                <w:color w:val="auto"/>
                <w:szCs w:val="21"/>
                <w:highlight w:val="none"/>
              </w:rPr>
              <w:t>天内调试完毕验收合格并交付使用。</w:t>
            </w:r>
          </w:p>
        </w:tc>
      </w:tr>
      <w:tr w14:paraId="7EC36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noWrap/>
            <w:vAlign w:val="center"/>
          </w:tcPr>
          <w:p w14:paraId="267389C7">
            <w:pPr>
              <w:spacing w:line="440" w:lineRule="exact"/>
              <w:ind w:firstLine="198"/>
              <w:jc w:val="center"/>
              <w:rPr>
                <w:rFonts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color w:val="auto"/>
                <w:szCs w:val="21"/>
                <w:highlight w:val="none"/>
              </w:rPr>
              <w:t>交货地点</w:t>
            </w:r>
          </w:p>
        </w:tc>
        <w:tc>
          <w:tcPr>
            <w:tcW w:w="7655" w:type="dxa"/>
            <w:noWrap/>
            <w:vAlign w:val="center"/>
          </w:tcPr>
          <w:p w14:paraId="275C5D1E">
            <w:pPr>
              <w:spacing w:line="440" w:lineRule="exact"/>
              <w:jc w:val="left"/>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eastAsia="zh-CN"/>
              </w:rPr>
              <w:t>钦州市检验检测中心</w:t>
            </w:r>
            <w:r>
              <w:rPr>
                <w:rFonts w:hint="eastAsia" w:asciiTheme="minorEastAsia" w:hAnsiTheme="minorEastAsia" w:eastAsiaTheme="minorEastAsia" w:cstheme="minorEastAsia"/>
                <w:color w:val="auto"/>
                <w:szCs w:val="21"/>
                <w:highlight w:val="none"/>
              </w:rPr>
              <w:t>内采购人指定地点。</w:t>
            </w:r>
          </w:p>
        </w:tc>
      </w:tr>
      <w:tr w14:paraId="6175D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noWrap/>
            <w:vAlign w:val="center"/>
          </w:tcPr>
          <w:p w14:paraId="61B45E04">
            <w:pPr>
              <w:spacing w:line="440" w:lineRule="exact"/>
              <w:ind w:firstLine="198"/>
              <w:jc w:val="center"/>
              <w:rPr>
                <w:rFonts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color w:val="auto"/>
                <w:szCs w:val="21"/>
                <w:highlight w:val="none"/>
              </w:rPr>
              <w:t>签订合同日期</w:t>
            </w:r>
          </w:p>
        </w:tc>
        <w:tc>
          <w:tcPr>
            <w:tcW w:w="7655" w:type="dxa"/>
            <w:noWrap/>
            <w:vAlign w:val="center"/>
          </w:tcPr>
          <w:p w14:paraId="0364C7BB">
            <w:pPr>
              <w:spacing w:line="440" w:lineRule="exact"/>
              <w:jc w:val="left"/>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自中标通知书发出之日起25天内。</w:t>
            </w:r>
          </w:p>
        </w:tc>
      </w:tr>
      <w:tr w14:paraId="03DBA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noWrap/>
            <w:vAlign w:val="center"/>
          </w:tcPr>
          <w:p w14:paraId="7A7AFD4C">
            <w:pPr>
              <w:spacing w:line="440" w:lineRule="exact"/>
              <w:ind w:firstLine="198"/>
              <w:jc w:val="center"/>
              <w:rPr>
                <w:rFonts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color w:val="auto"/>
                <w:szCs w:val="21"/>
                <w:highlight w:val="none"/>
              </w:rPr>
              <w:t>付款条件</w:t>
            </w:r>
          </w:p>
        </w:tc>
        <w:tc>
          <w:tcPr>
            <w:tcW w:w="7655" w:type="dxa"/>
            <w:noWrap/>
            <w:vAlign w:val="center"/>
          </w:tcPr>
          <w:p w14:paraId="0AAB0436">
            <w:pPr>
              <w:widowControl/>
              <w:spacing w:line="360" w:lineRule="exact"/>
              <w:jc w:val="left"/>
              <w:rPr>
                <w:rFonts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color w:val="auto"/>
                <w:szCs w:val="21"/>
                <w:highlight w:val="none"/>
                <w:lang w:val="en-US" w:eastAsia="zh-CN"/>
              </w:rPr>
              <w:t>合同签订后采购人在 20个工作日内支付合同总金额的30%预付款给中标人。设备到达并安装调试后，经验收合格，采购人在10个工作日内支付验收合格仪器货款的70%给中标人，因财政性资金需按财政国库支付规定程序申请及办理，如因财政拨款原因导致付款延迟，采购人不承担违约责任。中标人不得以未收到预付款为由不予供货。</w:t>
            </w:r>
            <w:r>
              <w:rPr>
                <w:rFonts w:hint="eastAsia" w:ascii="宋体" w:hAnsi="宋体" w:cs="宋体"/>
                <w:color w:val="auto"/>
                <w:szCs w:val="21"/>
                <w:highlight w:val="none"/>
                <w:lang w:val="en-US" w:eastAsia="zh-CN"/>
              </w:rPr>
              <w:t xml:space="preserve"> </w:t>
            </w:r>
          </w:p>
        </w:tc>
      </w:tr>
      <w:tr w14:paraId="41894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noWrap/>
            <w:vAlign w:val="center"/>
          </w:tcPr>
          <w:p w14:paraId="5FAAC678">
            <w:pPr>
              <w:spacing w:line="440" w:lineRule="exact"/>
              <w:ind w:firstLine="198"/>
              <w:jc w:val="center"/>
              <w:rPr>
                <w:rFonts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color w:val="auto"/>
                <w:szCs w:val="21"/>
                <w:highlight w:val="none"/>
              </w:rPr>
              <w:t>验收标准</w:t>
            </w:r>
          </w:p>
        </w:tc>
        <w:tc>
          <w:tcPr>
            <w:tcW w:w="7655" w:type="dxa"/>
            <w:noWrap/>
            <w:vAlign w:val="center"/>
          </w:tcPr>
          <w:p w14:paraId="026E380D">
            <w:pPr>
              <w:widowControl/>
              <w:spacing w:line="360" w:lineRule="exact"/>
              <w:ind w:firstLine="210"/>
              <w:jc w:val="left"/>
              <w:rPr>
                <w:rFonts w:ascii="宋体" w:hAnsi="宋体" w:cs="宋体"/>
                <w:color w:val="auto"/>
                <w:szCs w:val="21"/>
                <w:highlight w:val="none"/>
              </w:rPr>
            </w:pPr>
            <w:r>
              <w:rPr>
                <w:rFonts w:hint="eastAsia" w:ascii="宋体" w:hAnsi="宋体" w:cs="宋体"/>
                <w:color w:val="auto"/>
                <w:szCs w:val="21"/>
                <w:highlight w:val="none"/>
              </w:rPr>
              <w:t>1.验收过程中所产生的一切费用均由中标人承担。报价时应考虑相关费用。</w:t>
            </w:r>
          </w:p>
          <w:p w14:paraId="2D8C1C0E">
            <w:pPr>
              <w:widowControl/>
              <w:spacing w:line="360" w:lineRule="exact"/>
              <w:ind w:firstLine="210"/>
              <w:jc w:val="left"/>
              <w:rPr>
                <w:rFonts w:ascii="宋体" w:hAnsi="宋体" w:cs="宋体"/>
                <w:color w:val="auto"/>
                <w:szCs w:val="21"/>
                <w:highlight w:val="none"/>
              </w:rPr>
            </w:pPr>
            <w:r>
              <w:rPr>
                <w:rFonts w:hint="eastAsia" w:ascii="宋体" w:hAnsi="宋体" w:cs="宋体"/>
                <w:color w:val="auto"/>
                <w:szCs w:val="21"/>
                <w:highlight w:val="none"/>
              </w:rPr>
              <w:t>2.中标人在货物验收时由采购人对照采购文件的功能目标及技术指标全面核对检验，对所有要求出具的证明文件的原件进行核查，如不符合采购文件的技术需求及要求以及提供虚假承诺的，按相关规定作退货处理及违约处理，中标人承担所有责任和费用，采购人保留进一步追究责任的权利。安装标准：符合国际、国家及行业有关技术规范和技术标准。采购项目有其他要求的按其要求。</w:t>
            </w:r>
          </w:p>
          <w:p w14:paraId="5EE0D6BD">
            <w:pPr>
              <w:widowControl/>
              <w:spacing w:line="360" w:lineRule="exact"/>
              <w:ind w:firstLine="210"/>
              <w:jc w:val="left"/>
              <w:rPr>
                <w:rFonts w:asciiTheme="minorEastAsia" w:hAnsiTheme="minorEastAsia" w:eastAsiaTheme="minorEastAsia" w:cstheme="minorEastAsia"/>
                <w:color w:val="auto"/>
                <w:szCs w:val="21"/>
                <w:highlight w:val="none"/>
              </w:rPr>
            </w:pPr>
            <w:r>
              <w:rPr>
                <w:rFonts w:hint="eastAsia" w:ascii="宋体" w:hAnsi="宋体" w:cs="宋体"/>
                <w:color w:val="auto"/>
                <w:szCs w:val="21"/>
                <w:highlight w:val="none"/>
              </w:rPr>
              <w:t>中标人负责安装的技术人员按照验收流程要求提供合格证标明的内容及技术参数表逐条进行验收。验收应符合国家相关法规及合同的技术要求，同时也应符合厂家提供的技术资料中各项技术指标和参数要求，参数要求必须符合采购参数规定，不能以“标准配置”、“选购配置”为由与采购参数不符。</w:t>
            </w:r>
          </w:p>
        </w:tc>
      </w:tr>
      <w:tr w14:paraId="2D761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noWrap/>
            <w:vAlign w:val="center"/>
          </w:tcPr>
          <w:p w14:paraId="4DDC2470">
            <w:pPr>
              <w:spacing w:line="440" w:lineRule="exact"/>
              <w:ind w:firstLine="198"/>
              <w:jc w:val="center"/>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核心产品</w:t>
            </w:r>
          </w:p>
        </w:tc>
        <w:tc>
          <w:tcPr>
            <w:tcW w:w="7655" w:type="dxa"/>
            <w:noWrap/>
            <w:vAlign w:val="center"/>
          </w:tcPr>
          <w:p w14:paraId="2D1E0BAF">
            <w:pPr>
              <w:spacing w:line="400" w:lineRule="exact"/>
              <w:rPr>
                <w:rFonts w:cs="方正仿宋_GBK"/>
                <w:bCs/>
                <w:color w:val="auto"/>
                <w:kern w:val="0"/>
                <w:highlight w:val="none"/>
              </w:rPr>
            </w:pPr>
            <w:r>
              <w:rPr>
                <w:rFonts w:hint="eastAsia" w:cs="Arial"/>
                <w:b/>
                <w:bCs/>
                <w:color w:val="auto"/>
                <w:highlight w:val="none"/>
              </w:rPr>
              <w:t>核心产品</w:t>
            </w:r>
            <w:r>
              <w:rPr>
                <w:rFonts w:hint="eastAsia" w:cs="Arial"/>
                <w:bCs/>
                <w:color w:val="auto"/>
                <w:highlight w:val="none"/>
              </w:rPr>
              <w:t>：</w:t>
            </w:r>
            <w:r>
              <w:rPr>
                <w:rFonts w:hint="eastAsia" w:cs="方正仿宋_GBK"/>
                <w:bCs/>
                <w:color w:val="auto"/>
                <w:highlight w:val="none"/>
              </w:rPr>
              <w:t>本项目项号</w:t>
            </w:r>
            <w:r>
              <w:rPr>
                <w:rFonts w:hint="eastAsia" w:cs="方正仿宋_GBK"/>
                <w:b/>
                <w:bCs/>
                <w:color w:val="auto"/>
                <w:highlight w:val="none"/>
                <w:u w:val="single"/>
              </w:rPr>
              <w:t>第</w:t>
            </w:r>
            <w:r>
              <w:rPr>
                <w:rFonts w:hint="eastAsia" w:cs="方正仿宋_GBK"/>
                <w:b/>
                <w:bCs/>
                <w:color w:val="auto"/>
                <w:highlight w:val="none"/>
                <w:u w:val="single"/>
                <w:lang w:val="en-US" w:eastAsia="zh-CN"/>
              </w:rPr>
              <w:t>1</w:t>
            </w:r>
            <w:r>
              <w:rPr>
                <w:rFonts w:hint="eastAsia" w:cs="方正仿宋_GBK"/>
                <w:b/>
                <w:bCs/>
                <w:color w:val="auto"/>
                <w:highlight w:val="none"/>
                <w:u w:val="single"/>
              </w:rPr>
              <w:t>项（气相色谱/质谱联用仪）</w:t>
            </w:r>
            <w:r>
              <w:rPr>
                <w:rFonts w:hint="eastAsia" w:cs="方正仿宋_GBK"/>
                <w:bCs/>
                <w:color w:val="auto"/>
                <w:highlight w:val="none"/>
              </w:rPr>
              <w:t>货物为核心产品。</w:t>
            </w:r>
          </w:p>
          <w:p w14:paraId="446FAB9A">
            <w:pPr>
              <w:widowControl/>
              <w:spacing w:line="360" w:lineRule="exact"/>
              <w:jc w:val="left"/>
              <w:rPr>
                <w:rFonts w:hint="eastAsia" w:ascii="宋体" w:hAnsi="宋体" w:cs="宋体"/>
                <w:color w:val="auto"/>
                <w:szCs w:val="21"/>
                <w:highlight w:val="none"/>
              </w:rPr>
            </w:pPr>
            <w:r>
              <w:rPr>
                <w:rFonts w:hint="eastAsia" w:cs="方正仿宋_GBK"/>
                <w:bCs/>
                <w:color w:val="auto"/>
                <w:kern w:val="0"/>
                <w:highlight w:val="none"/>
              </w:rPr>
              <w:t>提供相同品牌产品且通过资格审查、符合性审查的不同投标人参加同一合同项下投标的，按一家投标人计算，评审后得分最高的同品牌投标人获得</w:t>
            </w:r>
            <w:r>
              <w:rPr>
                <w:rFonts w:hint="eastAsia" w:cs="方正仿宋_GBK"/>
                <w:bCs/>
                <w:color w:val="auto"/>
                <w:kern w:val="0"/>
                <w:highlight w:val="none"/>
                <w:lang w:eastAsia="zh-CN"/>
              </w:rPr>
              <w:t>中标人</w:t>
            </w:r>
            <w:r>
              <w:rPr>
                <w:rFonts w:hint="eastAsia" w:cs="方正仿宋_GBK"/>
                <w:bCs/>
                <w:color w:val="auto"/>
                <w:kern w:val="0"/>
                <w:highlight w:val="none"/>
              </w:rPr>
              <w:t>推荐资格；评审得分相同的，由采购人或者采购人委托评标委员会按照招标文件规定的方式确定一个投标人获得</w:t>
            </w:r>
            <w:r>
              <w:rPr>
                <w:rFonts w:hint="eastAsia" w:cs="方正仿宋_GBK"/>
                <w:bCs/>
                <w:color w:val="auto"/>
                <w:kern w:val="0"/>
                <w:highlight w:val="none"/>
                <w:lang w:eastAsia="zh-CN"/>
              </w:rPr>
              <w:t>中标人</w:t>
            </w:r>
            <w:r>
              <w:rPr>
                <w:rFonts w:hint="eastAsia" w:cs="方正仿宋_GBK"/>
                <w:bCs/>
                <w:color w:val="auto"/>
                <w:kern w:val="0"/>
                <w:highlight w:val="none"/>
              </w:rPr>
              <w:t>推荐资格，招标文件未规定的采取随机抽取方式确定，其他同品牌投标人不作为中标候选人。</w:t>
            </w:r>
          </w:p>
        </w:tc>
      </w:tr>
      <w:tr w14:paraId="2C004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4" w:type="dxa"/>
            <w:noWrap/>
            <w:vAlign w:val="center"/>
          </w:tcPr>
          <w:p w14:paraId="7EB41A7B">
            <w:pPr>
              <w:spacing w:line="440" w:lineRule="exact"/>
              <w:ind w:firstLine="198"/>
              <w:jc w:val="center"/>
              <w:rPr>
                <w:rFonts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color w:val="auto"/>
                <w:szCs w:val="21"/>
                <w:highlight w:val="none"/>
              </w:rPr>
              <w:t>报价要求</w:t>
            </w:r>
          </w:p>
        </w:tc>
        <w:tc>
          <w:tcPr>
            <w:tcW w:w="7655" w:type="dxa"/>
            <w:noWrap/>
            <w:vAlign w:val="center"/>
          </w:tcPr>
          <w:p w14:paraId="6E508428">
            <w:pPr>
              <w:widowControl/>
              <w:spacing w:line="360" w:lineRule="exact"/>
              <w:ind w:firstLine="210"/>
              <w:jc w:val="left"/>
              <w:rPr>
                <w:rFonts w:hint="eastAsia" w:ascii="宋体" w:hAnsi="宋体" w:cs="宋体"/>
                <w:color w:val="auto"/>
                <w:szCs w:val="21"/>
                <w:highlight w:val="none"/>
              </w:rPr>
            </w:pPr>
            <w:r>
              <w:rPr>
                <w:rFonts w:hint="eastAsia" w:ascii="宋体" w:hAnsi="宋体" w:cs="宋体"/>
                <w:color w:val="auto"/>
                <w:szCs w:val="21"/>
                <w:highlight w:val="none"/>
              </w:rPr>
              <w:t>1.投标报价包括但不限于货款、标准附件、备品备件、专用工具、包装、运输、装卸、保险、税金、货到就位以及安装、调试、培训、保修、验收等一切税金和费用。投标人在固定总价中必须考虑各种风险费用。在合同履行过程中，采购人不予支付合同以外的其他费用。投标人负责工人人身、设备安全责任，验收前，设备丢失自行负责。</w:t>
            </w:r>
          </w:p>
          <w:p w14:paraId="49C37DF9">
            <w:pPr>
              <w:widowControl/>
              <w:spacing w:line="360" w:lineRule="exact"/>
              <w:ind w:firstLine="210"/>
              <w:jc w:val="left"/>
              <w:rPr>
                <w:rFonts w:asciiTheme="minorEastAsia" w:hAnsiTheme="minorEastAsia" w:eastAsiaTheme="minorEastAsia" w:cstheme="minorEastAsia"/>
                <w:color w:val="auto"/>
                <w:szCs w:val="21"/>
                <w:highlight w:val="none"/>
              </w:rPr>
            </w:pPr>
            <w:r>
              <w:rPr>
                <w:rFonts w:hint="eastAsia" w:ascii="宋体" w:hAnsi="宋体" w:cs="宋体"/>
                <w:color w:val="auto"/>
                <w:szCs w:val="21"/>
                <w:highlight w:val="none"/>
              </w:rPr>
              <w:t>2.要求投标货物是全新的、未经改装的、合格的、满足本项目技术需求及要求的货物，提供的货物及制作安装采用的各种配件、材料均必须满足国家和行业规范标准。</w:t>
            </w:r>
          </w:p>
        </w:tc>
      </w:tr>
      <w:tr w14:paraId="632B2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9" w:type="dxa"/>
            <w:gridSpan w:val="2"/>
            <w:noWrap/>
            <w:vAlign w:val="center"/>
          </w:tcPr>
          <w:p w14:paraId="535D8D1E">
            <w:pPr>
              <w:spacing w:line="440" w:lineRule="exact"/>
              <w:jc w:val="left"/>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b/>
                <w:color w:val="auto"/>
                <w:szCs w:val="21"/>
                <w:highlight w:val="none"/>
              </w:rPr>
              <w:t>三、其他要求</w:t>
            </w:r>
          </w:p>
        </w:tc>
      </w:tr>
      <w:tr w14:paraId="54DCE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19" w:type="dxa"/>
            <w:gridSpan w:val="2"/>
            <w:noWrap/>
            <w:vAlign w:val="center"/>
          </w:tcPr>
          <w:p w14:paraId="0A3427FD">
            <w:pPr>
              <w:spacing w:line="440" w:lineRule="exact"/>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1.投标人在投标活动中如提供任何虚假材料，以及投标产品的技术参数不如实说明，</w:t>
            </w:r>
            <w:r>
              <w:rPr>
                <w:rFonts w:hint="eastAsia" w:asciiTheme="minorEastAsia" w:hAnsiTheme="minorEastAsia" w:eastAsiaTheme="minorEastAsia" w:cstheme="minorEastAsia"/>
                <w:b/>
                <w:color w:val="auto"/>
                <w:szCs w:val="21"/>
                <w:highlight w:val="none"/>
              </w:rPr>
              <w:t>其投标无效</w:t>
            </w:r>
            <w:r>
              <w:rPr>
                <w:rFonts w:hint="eastAsia" w:asciiTheme="minorEastAsia" w:hAnsiTheme="minorEastAsia" w:eastAsiaTheme="minorEastAsia" w:cstheme="minorEastAsia"/>
                <w:color w:val="auto"/>
                <w:szCs w:val="21"/>
                <w:highlight w:val="none"/>
              </w:rPr>
              <w:t>，并报监管部门查处。</w:t>
            </w:r>
          </w:p>
          <w:p w14:paraId="000830C3">
            <w:pPr>
              <w:spacing w:line="440" w:lineRule="exact"/>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2.若中标人所供产品及售后服务不按招标文件要求履约的，将按照相关有关规定严肃处理。</w:t>
            </w:r>
          </w:p>
          <w:p w14:paraId="523B1B07">
            <w:pPr>
              <w:spacing w:line="440" w:lineRule="exact"/>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3.投标人在投标文件中针对本项目提供切实可行的项目实施方案（格式自拟）【包含但不限于项目实施方案、质量保证措施等】及售后服务承诺方案（格式自拟）。</w:t>
            </w:r>
          </w:p>
          <w:p w14:paraId="1F93852E">
            <w:pPr>
              <w:spacing w:before="25" w:after="25" w:line="440" w:lineRule="exact"/>
              <w:jc w:val="left"/>
              <w:rPr>
                <w:rFonts w:ascii="宋体" w:hAnsi="宋体" w:cs="宋体"/>
                <w:color w:val="auto"/>
                <w:szCs w:val="21"/>
                <w:highlight w:val="none"/>
              </w:rPr>
            </w:pPr>
            <w:r>
              <w:rPr>
                <w:rFonts w:hint="eastAsia" w:asciiTheme="minorEastAsia" w:hAnsiTheme="minorEastAsia" w:eastAsiaTheme="minorEastAsia" w:cstheme="minorEastAsia"/>
                <w:color w:val="auto"/>
                <w:szCs w:val="21"/>
                <w:highlight w:val="none"/>
              </w:rPr>
              <w:t>4.</w:t>
            </w:r>
            <w:r>
              <w:rPr>
                <w:rFonts w:hint="eastAsia" w:ascii="宋体" w:hAnsi="宋体" w:cs="宋体"/>
                <w:color w:val="auto"/>
                <w:szCs w:val="21"/>
                <w:highlight w:val="none"/>
              </w:rPr>
              <w:t>进口产品说明：本项目货物不接受进口产品（即通过中国海关报关验放进入中国境内且产自关境外的产品）参与投标，</w:t>
            </w:r>
            <w:r>
              <w:rPr>
                <w:rFonts w:hint="eastAsia" w:ascii="宋体" w:hAnsi="宋体" w:cs="宋体"/>
                <w:b/>
                <w:bCs/>
                <w:color w:val="auto"/>
                <w:szCs w:val="21"/>
                <w:highlight w:val="none"/>
              </w:rPr>
              <w:t>如有进口产品参与投标的作无效投标处理。</w:t>
            </w:r>
          </w:p>
          <w:p w14:paraId="5041E7C3">
            <w:pPr>
              <w:spacing w:before="25" w:after="25" w:line="440" w:lineRule="exact"/>
              <w:jc w:val="left"/>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5.货物一览表中，标注“▲”项的内容为实质性响应条款，必须满足或优于，</w:t>
            </w:r>
            <w:r>
              <w:rPr>
                <w:rFonts w:hint="eastAsia" w:asciiTheme="minorEastAsia" w:hAnsiTheme="minorEastAsia" w:eastAsiaTheme="minorEastAsia" w:cstheme="minorEastAsia"/>
                <w:b/>
                <w:color w:val="auto"/>
                <w:szCs w:val="21"/>
                <w:highlight w:val="none"/>
              </w:rPr>
              <w:t>否则投标无效</w:t>
            </w:r>
            <w:r>
              <w:rPr>
                <w:rFonts w:hint="eastAsia" w:asciiTheme="minorEastAsia" w:hAnsiTheme="minorEastAsia" w:eastAsiaTheme="minorEastAsia" w:cstheme="minorEastAsia"/>
                <w:color w:val="auto"/>
                <w:szCs w:val="21"/>
                <w:highlight w:val="none"/>
              </w:rPr>
              <w:t>；不带“▲”的参数发生负偏离达4项（含）以上的，视为不实质性响应采购文件要求，</w:t>
            </w:r>
            <w:r>
              <w:rPr>
                <w:rFonts w:hint="eastAsia" w:asciiTheme="minorEastAsia" w:hAnsiTheme="minorEastAsia" w:eastAsiaTheme="minorEastAsia" w:cstheme="minorEastAsia"/>
                <w:b/>
                <w:color w:val="auto"/>
                <w:szCs w:val="21"/>
                <w:highlight w:val="none"/>
              </w:rPr>
              <w:t>评审时投标文件将被作为无效处理</w:t>
            </w:r>
            <w:r>
              <w:rPr>
                <w:rFonts w:hint="eastAsia" w:asciiTheme="minorEastAsia" w:hAnsiTheme="minorEastAsia" w:eastAsiaTheme="minorEastAsia" w:cstheme="minorEastAsia"/>
                <w:color w:val="auto"/>
                <w:szCs w:val="21"/>
                <w:highlight w:val="none"/>
              </w:rPr>
              <w:t>。</w:t>
            </w:r>
          </w:p>
          <w:p w14:paraId="47D9FD9E">
            <w:pPr>
              <w:pStyle w:val="19"/>
              <w:rPr>
                <w:color w:val="auto"/>
                <w:highlight w:val="none"/>
              </w:rPr>
            </w:pPr>
            <w:r>
              <w:rPr>
                <w:rFonts w:hint="eastAsia" w:ascii="宋体" w:hAnsi="宋体" w:cs="宋体"/>
                <w:color w:val="auto"/>
                <w:sz w:val="21"/>
                <w:szCs w:val="21"/>
                <w:highlight w:val="none"/>
              </w:rPr>
              <w:t>6.投标人业绩及综合实力：具体详见 评标方法及评标标准</w:t>
            </w:r>
          </w:p>
        </w:tc>
      </w:tr>
    </w:tbl>
    <w:p w14:paraId="484CFF6D">
      <w:pPr>
        <w:spacing w:line="440" w:lineRule="exact"/>
        <w:rPr>
          <w:color w:val="auto"/>
          <w:szCs w:val="21"/>
          <w:highlight w:val="none"/>
        </w:rPr>
      </w:pPr>
      <w:r>
        <w:rPr>
          <w:color w:val="auto"/>
          <w:szCs w:val="21"/>
          <w:highlight w:val="none"/>
        </w:rPr>
        <w:br w:type="page" w:clear="all"/>
      </w:r>
    </w:p>
    <w:p w14:paraId="679E6EE5">
      <w:pPr>
        <w:spacing w:line="440" w:lineRule="exact"/>
        <w:rPr>
          <w:color w:val="auto"/>
          <w:szCs w:val="21"/>
          <w:highlight w:val="none"/>
        </w:rPr>
      </w:pPr>
    </w:p>
    <w:p w14:paraId="6BE0B1B4">
      <w:pPr>
        <w:rPr>
          <w:color w:val="auto"/>
          <w:szCs w:val="21"/>
          <w:highlight w:val="none"/>
        </w:rPr>
      </w:pPr>
    </w:p>
    <w:p w14:paraId="1A6AD883">
      <w:pPr>
        <w:spacing w:line="428" w:lineRule="exact"/>
        <w:ind w:left="119"/>
        <w:rPr>
          <w:rFonts w:ascii="Arial Unicode MS" w:hAnsi="Arial Unicode MS" w:eastAsia="Arial Unicode MS" w:cs="Arial Unicode MS"/>
          <w:color w:val="auto"/>
          <w:sz w:val="32"/>
          <w:szCs w:val="32"/>
          <w:highlight w:val="none"/>
        </w:rPr>
      </w:pPr>
      <w:r>
        <w:rPr>
          <w:rFonts w:hint="eastAsia" w:ascii="黑体" w:hAnsi="黑体" w:eastAsia="黑体" w:cs="黑体"/>
          <w:color w:val="auto"/>
          <w:sz w:val="32"/>
          <w:szCs w:val="32"/>
          <w:highlight w:val="none"/>
        </w:rPr>
        <w:t>附件1：</w:t>
      </w:r>
    </w:p>
    <w:p w14:paraId="1815DDEA">
      <w:pPr>
        <w:spacing w:before="7"/>
        <w:rPr>
          <w:rFonts w:ascii="Arial Unicode MS" w:hAnsi="Arial Unicode MS" w:eastAsia="Arial Unicode MS" w:cs="Arial Unicode MS"/>
          <w:color w:val="auto"/>
          <w:sz w:val="17"/>
          <w:szCs w:val="17"/>
          <w:highlight w:val="none"/>
        </w:rPr>
      </w:pPr>
    </w:p>
    <w:p w14:paraId="0E87C673">
      <w:pPr>
        <w:spacing w:line="528" w:lineRule="exact"/>
        <w:ind w:left="1871"/>
        <w:rPr>
          <w:rFonts w:ascii="Arial Unicode MS" w:hAnsi="Arial Unicode MS" w:eastAsia="Arial Unicode MS" w:cs="Arial Unicode MS"/>
          <w:color w:val="auto"/>
          <w:sz w:val="40"/>
          <w:szCs w:val="40"/>
          <w:highlight w:val="none"/>
        </w:rPr>
      </w:pPr>
      <w:r>
        <w:rPr>
          <w:rFonts w:hint="eastAsia" w:ascii="方正小标宋简体" w:hAnsi="方正小标宋简体" w:eastAsia="方正小标宋简体" w:cs="方正小标宋简体"/>
          <w:color w:val="auto"/>
          <w:sz w:val="44"/>
          <w:szCs w:val="44"/>
          <w:highlight w:val="none"/>
        </w:rPr>
        <w:t>节能产品政府采购品目清单</w:t>
      </w:r>
    </w:p>
    <w:tbl>
      <w:tblPr>
        <w:tblStyle w:val="5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7"/>
        <w:gridCol w:w="1421"/>
        <w:gridCol w:w="1495"/>
        <w:gridCol w:w="1480"/>
        <w:gridCol w:w="3431"/>
      </w:tblGrid>
      <w:tr w14:paraId="5B5FC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158BAE09">
            <w:pPr>
              <w:jc w:val="center"/>
              <w:rPr>
                <w:rFonts w:ascii="Calibri" w:hAnsi="Calibri"/>
                <w:color w:val="auto"/>
                <w:szCs w:val="22"/>
                <w:highlight w:val="none"/>
              </w:rPr>
            </w:pPr>
            <w:r>
              <w:rPr>
                <w:rFonts w:hint="eastAsia" w:ascii="宋体" w:hAnsi="宋体" w:cs="宋体"/>
                <w:b/>
                <w:bCs/>
                <w:color w:val="auto"/>
                <w:highlight w:val="none"/>
              </w:rPr>
              <w:t>品目序号</w:t>
            </w:r>
          </w:p>
        </w:tc>
        <w:tc>
          <w:tcPr>
            <w:tcW w:w="4399" w:type="dxa"/>
            <w:gridSpan w:val="3"/>
            <w:tcBorders>
              <w:top w:val="single" w:color="000000" w:sz="4" w:space="0"/>
              <w:left w:val="single" w:color="000000" w:sz="4" w:space="0"/>
              <w:bottom w:val="single" w:color="000000" w:sz="4" w:space="0"/>
              <w:right w:val="single" w:color="000000" w:sz="4" w:space="0"/>
            </w:tcBorders>
            <w:vAlign w:val="center"/>
          </w:tcPr>
          <w:p w14:paraId="73198490">
            <w:pPr>
              <w:jc w:val="center"/>
              <w:rPr>
                <w:rFonts w:ascii="Calibri" w:hAnsi="Calibri"/>
                <w:color w:val="auto"/>
                <w:szCs w:val="22"/>
                <w:highlight w:val="none"/>
              </w:rPr>
            </w:pPr>
            <w:r>
              <w:rPr>
                <w:rFonts w:hint="eastAsia" w:ascii="宋体" w:hAnsi="宋体" w:cs="宋体"/>
                <w:b/>
                <w:bCs/>
                <w:color w:val="auto"/>
                <w:highlight w:val="none"/>
              </w:rPr>
              <w:t>名称</w:t>
            </w:r>
          </w:p>
        </w:tc>
        <w:tc>
          <w:tcPr>
            <w:tcW w:w="3452" w:type="dxa"/>
            <w:tcBorders>
              <w:top w:val="single" w:color="000000" w:sz="4" w:space="0"/>
              <w:left w:val="single" w:color="000000" w:sz="4" w:space="0"/>
              <w:bottom w:val="single" w:color="000000" w:sz="4" w:space="0"/>
              <w:right w:val="single" w:color="000000" w:sz="4" w:space="0"/>
            </w:tcBorders>
            <w:vAlign w:val="center"/>
          </w:tcPr>
          <w:p w14:paraId="1F61AFE2">
            <w:pPr>
              <w:jc w:val="center"/>
              <w:rPr>
                <w:rFonts w:ascii="Calibri" w:hAnsi="Calibri"/>
                <w:color w:val="auto"/>
                <w:szCs w:val="22"/>
                <w:highlight w:val="none"/>
              </w:rPr>
            </w:pPr>
            <w:r>
              <w:rPr>
                <w:rFonts w:hint="eastAsia" w:ascii="宋体" w:hAnsi="宋体" w:cs="宋体"/>
                <w:b/>
                <w:bCs/>
                <w:color w:val="auto"/>
                <w:highlight w:val="none"/>
              </w:rPr>
              <w:t>依据的标准</w:t>
            </w:r>
          </w:p>
        </w:tc>
      </w:tr>
      <w:tr w14:paraId="3050F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67FA4BE5">
            <w:pPr>
              <w:jc w:val="center"/>
              <w:rPr>
                <w:rFonts w:ascii="宋体" w:hAnsi="宋体"/>
                <w:color w:val="auto"/>
                <w:szCs w:val="21"/>
                <w:highlight w:val="none"/>
              </w:rPr>
            </w:pPr>
            <w:r>
              <w:rPr>
                <w:rFonts w:hint="eastAsia" w:ascii="宋体" w:hAnsi="宋体"/>
                <w:color w:val="auto"/>
                <w:szCs w:val="21"/>
                <w:highlight w:val="none"/>
              </w:rPr>
              <w:t>1</w:t>
            </w:r>
          </w:p>
        </w:tc>
        <w:tc>
          <w:tcPr>
            <w:tcW w:w="1422" w:type="dxa"/>
            <w:vMerge w:val="restart"/>
            <w:tcBorders>
              <w:top w:val="single" w:color="000000" w:sz="4" w:space="0"/>
              <w:left w:val="single" w:color="000000" w:sz="4" w:space="0"/>
              <w:bottom w:val="single" w:color="000000" w:sz="4" w:space="0"/>
              <w:right w:val="single" w:color="000000" w:sz="4" w:space="0"/>
            </w:tcBorders>
            <w:vAlign w:val="center"/>
          </w:tcPr>
          <w:p w14:paraId="16B7783E">
            <w:pPr>
              <w:jc w:val="center"/>
              <w:rPr>
                <w:rFonts w:ascii="宋体" w:hAnsi="宋体"/>
                <w:color w:val="auto"/>
                <w:szCs w:val="21"/>
                <w:highlight w:val="none"/>
              </w:rPr>
            </w:pPr>
            <w:r>
              <w:rPr>
                <w:rFonts w:hint="eastAsia" w:ascii="宋体" w:hAnsi="宋体" w:cs="仿宋_GB2312"/>
                <w:color w:val="auto"/>
                <w:szCs w:val="21"/>
                <w:highlight w:val="none"/>
              </w:rPr>
              <w:t>A02010100</w:t>
            </w:r>
            <w:r>
              <w:rPr>
                <w:rFonts w:hint="eastAsia" w:ascii="宋体" w:hAnsi="宋体" w:cs="宋体"/>
                <w:color w:val="auto"/>
                <w:szCs w:val="21"/>
                <w:highlight w:val="none"/>
              </w:rPr>
              <w:t>计算机</w:t>
            </w:r>
          </w:p>
        </w:tc>
        <w:tc>
          <w:tcPr>
            <w:tcW w:w="1496" w:type="dxa"/>
            <w:tcBorders>
              <w:top w:val="single" w:color="000000" w:sz="4" w:space="0"/>
              <w:left w:val="single" w:color="000000" w:sz="4" w:space="0"/>
              <w:bottom w:val="single" w:color="000000" w:sz="4" w:space="0"/>
              <w:right w:val="single" w:color="000000" w:sz="4" w:space="0"/>
            </w:tcBorders>
            <w:vAlign w:val="center"/>
          </w:tcPr>
          <w:p w14:paraId="4AF99845">
            <w:pPr>
              <w:pStyle w:val="272"/>
              <w:spacing w:before="93"/>
              <w:ind w:left="7" w:right="5"/>
              <w:jc w:val="center"/>
              <w:rPr>
                <w:rFonts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仿宋_GB2312"/>
                <w:color w:val="auto"/>
                <w:sz w:val="21"/>
                <w:szCs w:val="21"/>
                <w:highlight w:val="none"/>
              </w:rPr>
              <w:t>A02010105</w:t>
            </w:r>
            <w:r>
              <w:rPr>
                <w:rFonts w:hint="eastAsia" w:ascii="宋体" w:hAnsi="宋体" w:cs="宋体"/>
                <w:color w:val="auto"/>
                <w:sz w:val="21"/>
                <w:szCs w:val="21"/>
                <w:highlight w:val="none"/>
              </w:rPr>
              <w:t>台式计算机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4B542F6C">
            <w:pPr>
              <w:jc w:val="center"/>
              <w:rPr>
                <w:rFonts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tcPr>
          <w:p w14:paraId="3AB62A3A">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《微型计算机能效限定值及能效等级》（GB28380）</w:t>
            </w:r>
          </w:p>
        </w:tc>
      </w:tr>
      <w:tr w14:paraId="368F1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375990D">
            <w:pPr>
              <w:widowControl/>
              <w:jc w:val="left"/>
              <w:rPr>
                <w:rFonts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19E312A">
            <w:pPr>
              <w:widowControl/>
              <w:jc w:val="left"/>
              <w:rPr>
                <w:rFonts w:ascii="宋体" w:hAnsi="宋体"/>
                <w:color w:val="auto"/>
                <w:szCs w:val="21"/>
                <w:highlight w:val="none"/>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5C52B7ED">
            <w:pPr>
              <w:pStyle w:val="272"/>
              <w:spacing w:before="44"/>
              <w:ind w:left="7" w:right="5"/>
              <w:jc w:val="center"/>
              <w:rPr>
                <w:rFonts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仿宋_GB2312"/>
                <w:color w:val="auto"/>
                <w:sz w:val="21"/>
                <w:szCs w:val="21"/>
                <w:highlight w:val="none"/>
              </w:rPr>
              <w:t>A02010108</w:t>
            </w:r>
            <w:r>
              <w:rPr>
                <w:rFonts w:hint="eastAsia" w:ascii="宋体" w:hAnsi="宋体" w:cs="宋体"/>
                <w:color w:val="auto"/>
                <w:sz w:val="21"/>
                <w:szCs w:val="21"/>
                <w:highlight w:val="none"/>
              </w:rPr>
              <w:t>便携式计算机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681B9B85">
            <w:pPr>
              <w:jc w:val="center"/>
              <w:rPr>
                <w:rFonts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tcPr>
          <w:p w14:paraId="529F68EE">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《微型计算机能效限定值及能效等级》（GB28380）</w:t>
            </w:r>
          </w:p>
        </w:tc>
      </w:tr>
      <w:tr w14:paraId="2FF52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E5A3AFE">
            <w:pPr>
              <w:widowControl/>
              <w:jc w:val="left"/>
              <w:rPr>
                <w:rFonts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7A85480">
            <w:pPr>
              <w:widowControl/>
              <w:jc w:val="left"/>
              <w:rPr>
                <w:rFonts w:ascii="宋体" w:hAnsi="宋体"/>
                <w:color w:val="auto"/>
                <w:szCs w:val="21"/>
                <w:highlight w:val="none"/>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350616E8">
            <w:pPr>
              <w:pStyle w:val="272"/>
              <w:spacing w:before="64"/>
              <w:ind w:left="7" w:right="5"/>
              <w:jc w:val="center"/>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w:t>
            </w:r>
            <w:r>
              <w:rPr>
                <w:rFonts w:hint="eastAsia" w:ascii="宋体" w:hAnsi="宋体" w:cs="仿宋_GB2312"/>
                <w:color w:val="auto"/>
                <w:sz w:val="21"/>
                <w:szCs w:val="21"/>
                <w:highlight w:val="none"/>
                <w:lang w:eastAsia="zh-CN"/>
              </w:rPr>
              <w:t>A02010109平板式计算机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2D7F66F7">
            <w:pPr>
              <w:jc w:val="center"/>
              <w:rPr>
                <w:rFonts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tcPr>
          <w:p w14:paraId="20687141">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《微型计算机能效限定值及能效等级》（GB28380）</w:t>
            </w:r>
          </w:p>
        </w:tc>
      </w:tr>
      <w:tr w14:paraId="23826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0FB89B5B">
            <w:pPr>
              <w:jc w:val="center"/>
              <w:rPr>
                <w:rFonts w:ascii="宋体" w:hAnsi="宋体"/>
                <w:color w:val="auto"/>
                <w:szCs w:val="21"/>
                <w:highlight w:val="none"/>
              </w:rPr>
            </w:pPr>
            <w:r>
              <w:rPr>
                <w:rFonts w:hint="eastAsia" w:ascii="宋体" w:hAnsi="宋体"/>
                <w:color w:val="auto"/>
                <w:szCs w:val="21"/>
                <w:highlight w:val="none"/>
              </w:rPr>
              <w:t>2</w:t>
            </w:r>
          </w:p>
        </w:tc>
        <w:tc>
          <w:tcPr>
            <w:tcW w:w="1422" w:type="dxa"/>
            <w:vMerge w:val="restart"/>
            <w:tcBorders>
              <w:top w:val="single" w:color="000000" w:sz="4" w:space="0"/>
              <w:left w:val="single" w:color="000000" w:sz="4" w:space="0"/>
              <w:bottom w:val="single" w:color="000000" w:sz="4" w:space="0"/>
              <w:right w:val="single" w:color="000000" w:sz="4" w:space="0"/>
            </w:tcBorders>
            <w:vAlign w:val="center"/>
          </w:tcPr>
          <w:p w14:paraId="27DBB451">
            <w:pPr>
              <w:pStyle w:val="272"/>
              <w:ind w:left="7"/>
              <w:jc w:val="center"/>
              <w:rPr>
                <w:rFonts w:ascii="宋体" w:hAnsi="宋体" w:cs="宋体"/>
                <w:color w:val="auto"/>
                <w:sz w:val="21"/>
                <w:szCs w:val="21"/>
                <w:highlight w:val="none"/>
              </w:rPr>
            </w:pPr>
            <w:r>
              <w:rPr>
                <w:rFonts w:hint="eastAsia" w:ascii="宋体" w:hAnsi="宋体" w:cs="仿宋_GB2312"/>
                <w:color w:val="auto"/>
                <w:sz w:val="21"/>
                <w:szCs w:val="21"/>
                <w:highlight w:val="none"/>
              </w:rPr>
              <w:t>A02020000</w:t>
            </w:r>
            <w:r>
              <w:rPr>
                <w:rFonts w:hint="eastAsia" w:ascii="宋体" w:hAnsi="宋体" w:cs="宋体"/>
                <w:color w:val="auto"/>
                <w:sz w:val="21"/>
                <w:szCs w:val="21"/>
                <w:highlight w:val="none"/>
              </w:rPr>
              <w:t>办公设备</w:t>
            </w:r>
          </w:p>
        </w:tc>
        <w:tc>
          <w:tcPr>
            <w:tcW w:w="1496" w:type="dxa"/>
            <w:vMerge w:val="restart"/>
            <w:tcBorders>
              <w:top w:val="single" w:color="000000" w:sz="4" w:space="0"/>
              <w:left w:val="single" w:color="000000" w:sz="4" w:space="0"/>
              <w:bottom w:val="single" w:color="000000" w:sz="4" w:space="0"/>
              <w:right w:val="single" w:color="000000" w:sz="4" w:space="0"/>
            </w:tcBorders>
            <w:vAlign w:val="center"/>
          </w:tcPr>
          <w:p w14:paraId="3EA6FB2A">
            <w:pPr>
              <w:jc w:val="center"/>
              <w:rPr>
                <w:rFonts w:ascii="宋体" w:hAnsi="宋体"/>
                <w:color w:val="auto"/>
                <w:szCs w:val="21"/>
                <w:highlight w:val="none"/>
              </w:rPr>
            </w:pPr>
            <w:r>
              <w:rPr>
                <w:rFonts w:hint="eastAsia" w:ascii="宋体" w:hAnsi="宋体" w:cs="宋体"/>
                <w:color w:val="auto"/>
                <w:spacing w:val="1"/>
                <w:szCs w:val="21"/>
                <w:highlight w:val="none"/>
              </w:rPr>
              <w:t>A02021000</w:t>
            </w:r>
            <w:r>
              <w:rPr>
                <w:rFonts w:hint="eastAsia" w:ascii="宋体" w:hAnsi="宋体" w:cs="Arial"/>
                <w:color w:val="auto"/>
                <w:szCs w:val="21"/>
                <w:highlight w:val="none"/>
                <w:shd w:val="clear" w:color="auto" w:fill="FFFFFF"/>
              </w:rPr>
              <w:t>打印机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43F9AC4B">
            <w:pPr>
              <w:jc w:val="center"/>
              <w:rPr>
                <w:rFonts w:ascii="宋体" w:hAnsi="宋体"/>
                <w:color w:val="auto"/>
                <w:szCs w:val="21"/>
                <w:highlight w:val="none"/>
              </w:rPr>
            </w:pPr>
            <w:r>
              <w:rPr>
                <w:rFonts w:hint="eastAsia" w:ascii="宋体" w:hAnsi="宋体"/>
                <w:color w:val="auto"/>
                <w:szCs w:val="21"/>
                <w:highlight w:val="none"/>
              </w:rPr>
              <w:t>A02021001 A3黑白打印机</w:t>
            </w:r>
          </w:p>
        </w:tc>
        <w:tc>
          <w:tcPr>
            <w:tcW w:w="3452" w:type="dxa"/>
            <w:tcBorders>
              <w:top w:val="single" w:color="000000" w:sz="4" w:space="0"/>
              <w:left w:val="single" w:color="000000" w:sz="4" w:space="0"/>
              <w:bottom w:val="single" w:color="000000" w:sz="4" w:space="0"/>
              <w:right w:val="single" w:color="000000" w:sz="4" w:space="0"/>
            </w:tcBorders>
          </w:tcPr>
          <w:p w14:paraId="72C81572">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14:paraId="797ED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97E4403">
            <w:pPr>
              <w:widowControl/>
              <w:jc w:val="left"/>
              <w:rPr>
                <w:rFonts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EECC587">
            <w:pPr>
              <w:widowControl/>
              <w:jc w:val="left"/>
              <w:rPr>
                <w:rFonts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B16ED18">
            <w:pPr>
              <w:widowControl/>
              <w:jc w:val="left"/>
              <w:rPr>
                <w:rFonts w:ascii="宋体" w:hAnsi="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70A51DA1">
            <w:pPr>
              <w:jc w:val="center"/>
              <w:rPr>
                <w:rFonts w:ascii="宋体" w:hAnsi="宋体"/>
                <w:color w:val="auto"/>
                <w:szCs w:val="21"/>
                <w:highlight w:val="none"/>
              </w:rPr>
            </w:pPr>
            <w:r>
              <w:rPr>
                <w:rFonts w:hint="eastAsia" w:ascii="宋体" w:hAnsi="宋体"/>
                <w:color w:val="auto"/>
                <w:szCs w:val="21"/>
                <w:highlight w:val="none"/>
              </w:rPr>
              <w:t>A02021002 A3彩色打印机</w:t>
            </w:r>
          </w:p>
        </w:tc>
        <w:tc>
          <w:tcPr>
            <w:tcW w:w="3452" w:type="dxa"/>
            <w:tcBorders>
              <w:top w:val="single" w:color="000000" w:sz="4" w:space="0"/>
              <w:left w:val="single" w:color="000000" w:sz="4" w:space="0"/>
              <w:bottom w:val="single" w:color="000000" w:sz="4" w:space="0"/>
              <w:right w:val="single" w:color="000000" w:sz="4" w:space="0"/>
            </w:tcBorders>
          </w:tcPr>
          <w:p w14:paraId="5328911C">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14:paraId="0C302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02D6A8A">
            <w:pPr>
              <w:widowControl/>
              <w:jc w:val="left"/>
              <w:rPr>
                <w:rFonts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063F986">
            <w:pPr>
              <w:widowControl/>
              <w:jc w:val="left"/>
              <w:rPr>
                <w:rFonts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65B6812">
            <w:pPr>
              <w:widowControl/>
              <w:jc w:val="left"/>
              <w:rPr>
                <w:rFonts w:ascii="宋体" w:hAnsi="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605A34E2">
            <w:pPr>
              <w:jc w:val="center"/>
              <w:rPr>
                <w:rFonts w:ascii="宋体" w:hAnsi="宋体"/>
                <w:color w:val="auto"/>
                <w:szCs w:val="21"/>
                <w:highlight w:val="none"/>
              </w:rPr>
            </w:pPr>
            <w:r>
              <w:rPr>
                <w:rFonts w:hint="eastAsia" w:ascii="宋体" w:hAnsi="宋体"/>
                <w:color w:val="auto"/>
                <w:szCs w:val="21"/>
                <w:highlight w:val="none"/>
              </w:rPr>
              <w:t>A02021003 A4黑白打印机</w:t>
            </w:r>
          </w:p>
        </w:tc>
        <w:tc>
          <w:tcPr>
            <w:tcW w:w="3452" w:type="dxa"/>
            <w:tcBorders>
              <w:top w:val="single" w:color="000000" w:sz="4" w:space="0"/>
              <w:left w:val="single" w:color="000000" w:sz="4" w:space="0"/>
              <w:bottom w:val="single" w:color="000000" w:sz="4" w:space="0"/>
              <w:right w:val="single" w:color="000000" w:sz="4" w:space="0"/>
            </w:tcBorders>
          </w:tcPr>
          <w:p w14:paraId="3EA9BC96">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14:paraId="2A36C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2554F47">
            <w:pPr>
              <w:widowControl/>
              <w:jc w:val="left"/>
              <w:rPr>
                <w:rFonts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E2C295A">
            <w:pPr>
              <w:widowControl/>
              <w:jc w:val="left"/>
              <w:rPr>
                <w:rFonts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E24D81A">
            <w:pPr>
              <w:widowControl/>
              <w:jc w:val="left"/>
              <w:rPr>
                <w:rFonts w:ascii="宋体" w:hAnsi="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11DCE25B">
            <w:pPr>
              <w:jc w:val="center"/>
              <w:rPr>
                <w:rFonts w:ascii="宋体" w:hAnsi="宋体"/>
                <w:color w:val="auto"/>
                <w:szCs w:val="21"/>
                <w:highlight w:val="none"/>
              </w:rPr>
            </w:pPr>
            <w:r>
              <w:rPr>
                <w:rFonts w:hint="eastAsia" w:ascii="宋体" w:hAnsi="宋体"/>
                <w:color w:val="auto"/>
                <w:szCs w:val="21"/>
                <w:highlight w:val="none"/>
              </w:rPr>
              <w:t>A02021004 A4彩色打印机</w:t>
            </w:r>
          </w:p>
        </w:tc>
        <w:tc>
          <w:tcPr>
            <w:tcW w:w="3452" w:type="dxa"/>
            <w:tcBorders>
              <w:top w:val="single" w:color="000000" w:sz="4" w:space="0"/>
              <w:left w:val="single" w:color="000000" w:sz="4" w:space="0"/>
              <w:bottom w:val="single" w:color="000000" w:sz="4" w:space="0"/>
              <w:right w:val="single" w:color="000000" w:sz="4" w:space="0"/>
            </w:tcBorders>
          </w:tcPr>
          <w:p w14:paraId="0BA63C23">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14:paraId="11789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7B1D870">
            <w:pPr>
              <w:widowControl/>
              <w:jc w:val="left"/>
              <w:rPr>
                <w:rFonts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7781CD9">
            <w:pPr>
              <w:widowControl/>
              <w:jc w:val="left"/>
              <w:rPr>
                <w:rFonts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A54233D">
            <w:pPr>
              <w:widowControl/>
              <w:jc w:val="left"/>
              <w:rPr>
                <w:rFonts w:ascii="宋体" w:hAnsi="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3DB5F8D5">
            <w:pPr>
              <w:jc w:val="center"/>
              <w:rPr>
                <w:rFonts w:ascii="宋体" w:hAnsi="宋体"/>
                <w:color w:val="auto"/>
                <w:szCs w:val="21"/>
                <w:highlight w:val="none"/>
              </w:rPr>
            </w:pPr>
            <w:r>
              <w:rPr>
                <w:rFonts w:hint="eastAsia" w:ascii="宋体" w:hAnsi="宋体"/>
                <w:color w:val="auto"/>
                <w:szCs w:val="21"/>
                <w:highlight w:val="none"/>
              </w:rPr>
              <w:t>A02021005 3D打印机</w:t>
            </w:r>
          </w:p>
        </w:tc>
        <w:tc>
          <w:tcPr>
            <w:tcW w:w="3452" w:type="dxa"/>
            <w:tcBorders>
              <w:top w:val="single" w:color="000000" w:sz="4" w:space="0"/>
              <w:left w:val="single" w:color="000000" w:sz="4" w:space="0"/>
              <w:bottom w:val="single" w:color="000000" w:sz="4" w:space="0"/>
              <w:right w:val="single" w:color="000000" w:sz="4" w:space="0"/>
            </w:tcBorders>
          </w:tcPr>
          <w:p w14:paraId="409FEBC0">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14:paraId="4A42A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E28BFD0">
            <w:pPr>
              <w:widowControl/>
              <w:jc w:val="left"/>
              <w:rPr>
                <w:rFonts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FAC7095">
            <w:pPr>
              <w:widowControl/>
              <w:jc w:val="left"/>
              <w:rPr>
                <w:rFonts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C6D1D93">
            <w:pPr>
              <w:widowControl/>
              <w:jc w:val="left"/>
              <w:rPr>
                <w:rFonts w:ascii="宋体" w:hAnsi="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68622C4E">
            <w:pPr>
              <w:jc w:val="center"/>
              <w:rPr>
                <w:rFonts w:ascii="宋体" w:hAnsi="宋体"/>
                <w:color w:val="auto"/>
                <w:szCs w:val="21"/>
                <w:highlight w:val="none"/>
              </w:rPr>
            </w:pPr>
            <w:r>
              <w:rPr>
                <w:rFonts w:hint="eastAsia" w:ascii="宋体" w:hAnsi="宋体"/>
                <w:color w:val="auto"/>
                <w:szCs w:val="21"/>
                <w:highlight w:val="none"/>
              </w:rPr>
              <w:t>A02021006票据打印机</w:t>
            </w:r>
          </w:p>
        </w:tc>
        <w:tc>
          <w:tcPr>
            <w:tcW w:w="3452" w:type="dxa"/>
            <w:tcBorders>
              <w:top w:val="single" w:color="000000" w:sz="4" w:space="0"/>
              <w:left w:val="single" w:color="000000" w:sz="4" w:space="0"/>
              <w:bottom w:val="single" w:color="000000" w:sz="4" w:space="0"/>
              <w:right w:val="single" w:color="000000" w:sz="4" w:space="0"/>
            </w:tcBorders>
          </w:tcPr>
          <w:p w14:paraId="6A1DE85D">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14:paraId="6E1A4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F111A0A">
            <w:pPr>
              <w:widowControl/>
              <w:jc w:val="left"/>
              <w:rPr>
                <w:rFonts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2D62481">
            <w:pPr>
              <w:widowControl/>
              <w:jc w:val="left"/>
              <w:rPr>
                <w:rFonts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DD6642F">
            <w:pPr>
              <w:widowControl/>
              <w:jc w:val="left"/>
              <w:rPr>
                <w:rFonts w:ascii="宋体" w:hAnsi="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1E43DAC5">
            <w:pPr>
              <w:jc w:val="center"/>
              <w:rPr>
                <w:rFonts w:ascii="宋体" w:hAnsi="宋体"/>
                <w:color w:val="auto"/>
                <w:szCs w:val="21"/>
                <w:highlight w:val="none"/>
              </w:rPr>
            </w:pPr>
            <w:r>
              <w:rPr>
                <w:rFonts w:hint="eastAsia" w:ascii="宋体" w:hAnsi="宋体"/>
                <w:color w:val="auto"/>
                <w:szCs w:val="21"/>
                <w:highlight w:val="none"/>
              </w:rPr>
              <w:t>A02021007条码打印机</w:t>
            </w:r>
          </w:p>
        </w:tc>
        <w:tc>
          <w:tcPr>
            <w:tcW w:w="3452" w:type="dxa"/>
            <w:tcBorders>
              <w:top w:val="single" w:color="000000" w:sz="4" w:space="0"/>
              <w:left w:val="single" w:color="000000" w:sz="4" w:space="0"/>
              <w:bottom w:val="single" w:color="000000" w:sz="4" w:space="0"/>
              <w:right w:val="single" w:color="000000" w:sz="4" w:space="0"/>
            </w:tcBorders>
          </w:tcPr>
          <w:p w14:paraId="346E66FE">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14:paraId="2C4E0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1EE8CB4">
            <w:pPr>
              <w:widowControl/>
              <w:jc w:val="left"/>
              <w:rPr>
                <w:rFonts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ACCFC67">
            <w:pPr>
              <w:widowControl/>
              <w:jc w:val="left"/>
              <w:rPr>
                <w:rFonts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2AB8D6C">
            <w:pPr>
              <w:widowControl/>
              <w:jc w:val="left"/>
              <w:rPr>
                <w:rFonts w:ascii="宋体" w:hAnsi="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4D5B92C3">
            <w:pPr>
              <w:jc w:val="center"/>
              <w:rPr>
                <w:rFonts w:ascii="宋体" w:hAnsi="宋体"/>
                <w:color w:val="auto"/>
                <w:szCs w:val="21"/>
                <w:highlight w:val="none"/>
              </w:rPr>
            </w:pPr>
            <w:r>
              <w:rPr>
                <w:rFonts w:hint="eastAsia" w:ascii="宋体" w:hAnsi="宋体"/>
                <w:color w:val="auto"/>
                <w:szCs w:val="21"/>
                <w:highlight w:val="none"/>
              </w:rPr>
              <w:t>A02021008地址打印机</w:t>
            </w:r>
          </w:p>
        </w:tc>
        <w:tc>
          <w:tcPr>
            <w:tcW w:w="3452" w:type="dxa"/>
            <w:tcBorders>
              <w:top w:val="single" w:color="000000" w:sz="4" w:space="0"/>
              <w:left w:val="single" w:color="000000" w:sz="4" w:space="0"/>
              <w:bottom w:val="single" w:color="000000" w:sz="4" w:space="0"/>
              <w:right w:val="single" w:color="000000" w:sz="4" w:space="0"/>
            </w:tcBorders>
          </w:tcPr>
          <w:p w14:paraId="70CF62C2">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14:paraId="40342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DDF26DA">
            <w:pPr>
              <w:widowControl/>
              <w:jc w:val="left"/>
              <w:rPr>
                <w:rFonts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967460B">
            <w:pPr>
              <w:widowControl/>
              <w:jc w:val="left"/>
              <w:rPr>
                <w:rFonts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683B81E">
            <w:pPr>
              <w:widowControl/>
              <w:jc w:val="left"/>
              <w:rPr>
                <w:rFonts w:ascii="宋体" w:hAnsi="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14324ACE">
            <w:pPr>
              <w:jc w:val="center"/>
              <w:rPr>
                <w:rFonts w:ascii="宋体" w:hAnsi="宋体"/>
                <w:color w:val="auto"/>
                <w:szCs w:val="21"/>
                <w:highlight w:val="none"/>
              </w:rPr>
            </w:pPr>
            <w:r>
              <w:rPr>
                <w:rFonts w:hint="eastAsia" w:ascii="宋体" w:hAnsi="宋体"/>
                <w:color w:val="auto"/>
                <w:szCs w:val="21"/>
                <w:highlight w:val="none"/>
              </w:rPr>
              <w:t>A02021099其他打印机</w:t>
            </w:r>
          </w:p>
        </w:tc>
        <w:tc>
          <w:tcPr>
            <w:tcW w:w="3452" w:type="dxa"/>
            <w:tcBorders>
              <w:top w:val="single" w:color="000000" w:sz="4" w:space="0"/>
              <w:left w:val="single" w:color="000000" w:sz="4" w:space="0"/>
              <w:bottom w:val="single" w:color="000000" w:sz="4" w:space="0"/>
              <w:right w:val="single" w:color="000000" w:sz="4" w:space="0"/>
            </w:tcBorders>
          </w:tcPr>
          <w:p w14:paraId="33A29912">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14:paraId="40CAA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BB94059">
            <w:pPr>
              <w:widowControl/>
              <w:jc w:val="left"/>
              <w:rPr>
                <w:rFonts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9C82BD3">
            <w:pPr>
              <w:widowControl/>
              <w:jc w:val="left"/>
              <w:rPr>
                <w:rFonts w:ascii="宋体" w:hAnsi="宋体" w:cs="宋体"/>
                <w:color w:val="auto"/>
                <w:szCs w:val="21"/>
                <w:highlight w:val="none"/>
              </w:rPr>
            </w:pPr>
          </w:p>
        </w:tc>
        <w:tc>
          <w:tcPr>
            <w:tcW w:w="1496" w:type="dxa"/>
            <w:vMerge w:val="restart"/>
            <w:tcBorders>
              <w:top w:val="single" w:color="000000" w:sz="4" w:space="0"/>
              <w:left w:val="single" w:color="000000" w:sz="4" w:space="0"/>
              <w:bottom w:val="single" w:color="000000" w:sz="4" w:space="0"/>
              <w:right w:val="single" w:color="000000" w:sz="4" w:space="0"/>
            </w:tcBorders>
            <w:vAlign w:val="center"/>
          </w:tcPr>
          <w:p w14:paraId="44FF4678">
            <w:pPr>
              <w:jc w:val="center"/>
              <w:rPr>
                <w:rFonts w:ascii="宋体" w:hAnsi="宋体"/>
                <w:color w:val="auto"/>
                <w:szCs w:val="21"/>
                <w:highlight w:val="none"/>
              </w:rPr>
            </w:pPr>
            <w:r>
              <w:rPr>
                <w:rFonts w:hint="eastAsia" w:ascii="宋体" w:hAnsi="宋体"/>
                <w:color w:val="auto"/>
                <w:szCs w:val="21"/>
                <w:highlight w:val="none"/>
              </w:rPr>
              <w:t>A02021100输入输出设备</w:t>
            </w:r>
          </w:p>
        </w:tc>
        <w:tc>
          <w:tcPr>
            <w:tcW w:w="1481" w:type="dxa"/>
            <w:tcBorders>
              <w:top w:val="single" w:color="000000" w:sz="4" w:space="0"/>
              <w:left w:val="single" w:color="000000" w:sz="4" w:space="0"/>
              <w:bottom w:val="single" w:color="000000" w:sz="4" w:space="0"/>
              <w:right w:val="single" w:color="000000" w:sz="4" w:space="0"/>
            </w:tcBorders>
            <w:vAlign w:val="center"/>
          </w:tcPr>
          <w:p w14:paraId="3ADDE629">
            <w:pPr>
              <w:jc w:val="center"/>
              <w:rPr>
                <w:rFonts w:ascii="宋体" w:hAnsi="宋体"/>
                <w:color w:val="auto"/>
                <w:szCs w:val="21"/>
                <w:highlight w:val="none"/>
              </w:rPr>
            </w:pPr>
            <w:r>
              <w:rPr>
                <w:rFonts w:hint="eastAsia" w:ascii="宋体" w:hAnsi="宋体" w:cs="宋体"/>
                <w:color w:val="auto"/>
                <w:szCs w:val="21"/>
                <w:highlight w:val="none"/>
              </w:rPr>
              <w:t>★</w:t>
            </w:r>
            <w:r>
              <w:rPr>
                <w:rFonts w:hint="eastAsia" w:ascii="宋体" w:hAnsi="宋体"/>
                <w:color w:val="auto"/>
                <w:szCs w:val="21"/>
                <w:highlight w:val="none"/>
              </w:rPr>
              <w:t>A02021104液晶显示器</w:t>
            </w:r>
          </w:p>
        </w:tc>
        <w:tc>
          <w:tcPr>
            <w:tcW w:w="3452" w:type="dxa"/>
            <w:tcBorders>
              <w:top w:val="single" w:color="000000" w:sz="4" w:space="0"/>
              <w:left w:val="single" w:color="000000" w:sz="4" w:space="0"/>
              <w:bottom w:val="single" w:color="000000" w:sz="4" w:space="0"/>
              <w:right w:val="single" w:color="000000" w:sz="4" w:space="0"/>
            </w:tcBorders>
            <w:vAlign w:val="center"/>
          </w:tcPr>
          <w:p w14:paraId="3085633F">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《计算机显示器能效限定值及能效等级》（GB21520）</w:t>
            </w:r>
          </w:p>
        </w:tc>
      </w:tr>
      <w:tr w14:paraId="13FFE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B3C7A7C">
            <w:pPr>
              <w:widowControl/>
              <w:jc w:val="left"/>
              <w:rPr>
                <w:rFonts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60FB1ED">
            <w:pPr>
              <w:widowControl/>
              <w:jc w:val="left"/>
              <w:rPr>
                <w:rFonts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A16963F">
            <w:pPr>
              <w:widowControl/>
              <w:jc w:val="left"/>
              <w:rPr>
                <w:rFonts w:ascii="宋体" w:hAnsi="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0C3C1434">
            <w:pPr>
              <w:jc w:val="center"/>
              <w:rPr>
                <w:rFonts w:ascii="宋体" w:hAnsi="宋体"/>
                <w:color w:val="auto"/>
                <w:szCs w:val="21"/>
                <w:highlight w:val="none"/>
              </w:rPr>
            </w:pPr>
            <w:r>
              <w:rPr>
                <w:rFonts w:hint="eastAsia" w:ascii="宋体" w:hAnsi="宋体"/>
                <w:color w:val="auto"/>
                <w:szCs w:val="21"/>
                <w:highlight w:val="none"/>
              </w:rPr>
              <w:t>A02021118扫描仪</w:t>
            </w:r>
          </w:p>
        </w:tc>
        <w:tc>
          <w:tcPr>
            <w:tcW w:w="3452" w:type="dxa"/>
            <w:tcBorders>
              <w:top w:val="single" w:color="000000" w:sz="4" w:space="0"/>
              <w:left w:val="single" w:color="000000" w:sz="4" w:space="0"/>
              <w:bottom w:val="single" w:color="000000" w:sz="4" w:space="0"/>
              <w:right w:val="single" w:color="000000" w:sz="4" w:space="0"/>
            </w:tcBorders>
            <w:vAlign w:val="center"/>
          </w:tcPr>
          <w:p w14:paraId="37851E5A">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参照《复印机、打印机和传真机能效限定值及能效等级》（GB21521）中打印速度为15页/分的针式打印机相关要求</w:t>
            </w:r>
          </w:p>
        </w:tc>
      </w:tr>
      <w:tr w14:paraId="20438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05C10A0B">
            <w:pPr>
              <w:jc w:val="center"/>
              <w:rPr>
                <w:rFonts w:ascii="宋体" w:hAnsi="宋体"/>
                <w:color w:val="auto"/>
                <w:szCs w:val="21"/>
                <w:highlight w:val="none"/>
              </w:rPr>
            </w:pPr>
            <w:r>
              <w:rPr>
                <w:rFonts w:hint="eastAsia" w:ascii="宋体" w:hAnsi="宋体"/>
                <w:color w:val="auto"/>
                <w:szCs w:val="21"/>
                <w:highlight w:val="none"/>
              </w:rPr>
              <w:t>3</w:t>
            </w:r>
          </w:p>
        </w:tc>
        <w:tc>
          <w:tcPr>
            <w:tcW w:w="1422" w:type="dxa"/>
            <w:tcBorders>
              <w:top w:val="single" w:color="000000" w:sz="4" w:space="0"/>
              <w:left w:val="single" w:color="000000" w:sz="4" w:space="0"/>
              <w:bottom w:val="single" w:color="000000" w:sz="4" w:space="0"/>
              <w:right w:val="single" w:color="000000" w:sz="4" w:space="0"/>
            </w:tcBorders>
            <w:vAlign w:val="center"/>
          </w:tcPr>
          <w:p w14:paraId="0F64BFDB">
            <w:pPr>
              <w:jc w:val="center"/>
              <w:rPr>
                <w:rFonts w:ascii="宋体" w:hAnsi="宋体"/>
                <w:color w:val="auto"/>
                <w:szCs w:val="21"/>
                <w:highlight w:val="none"/>
              </w:rPr>
            </w:pPr>
            <w:r>
              <w:rPr>
                <w:rFonts w:hint="eastAsia" w:ascii="宋体" w:hAnsi="宋体"/>
                <w:color w:val="auto"/>
                <w:szCs w:val="21"/>
                <w:highlight w:val="none"/>
              </w:rPr>
              <w:t>A02020200投影仪</w:t>
            </w:r>
          </w:p>
        </w:tc>
        <w:tc>
          <w:tcPr>
            <w:tcW w:w="1496" w:type="dxa"/>
            <w:tcBorders>
              <w:top w:val="single" w:color="000000" w:sz="4" w:space="0"/>
              <w:left w:val="single" w:color="000000" w:sz="4" w:space="0"/>
              <w:bottom w:val="single" w:color="000000" w:sz="4" w:space="0"/>
              <w:right w:val="single" w:color="000000" w:sz="4" w:space="0"/>
            </w:tcBorders>
            <w:vAlign w:val="center"/>
          </w:tcPr>
          <w:p w14:paraId="372F76AE">
            <w:pPr>
              <w:jc w:val="center"/>
              <w:rPr>
                <w:rFonts w:ascii="宋体" w:hAnsi="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7B864DD9">
            <w:pPr>
              <w:jc w:val="center"/>
              <w:rPr>
                <w:rFonts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vAlign w:val="center"/>
          </w:tcPr>
          <w:p w14:paraId="2AB48925">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《投影机能效限定值及能效等级》（GB32028）</w:t>
            </w:r>
          </w:p>
        </w:tc>
      </w:tr>
      <w:tr w14:paraId="59ADC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1947150E">
            <w:pPr>
              <w:jc w:val="center"/>
              <w:rPr>
                <w:rFonts w:ascii="宋体" w:hAnsi="宋体"/>
                <w:color w:val="auto"/>
                <w:szCs w:val="21"/>
                <w:highlight w:val="none"/>
              </w:rPr>
            </w:pPr>
            <w:r>
              <w:rPr>
                <w:rFonts w:hint="eastAsia" w:ascii="宋体" w:hAnsi="宋体"/>
                <w:color w:val="auto"/>
                <w:szCs w:val="21"/>
                <w:highlight w:val="none"/>
              </w:rPr>
              <w:t>4</w:t>
            </w:r>
          </w:p>
        </w:tc>
        <w:tc>
          <w:tcPr>
            <w:tcW w:w="1422" w:type="dxa"/>
            <w:tcBorders>
              <w:top w:val="single" w:color="000000" w:sz="4" w:space="0"/>
              <w:left w:val="single" w:color="000000" w:sz="4" w:space="0"/>
              <w:bottom w:val="single" w:color="000000" w:sz="4" w:space="0"/>
              <w:right w:val="single" w:color="000000" w:sz="4" w:space="0"/>
            </w:tcBorders>
            <w:vAlign w:val="center"/>
          </w:tcPr>
          <w:p w14:paraId="064C1A7C">
            <w:pPr>
              <w:pStyle w:val="272"/>
              <w:spacing w:before="66"/>
              <w:ind w:left="7"/>
              <w:jc w:val="center"/>
              <w:rPr>
                <w:rFonts w:ascii="宋体" w:hAnsi="宋体" w:cs="宋体"/>
                <w:color w:val="auto"/>
                <w:sz w:val="21"/>
                <w:szCs w:val="21"/>
                <w:highlight w:val="none"/>
              </w:rPr>
            </w:pPr>
            <w:r>
              <w:rPr>
                <w:rFonts w:hint="eastAsia" w:ascii="宋体" w:hAnsi="宋体" w:cs="仿宋_GB2312"/>
                <w:color w:val="auto"/>
                <w:sz w:val="21"/>
                <w:szCs w:val="21"/>
                <w:highlight w:val="none"/>
              </w:rPr>
              <w:t>A02020400</w:t>
            </w:r>
            <w:r>
              <w:rPr>
                <w:rFonts w:hint="eastAsia" w:ascii="宋体" w:hAnsi="宋体" w:cs="宋体"/>
                <w:color w:val="auto"/>
                <w:sz w:val="21"/>
                <w:szCs w:val="21"/>
                <w:highlight w:val="none"/>
              </w:rPr>
              <w:t>多功能一体机</w:t>
            </w:r>
          </w:p>
        </w:tc>
        <w:tc>
          <w:tcPr>
            <w:tcW w:w="1496" w:type="dxa"/>
            <w:tcBorders>
              <w:top w:val="single" w:color="000000" w:sz="4" w:space="0"/>
              <w:left w:val="single" w:color="000000" w:sz="4" w:space="0"/>
              <w:bottom w:val="single" w:color="000000" w:sz="4" w:space="0"/>
              <w:right w:val="single" w:color="000000" w:sz="4" w:space="0"/>
            </w:tcBorders>
            <w:vAlign w:val="center"/>
          </w:tcPr>
          <w:p w14:paraId="3BFDF0A9">
            <w:pPr>
              <w:jc w:val="center"/>
              <w:rPr>
                <w:rFonts w:ascii="宋体" w:hAnsi="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301FCD79">
            <w:pPr>
              <w:jc w:val="center"/>
              <w:rPr>
                <w:rFonts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vAlign w:val="center"/>
          </w:tcPr>
          <w:p w14:paraId="35D19980">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14:paraId="6B185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41A0070C">
            <w:pPr>
              <w:pStyle w:val="272"/>
              <w:spacing w:before="160"/>
              <w:ind w:right="1"/>
              <w:jc w:val="center"/>
              <w:rPr>
                <w:rFonts w:ascii="宋体" w:hAnsi="宋体" w:cs="宋体"/>
                <w:color w:val="auto"/>
                <w:sz w:val="21"/>
                <w:szCs w:val="21"/>
                <w:highlight w:val="none"/>
              </w:rPr>
            </w:pPr>
            <w:r>
              <w:rPr>
                <w:rFonts w:hint="eastAsia" w:ascii="宋体" w:hAnsi="宋体"/>
                <w:color w:val="auto"/>
                <w:sz w:val="21"/>
                <w:szCs w:val="21"/>
                <w:highlight w:val="none"/>
              </w:rPr>
              <w:t>5</w:t>
            </w:r>
          </w:p>
        </w:tc>
        <w:tc>
          <w:tcPr>
            <w:tcW w:w="1422" w:type="dxa"/>
            <w:tcBorders>
              <w:top w:val="single" w:color="000000" w:sz="4" w:space="0"/>
              <w:left w:val="single" w:color="000000" w:sz="4" w:space="0"/>
              <w:bottom w:val="single" w:color="000000" w:sz="4" w:space="0"/>
              <w:right w:val="single" w:color="000000" w:sz="4" w:space="0"/>
            </w:tcBorders>
            <w:vAlign w:val="center"/>
          </w:tcPr>
          <w:p w14:paraId="21C8F487">
            <w:pPr>
              <w:pStyle w:val="272"/>
              <w:spacing w:before="160"/>
              <w:ind w:left="7"/>
              <w:jc w:val="center"/>
              <w:rPr>
                <w:rFonts w:ascii="宋体" w:hAnsi="宋体" w:cs="宋体"/>
                <w:color w:val="auto"/>
                <w:sz w:val="21"/>
                <w:szCs w:val="21"/>
                <w:highlight w:val="none"/>
              </w:rPr>
            </w:pPr>
            <w:r>
              <w:rPr>
                <w:rFonts w:hint="eastAsia" w:ascii="宋体" w:hAnsi="宋体" w:cs="仿宋_GB2312"/>
                <w:color w:val="auto"/>
                <w:sz w:val="21"/>
                <w:szCs w:val="21"/>
                <w:highlight w:val="none"/>
              </w:rPr>
              <w:t>A02051900</w:t>
            </w:r>
            <w:r>
              <w:rPr>
                <w:rFonts w:hint="eastAsia" w:ascii="宋体" w:hAnsi="宋体" w:cs="宋体"/>
                <w:color w:val="auto"/>
                <w:sz w:val="21"/>
                <w:szCs w:val="21"/>
                <w:highlight w:val="none"/>
              </w:rPr>
              <w:t>泵</w:t>
            </w:r>
          </w:p>
        </w:tc>
        <w:tc>
          <w:tcPr>
            <w:tcW w:w="1496" w:type="dxa"/>
            <w:tcBorders>
              <w:top w:val="single" w:color="000000" w:sz="4" w:space="0"/>
              <w:left w:val="single" w:color="000000" w:sz="4" w:space="0"/>
              <w:bottom w:val="single" w:color="000000" w:sz="4" w:space="0"/>
              <w:right w:val="single" w:color="000000" w:sz="4" w:space="0"/>
            </w:tcBorders>
            <w:vAlign w:val="center"/>
          </w:tcPr>
          <w:p w14:paraId="4E0B7571">
            <w:pPr>
              <w:pStyle w:val="272"/>
              <w:spacing w:before="160"/>
              <w:ind w:left="7"/>
              <w:jc w:val="center"/>
              <w:rPr>
                <w:rFonts w:ascii="宋体" w:hAnsi="宋体" w:cs="宋体"/>
                <w:color w:val="auto"/>
                <w:sz w:val="21"/>
                <w:szCs w:val="21"/>
                <w:highlight w:val="none"/>
              </w:rPr>
            </w:pPr>
            <w:r>
              <w:rPr>
                <w:rFonts w:hint="eastAsia" w:ascii="宋体" w:hAnsi="宋体" w:cs="宋体"/>
                <w:color w:val="auto"/>
                <w:spacing w:val="1"/>
                <w:sz w:val="21"/>
                <w:szCs w:val="21"/>
                <w:highlight w:val="none"/>
              </w:rPr>
              <w:t>A02</w:t>
            </w:r>
            <w:r>
              <w:rPr>
                <w:rFonts w:hint="eastAsia" w:ascii="宋体" w:hAnsi="宋体" w:cs="宋体"/>
                <w:color w:val="auto"/>
                <w:sz w:val="21"/>
                <w:szCs w:val="21"/>
                <w:highlight w:val="none"/>
              </w:rPr>
              <w:t>05</w:t>
            </w:r>
            <w:r>
              <w:rPr>
                <w:rFonts w:hint="eastAsia" w:ascii="宋体" w:hAnsi="宋体" w:cs="宋体"/>
                <w:color w:val="auto"/>
                <w:spacing w:val="1"/>
                <w:sz w:val="21"/>
                <w:szCs w:val="21"/>
                <w:highlight w:val="none"/>
              </w:rPr>
              <w:t>1</w:t>
            </w:r>
            <w:r>
              <w:rPr>
                <w:rFonts w:hint="eastAsia" w:ascii="宋体" w:hAnsi="宋体" w:cs="宋体"/>
                <w:color w:val="auto"/>
                <w:sz w:val="21"/>
                <w:szCs w:val="21"/>
                <w:highlight w:val="none"/>
              </w:rPr>
              <w:t>901离心泵</w:t>
            </w:r>
          </w:p>
        </w:tc>
        <w:tc>
          <w:tcPr>
            <w:tcW w:w="1481" w:type="dxa"/>
            <w:tcBorders>
              <w:top w:val="single" w:color="000000" w:sz="4" w:space="0"/>
              <w:left w:val="single" w:color="000000" w:sz="4" w:space="0"/>
              <w:bottom w:val="single" w:color="000000" w:sz="4" w:space="0"/>
              <w:right w:val="single" w:color="000000" w:sz="4" w:space="0"/>
            </w:tcBorders>
            <w:vAlign w:val="center"/>
          </w:tcPr>
          <w:p w14:paraId="63D483E1">
            <w:pPr>
              <w:jc w:val="center"/>
              <w:rPr>
                <w:rFonts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tcPr>
          <w:p w14:paraId="0A90E742">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《清水离心泵能效限定值及节能评价值》（GB19762）</w:t>
            </w:r>
          </w:p>
        </w:tc>
      </w:tr>
      <w:tr w14:paraId="0AE28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51FAFCD9">
            <w:pPr>
              <w:jc w:val="center"/>
              <w:rPr>
                <w:rFonts w:ascii="宋体" w:hAnsi="宋体"/>
                <w:color w:val="auto"/>
                <w:szCs w:val="21"/>
                <w:highlight w:val="none"/>
              </w:rPr>
            </w:pPr>
            <w:r>
              <w:rPr>
                <w:rFonts w:hint="eastAsia" w:ascii="宋体" w:hAnsi="宋体"/>
                <w:color w:val="auto"/>
                <w:szCs w:val="21"/>
                <w:highlight w:val="none"/>
              </w:rPr>
              <w:t>6</w:t>
            </w:r>
          </w:p>
        </w:tc>
        <w:tc>
          <w:tcPr>
            <w:tcW w:w="1422" w:type="dxa"/>
            <w:vMerge w:val="restart"/>
            <w:tcBorders>
              <w:top w:val="single" w:color="000000" w:sz="4" w:space="0"/>
              <w:left w:val="single" w:color="000000" w:sz="4" w:space="0"/>
              <w:bottom w:val="single" w:color="000000" w:sz="4" w:space="0"/>
              <w:right w:val="single" w:color="000000" w:sz="4" w:space="0"/>
            </w:tcBorders>
            <w:vAlign w:val="center"/>
          </w:tcPr>
          <w:p w14:paraId="4AD15DC0">
            <w:pPr>
              <w:pStyle w:val="272"/>
              <w:jc w:val="center"/>
              <w:rPr>
                <w:rFonts w:ascii="宋体" w:hAnsi="宋体" w:cs="宋体"/>
                <w:color w:val="auto"/>
                <w:sz w:val="21"/>
                <w:szCs w:val="21"/>
                <w:highlight w:val="none"/>
              </w:rPr>
            </w:pPr>
            <w:r>
              <w:rPr>
                <w:rFonts w:hint="eastAsia" w:ascii="宋体" w:hAnsi="宋体" w:cs="仿宋_GB2312"/>
                <w:color w:val="auto"/>
                <w:sz w:val="21"/>
                <w:szCs w:val="21"/>
                <w:highlight w:val="none"/>
              </w:rPr>
              <w:t>A02052300</w:t>
            </w:r>
            <w:r>
              <w:rPr>
                <w:rFonts w:hint="eastAsia" w:ascii="宋体" w:hAnsi="宋体" w:cs="宋体"/>
                <w:color w:val="auto"/>
                <w:sz w:val="21"/>
                <w:szCs w:val="21"/>
                <w:highlight w:val="none"/>
              </w:rPr>
              <w:t>制冷空调设备</w:t>
            </w:r>
          </w:p>
        </w:tc>
        <w:tc>
          <w:tcPr>
            <w:tcW w:w="1496" w:type="dxa"/>
            <w:vMerge w:val="restart"/>
            <w:tcBorders>
              <w:top w:val="single" w:color="000000" w:sz="4" w:space="0"/>
              <w:left w:val="single" w:color="000000" w:sz="4" w:space="0"/>
              <w:bottom w:val="single" w:color="000000" w:sz="4" w:space="0"/>
              <w:right w:val="single" w:color="000000" w:sz="4" w:space="0"/>
            </w:tcBorders>
            <w:vAlign w:val="center"/>
          </w:tcPr>
          <w:p w14:paraId="47C87E9D">
            <w:pPr>
              <w:pStyle w:val="272"/>
              <w:spacing w:line="276" w:lineRule="auto"/>
              <w:ind w:right="5"/>
              <w:jc w:val="center"/>
              <w:rPr>
                <w:rFonts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pacing w:val="1"/>
                <w:sz w:val="21"/>
                <w:szCs w:val="21"/>
                <w:highlight w:val="none"/>
              </w:rPr>
              <w:t>A020</w:t>
            </w:r>
            <w:r>
              <w:rPr>
                <w:rFonts w:hint="eastAsia" w:ascii="宋体" w:hAnsi="宋体" w:cs="宋体"/>
                <w:color w:val="auto"/>
                <w:sz w:val="21"/>
                <w:szCs w:val="21"/>
                <w:highlight w:val="none"/>
              </w:rPr>
              <w:t>52</w:t>
            </w:r>
            <w:r>
              <w:rPr>
                <w:rFonts w:hint="eastAsia" w:ascii="宋体" w:hAnsi="宋体" w:cs="宋体"/>
                <w:color w:val="auto"/>
                <w:spacing w:val="1"/>
                <w:sz w:val="21"/>
                <w:szCs w:val="21"/>
                <w:highlight w:val="none"/>
              </w:rPr>
              <w:t>3</w:t>
            </w:r>
            <w:r>
              <w:rPr>
                <w:rFonts w:hint="eastAsia" w:ascii="宋体" w:hAnsi="宋体" w:cs="宋体"/>
                <w:color w:val="auto"/>
                <w:sz w:val="21"/>
                <w:szCs w:val="21"/>
                <w:highlight w:val="none"/>
              </w:rPr>
              <w:t>01制冷压缩机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0EE2A129">
            <w:pPr>
              <w:pStyle w:val="272"/>
              <w:jc w:val="center"/>
              <w:rPr>
                <w:rFonts w:ascii="宋体" w:hAnsi="宋体" w:cs="宋体"/>
                <w:color w:val="auto"/>
                <w:sz w:val="21"/>
                <w:szCs w:val="21"/>
                <w:highlight w:val="none"/>
              </w:rPr>
            </w:pPr>
            <w:r>
              <w:rPr>
                <w:rFonts w:hint="eastAsia" w:ascii="宋体" w:hAnsi="宋体" w:cs="宋体"/>
                <w:color w:val="auto"/>
                <w:sz w:val="21"/>
                <w:szCs w:val="21"/>
                <w:highlight w:val="none"/>
              </w:rPr>
              <w:t>冷水机组</w:t>
            </w:r>
          </w:p>
        </w:tc>
        <w:tc>
          <w:tcPr>
            <w:tcW w:w="3452" w:type="dxa"/>
            <w:tcBorders>
              <w:top w:val="single" w:color="000000" w:sz="4" w:space="0"/>
              <w:left w:val="single" w:color="000000" w:sz="4" w:space="0"/>
              <w:bottom w:val="single" w:color="000000" w:sz="4" w:space="0"/>
              <w:right w:val="single" w:color="000000" w:sz="4" w:space="0"/>
            </w:tcBorders>
          </w:tcPr>
          <w:p w14:paraId="062DC0C2">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《冷水机组能效限定值及能效等级》（GB19577），《低环境温度空气源热泵（冷水）机组能效限定值及能效等级》（GB37480）</w:t>
            </w:r>
          </w:p>
        </w:tc>
      </w:tr>
      <w:tr w14:paraId="5E03D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E695BBE">
            <w:pPr>
              <w:widowControl/>
              <w:jc w:val="left"/>
              <w:rPr>
                <w:rFonts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6B42077">
            <w:pPr>
              <w:widowControl/>
              <w:jc w:val="left"/>
              <w:rPr>
                <w:rFonts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F2ADE89">
            <w:pPr>
              <w:widowControl/>
              <w:jc w:val="left"/>
              <w:rPr>
                <w:rFonts w:ascii="宋体" w:hAnsi="宋体" w:cs="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1AD97D10">
            <w:pPr>
              <w:jc w:val="center"/>
              <w:rPr>
                <w:rFonts w:ascii="宋体" w:hAnsi="宋体"/>
                <w:color w:val="auto"/>
                <w:szCs w:val="21"/>
                <w:highlight w:val="none"/>
              </w:rPr>
            </w:pPr>
            <w:r>
              <w:rPr>
                <w:rFonts w:hint="eastAsia" w:ascii="宋体" w:hAnsi="宋体"/>
                <w:color w:val="auto"/>
                <w:szCs w:val="21"/>
                <w:highlight w:val="none"/>
              </w:rPr>
              <w:t>溴化锂吸收式冷水机组</w:t>
            </w:r>
          </w:p>
        </w:tc>
        <w:tc>
          <w:tcPr>
            <w:tcW w:w="3452" w:type="dxa"/>
            <w:tcBorders>
              <w:top w:val="single" w:color="000000" w:sz="4" w:space="0"/>
              <w:left w:val="single" w:color="000000" w:sz="4" w:space="0"/>
              <w:bottom w:val="single" w:color="000000" w:sz="4" w:space="0"/>
              <w:right w:val="single" w:color="000000" w:sz="4" w:space="0"/>
            </w:tcBorders>
            <w:vAlign w:val="center"/>
          </w:tcPr>
          <w:p w14:paraId="6133778F">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《溴化锂吸收式冷水机组能效限</w:t>
            </w:r>
          </w:p>
          <w:p w14:paraId="46BDFB98">
            <w:pPr>
              <w:spacing w:before="131" w:line="276" w:lineRule="auto"/>
              <w:ind w:right="4"/>
              <w:rPr>
                <w:rFonts w:ascii="宋体" w:hAnsi="宋体" w:cs="宋体"/>
                <w:color w:val="auto"/>
                <w:spacing w:val="10"/>
                <w:szCs w:val="21"/>
                <w:highlight w:val="none"/>
              </w:rPr>
            </w:pPr>
            <w:r>
              <w:rPr>
                <w:rFonts w:hint="eastAsia" w:ascii="宋体" w:hAnsi="宋体" w:cs="宋体"/>
                <w:color w:val="auto"/>
                <w:spacing w:val="10"/>
                <w:szCs w:val="21"/>
                <w:highlight w:val="none"/>
              </w:rPr>
              <w:t>定值及能效等级》（GB29540）</w:t>
            </w:r>
          </w:p>
        </w:tc>
      </w:tr>
      <w:tr w14:paraId="2FB19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3127BC7">
            <w:pPr>
              <w:widowControl/>
              <w:jc w:val="left"/>
              <w:rPr>
                <w:rFonts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5685273">
            <w:pPr>
              <w:widowControl/>
              <w:jc w:val="left"/>
              <w:rPr>
                <w:rFonts w:ascii="宋体" w:hAnsi="宋体" w:cs="宋体"/>
                <w:color w:val="auto"/>
                <w:szCs w:val="21"/>
                <w:highlight w:val="none"/>
              </w:rPr>
            </w:pPr>
          </w:p>
        </w:tc>
        <w:tc>
          <w:tcPr>
            <w:tcW w:w="1496" w:type="dxa"/>
            <w:vMerge w:val="restart"/>
            <w:tcBorders>
              <w:top w:val="single" w:color="000000" w:sz="4" w:space="0"/>
              <w:left w:val="single" w:color="000000" w:sz="4" w:space="0"/>
              <w:bottom w:val="single" w:color="000000" w:sz="4" w:space="0"/>
              <w:right w:val="single" w:color="000000" w:sz="4" w:space="0"/>
            </w:tcBorders>
            <w:vAlign w:val="center"/>
          </w:tcPr>
          <w:p w14:paraId="7F1DEE58">
            <w:pPr>
              <w:pStyle w:val="272"/>
              <w:spacing w:line="276" w:lineRule="auto"/>
              <w:ind w:right="5"/>
              <w:jc w:val="center"/>
              <w:rPr>
                <w:rFonts w:ascii="宋体" w:hAnsi="宋体" w:cs="宋体"/>
                <w:color w:val="auto"/>
                <w:sz w:val="21"/>
                <w:szCs w:val="21"/>
                <w:highlight w:val="none"/>
              </w:rPr>
            </w:pPr>
            <w:r>
              <w:rPr>
                <w:rFonts w:hint="eastAsia" w:ascii="宋体" w:hAnsi="宋体" w:cs="宋体"/>
                <w:color w:val="auto"/>
                <w:sz w:val="21"/>
                <w:szCs w:val="21"/>
                <w:highlight w:val="none"/>
              </w:rPr>
              <w:t>★A02052305空调机组</w:t>
            </w:r>
          </w:p>
        </w:tc>
        <w:tc>
          <w:tcPr>
            <w:tcW w:w="1481" w:type="dxa"/>
            <w:tcBorders>
              <w:top w:val="single" w:color="000000" w:sz="4" w:space="0"/>
              <w:left w:val="single" w:color="000000" w:sz="4" w:space="0"/>
              <w:bottom w:val="single" w:color="000000" w:sz="4" w:space="0"/>
              <w:right w:val="single" w:color="000000" w:sz="4" w:space="0"/>
            </w:tcBorders>
            <w:vAlign w:val="center"/>
          </w:tcPr>
          <w:p w14:paraId="0C954B79">
            <w:pPr>
              <w:pStyle w:val="272"/>
              <w:spacing w:before="4" w:line="276" w:lineRule="auto"/>
              <w:ind w:left="7" w:right="7"/>
              <w:jc w:val="center"/>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多联式空调（热泵）机组（制冷量＞14000W）</w:t>
            </w:r>
          </w:p>
        </w:tc>
        <w:tc>
          <w:tcPr>
            <w:tcW w:w="3452" w:type="dxa"/>
            <w:tcBorders>
              <w:top w:val="single" w:color="000000" w:sz="4" w:space="0"/>
              <w:left w:val="single" w:color="000000" w:sz="4" w:space="0"/>
              <w:bottom w:val="single" w:color="000000" w:sz="4" w:space="0"/>
              <w:right w:val="single" w:color="000000" w:sz="4" w:space="0"/>
            </w:tcBorders>
          </w:tcPr>
          <w:p w14:paraId="302E5E10">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《多联式空调（热泵）机组能效限定值及能源效率等级》（GB21454）</w:t>
            </w:r>
          </w:p>
        </w:tc>
      </w:tr>
      <w:tr w14:paraId="2804F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EF40DF7">
            <w:pPr>
              <w:widowControl/>
              <w:jc w:val="left"/>
              <w:rPr>
                <w:rFonts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1E99283">
            <w:pPr>
              <w:widowControl/>
              <w:jc w:val="left"/>
              <w:rPr>
                <w:rFonts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84355C5">
            <w:pPr>
              <w:widowControl/>
              <w:jc w:val="left"/>
              <w:rPr>
                <w:rFonts w:ascii="宋体" w:hAnsi="宋体" w:cs="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01EAD80C">
            <w:pPr>
              <w:jc w:val="center"/>
              <w:rPr>
                <w:rFonts w:ascii="宋体" w:hAnsi="宋体"/>
                <w:color w:val="auto"/>
                <w:szCs w:val="21"/>
                <w:highlight w:val="none"/>
              </w:rPr>
            </w:pPr>
            <w:r>
              <w:rPr>
                <w:rFonts w:hint="eastAsia" w:ascii="宋体" w:hAnsi="宋体" w:cs="宋体"/>
                <w:color w:val="auto"/>
                <w:szCs w:val="21"/>
                <w:highlight w:val="none"/>
              </w:rPr>
              <w:t>单元式空气调节机</w:t>
            </w:r>
          </w:p>
        </w:tc>
        <w:tc>
          <w:tcPr>
            <w:tcW w:w="3452" w:type="dxa"/>
            <w:tcBorders>
              <w:top w:val="single" w:color="000000" w:sz="4" w:space="0"/>
              <w:left w:val="single" w:color="000000" w:sz="4" w:space="0"/>
              <w:bottom w:val="single" w:color="000000" w:sz="4" w:space="0"/>
              <w:right w:val="single" w:color="000000" w:sz="4" w:space="0"/>
            </w:tcBorders>
          </w:tcPr>
          <w:p w14:paraId="193CEE36">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《单元式空气调节机能效限定值及能效等级》（GB19576）《风管送风式空调机组能效限定值及能效等级》（GB37479）</w:t>
            </w:r>
          </w:p>
        </w:tc>
      </w:tr>
      <w:tr w14:paraId="27300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7310A64">
            <w:pPr>
              <w:widowControl/>
              <w:jc w:val="left"/>
              <w:rPr>
                <w:rFonts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F5B488A">
            <w:pPr>
              <w:widowControl/>
              <w:jc w:val="left"/>
              <w:rPr>
                <w:rFonts w:ascii="宋体" w:hAnsi="宋体" w:cs="宋体"/>
                <w:color w:val="auto"/>
                <w:szCs w:val="21"/>
                <w:highlight w:val="none"/>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123094B7">
            <w:pPr>
              <w:pStyle w:val="272"/>
              <w:spacing w:before="83"/>
              <w:ind w:left="7"/>
              <w:jc w:val="center"/>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★A02052309专用制冷、空调设备</w:t>
            </w:r>
          </w:p>
        </w:tc>
        <w:tc>
          <w:tcPr>
            <w:tcW w:w="1481" w:type="dxa"/>
            <w:tcBorders>
              <w:top w:val="single" w:color="000000" w:sz="4" w:space="0"/>
              <w:left w:val="single" w:color="000000" w:sz="4" w:space="0"/>
              <w:bottom w:val="single" w:color="000000" w:sz="4" w:space="0"/>
              <w:right w:val="single" w:color="000000" w:sz="4" w:space="0"/>
            </w:tcBorders>
            <w:vAlign w:val="center"/>
          </w:tcPr>
          <w:p w14:paraId="75C55C1E">
            <w:pPr>
              <w:pStyle w:val="272"/>
              <w:jc w:val="center"/>
              <w:rPr>
                <w:rFonts w:ascii="宋体" w:hAnsi="宋体" w:cs="宋体"/>
                <w:color w:val="auto"/>
                <w:sz w:val="21"/>
                <w:szCs w:val="21"/>
                <w:highlight w:val="none"/>
              </w:rPr>
            </w:pPr>
            <w:r>
              <w:rPr>
                <w:rFonts w:hint="eastAsia" w:ascii="宋体" w:hAnsi="宋体" w:cs="宋体"/>
                <w:color w:val="auto"/>
                <w:sz w:val="21"/>
                <w:szCs w:val="21"/>
                <w:highlight w:val="none"/>
              </w:rPr>
              <w:t>机房空调</w:t>
            </w:r>
          </w:p>
        </w:tc>
        <w:tc>
          <w:tcPr>
            <w:tcW w:w="3452" w:type="dxa"/>
            <w:tcBorders>
              <w:top w:val="single" w:color="000000" w:sz="4" w:space="0"/>
              <w:left w:val="single" w:color="000000" w:sz="4" w:space="0"/>
              <w:bottom w:val="single" w:color="000000" w:sz="4" w:space="0"/>
              <w:right w:val="single" w:color="000000" w:sz="4" w:space="0"/>
            </w:tcBorders>
          </w:tcPr>
          <w:p w14:paraId="3C93B7A4">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《单元式空气调节机能效限定值</w:t>
            </w:r>
          </w:p>
          <w:p w14:paraId="298FAC3C">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及能效等级》（GB19576）</w:t>
            </w:r>
          </w:p>
        </w:tc>
      </w:tr>
      <w:tr w14:paraId="0A730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F460F6E">
            <w:pPr>
              <w:widowControl/>
              <w:jc w:val="left"/>
              <w:rPr>
                <w:rFonts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674B9DD">
            <w:pPr>
              <w:widowControl/>
              <w:jc w:val="left"/>
              <w:rPr>
                <w:rFonts w:ascii="宋体" w:hAnsi="宋体" w:cs="宋体"/>
                <w:color w:val="auto"/>
                <w:szCs w:val="21"/>
                <w:highlight w:val="none"/>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4F51C66B">
            <w:pPr>
              <w:pStyle w:val="272"/>
              <w:spacing w:line="254" w:lineRule="exact"/>
              <w:ind w:left="7"/>
              <w:jc w:val="center"/>
              <w:rPr>
                <w:rFonts w:ascii="宋体" w:hAnsi="宋体" w:cs="宋体"/>
                <w:color w:val="auto"/>
                <w:sz w:val="21"/>
                <w:szCs w:val="21"/>
                <w:highlight w:val="none"/>
              </w:rPr>
            </w:pPr>
            <w:r>
              <w:rPr>
                <w:rFonts w:hint="eastAsia" w:ascii="宋体" w:hAnsi="宋体" w:cs="宋体"/>
                <w:color w:val="auto"/>
                <w:sz w:val="21"/>
                <w:szCs w:val="21"/>
                <w:highlight w:val="none"/>
              </w:rPr>
              <w:t>A02052399其他制冷</w:t>
            </w:r>
          </w:p>
          <w:p w14:paraId="1DD8948C">
            <w:pPr>
              <w:pStyle w:val="272"/>
              <w:spacing w:line="254" w:lineRule="exact"/>
              <w:ind w:left="7"/>
              <w:jc w:val="center"/>
              <w:rPr>
                <w:rFonts w:ascii="宋体" w:hAnsi="宋体" w:cs="宋体"/>
                <w:color w:val="auto"/>
                <w:sz w:val="21"/>
                <w:szCs w:val="21"/>
                <w:highlight w:val="none"/>
              </w:rPr>
            </w:pPr>
            <w:r>
              <w:rPr>
                <w:rFonts w:hint="eastAsia" w:ascii="宋体" w:hAnsi="宋体" w:cs="宋体"/>
                <w:color w:val="auto"/>
                <w:sz w:val="21"/>
                <w:szCs w:val="21"/>
                <w:highlight w:val="none"/>
              </w:rPr>
              <w:t>空调设备</w:t>
            </w:r>
          </w:p>
        </w:tc>
        <w:tc>
          <w:tcPr>
            <w:tcW w:w="1481" w:type="dxa"/>
            <w:tcBorders>
              <w:top w:val="single" w:color="000000" w:sz="4" w:space="0"/>
              <w:left w:val="single" w:color="000000" w:sz="4" w:space="0"/>
              <w:bottom w:val="single" w:color="000000" w:sz="4" w:space="0"/>
              <w:right w:val="single" w:color="000000" w:sz="4" w:space="0"/>
            </w:tcBorders>
            <w:vAlign w:val="center"/>
          </w:tcPr>
          <w:p w14:paraId="1DDD41CF">
            <w:pPr>
              <w:widowControl/>
              <w:jc w:val="center"/>
              <w:rPr>
                <w:rFonts w:ascii="宋体" w:hAnsi="宋体" w:cs="宋体"/>
                <w:color w:val="auto"/>
                <w:szCs w:val="21"/>
                <w:highlight w:val="none"/>
                <w:lang w:eastAsia="en-US"/>
              </w:rPr>
            </w:pPr>
            <w:r>
              <w:rPr>
                <w:rFonts w:hint="eastAsia" w:ascii="宋体" w:hAnsi="宋体" w:cs="宋体"/>
                <w:color w:val="auto"/>
                <w:szCs w:val="21"/>
                <w:highlight w:val="none"/>
              </w:rPr>
              <w:t>冷却塔</w:t>
            </w:r>
          </w:p>
        </w:tc>
        <w:tc>
          <w:tcPr>
            <w:tcW w:w="3452" w:type="dxa"/>
            <w:tcBorders>
              <w:top w:val="single" w:color="000000" w:sz="4" w:space="0"/>
              <w:left w:val="single" w:color="000000" w:sz="4" w:space="0"/>
              <w:bottom w:val="single" w:color="000000" w:sz="4" w:space="0"/>
              <w:right w:val="single" w:color="000000" w:sz="4" w:space="0"/>
            </w:tcBorders>
          </w:tcPr>
          <w:p w14:paraId="673BE886">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《机械通风冷却塔第1部分：中小型开式冷却塔》（GB/T7190.1）</w:t>
            </w:r>
          </w:p>
          <w:p w14:paraId="03D14936">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《机械通风冷却塔第2部分：大型开式冷却塔》（GB/T7190.2）</w:t>
            </w:r>
          </w:p>
        </w:tc>
      </w:tr>
      <w:tr w14:paraId="7AAC7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79828E7D">
            <w:pPr>
              <w:pStyle w:val="272"/>
              <w:ind w:right="1"/>
              <w:jc w:val="center"/>
              <w:rPr>
                <w:rFonts w:ascii="宋体" w:hAnsi="宋体" w:cs="宋体"/>
                <w:color w:val="auto"/>
                <w:sz w:val="21"/>
                <w:szCs w:val="21"/>
                <w:highlight w:val="none"/>
              </w:rPr>
            </w:pPr>
            <w:r>
              <w:rPr>
                <w:rFonts w:hint="eastAsia" w:ascii="宋体" w:hAnsi="宋体"/>
                <w:color w:val="auto"/>
                <w:sz w:val="21"/>
                <w:szCs w:val="21"/>
                <w:highlight w:val="none"/>
              </w:rPr>
              <w:t>7</w:t>
            </w:r>
          </w:p>
        </w:tc>
        <w:tc>
          <w:tcPr>
            <w:tcW w:w="1422" w:type="dxa"/>
            <w:tcBorders>
              <w:top w:val="single" w:color="000000" w:sz="4" w:space="0"/>
              <w:left w:val="single" w:color="000000" w:sz="4" w:space="0"/>
              <w:bottom w:val="single" w:color="000000" w:sz="4" w:space="0"/>
              <w:right w:val="single" w:color="000000" w:sz="4" w:space="0"/>
            </w:tcBorders>
            <w:vAlign w:val="center"/>
          </w:tcPr>
          <w:p w14:paraId="0F198F16">
            <w:pPr>
              <w:pStyle w:val="272"/>
              <w:jc w:val="center"/>
              <w:rPr>
                <w:rFonts w:ascii="宋体" w:hAnsi="宋体" w:cs="宋体"/>
                <w:color w:val="auto"/>
                <w:sz w:val="21"/>
                <w:szCs w:val="21"/>
                <w:highlight w:val="none"/>
              </w:rPr>
            </w:pPr>
            <w:r>
              <w:rPr>
                <w:rFonts w:hint="eastAsia" w:ascii="宋体" w:hAnsi="宋体" w:cs="仿宋_GB2312"/>
                <w:color w:val="auto"/>
                <w:sz w:val="21"/>
                <w:szCs w:val="21"/>
                <w:highlight w:val="none"/>
              </w:rPr>
              <w:t>A02060100</w:t>
            </w:r>
            <w:r>
              <w:rPr>
                <w:rFonts w:hint="eastAsia" w:ascii="宋体" w:hAnsi="宋体" w:cs="宋体"/>
                <w:color w:val="auto"/>
                <w:sz w:val="21"/>
                <w:szCs w:val="21"/>
                <w:highlight w:val="none"/>
              </w:rPr>
              <w:t>电机</w:t>
            </w:r>
          </w:p>
        </w:tc>
        <w:tc>
          <w:tcPr>
            <w:tcW w:w="1496" w:type="dxa"/>
            <w:tcBorders>
              <w:top w:val="single" w:color="000000" w:sz="4" w:space="0"/>
              <w:left w:val="single" w:color="000000" w:sz="4" w:space="0"/>
              <w:bottom w:val="single" w:color="000000" w:sz="4" w:space="0"/>
              <w:right w:val="single" w:color="000000" w:sz="4" w:space="0"/>
            </w:tcBorders>
            <w:vAlign w:val="center"/>
          </w:tcPr>
          <w:p w14:paraId="3FD715B1">
            <w:pPr>
              <w:jc w:val="center"/>
              <w:rPr>
                <w:rFonts w:ascii="宋体" w:hAnsi="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1C9007D4">
            <w:pPr>
              <w:jc w:val="center"/>
              <w:rPr>
                <w:rFonts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tcPr>
          <w:p w14:paraId="39C006EF">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《中小型三相异步电动机能效限定值及能效等级》（GB18613）</w:t>
            </w:r>
          </w:p>
        </w:tc>
      </w:tr>
      <w:tr w14:paraId="21602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6F7EA3FF">
            <w:pPr>
              <w:pStyle w:val="272"/>
              <w:ind w:right="1"/>
              <w:jc w:val="center"/>
              <w:rPr>
                <w:rFonts w:ascii="宋体" w:hAnsi="宋体" w:cs="宋体"/>
                <w:color w:val="auto"/>
                <w:sz w:val="21"/>
                <w:szCs w:val="21"/>
                <w:highlight w:val="none"/>
              </w:rPr>
            </w:pPr>
            <w:r>
              <w:rPr>
                <w:rFonts w:hint="eastAsia" w:ascii="宋体" w:hAnsi="宋体"/>
                <w:color w:val="auto"/>
                <w:sz w:val="21"/>
                <w:szCs w:val="21"/>
                <w:highlight w:val="none"/>
              </w:rPr>
              <w:t>8</w:t>
            </w:r>
          </w:p>
        </w:tc>
        <w:tc>
          <w:tcPr>
            <w:tcW w:w="1422" w:type="dxa"/>
            <w:tcBorders>
              <w:top w:val="single" w:color="000000" w:sz="4" w:space="0"/>
              <w:left w:val="single" w:color="000000" w:sz="4" w:space="0"/>
              <w:bottom w:val="single" w:color="000000" w:sz="4" w:space="0"/>
              <w:right w:val="single" w:color="000000" w:sz="4" w:space="0"/>
            </w:tcBorders>
            <w:vAlign w:val="center"/>
          </w:tcPr>
          <w:p w14:paraId="46D9D74B">
            <w:pPr>
              <w:pStyle w:val="272"/>
              <w:spacing w:before="30"/>
              <w:ind w:left="7"/>
              <w:jc w:val="center"/>
              <w:rPr>
                <w:rFonts w:ascii="宋体" w:hAnsi="宋体" w:cs="宋体"/>
                <w:color w:val="auto"/>
                <w:sz w:val="21"/>
                <w:szCs w:val="21"/>
                <w:highlight w:val="none"/>
              </w:rPr>
            </w:pPr>
            <w:r>
              <w:rPr>
                <w:rFonts w:hint="eastAsia" w:ascii="宋体" w:hAnsi="宋体" w:cs="仿宋_GB2312"/>
                <w:color w:val="auto"/>
                <w:sz w:val="21"/>
                <w:szCs w:val="21"/>
                <w:highlight w:val="none"/>
              </w:rPr>
              <w:t>A02060200</w:t>
            </w:r>
            <w:r>
              <w:rPr>
                <w:rFonts w:hint="eastAsia" w:ascii="宋体" w:hAnsi="宋体" w:cs="宋体"/>
                <w:color w:val="auto"/>
                <w:sz w:val="21"/>
                <w:szCs w:val="21"/>
                <w:highlight w:val="none"/>
              </w:rPr>
              <w:t>变压</w:t>
            </w:r>
          </w:p>
        </w:tc>
        <w:tc>
          <w:tcPr>
            <w:tcW w:w="1496" w:type="dxa"/>
            <w:tcBorders>
              <w:top w:val="single" w:color="000000" w:sz="4" w:space="0"/>
              <w:left w:val="single" w:color="000000" w:sz="4" w:space="0"/>
              <w:bottom w:val="single" w:color="000000" w:sz="4" w:space="0"/>
              <w:right w:val="single" w:color="000000" w:sz="4" w:space="0"/>
            </w:tcBorders>
            <w:vAlign w:val="center"/>
          </w:tcPr>
          <w:p w14:paraId="1CE7DCE1">
            <w:pPr>
              <w:pStyle w:val="272"/>
              <w:jc w:val="center"/>
              <w:rPr>
                <w:rFonts w:ascii="宋体" w:hAnsi="宋体" w:cs="宋体"/>
                <w:color w:val="auto"/>
                <w:sz w:val="21"/>
                <w:szCs w:val="21"/>
                <w:highlight w:val="none"/>
              </w:rPr>
            </w:pPr>
            <w:r>
              <w:rPr>
                <w:rFonts w:hint="eastAsia" w:ascii="宋体" w:hAnsi="宋体" w:cs="宋体"/>
                <w:color w:val="auto"/>
                <w:sz w:val="21"/>
                <w:szCs w:val="21"/>
                <w:highlight w:val="none"/>
              </w:rPr>
              <w:t>配电变压器</w:t>
            </w:r>
          </w:p>
        </w:tc>
        <w:tc>
          <w:tcPr>
            <w:tcW w:w="1481" w:type="dxa"/>
            <w:tcBorders>
              <w:top w:val="single" w:color="000000" w:sz="4" w:space="0"/>
              <w:left w:val="single" w:color="000000" w:sz="4" w:space="0"/>
              <w:bottom w:val="single" w:color="000000" w:sz="4" w:space="0"/>
              <w:right w:val="single" w:color="000000" w:sz="4" w:space="0"/>
            </w:tcBorders>
            <w:vAlign w:val="center"/>
          </w:tcPr>
          <w:p w14:paraId="660EFEFD">
            <w:pPr>
              <w:jc w:val="center"/>
              <w:rPr>
                <w:rFonts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tcPr>
          <w:p w14:paraId="2B64F51C">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《三相配电变压器能效限定值及能效等级》（GB 20052）</w:t>
            </w:r>
          </w:p>
        </w:tc>
      </w:tr>
      <w:tr w14:paraId="127B8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6A63300D">
            <w:pPr>
              <w:pStyle w:val="272"/>
              <w:ind w:right="1"/>
              <w:jc w:val="center"/>
              <w:rPr>
                <w:rFonts w:ascii="宋体" w:hAnsi="宋体" w:cs="宋体"/>
                <w:color w:val="auto"/>
                <w:sz w:val="21"/>
                <w:szCs w:val="21"/>
                <w:highlight w:val="none"/>
              </w:rPr>
            </w:pPr>
            <w:r>
              <w:rPr>
                <w:rFonts w:hint="eastAsia" w:ascii="宋体" w:hAnsi="宋体"/>
                <w:color w:val="auto"/>
                <w:sz w:val="21"/>
                <w:szCs w:val="21"/>
                <w:highlight w:val="none"/>
              </w:rPr>
              <w:t>9</w:t>
            </w:r>
          </w:p>
        </w:tc>
        <w:tc>
          <w:tcPr>
            <w:tcW w:w="1422" w:type="dxa"/>
            <w:tcBorders>
              <w:top w:val="single" w:color="000000" w:sz="4" w:space="0"/>
              <w:left w:val="single" w:color="000000" w:sz="4" w:space="0"/>
              <w:bottom w:val="single" w:color="000000" w:sz="4" w:space="0"/>
              <w:right w:val="single" w:color="000000" w:sz="4" w:space="0"/>
            </w:tcBorders>
            <w:vAlign w:val="center"/>
          </w:tcPr>
          <w:p w14:paraId="0E26F9A1">
            <w:pPr>
              <w:pStyle w:val="272"/>
              <w:spacing w:before="126"/>
              <w:ind w:left="7"/>
              <w:jc w:val="center"/>
              <w:rPr>
                <w:rFonts w:ascii="宋体" w:hAnsi="宋体" w:cs="宋体"/>
                <w:color w:val="auto"/>
                <w:sz w:val="21"/>
                <w:szCs w:val="21"/>
                <w:highlight w:val="none"/>
              </w:rPr>
            </w:pPr>
            <w:r>
              <w:rPr>
                <w:rFonts w:hint="eastAsia" w:ascii="宋体" w:hAnsi="宋体" w:cs="宋体"/>
                <w:color w:val="auto"/>
                <w:sz w:val="21"/>
                <w:szCs w:val="21"/>
                <w:highlight w:val="none"/>
              </w:rPr>
              <w:t>★A02060900镇流器</w:t>
            </w:r>
          </w:p>
        </w:tc>
        <w:tc>
          <w:tcPr>
            <w:tcW w:w="1496" w:type="dxa"/>
            <w:tcBorders>
              <w:top w:val="single" w:color="000000" w:sz="4" w:space="0"/>
              <w:left w:val="single" w:color="000000" w:sz="4" w:space="0"/>
              <w:bottom w:val="single" w:color="000000" w:sz="4" w:space="0"/>
              <w:right w:val="single" w:color="000000" w:sz="4" w:space="0"/>
            </w:tcBorders>
            <w:vAlign w:val="center"/>
          </w:tcPr>
          <w:p w14:paraId="1F3CFA3E">
            <w:pPr>
              <w:pStyle w:val="272"/>
              <w:jc w:val="center"/>
              <w:rPr>
                <w:rFonts w:ascii="宋体" w:hAnsi="宋体" w:cs="宋体"/>
                <w:color w:val="auto"/>
                <w:sz w:val="21"/>
                <w:szCs w:val="21"/>
                <w:highlight w:val="none"/>
              </w:rPr>
            </w:pPr>
            <w:r>
              <w:rPr>
                <w:rFonts w:hint="eastAsia" w:ascii="宋体" w:hAnsi="宋体" w:cs="宋体"/>
                <w:color w:val="auto"/>
                <w:sz w:val="21"/>
                <w:szCs w:val="21"/>
                <w:highlight w:val="none"/>
              </w:rPr>
              <w:t>管型荧光灯镇流器</w:t>
            </w:r>
          </w:p>
        </w:tc>
        <w:tc>
          <w:tcPr>
            <w:tcW w:w="1481" w:type="dxa"/>
            <w:tcBorders>
              <w:top w:val="single" w:color="000000" w:sz="4" w:space="0"/>
              <w:left w:val="single" w:color="000000" w:sz="4" w:space="0"/>
              <w:bottom w:val="single" w:color="000000" w:sz="4" w:space="0"/>
              <w:right w:val="single" w:color="000000" w:sz="4" w:space="0"/>
            </w:tcBorders>
            <w:vAlign w:val="center"/>
          </w:tcPr>
          <w:p w14:paraId="196DAECA">
            <w:pPr>
              <w:jc w:val="center"/>
              <w:rPr>
                <w:rFonts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tcPr>
          <w:p w14:paraId="5684ABE2">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《管形荧光灯镇流器能效限定值及能效等级》（GB17896）</w:t>
            </w:r>
          </w:p>
        </w:tc>
      </w:tr>
      <w:tr w14:paraId="75424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79F82CDB">
            <w:pPr>
              <w:pStyle w:val="272"/>
              <w:jc w:val="center"/>
              <w:rPr>
                <w:rFonts w:ascii="宋体" w:hAnsi="宋体" w:cs="宋体"/>
                <w:color w:val="auto"/>
                <w:sz w:val="21"/>
                <w:szCs w:val="21"/>
                <w:highlight w:val="none"/>
              </w:rPr>
            </w:pPr>
            <w:r>
              <w:rPr>
                <w:rFonts w:hint="eastAsia" w:ascii="宋体" w:hAnsi="宋体"/>
                <w:color w:val="auto"/>
                <w:sz w:val="21"/>
                <w:szCs w:val="21"/>
                <w:highlight w:val="none"/>
              </w:rPr>
              <w:t>10</w:t>
            </w:r>
          </w:p>
        </w:tc>
        <w:tc>
          <w:tcPr>
            <w:tcW w:w="1422" w:type="dxa"/>
            <w:vMerge w:val="restart"/>
            <w:tcBorders>
              <w:top w:val="single" w:color="000000" w:sz="4" w:space="0"/>
              <w:left w:val="single" w:color="000000" w:sz="4" w:space="0"/>
              <w:bottom w:val="single" w:color="000000" w:sz="4" w:space="0"/>
              <w:right w:val="single" w:color="000000" w:sz="4" w:space="0"/>
            </w:tcBorders>
            <w:vAlign w:val="center"/>
          </w:tcPr>
          <w:p w14:paraId="296EDCD5">
            <w:pPr>
              <w:pStyle w:val="272"/>
              <w:jc w:val="center"/>
              <w:rPr>
                <w:rFonts w:ascii="宋体" w:hAnsi="宋体" w:cs="宋体"/>
                <w:color w:val="auto"/>
                <w:sz w:val="21"/>
                <w:szCs w:val="21"/>
                <w:highlight w:val="none"/>
              </w:rPr>
            </w:pPr>
            <w:r>
              <w:rPr>
                <w:rFonts w:hint="eastAsia" w:ascii="宋体" w:hAnsi="宋体" w:cs="宋体"/>
                <w:color w:val="auto"/>
                <w:sz w:val="21"/>
                <w:szCs w:val="21"/>
                <w:highlight w:val="none"/>
              </w:rPr>
              <w:t>A02061800生活用电器</w:t>
            </w:r>
          </w:p>
        </w:tc>
        <w:tc>
          <w:tcPr>
            <w:tcW w:w="1496" w:type="dxa"/>
            <w:tcBorders>
              <w:top w:val="single" w:color="000000" w:sz="4" w:space="0"/>
              <w:left w:val="single" w:color="000000" w:sz="4" w:space="0"/>
              <w:bottom w:val="single" w:color="000000" w:sz="4" w:space="0"/>
              <w:right w:val="single" w:color="000000" w:sz="4" w:space="0"/>
            </w:tcBorders>
            <w:vAlign w:val="center"/>
          </w:tcPr>
          <w:p w14:paraId="7995DA4D">
            <w:pPr>
              <w:pStyle w:val="272"/>
              <w:jc w:val="center"/>
              <w:rPr>
                <w:rFonts w:ascii="宋体" w:hAnsi="宋体" w:cs="宋体"/>
                <w:color w:val="auto"/>
                <w:sz w:val="21"/>
                <w:szCs w:val="21"/>
                <w:highlight w:val="none"/>
              </w:rPr>
            </w:pPr>
            <w:r>
              <w:rPr>
                <w:rFonts w:hint="eastAsia" w:ascii="宋体" w:hAnsi="宋体" w:cs="宋体"/>
                <w:color w:val="auto"/>
                <w:sz w:val="21"/>
                <w:szCs w:val="21"/>
                <w:highlight w:val="none"/>
              </w:rPr>
              <w:t>A02061801电冰箱</w:t>
            </w:r>
          </w:p>
        </w:tc>
        <w:tc>
          <w:tcPr>
            <w:tcW w:w="1481" w:type="dxa"/>
            <w:tcBorders>
              <w:top w:val="single" w:color="000000" w:sz="4" w:space="0"/>
              <w:left w:val="single" w:color="000000" w:sz="4" w:space="0"/>
              <w:bottom w:val="single" w:color="000000" w:sz="4" w:space="0"/>
              <w:right w:val="single" w:color="000000" w:sz="4" w:space="0"/>
            </w:tcBorders>
            <w:vAlign w:val="center"/>
          </w:tcPr>
          <w:p w14:paraId="5365E13B">
            <w:pPr>
              <w:jc w:val="center"/>
              <w:rPr>
                <w:rFonts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tcPr>
          <w:p w14:paraId="37F6F14C">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《家用电冰箱耗电量限定值及能效等级》（GB12021.2）</w:t>
            </w:r>
          </w:p>
        </w:tc>
      </w:tr>
      <w:tr w14:paraId="30CA9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773161B">
            <w:pPr>
              <w:widowControl/>
              <w:jc w:val="left"/>
              <w:rPr>
                <w:rFonts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A327657">
            <w:pPr>
              <w:widowControl/>
              <w:jc w:val="left"/>
              <w:rPr>
                <w:rFonts w:ascii="宋体" w:hAnsi="宋体" w:cs="宋体"/>
                <w:color w:val="auto"/>
                <w:szCs w:val="21"/>
                <w:highlight w:val="none"/>
              </w:rPr>
            </w:pPr>
          </w:p>
        </w:tc>
        <w:tc>
          <w:tcPr>
            <w:tcW w:w="1496" w:type="dxa"/>
            <w:vMerge w:val="restart"/>
            <w:tcBorders>
              <w:top w:val="single" w:color="000000" w:sz="4" w:space="0"/>
              <w:left w:val="single" w:color="000000" w:sz="4" w:space="0"/>
              <w:bottom w:val="single" w:color="000000" w:sz="4" w:space="0"/>
              <w:right w:val="single" w:color="000000" w:sz="4" w:space="0"/>
            </w:tcBorders>
            <w:vAlign w:val="center"/>
          </w:tcPr>
          <w:p w14:paraId="1180C048">
            <w:pPr>
              <w:pStyle w:val="272"/>
              <w:spacing w:before="171"/>
              <w:jc w:val="center"/>
              <w:rPr>
                <w:rFonts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仿宋_GB2312"/>
                <w:color w:val="auto"/>
                <w:sz w:val="21"/>
                <w:szCs w:val="21"/>
                <w:highlight w:val="none"/>
              </w:rPr>
              <w:t>A02061804</w:t>
            </w:r>
            <w:r>
              <w:rPr>
                <w:rFonts w:hint="eastAsia" w:ascii="宋体" w:hAnsi="宋体" w:cs="宋体"/>
                <w:color w:val="auto"/>
                <w:sz w:val="21"/>
                <w:szCs w:val="21"/>
                <w:highlight w:val="none"/>
              </w:rPr>
              <w:t>空调机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510543A3">
            <w:pPr>
              <w:pStyle w:val="272"/>
              <w:jc w:val="center"/>
              <w:rPr>
                <w:rFonts w:ascii="宋体" w:hAnsi="宋体" w:cs="宋体"/>
                <w:color w:val="auto"/>
                <w:sz w:val="21"/>
                <w:szCs w:val="21"/>
                <w:highlight w:val="none"/>
              </w:rPr>
            </w:pPr>
            <w:r>
              <w:rPr>
                <w:rFonts w:hint="eastAsia" w:ascii="宋体" w:hAnsi="宋体" w:cs="宋体"/>
                <w:color w:val="auto"/>
                <w:sz w:val="21"/>
                <w:szCs w:val="21"/>
                <w:highlight w:val="none"/>
              </w:rPr>
              <w:t>房间空气调节器</w:t>
            </w:r>
          </w:p>
        </w:tc>
        <w:tc>
          <w:tcPr>
            <w:tcW w:w="3452" w:type="dxa"/>
            <w:tcBorders>
              <w:top w:val="single" w:color="000000" w:sz="4" w:space="0"/>
              <w:left w:val="single" w:color="000000" w:sz="4" w:space="0"/>
              <w:bottom w:val="single" w:color="000000" w:sz="4" w:space="0"/>
              <w:right w:val="single" w:color="000000" w:sz="4" w:space="0"/>
            </w:tcBorders>
          </w:tcPr>
          <w:p w14:paraId="1F79CA61">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《房间空气调节器能效限定值及能效等级》（GB21455-2019）</w:t>
            </w:r>
          </w:p>
        </w:tc>
      </w:tr>
      <w:tr w14:paraId="14CCF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690FA7F">
            <w:pPr>
              <w:widowControl/>
              <w:jc w:val="left"/>
              <w:rPr>
                <w:rFonts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F95B1E6">
            <w:pPr>
              <w:widowControl/>
              <w:jc w:val="left"/>
              <w:rPr>
                <w:rFonts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393E1B8">
            <w:pPr>
              <w:widowControl/>
              <w:jc w:val="left"/>
              <w:rPr>
                <w:rFonts w:ascii="宋体" w:hAnsi="宋体" w:cs="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32CD90E0">
            <w:pPr>
              <w:pStyle w:val="272"/>
              <w:spacing w:before="4" w:line="276" w:lineRule="auto"/>
              <w:ind w:left="7" w:right="7"/>
              <w:jc w:val="center"/>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多联式空调（热泵）机组（制冷量≤ 14000W）</w:t>
            </w:r>
          </w:p>
        </w:tc>
        <w:tc>
          <w:tcPr>
            <w:tcW w:w="3452" w:type="dxa"/>
            <w:tcBorders>
              <w:top w:val="single" w:color="000000" w:sz="4" w:space="0"/>
              <w:left w:val="single" w:color="000000" w:sz="4" w:space="0"/>
              <w:bottom w:val="single" w:color="000000" w:sz="4" w:space="0"/>
              <w:right w:val="single" w:color="000000" w:sz="4" w:space="0"/>
            </w:tcBorders>
          </w:tcPr>
          <w:p w14:paraId="786A52BA">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《多联式空调（热泵）机组能效限定值及能源效率等级》（GB21454）</w:t>
            </w:r>
          </w:p>
        </w:tc>
      </w:tr>
      <w:tr w14:paraId="760A5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8301A55">
            <w:pPr>
              <w:widowControl/>
              <w:jc w:val="left"/>
              <w:rPr>
                <w:rFonts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C1C697A">
            <w:pPr>
              <w:widowControl/>
              <w:jc w:val="left"/>
              <w:rPr>
                <w:rFonts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D97D2A3">
            <w:pPr>
              <w:widowControl/>
              <w:jc w:val="left"/>
              <w:rPr>
                <w:rFonts w:ascii="宋体" w:hAnsi="宋体" w:cs="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6E0C8AF8">
            <w:pPr>
              <w:pStyle w:val="272"/>
              <w:jc w:val="center"/>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单元式空气调节机（制冷量≤ 14000W）</w:t>
            </w:r>
          </w:p>
        </w:tc>
        <w:tc>
          <w:tcPr>
            <w:tcW w:w="3452" w:type="dxa"/>
            <w:tcBorders>
              <w:top w:val="single" w:color="000000" w:sz="4" w:space="0"/>
              <w:left w:val="single" w:color="000000" w:sz="4" w:space="0"/>
              <w:bottom w:val="single" w:color="000000" w:sz="4" w:space="0"/>
              <w:right w:val="single" w:color="000000" w:sz="4" w:space="0"/>
            </w:tcBorders>
          </w:tcPr>
          <w:p w14:paraId="1A70C097">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《单元式空气调节机能效限定值及能源效率等级》（GB19576）《风管送风式空调机组能效限定值及能效等级》（GB37479）</w:t>
            </w:r>
          </w:p>
        </w:tc>
      </w:tr>
      <w:tr w14:paraId="20A6D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170F70A">
            <w:pPr>
              <w:widowControl/>
              <w:jc w:val="left"/>
              <w:rPr>
                <w:rFonts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8748C63">
            <w:pPr>
              <w:widowControl/>
              <w:jc w:val="left"/>
              <w:rPr>
                <w:rFonts w:ascii="宋体" w:hAnsi="宋体" w:cs="宋体"/>
                <w:color w:val="auto"/>
                <w:szCs w:val="21"/>
                <w:highlight w:val="none"/>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3662DCED">
            <w:pPr>
              <w:pStyle w:val="272"/>
              <w:spacing w:before="162"/>
              <w:ind w:left="7"/>
              <w:jc w:val="center"/>
              <w:rPr>
                <w:rFonts w:ascii="宋体" w:hAnsi="宋体" w:cs="宋体"/>
                <w:color w:val="auto"/>
                <w:sz w:val="21"/>
                <w:szCs w:val="21"/>
                <w:highlight w:val="none"/>
              </w:rPr>
            </w:pPr>
            <w:r>
              <w:rPr>
                <w:rFonts w:hint="eastAsia" w:ascii="宋体" w:hAnsi="宋体" w:cs="仿宋_GB2312"/>
                <w:color w:val="auto"/>
                <w:sz w:val="21"/>
                <w:szCs w:val="21"/>
                <w:highlight w:val="none"/>
              </w:rPr>
              <w:t>A02061810</w:t>
            </w:r>
            <w:r>
              <w:rPr>
                <w:rFonts w:hint="eastAsia" w:ascii="宋体" w:hAnsi="宋体" w:cs="宋体"/>
                <w:color w:val="auto"/>
                <w:sz w:val="21"/>
                <w:szCs w:val="21"/>
                <w:highlight w:val="none"/>
              </w:rPr>
              <w:t>洗衣机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401EE7BA">
            <w:pPr>
              <w:jc w:val="center"/>
              <w:rPr>
                <w:rFonts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tcPr>
          <w:p w14:paraId="48386034">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《电动洗衣机能效水效限定值及等级》（GB12021.4）</w:t>
            </w:r>
          </w:p>
        </w:tc>
      </w:tr>
      <w:tr w14:paraId="6D2F3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C5A3C1C">
            <w:pPr>
              <w:widowControl/>
              <w:jc w:val="left"/>
              <w:rPr>
                <w:rFonts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F5F59BE">
            <w:pPr>
              <w:widowControl/>
              <w:jc w:val="left"/>
              <w:rPr>
                <w:rFonts w:ascii="宋体" w:hAnsi="宋体" w:cs="宋体"/>
                <w:color w:val="auto"/>
                <w:szCs w:val="21"/>
                <w:highlight w:val="none"/>
              </w:rPr>
            </w:pPr>
          </w:p>
        </w:tc>
        <w:tc>
          <w:tcPr>
            <w:tcW w:w="1496" w:type="dxa"/>
            <w:vMerge w:val="restart"/>
            <w:tcBorders>
              <w:top w:val="single" w:color="000000" w:sz="4" w:space="0"/>
              <w:left w:val="single" w:color="000000" w:sz="4" w:space="0"/>
              <w:bottom w:val="single" w:color="000000" w:sz="4" w:space="0"/>
              <w:right w:val="single" w:color="000000" w:sz="4" w:space="0"/>
            </w:tcBorders>
            <w:vAlign w:val="center"/>
          </w:tcPr>
          <w:p w14:paraId="5C486BD6">
            <w:pPr>
              <w:pStyle w:val="272"/>
              <w:spacing w:before="161"/>
              <w:jc w:val="center"/>
              <w:rPr>
                <w:rFonts w:ascii="宋体" w:hAnsi="宋体" w:cs="宋体"/>
                <w:color w:val="auto"/>
                <w:sz w:val="21"/>
                <w:szCs w:val="21"/>
                <w:highlight w:val="none"/>
              </w:rPr>
            </w:pPr>
            <w:r>
              <w:rPr>
                <w:rFonts w:hint="eastAsia" w:ascii="宋体" w:hAnsi="宋体" w:cs="仿宋_GB2312"/>
                <w:color w:val="auto"/>
                <w:sz w:val="21"/>
                <w:szCs w:val="21"/>
                <w:highlight w:val="none"/>
              </w:rPr>
              <w:t>A02061819</w:t>
            </w:r>
            <w:r>
              <w:rPr>
                <w:rFonts w:hint="eastAsia" w:ascii="宋体" w:hAnsi="宋体" w:cs="宋体"/>
                <w:color w:val="auto"/>
                <w:sz w:val="21"/>
                <w:szCs w:val="21"/>
                <w:highlight w:val="none"/>
              </w:rPr>
              <w:t>热水器</w:t>
            </w:r>
          </w:p>
        </w:tc>
        <w:tc>
          <w:tcPr>
            <w:tcW w:w="1481" w:type="dxa"/>
            <w:tcBorders>
              <w:top w:val="single" w:color="000000" w:sz="4" w:space="0"/>
              <w:left w:val="single" w:color="000000" w:sz="4" w:space="0"/>
              <w:bottom w:val="single" w:color="000000" w:sz="4" w:space="0"/>
              <w:right w:val="single" w:color="000000" w:sz="4" w:space="0"/>
            </w:tcBorders>
            <w:vAlign w:val="center"/>
          </w:tcPr>
          <w:p w14:paraId="308D43B7">
            <w:pPr>
              <w:pStyle w:val="272"/>
              <w:jc w:val="center"/>
              <w:rPr>
                <w:rFonts w:ascii="宋体" w:hAnsi="宋体" w:cs="宋体"/>
                <w:color w:val="auto"/>
                <w:sz w:val="21"/>
                <w:szCs w:val="21"/>
                <w:highlight w:val="none"/>
              </w:rPr>
            </w:pPr>
            <w:r>
              <w:rPr>
                <w:rFonts w:hint="eastAsia" w:ascii="宋体" w:hAnsi="宋体" w:cs="宋体"/>
                <w:color w:val="auto"/>
                <w:sz w:val="21"/>
                <w:szCs w:val="21"/>
                <w:highlight w:val="none"/>
              </w:rPr>
              <w:t>★电热</w:t>
            </w:r>
            <w:r>
              <w:rPr>
                <w:rFonts w:hint="eastAsia" w:ascii="宋体" w:hAnsi="宋体" w:cs="宋体"/>
                <w:color w:val="auto"/>
                <w:spacing w:val="2"/>
                <w:sz w:val="21"/>
                <w:szCs w:val="21"/>
                <w:highlight w:val="none"/>
              </w:rPr>
              <w:t>水</w:t>
            </w:r>
            <w:r>
              <w:rPr>
                <w:rFonts w:hint="eastAsia" w:ascii="宋体" w:hAnsi="宋体" w:cs="宋体"/>
                <w:color w:val="auto"/>
                <w:sz w:val="21"/>
                <w:szCs w:val="21"/>
                <w:highlight w:val="none"/>
              </w:rPr>
              <w:t>器</w:t>
            </w:r>
          </w:p>
        </w:tc>
        <w:tc>
          <w:tcPr>
            <w:tcW w:w="3452" w:type="dxa"/>
            <w:tcBorders>
              <w:top w:val="single" w:color="000000" w:sz="4" w:space="0"/>
              <w:left w:val="single" w:color="000000" w:sz="4" w:space="0"/>
              <w:bottom w:val="single" w:color="000000" w:sz="4" w:space="0"/>
              <w:right w:val="single" w:color="000000" w:sz="4" w:space="0"/>
            </w:tcBorders>
          </w:tcPr>
          <w:p w14:paraId="6E401DDE">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《储水式电热水器能效限定值及能效等级》（GB21519）</w:t>
            </w:r>
          </w:p>
        </w:tc>
      </w:tr>
      <w:tr w14:paraId="7D5D9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C5DDE4C">
            <w:pPr>
              <w:widowControl/>
              <w:jc w:val="left"/>
              <w:rPr>
                <w:rFonts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7DA3216">
            <w:pPr>
              <w:widowControl/>
              <w:jc w:val="left"/>
              <w:rPr>
                <w:rFonts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F9B0C7B">
            <w:pPr>
              <w:widowControl/>
              <w:jc w:val="left"/>
              <w:rPr>
                <w:rFonts w:ascii="宋体" w:hAnsi="宋体" w:cs="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41112ECC">
            <w:pPr>
              <w:pStyle w:val="272"/>
              <w:jc w:val="center"/>
              <w:rPr>
                <w:rFonts w:ascii="宋体" w:hAnsi="宋体" w:cs="宋体"/>
                <w:color w:val="auto"/>
                <w:sz w:val="21"/>
                <w:szCs w:val="21"/>
                <w:highlight w:val="none"/>
              </w:rPr>
            </w:pPr>
            <w:r>
              <w:rPr>
                <w:rFonts w:hint="eastAsia" w:ascii="宋体" w:hAnsi="宋体" w:cs="宋体"/>
                <w:color w:val="auto"/>
                <w:sz w:val="21"/>
                <w:szCs w:val="21"/>
                <w:highlight w:val="none"/>
              </w:rPr>
              <w:t>燃气热</w:t>
            </w:r>
            <w:r>
              <w:rPr>
                <w:rFonts w:hint="eastAsia" w:ascii="宋体" w:hAnsi="宋体" w:cs="宋体"/>
                <w:color w:val="auto"/>
                <w:spacing w:val="2"/>
                <w:sz w:val="21"/>
                <w:szCs w:val="21"/>
                <w:highlight w:val="none"/>
              </w:rPr>
              <w:t>水</w:t>
            </w:r>
            <w:r>
              <w:rPr>
                <w:rFonts w:hint="eastAsia" w:ascii="宋体" w:hAnsi="宋体" w:cs="宋体"/>
                <w:color w:val="auto"/>
                <w:sz w:val="21"/>
                <w:szCs w:val="21"/>
                <w:highlight w:val="none"/>
              </w:rPr>
              <w:t>器</w:t>
            </w:r>
          </w:p>
        </w:tc>
        <w:tc>
          <w:tcPr>
            <w:tcW w:w="3452" w:type="dxa"/>
            <w:tcBorders>
              <w:top w:val="single" w:color="000000" w:sz="4" w:space="0"/>
              <w:left w:val="single" w:color="000000" w:sz="4" w:space="0"/>
              <w:bottom w:val="single" w:color="000000" w:sz="4" w:space="0"/>
              <w:right w:val="single" w:color="000000" w:sz="4" w:space="0"/>
            </w:tcBorders>
          </w:tcPr>
          <w:p w14:paraId="7585A6C5">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《家用燃气快速热水器和燃气采暖热水炉能效限定值及能效等级》（GB20665）</w:t>
            </w:r>
          </w:p>
        </w:tc>
      </w:tr>
      <w:tr w14:paraId="04080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4023C96">
            <w:pPr>
              <w:widowControl/>
              <w:jc w:val="left"/>
              <w:rPr>
                <w:rFonts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A580928">
            <w:pPr>
              <w:widowControl/>
              <w:jc w:val="left"/>
              <w:rPr>
                <w:rFonts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796324B">
            <w:pPr>
              <w:widowControl/>
              <w:jc w:val="left"/>
              <w:rPr>
                <w:rFonts w:ascii="宋体" w:hAnsi="宋体" w:cs="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76A6FD75">
            <w:pPr>
              <w:pStyle w:val="272"/>
              <w:jc w:val="center"/>
              <w:rPr>
                <w:rFonts w:ascii="宋体" w:hAnsi="宋体" w:cs="宋体"/>
                <w:color w:val="auto"/>
                <w:sz w:val="21"/>
                <w:szCs w:val="21"/>
                <w:highlight w:val="none"/>
              </w:rPr>
            </w:pPr>
            <w:r>
              <w:rPr>
                <w:rFonts w:hint="eastAsia" w:ascii="宋体" w:hAnsi="宋体" w:cs="宋体"/>
                <w:color w:val="auto"/>
                <w:sz w:val="21"/>
                <w:szCs w:val="21"/>
                <w:highlight w:val="none"/>
              </w:rPr>
              <w:t>热泵热</w:t>
            </w:r>
            <w:r>
              <w:rPr>
                <w:rFonts w:hint="eastAsia" w:ascii="宋体" w:hAnsi="宋体" w:cs="宋体"/>
                <w:color w:val="auto"/>
                <w:spacing w:val="2"/>
                <w:sz w:val="21"/>
                <w:szCs w:val="21"/>
                <w:highlight w:val="none"/>
              </w:rPr>
              <w:t>水</w:t>
            </w:r>
            <w:r>
              <w:rPr>
                <w:rFonts w:hint="eastAsia" w:ascii="宋体" w:hAnsi="宋体" w:cs="宋体"/>
                <w:color w:val="auto"/>
                <w:sz w:val="21"/>
                <w:szCs w:val="21"/>
                <w:highlight w:val="none"/>
              </w:rPr>
              <w:t>器</w:t>
            </w:r>
          </w:p>
        </w:tc>
        <w:tc>
          <w:tcPr>
            <w:tcW w:w="3452" w:type="dxa"/>
            <w:tcBorders>
              <w:top w:val="single" w:color="000000" w:sz="4" w:space="0"/>
              <w:left w:val="single" w:color="000000" w:sz="4" w:space="0"/>
              <w:bottom w:val="single" w:color="000000" w:sz="4" w:space="0"/>
              <w:right w:val="single" w:color="000000" w:sz="4" w:space="0"/>
            </w:tcBorders>
          </w:tcPr>
          <w:p w14:paraId="08E83E3A">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《热泵热水机（器）能效限定值及能效等级》（GB29541）</w:t>
            </w:r>
          </w:p>
        </w:tc>
      </w:tr>
      <w:tr w14:paraId="2DC21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ED5ECDB">
            <w:pPr>
              <w:widowControl/>
              <w:jc w:val="left"/>
              <w:rPr>
                <w:rFonts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1A36CC5">
            <w:pPr>
              <w:widowControl/>
              <w:jc w:val="left"/>
              <w:rPr>
                <w:rFonts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0E471E5">
            <w:pPr>
              <w:widowControl/>
              <w:jc w:val="left"/>
              <w:rPr>
                <w:rFonts w:ascii="宋体" w:hAnsi="宋体" w:cs="宋体"/>
                <w:color w:val="auto"/>
                <w:szCs w:val="21"/>
                <w:highlight w:val="none"/>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744ABECC">
            <w:pPr>
              <w:pStyle w:val="272"/>
              <w:jc w:val="center"/>
              <w:rPr>
                <w:rFonts w:ascii="宋体" w:hAnsi="宋体" w:cs="宋体"/>
                <w:color w:val="auto"/>
                <w:sz w:val="21"/>
                <w:szCs w:val="21"/>
                <w:highlight w:val="none"/>
              </w:rPr>
            </w:pPr>
            <w:r>
              <w:rPr>
                <w:rFonts w:hint="eastAsia" w:ascii="宋体" w:hAnsi="宋体" w:cs="宋体"/>
                <w:color w:val="auto"/>
                <w:sz w:val="21"/>
                <w:szCs w:val="21"/>
                <w:highlight w:val="none"/>
              </w:rPr>
              <w:t>太阳能</w:t>
            </w:r>
            <w:r>
              <w:rPr>
                <w:rFonts w:hint="eastAsia" w:ascii="宋体" w:hAnsi="宋体" w:cs="宋体"/>
                <w:color w:val="auto"/>
                <w:spacing w:val="2"/>
                <w:sz w:val="21"/>
                <w:szCs w:val="21"/>
                <w:highlight w:val="none"/>
              </w:rPr>
              <w:t>热</w:t>
            </w:r>
            <w:r>
              <w:rPr>
                <w:rFonts w:hint="eastAsia" w:ascii="宋体" w:hAnsi="宋体" w:cs="宋体"/>
                <w:color w:val="auto"/>
                <w:sz w:val="21"/>
                <w:szCs w:val="21"/>
                <w:highlight w:val="none"/>
              </w:rPr>
              <w:t>水系统</w:t>
            </w:r>
          </w:p>
        </w:tc>
        <w:tc>
          <w:tcPr>
            <w:tcW w:w="3452" w:type="dxa"/>
            <w:tcBorders>
              <w:top w:val="single" w:color="000000" w:sz="4" w:space="0"/>
              <w:left w:val="single" w:color="000000" w:sz="4" w:space="0"/>
              <w:bottom w:val="single" w:color="000000" w:sz="4" w:space="0"/>
              <w:right w:val="single" w:color="000000" w:sz="4" w:space="0"/>
            </w:tcBorders>
          </w:tcPr>
          <w:p w14:paraId="464D04D2">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《家用太阳能热水系统能效限定值及能效等级》（GB26969）</w:t>
            </w:r>
          </w:p>
        </w:tc>
      </w:tr>
      <w:tr w14:paraId="3825E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704EFC80">
            <w:pPr>
              <w:pStyle w:val="272"/>
              <w:jc w:val="center"/>
              <w:rPr>
                <w:rFonts w:ascii="宋体" w:hAnsi="宋体" w:cs="宋体"/>
                <w:color w:val="auto"/>
                <w:sz w:val="21"/>
                <w:szCs w:val="21"/>
                <w:highlight w:val="none"/>
              </w:rPr>
            </w:pPr>
            <w:r>
              <w:rPr>
                <w:rFonts w:hint="eastAsia" w:ascii="宋体" w:hAnsi="宋体"/>
                <w:color w:val="auto"/>
                <w:spacing w:val="1"/>
                <w:sz w:val="21"/>
                <w:szCs w:val="21"/>
                <w:highlight w:val="none"/>
              </w:rPr>
              <w:t>1</w:t>
            </w:r>
            <w:r>
              <w:rPr>
                <w:rFonts w:hint="eastAsia" w:ascii="宋体" w:hAnsi="宋体"/>
                <w:color w:val="auto"/>
                <w:sz w:val="21"/>
                <w:szCs w:val="21"/>
                <w:highlight w:val="none"/>
              </w:rPr>
              <w:t>1</w:t>
            </w:r>
          </w:p>
        </w:tc>
        <w:tc>
          <w:tcPr>
            <w:tcW w:w="1422" w:type="dxa"/>
            <w:vMerge w:val="restart"/>
            <w:tcBorders>
              <w:top w:val="single" w:color="000000" w:sz="4" w:space="0"/>
              <w:left w:val="single" w:color="000000" w:sz="4" w:space="0"/>
              <w:bottom w:val="single" w:color="000000" w:sz="4" w:space="0"/>
              <w:right w:val="single" w:color="000000" w:sz="4" w:space="0"/>
            </w:tcBorders>
            <w:vAlign w:val="center"/>
          </w:tcPr>
          <w:p w14:paraId="5FE7F290">
            <w:pPr>
              <w:pStyle w:val="272"/>
              <w:spacing w:before="157"/>
              <w:jc w:val="center"/>
              <w:rPr>
                <w:rFonts w:ascii="宋体" w:hAnsi="宋体" w:cs="宋体"/>
                <w:color w:val="auto"/>
                <w:sz w:val="21"/>
                <w:szCs w:val="21"/>
                <w:highlight w:val="none"/>
              </w:rPr>
            </w:pPr>
            <w:r>
              <w:rPr>
                <w:rFonts w:hint="eastAsia" w:ascii="宋体" w:hAnsi="宋体" w:cs="宋体"/>
                <w:color w:val="auto"/>
                <w:spacing w:val="1"/>
                <w:sz w:val="21"/>
                <w:szCs w:val="21"/>
                <w:highlight w:val="none"/>
              </w:rPr>
              <w:t>A02</w:t>
            </w:r>
            <w:r>
              <w:rPr>
                <w:rFonts w:hint="eastAsia" w:ascii="宋体" w:hAnsi="宋体" w:cs="宋体"/>
                <w:color w:val="auto"/>
                <w:sz w:val="21"/>
                <w:szCs w:val="21"/>
                <w:highlight w:val="none"/>
              </w:rPr>
              <w:t>06</w:t>
            </w:r>
            <w:r>
              <w:rPr>
                <w:rFonts w:hint="eastAsia" w:ascii="宋体" w:hAnsi="宋体" w:cs="宋体"/>
                <w:color w:val="auto"/>
                <w:spacing w:val="1"/>
                <w:sz w:val="21"/>
                <w:szCs w:val="21"/>
                <w:highlight w:val="none"/>
              </w:rPr>
              <w:t>1</w:t>
            </w:r>
            <w:r>
              <w:rPr>
                <w:rFonts w:hint="eastAsia" w:ascii="宋体" w:hAnsi="宋体" w:cs="宋体"/>
                <w:color w:val="auto"/>
                <w:sz w:val="21"/>
                <w:szCs w:val="21"/>
                <w:highlight w:val="none"/>
              </w:rPr>
              <w:t>900照明设备</w:t>
            </w:r>
          </w:p>
        </w:tc>
        <w:tc>
          <w:tcPr>
            <w:tcW w:w="1496" w:type="dxa"/>
            <w:tcBorders>
              <w:top w:val="single" w:color="000000" w:sz="4" w:space="0"/>
              <w:left w:val="single" w:color="000000" w:sz="4" w:space="0"/>
              <w:bottom w:val="single" w:color="000000" w:sz="4" w:space="0"/>
              <w:right w:val="single" w:color="000000" w:sz="4" w:space="0"/>
            </w:tcBorders>
            <w:vAlign w:val="center"/>
          </w:tcPr>
          <w:p w14:paraId="0A2316BB">
            <w:pPr>
              <w:pStyle w:val="272"/>
              <w:spacing w:before="133" w:line="276" w:lineRule="auto"/>
              <w:ind w:left="7" w:right="7"/>
              <w:jc w:val="center"/>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★普通照明用双端荧光灯</w:t>
            </w:r>
          </w:p>
        </w:tc>
        <w:tc>
          <w:tcPr>
            <w:tcW w:w="1481" w:type="dxa"/>
            <w:tcBorders>
              <w:top w:val="single" w:color="000000" w:sz="4" w:space="0"/>
              <w:left w:val="single" w:color="000000" w:sz="4" w:space="0"/>
              <w:bottom w:val="single" w:color="000000" w:sz="4" w:space="0"/>
              <w:right w:val="single" w:color="000000" w:sz="4" w:space="0"/>
            </w:tcBorders>
            <w:vAlign w:val="center"/>
          </w:tcPr>
          <w:p w14:paraId="28A424A5">
            <w:pPr>
              <w:jc w:val="center"/>
              <w:rPr>
                <w:rFonts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tcPr>
          <w:p w14:paraId="59FB6CB1">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《普通照明用双端荧光灯能效限定值及能效等级》（GB19043）</w:t>
            </w:r>
          </w:p>
        </w:tc>
      </w:tr>
      <w:tr w14:paraId="4F4A6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2A9F025">
            <w:pPr>
              <w:widowControl/>
              <w:jc w:val="left"/>
              <w:rPr>
                <w:rFonts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EC3A92D">
            <w:pPr>
              <w:widowControl/>
              <w:jc w:val="left"/>
              <w:rPr>
                <w:rFonts w:ascii="宋体" w:hAnsi="宋体" w:cs="宋体"/>
                <w:color w:val="auto"/>
                <w:szCs w:val="21"/>
                <w:highlight w:val="none"/>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207B5E67">
            <w:pPr>
              <w:pStyle w:val="272"/>
              <w:spacing w:before="92" w:line="276" w:lineRule="auto"/>
              <w:ind w:left="7" w:right="2"/>
              <w:jc w:val="center"/>
              <w:rPr>
                <w:rFonts w:ascii="宋体" w:hAnsi="宋体" w:cs="宋体"/>
                <w:color w:val="auto"/>
                <w:sz w:val="21"/>
                <w:szCs w:val="21"/>
                <w:highlight w:val="none"/>
              </w:rPr>
            </w:pPr>
            <w:r>
              <w:rPr>
                <w:rFonts w:hint="eastAsia" w:ascii="宋体" w:hAnsi="宋体" w:cs="宋体"/>
                <w:color w:val="auto"/>
                <w:spacing w:val="1"/>
                <w:sz w:val="21"/>
                <w:szCs w:val="21"/>
                <w:highlight w:val="none"/>
              </w:rPr>
              <w:t>LE</w:t>
            </w:r>
            <w:r>
              <w:rPr>
                <w:rFonts w:hint="eastAsia" w:ascii="宋体" w:hAnsi="宋体" w:cs="宋体"/>
                <w:color w:val="auto"/>
                <w:sz w:val="21"/>
                <w:szCs w:val="21"/>
                <w:highlight w:val="none"/>
              </w:rPr>
              <w:t>D</w:t>
            </w:r>
            <w:r>
              <w:rPr>
                <w:rFonts w:hint="eastAsia" w:ascii="宋体" w:hAnsi="宋体" w:cs="宋体"/>
                <w:color w:val="auto"/>
                <w:spacing w:val="12"/>
                <w:sz w:val="21"/>
                <w:szCs w:val="21"/>
                <w:highlight w:val="none"/>
              </w:rPr>
              <w:t>道</w:t>
            </w:r>
            <w:r>
              <w:rPr>
                <w:rFonts w:hint="eastAsia" w:ascii="宋体" w:hAnsi="宋体" w:cs="宋体"/>
                <w:color w:val="auto"/>
                <w:spacing w:val="9"/>
                <w:sz w:val="21"/>
                <w:szCs w:val="21"/>
                <w:highlight w:val="none"/>
              </w:rPr>
              <w:t>路</w:t>
            </w:r>
            <w:r>
              <w:rPr>
                <w:rFonts w:hint="eastAsia" w:ascii="宋体" w:hAnsi="宋体" w:cs="宋体"/>
                <w:color w:val="auto"/>
                <w:spacing w:val="13"/>
                <w:sz w:val="21"/>
                <w:szCs w:val="21"/>
                <w:highlight w:val="none"/>
              </w:rPr>
              <w:t>/</w:t>
            </w:r>
            <w:r>
              <w:rPr>
                <w:rFonts w:hint="eastAsia" w:ascii="宋体" w:hAnsi="宋体" w:cs="宋体"/>
                <w:color w:val="auto"/>
                <w:spacing w:val="12"/>
                <w:sz w:val="21"/>
                <w:szCs w:val="21"/>
                <w:highlight w:val="none"/>
              </w:rPr>
              <w:t>隧道照</w:t>
            </w:r>
            <w:r>
              <w:rPr>
                <w:rFonts w:hint="eastAsia" w:ascii="宋体" w:hAnsi="宋体" w:cs="宋体"/>
                <w:color w:val="auto"/>
                <w:sz w:val="21"/>
                <w:szCs w:val="21"/>
                <w:highlight w:val="none"/>
              </w:rPr>
              <w:t>明产品</w:t>
            </w:r>
          </w:p>
        </w:tc>
        <w:tc>
          <w:tcPr>
            <w:tcW w:w="1481" w:type="dxa"/>
            <w:tcBorders>
              <w:top w:val="single" w:color="000000" w:sz="4" w:space="0"/>
              <w:left w:val="single" w:color="000000" w:sz="4" w:space="0"/>
              <w:bottom w:val="single" w:color="000000" w:sz="4" w:space="0"/>
              <w:right w:val="single" w:color="000000" w:sz="4" w:space="0"/>
            </w:tcBorders>
            <w:vAlign w:val="center"/>
          </w:tcPr>
          <w:p w14:paraId="377C2517">
            <w:pPr>
              <w:jc w:val="center"/>
              <w:rPr>
                <w:rFonts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tcPr>
          <w:p w14:paraId="0849D8E1">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《道路和隧道照明用LED灯具能效限定值及能效等级》（GB37478</w:t>
            </w:r>
            <w:r>
              <w:rPr>
                <w:rFonts w:ascii="宋体" w:hAnsi="宋体" w:cs="宋体"/>
                <w:color w:val="auto"/>
                <w:spacing w:val="10"/>
                <w:sz w:val="21"/>
                <w:szCs w:val="21"/>
                <w:highlight w:val="none"/>
                <w:lang w:eastAsia="zh-CN"/>
              </w:rPr>
              <w:t>）</w:t>
            </w:r>
          </w:p>
        </w:tc>
      </w:tr>
      <w:tr w14:paraId="245F4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060912A">
            <w:pPr>
              <w:widowControl/>
              <w:jc w:val="left"/>
              <w:rPr>
                <w:rFonts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AD98461">
            <w:pPr>
              <w:widowControl/>
              <w:jc w:val="left"/>
              <w:rPr>
                <w:rFonts w:ascii="宋体" w:hAnsi="宋体" w:cs="宋体"/>
                <w:color w:val="auto"/>
                <w:szCs w:val="21"/>
                <w:highlight w:val="none"/>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41B0EA1D">
            <w:pPr>
              <w:pStyle w:val="272"/>
              <w:jc w:val="center"/>
              <w:rPr>
                <w:rFonts w:ascii="宋体" w:hAnsi="宋体" w:cs="宋体"/>
                <w:color w:val="auto"/>
                <w:sz w:val="21"/>
                <w:szCs w:val="21"/>
                <w:highlight w:val="none"/>
              </w:rPr>
            </w:pPr>
            <w:r>
              <w:rPr>
                <w:rFonts w:hint="eastAsia" w:ascii="宋体" w:hAnsi="宋体" w:cs="宋体"/>
                <w:color w:val="auto"/>
                <w:spacing w:val="1"/>
                <w:sz w:val="21"/>
                <w:szCs w:val="21"/>
                <w:highlight w:val="none"/>
              </w:rPr>
              <w:t>LE</w:t>
            </w:r>
            <w:r>
              <w:rPr>
                <w:rFonts w:hint="eastAsia" w:ascii="宋体" w:hAnsi="宋体" w:cs="宋体"/>
                <w:color w:val="auto"/>
                <w:sz w:val="21"/>
                <w:szCs w:val="21"/>
                <w:highlight w:val="none"/>
              </w:rPr>
              <w:t>D筒灯</w:t>
            </w:r>
          </w:p>
        </w:tc>
        <w:tc>
          <w:tcPr>
            <w:tcW w:w="1481" w:type="dxa"/>
            <w:tcBorders>
              <w:top w:val="single" w:color="000000" w:sz="4" w:space="0"/>
              <w:left w:val="single" w:color="000000" w:sz="4" w:space="0"/>
              <w:bottom w:val="single" w:color="000000" w:sz="4" w:space="0"/>
              <w:right w:val="single" w:color="000000" w:sz="4" w:space="0"/>
            </w:tcBorders>
            <w:vAlign w:val="center"/>
          </w:tcPr>
          <w:p w14:paraId="48858433">
            <w:pPr>
              <w:jc w:val="center"/>
              <w:rPr>
                <w:rFonts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tcPr>
          <w:p w14:paraId="2E66948B">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《室内照明用LED产品能效限定值及能效等级》（GB30255）</w:t>
            </w:r>
          </w:p>
        </w:tc>
      </w:tr>
      <w:tr w14:paraId="5FB4B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7AE22BA">
            <w:pPr>
              <w:widowControl/>
              <w:jc w:val="left"/>
              <w:rPr>
                <w:rFonts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1E0C212">
            <w:pPr>
              <w:widowControl/>
              <w:jc w:val="left"/>
              <w:rPr>
                <w:rFonts w:ascii="宋体" w:hAnsi="宋体" w:cs="宋体"/>
                <w:color w:val="auto"/>
                <w:szCs w:val="21"/>
                <w:highlight w:val="none"/>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1F1B8B38">
            <w:pPr>
              <w:pStyle w:val="272"/>
              <w:spacing w:line="276" w:lineRule="auto"/>
              <w:ind w:right="7"/>
              <w:jc w:val="center"/>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普</w:t>
            </w:r>
            <w:r>
              <w:rPr>
                <w:rFonts w:hint="eastAsia" w:ascii="宋体" w:hAnsi="宋体" w:cs="宋体"/>
                <w:color w:val="auto"/>
                <w:spacing w:val="24"/>
                <w:sz w:val="21"/>
                <w:szCs w:val="21"/>
                <w:highlight w:val="none"/>
                <w:lang w:eastAsia="zh-CN"/>
              </w:rPr>
              <w:t>通</w:t>
            </w:r>
            <w:r>
              <w:rPr>
                <w:rFonts w:hint="eastAsia" w:ascii="宋体" w:hAnsi="宋体" w:cs="宋体"/>
                <w:color w:val="auto"/>
                <w:sz w:val="21"/>
                <w:szCs w:val="21"/>
                <w:highlight w:val="none"/>
                <w:lang w:eastAsia="zh-CN"/>
              </w:rPr>
              <w:t>照明用非</w:t>
            </w:r>
            <w:r>
              <w:rPr>
                <w:rFonts w:hint="eastAsia" w:ascii="宋体" w:hAnsi="宋体" w:cs="宋体"/>
                <w:color w:val="auto"/>
                <w:spacing w:val="24"/>
                <w:sz w:val="21"/>
                <w:szCs w:val="21"/>
                <w:highlight w:val="none"/>
                <w:lang w:eastAsia="zh-CN"/>
              </w:rPr>
              <w:t>定</w:t>
            </w:r>
            <w:r>
              <w:rPr>
                <w:rFonts w:hint="eastAsia" w:ascii="宋体" w:hAnsi="宋体" w:cs="宋体"/>
                <w:color w:val="auto"/>
                <w:sz w:val="21"/>
                <w:szCs w:val="21"/>
                <w:highlight w:val="none"/>
                <w:lang w:eastAsia="zh-CN"/>
              </w:rPr>
              <w:t>向自镇流</w:t>
            </w:r>
            <w:r>
              <w:rPr>
                <w:rFonts w:hint="eastAsia" w:ascii="宋体" w:hAnsi="宋体" w:cs="宋体"/>
                <w:color w:val="auto"/>
                <w:spacing w:val="1"/>
                <w:sz w:val="21"/>
                <w:szCs w:val="21"/>
                <w:highlight w:val="none"/>
                <w:lang w:eastAsia="zh-CN"/>
              </w:rPr>
              <w:t>LE</w:t>
            </w:r>
            <w:r>
              <w:rPr>
                <w:rFonts w:hint="eastAsia" w:ascii="宋体" w:hAnsi="宋体" w:cs="宋体"/>
                <w:color w:val="auto"/>
                <w:sz w:val="21"/>
                <w:szCs w:val="21"/>
                <w:highlight w:val="none"/>
                <w:lang w:eastAsia="zh-CN"/>
              </w:rPr>
              <w:t>D灯</w:t>
            </w:r>
          </w:p>
        </w:tc>
        <w:tc>
          <w:tcPr>
            <w:tcW w:w="1481" w:type="dxa"/>
            <w:tcBorders>
              <w:top w:val="single" w:color="000000" w:sz="4" w:space="0"/>
              <w:left w:val="single" w:color="000000" w:sz="4" w:space="0"/>
              <w:bottom w:val="single" w:color="000000" w:sz="4" w:space="0"/>
              <w:right w:val="single" w:color="000000" w:sz="4" w:space="0"/>
            </w:tcBorders>
            <w:vAlign w:val="center"/>
          </w:tcPr>
          <w:p w14:paraId="22280ABB">
            <w:pPr>
              <w:jc w:val="center"/>
              <w:rPr>
                <w:rFonts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tcPr>
          <w:p w14:paraId="056E1A6D">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《室内照明用LED产品能效限定值及能效等级》（GB30255）</w:t>
            </w:r>
          </w:p>
        </w:tc>
      </w:tr>
      <w:tr w14:paraId="2C823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3920D645">
            <w:pPr>
              <w:pStyle w:val="272"/>
              <w:jc w:val="center"/>
              <w:rPr>
                <w:rFonts w:ascii="宋体" w:hAnsi="宋体" w:cs="宋体"/>
                <w:color w:val="auto"/>
                <w:sz w:val="21"/>
                <w:szCs w:val="21"/>
                <w:highlight w:val="none"/>
              </w:rPr>
            </w:pPr>
            <w:r>
              <w:rPr>
                <w:rFonts w:hint="eastAsia" w:ascii="宋体" w:hAnsi="宋体"/>
                <w:color w:val="auto"/>
                <w:spacing w:val="1"/>
                <w:sz w:val="21"/>
                <w:szCs w:val="21"/>
                <w:highlight w:val="none"/>
              </w:rPr>
              <w:t>1</w:t>
            </w:r>
            <w:r>
              <w:rPr>
                <w:rFonts w:hint="eastAsia" w:ascii="宋体" w:hAnsi="宋体"/>
                <w:color w:val="auto"/>
                <w:sz w:val="21"/>
                <w:szCs w:val="21"/>
                <w:highlight w:val="none"/>
              </w:rPr>
              <w:t>2</w:t>
            </w:r>
          </w:p>
        </w:tc>
        <w:tc>
          <w:tcPr>
            <w:tcW w:w="1422" w:type="dxa"/>
            <w:tcBorders>
              <w:top w:val="single" w:color="000000" w:sz="4" w:space="0"/>
              <w:left w:val="single" w:color="000000" w:sz="4" w:space="0"/>
              <w:bottom w:val="single" w:color="000000" w:sz="4" w:space="0"/>
              <w:right w:val="single" w:color="000000" w:sz="4" w:space="0"/>
            </w:tcBorders>
            <w:vAlign w:val="center"/>
          </w:tcPr>
          <w:p w14:paraId="41007F06">
            <w:pPr>
              <w:pStyle w:val="272"/>
              <w:spacing w:before="81"/>
              <w:ind w:left="7"/>
              <w:jc w:val="center"/>
              <w:rPr>
                <w:rFonts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pacing w:val="1"/>
                <w:sz w:val="21"/>
                <w:szCs w:val="21"/>
                <w:highlight w:val="none"/>
              </w:rPr>
              <w:t>A020</w:t>
            </w:r>
            <w:r>
              <w:rPr>
                <w:rFonts w:hint="eastAsia" w:ascii="宋体" w:hAnsi="宋体" w:cs="宋体"/>
                <w:color w:val="auto"/>
                <w:sz w:val="21"/>
                <w:szCs w:val="21"/>
                <w:highlight w:val="none"/>
              </w:rPr>
              <w:t>91000电视设备</w:t>
            </w:r>
          </w:p>
        </w:tc>
        <w:tc>
          <w:tcPr>
            <w:tcW w:w="1496" w:type="dxa"/>
            <w:tcBorders>
              <w:top w:val="single" w:color="000000" w:sz="4" w:space="0"/>
              <w:left w:val="single" w:color="000000" w:sz="4" w:space="0"/>
              <w:bottom w:val="single" w:color="000000" w:sz="4" w:space="0"/>
              <w:right w:val="single" w:color="000000" w:sz="4" w:space="0"/>
            </w:tcBorders>
            <w:vAlign w:val="center"/>
          </w:tcPr>
          <w:p w14:paraId="182123CC">
            <w:pPr>
              <w:pStyle w:val="272"/>
              <w:spacing w:before="81" w:line="276" w:lineRule="auto"/>
              <w:ind w:left="7" w:right="5"/>
              <w:jc w:val="center"/>
              <w:rPr>
                <w:rFonts w:ascii="宋体" w:hAnsi="宋体" w:cs="宋体"/>
                <w:color w:val="auto"/>
                <w:sz w:val="21"/>
                <w:szCs w:val="21"/>
                <w:highlight w:val="none"/>
                <w:lang w:eastAsia="zh-CN"/>
              </w:rPr>
            </w:pPr>
            <w:r>
              <w:rPr>
                <w:rFonts w:hint="eastAsia" w:ascii="宋体" w:hAnsi="宋体" w:cs="宋体"/>
                <w:color w:val="auto"/>
                <w:spacing w:val="1"/>
                <w:sz w:val="21"/>
                <w:szCs w:val="21"/>
                <w:highlight w:val="none"/>
                <w:lang w:eastAsia="zh-CN"/>
              </w:rPr>
              <w:t>A02</w:t>
            </w:r>
            <w:r>
              <w:rPr>
                <w:rFonts w:hint="eastAsia" w:ascii="宋体" w:hAnsi="宋体" w:cs="宋体"/>
                <w:color w:val="auto"/>
                <w:sz w:val="21"/>
                <w:szCs w:val="21"/>
                <w:highlight w:val="none"/>
                <w:lang w:eastAsia="zh-CN"/>
              </w:rPr>
              <w:t>09</w:t>
            </w:r>
            <w:r>
              <w:rPr>
                <w:rFonts w:hint="eastAsia" w:ascii="宋体" w:hAnsi="宋体" w:cs="宋体"/>
                <w:color w:val="auto"/>
                <w:spacing w:val="1"/>
                <w:sz w:val="21"/>
                <w:szCs w:val="21"/>
                <w:highlight w:val="none"/>
                <w:lang w:eastAsia="zh-CN"/>
              </w:rPr>
              <w:t>1</w:t>
            </w:r>
            <w:r>
              <w:rPr>
                <w:rFonts w:hint="eastAsia" w:ascii="宋体" w:hAnsi="宋体" w:cs="宋体"/>
                <w:color w:val="auto"/>
                <w:sz w:val="21"/>
                <w:szCs w:val="21"/>
                <w:highlight w:val="none"/>
                <w:lang w:eastAsia="zh-CN"/>
              </w:rPr>
              <w:t>001普通电视设备（</w:t>
            </w:r>
            <w:r>
              <w:rPr>
                <w:rFonts w:hint="eastAsia" w:ascii="宋体" w:hAnsi="宋体" w:cs="宋体"/>
                <w:color w:val="auto"/>
                <w:spacing w:val="2"/>
                <w:sz w:val="21"/>
                <w:szCs w:val="21"/>
                <w:highlight w:val="none"/>
                <w:lang w:eastAsia="zh-CN"/>
              </w:rPr>
              <w:t>电</w:t>
            </w:r>
            <w:r>
              <w:rPr>
                <w:rFonts w:hint="eastAsia" w:ascii="宋体" w:hAnsi="宋体" w:cs="宋体"/>
                <w:color w:val="auto"/>
                <w:sz w:val="21"/>
                <w:szCs w:val="21"/>
                <w:highlight w:val="none"/>
                <w:lang w:eastAsia="zh-CN"/>
              </w:rPr>
              <w:t>视机）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09BB3F9D">
            <w:pPr>
              <w:jc w:val="center"/>
              <w:rPr>
                <w:rFonts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tcPr>
          <w:p w14:paraId="0340DC6D">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《平板电视能效限定值及能效等级》（GB24850）</w:t>
            </w:r>
          </w:p>
        </w:tc>
      </w:tr>
      <w:tr w14:paraId="11347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480E2F8B">
            <w:pPr>
              <w:pStyle w:val="272"/>
              <w:jc w:val="center"/>
              <w:rPr>
                <w:rFonts w:ascii="宋体" w:hAnsi="宋体" w:cs="宋体"/>
                <w:color w:val="auto"/>
                <w:sz w:val="21"/>
                <w:szCs w:val="21"/>
                <w:highlight w:val="none"/>
              </w:rPr>
            </w:pPr>
            <w:r>
              <w:rPr>
                <w:rFonts w:hint="eastAsia" w:ascii="宋体" w:hAnsi="宋体"/>
                <w:color w:val="auto"/>
                <w:spacing w:val="1"/>
                <w:sz w:val="21"/>
                <w:szCs w:val="21"/>
                <w:highlight w:val="none"/>
              </w:rPr>
              <w:t>1</w:t>
            </w:r>
            <w:r>
              <w:rPr>
                <w:rFonts w:hint="eastAsia" w:ascii="宋体" w:hAnsi="宋体"/>
                <w:color w:val="auto"/>
                <w:sz w:val="21"/>
                <w:szCs w:val="21"/>
                <w:highlight w:val="none"/>
              </w:rPr>
              <w:t>3</w:t>
            </w:r>
          </w:p>
        </w:tc>
        <w:tc>
          <w:tcPr>
            <w:tcW w:w="1422" w:type="dxa"/>
            <w:tcBorders>
              <w:top w:val="single" w:color="000000" w:sz="4" w:space="0"/>
              <w:left w:val="single" w:color="000000" w:sz="4" w:space="0"/>
              <w:bottom w:val="single" w:color="000000" w:sz="4" w:space="0"/>
              <w:right w:val="single" w:color="000000" w:sz="4" w:space="0"/>
            </w:tcBorders>
            <w:vAlign w:val="center"/>
          </w:tcPr>
          <w:p w14:paraId="16E3FC37">
            <w:pPr>
              <w:pStyle w:val="272"/>
              <w:jc w:val="center"/>
              <w:rPr>
                <w:rFonts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pacing w:val="1"/>
                <w:sz w:val="21"/>
                <w:szCs w:val="21"/>
                <w:highlight w:val="none"/>
              </w:rPr>
              <w:t>A020</w:t>
            </w:r>
            <w:r>
              <w:rPr>
                <w:rFonts w:hint="eastAsia" w:ascii="宋体" w:hAnsi="宋体" w:cs="宋体"/>
                <w:color w:val="auto"/>
                <w:sz w:val="21"/>
                <w:szCs w:val="21"/>
                <w:highlight w:val="none"/>
              </w:rPr>
              <w:t>91100视频设备</w:t>
            </w:r>
          </w:p>
        </w:tc>
        <w:tc>
          <w:tcPr>
            <w:tcW w:w="1496" w:type="dxa"/>
            <w:tcBorders>
              <w:top w:val="single" w:color="000000" w:sz="4" w:space="0"/>
              <w:left w:val="single" w:color="000000" w:sz="4" w:space="0"/>
              <w:bottom w:val="single" w:color="000000" w:sz="4" w:space="0"/>
              <w:right w:val="single" w:color="000000" w:sz="4" w:space="0"/>
            </w:tcBorders>
            <w:vAlign w:val="center"/>
          </w:tcPr>
          <w:p w14:paraId="6E87C945">
            <w:pPr>
              <w:pStyle w:val="272"/>
              <w:spacing w:line="276" w:lineRule="auto"/>
              <w:ind w:right="5"/>
              <w:jc w:val="center"/>
              <w:rPr>
                <w:rFonts w:ascii="宋体" w:hAnsi="宋体" w:cs="宋体"/>
                <w:color w:val="auto"/>
                <w:sz w:val="21"/>
                <w:szCs w:val="21"/>
                <w:highlight w:val="none"/>
              </w:rPr>
            </w:pPr>
            <w:r>
              <w:rPr>
                <w:rFonts w:hint="eastAsia" w:ascii="宋体" w:hAnsi="宋体" w:cs="宋体"/>
                <w:color w:val="auto"/>
                <w:spacing w:val="1"/>
                <w:sz w:val="21"/>
                <w:szCs w:val="21"/>
                <w:highlight w:val="none"/>
              </w:rPr>
              <w:t>A02</w:t>
            </w:r>
            <w:r>
              <w:rPr>
                <w:rFonts w:hint="eastAsia" w:ascii="宋体" w:hAnsi="宋体" w:cs="宋体"/>
                <w:color w:val="auto"/>
                <w:sz w:val="21"/>
                <w:szCs w:val="21"/>
                <w:highlight w:val="none"/>
              </w:rPr>
              <w:t>09</w:t>
            </w:r>
            <w:r>
              <w:rPr>
                <w:rFonts w:hint="eastAsia" w:ascii="宋体" w:hAnsi="宋体" w:cs="宋体"/>
                <w:color w:val="auto"/>
                <w:spacing w:val="1"/>
                <w:sz w:val="21"/>
                <w:szCs w:val="21"/>
                <w:highlight w:val="none"/>
              </w:rPr>
              <w:t>1</w:t>
            </w:r>
            <w:r>
              <w:rPr>
                <w:rFonts w:hint="eastAsia" w:ascii="宋体" w:hAnsi="宋体" w:cs="宋体"/>
                <w:color w:val="auto"/>
                <w:sz w:val="21"/>
                <w:szCs w:val="21"/>
                <w:highlight w:val="none"/>
              </w:rPr>
              <w:t>107视频监控设备</w:t>
            </w:r>
          </w:p>
        </w:tc>
        <w:tc>
          <w:tcPr>
            <w:tcW w:w="1481" w:type="dxa"/>
            <w:tcBorders>
              <w:top w:val="single" w:color="000000" w:sz="4" w:space="0"/>
              <w:left w:val="single" w:color="000000" w:sz="4" w:space="0"/>
              <w:bottom w:val="single" w:color="000000" w:sz="4" w:space="0"/>
              <w:right w:val="single" w:color="000000" w:sz="4" w:space="0"/>
            </w:tcBorders>
            <w:vAlign w:val="center"/>
          </w:tcPr>
          <w:p w14:paraId="7BAC6DD9">
            <w:pPr>
              <w:pStyle w:val="272"/>
              <w:jc w:val="center"/>
              <w:rPr>
                <w:rFonts w:ascii="宋体" w:hAnsi="宋体" w:cs="宋体"/>
                <w:color w:val="auto"/>
                <w:sz w:val="21"/>
                <w:szCs w:val="21"/>
                <w:highlight w:val="none"/>
              </w:rPr>
            </w:pPr>
            <w:r>
              <w:rPr>
                <w:rFonts w:hint="eastAsia" w:ascii="宋体" w:hAnsi="宋体" w:cs="宋体"/>
                <w:color w:val="auto"/>
                <w:sz w:val="21"/>
                <w:szCs w:val="21"/>
                <w:highlight w:val="none"/>
              </w:rPr>
              <w:t>监视器</w:t>
            </w:r>
          </w:p>
        </w:tc>
        <w:tc>
          <w:tcPr>
            <w:tcW w:w="3452" w:type="dxa"/>
            <w:tcBorders>
              <w:top w:val="single" w:color="000000" w:sz="4" w:space="0"/>
              <w:left w:val="single" w:color="000000" w:sz="4" w:space="0"/>
              <w:bottom w:val="single" w:color="000000" w:sz="4" w:space="0"/>
              <w:right w:val="single" w:color="000000" w:sz="4" w:space="0"/>
            </w:tcBorders>
          </w:tcPr>
          <w:p w14:paraId="7A1C2A73">
            <w:pPr>
              <w:pStyle w:val="27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以射频信号为主要信号输入的监视器应符合《平板电视能效限定值及能效等级》（GB24850），以数字信号为主要信号输入的监视器应符合《计算机显示器能效限定值及能效等级》（GB21520）</w:t>
            </w:r>
          </w:p>
        </w:tc>
      </w:tr>
      <w:tr w14:paraId="02C9C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738AB296">
            <w:pPr>
              <w:pStyle w:val="272"/>
              <w:jc w:val="center"/>
              <w:rPr>
                <w:rFonts w:ascii="宋体" w:hAnsi="宋体" w:cs="宋体"/>
                <w:color w:val="auto"/>
                <w:sz w:val="21"/>
                <w:szCs w:val="21"/>
                <w:highlight w:val="none"/>
              </w:rPr>
            </w:pPr>
            <w:r>
              <w:rPr>
                <w:rFonts w:hint="eastAsia" w:ascii="宋体" w:hAnsi="宋体"/>
                <w:color w:val="auto"/>
                <w:spacing w:val="1"/>
                <w:sz w:val="21"/>
                <w:szCs w:val="21"/>
                <w:highlight w:val="none"/>
              </w:rPr>
              <w:t>1</w:t>
            </w:r>
            <w:r>
              <w:rPr>
                <w:rFonts w:hint="eastAsia" w:ascii="宋体" w:hAnsi="宋体"/>
                <w:color w:val="auto"/>
                <w:sz w:val="21"/>
                <w:szCs w:val="21"/>
                <w:highlight w:val="none"/>
              </w:rPr>
              <w:t>4</w:t>
            </w:r>
          </w:p>
        </w:tc>
        <w:tc>
          <w:tcPr>
            <w:tcW w:w="1422" w:type="dxa"/>
            <w:tcBorders>
              <w:top w:val="single" w:color="000000" w:sz="4" w:space="0"/>
              <w:left w:val="single" w:color="000000" w:sz="4" w:space="0"/>
              <w:bottom w:val="single" w:color="000000" w:sz="4" w:space="0"/>
              <w:right w:val="single" w:color="000000" w:sz="4" w:space="0"/>
            </w:tcBorders>
            <w:vAlign w:val="center"/>
          </w:tcPr>
          <w:p w14:paraId="7DFA66B3">
            <w:pPr>
              <w:pStyle w:val="272"/>
              <w:spacing w:before="76"/>
              <w:ind w:left="7"/>
              <w:jc w:val="center"/>
              <w:rPr>
                <w:rFonts w:ascii="宋体" w:hAnsi="宋体" w:cs="宋体"/>
                <w:color w:val="auto"/>
                <w:sz w:val="21"/>
                <w:szCs w:val="21"/>
                <w:highlight w:val="none"/>
              </w:rPr>
            </w:pPr>
            <w:r>
              <w:rPr>
                <w:rFonts w:hint="eastAsia" w:ascii="宋体" w:hAnsi="宋体" w:cs="仿宋_GB2312"/>
                <w:color w:val="auto"/>
                <w:sz w:val="21"/>
                <w:szCs w:val="21"/>
                <w:highlight w:val="none"/>
              </w:rPr>
              <w:t>A02241000</w:t>
            </w:r>
            <w:r>
              <w:rPr>
                <w:rFonts w:hint="eastAsia" w:ascii="宋体" w:hAnsi="宋体" w:cs="宋体"/>
                <w:color w:val="auto"/>
                <w:sz w:val="21"/>
                <w:szCs w:val="21"/>
                <w:highlight w:val="none"/>
              </w:rPr>
              <w:t>饮食炊事机械</w:t>
            </w:r>
          </w:p>
        </w:tc>
        <w:tc>
          <w:tcPr>
            <w:tcW w:w="1496" w:type="dxa"/>
            <w:tcBorders>
              <w:top w:val="single" w:color="000000" w:sz="4" w:space="0"/>
              <w:left w:val="single" w:color="000000" w:sz="4" w:space="0"/>
              <w:bottom w:val="single" w:color="000000" w:sz="4" w:space="0"/>
              <w:right w:val="single" w:color="000000" w:sz="4" w:space="0"/>
            </w:tcBorders>
            <w:vAlign w:val="center"/>
          </w:tcPr>
          <w:p w14:paraId="3B76A274">
            <w:pPr>
              <w:pStyle w:val="272"/>
              <w:jc w:val="center"/>
              <w:rPr>
                <w:rFonts w:ascii="宋体" w:hAnsi="宋体" w:cs="宋体"/>
                <w:color w:val="auto"/>
                <w:sz w:val="21"/>
                <w:szCs w:val="21"/>
                <w:highlight w:val="none"/>
              </w:rPr>
            </w:pPr>
            <w:r>
              <w:rPr>
                <w:rFonts w:hint="eastAsia" w:ascii="宋体" w:hAnsi="宋体" w:cs="宋体"/>
                <w:color w:val="auto"/>
                <w:sz w:val="21"/>
                <w:szCs w:val="21"/>
                <w:highlight w:val="none"/>
              </w:rPr>
              <w:t>商用燃</w:t>
            </w:r>
            <w:r>
              <w:rPr>
                <w:rFonts w:hint="eastAsia" w:ascii="宋体" w:hAnsi="宋体" w:cs="宋体"/>
                <w:color w:val="auto"/>
                <w:spacing w:val="2"/>
                <w:sz w:val="21"/>
                <w:szCs w:val="21"/>
                <w:highlight w:val="none"/>
              </w:rPr>
              <w:t>气</w:t>
            </w:r>
            <w:r>
              <w:rPr>
                <w:rFonts w:hint="eastAsia" w:ascii="宋体" w:hAnsi="宋体" w:cs="宋体"/>
                <w:color w:val="auto"/>
                <w:sz w:val="21"/>
                <w:szCs w:val="21"/>
                <w:highlight w:val="none"/>
              </w:rPr>
              <w:t>灶具</w:t>
            </w:r>
          </w:p>
        </w:tc>
        <w:tc>
          <w:tcPr>
            <w:tcW w:w="1481" w:type="dxa"/>
            <w:tcBorders>
              <w:top w:val="single" w:color="000000" w:sz="4" w:space="0"/>
              <w:left w:val="single" w:color="000000" w:sz="4" w:space="0"/>
              <w:bottom w:val="single" w:color="000000" w:sz="4" w:space="0"/>
              <w:right w:val="single" w:color="000000" w:sz="4" w:space="0"/>
            </w:tcBorders>
            <w:vAlign w:val="center"/>
          </w:tcPr>
          <w:p w14:paraId="2769F3E3">
            <w:pPr>
              <w:jc w:val="center"/>
              <w:rPr>
                <w:rFonts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tcPr>
          <w:p w14:paraId="1F81AFDF">
            <w:pPr>
              <w:pStyle w:val="272"/>
              <w:spacing w:before="131" w:line="276" w:lineRule="auto"/>
              <w:ind w:left="7" w:right="4"/>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《商用燃气灶具能效限定值及能效等级》（GB30531）</w:t>
            </w:r>
          </w:p>
        </w:tc>
      </w:tr>
      <w:tr w14:paraId="31006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19277E26">
            <w:pPr>
              <w:jc w:val="center"/>
              <w:rPr>
                <w:rFonts w:ascii="宋体" w:hAnsi="宋体"/>
                <w:color w:val="auto"/>
                <w:szCs w:val="21"/>
                <w:highlight w:val="none"/>
              </w:rPr>
            </w:pPr>
            <w:r>
              <w:rPr>
                <w:rFonts w:hint="eastAsia" w:ascii="宋体" w:hAnsi="宋体"/>
                <w:color w:val="auto"/>
                <w:szCs w:val="21"/>
                <w:highlight w:val="none"/>
              </w:rPr>
              <w:t>15</w:t>
            </w:r>
          </w:p>
        </w:tc>
        <w:tc>
          <w:tcPr>
            <w:tcW w:w="1422" w:type="dxa"/>
            <w:vMerge w:val="restart"/>
            <w:tcBorders>
              <w:top w:val="single" w:color="000000" w:sz="4" w:space="0"/>
              <w:left w:val="single" w:color="000000" w:sz="4" w:space="0"/>
              <w:bottom w:val="single" w:color="000000" w:sz="4" w:space="0"/>
              <w:right w:val="single" w:color="000000" w:sz="4" w:space="0"/>
            </w:tcBorders>
            <w:vAlign w:val="center"/>
          </w:tcPr>
          <w:p w14:paraId="6F88A593">
            <w:pPr>
              <w:pStyle w:val="272"/>
              <w:jc w:val="center"/>
              <w:rPr>
                <w:rFonts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仿宋_GB2312"/>
                <w:color w:val="auto"/>
                <w:sz w:val="21"/>
                <w:szCs w:val="21"/>
                <w:highlight w:val="none"/>
              </w:rPr>
              <w:t>A05020105</w:t>
            </w:r>
            <w:r>
              <w:rPr>
                <w:rFonts w:hint="eastAsia" w:ascii="宋体" w:hAnsi="宋体" w:cs="宋体"/>
                <w:color w:val="auto"/>
                <w:sz w:val="21"/>
                <w:szCs w:val="21"/>
                <w:highlight w:val="none"/>
              </w:rPr>
              <w:t>便器</w:t>
            </w:r>
          </w:p>
        </w:tc>
        <w:tc>
          <w:tcPr>
            <w:tcW w:w="1496" w:type="dxa"/>
            <w:tcBorders>
              <w:top w:val="single" w:color="000000" w:sz="4" w:space="0"/>
              <w:left w:val="single" w:color="000000" w:sz="4" w:space="0"/>
              <w:bottom w:val="single" w:color="000000" w:sz="4" w:space="0"/>
              <w:right w:val="single" w:color="000000" w:sz="4" w:space="0"/>
            </w:tcBorders>
            <w:vAlign w:val="center"/>
          </w:tcPr>
          <w:p w14:paraId="5717A8F8">
            <w:pPr>
              <w:pStyle w:val="272"/>
              <w:jc w:val="center"/>
              <w:rPr>
                <w:rFonts w:ascii="宋体" w:hAnsi="宋体" w:cs="宋体"/>
                <w:color w:val="auto"/>
                <w:sz w:val="21"/>
                <w:szCs w:val="21"/>
                <w:highlight w:val="none"/>
              </w:rPr>
            </w:pPr>
            <w:r>
              <w:rPr>
                <w:rFonts w:hint="eastAsia" w:ascii="宋体" w:hAnsi="宋体" w:cs="宋体"/>
                <w:color w:val="auto"/>
                <w:sz w:val="21"/>
                <w:szCs w:val="21"/>
                <w:highlight w:val="none"/>
              </w:rPr>
              <w:t>坐便器</w:t>
            </w:r>
          </w:p>
        </w:tc>
        <w:tc>
          <w:tcPr>
            <w:tcW w:w="1481" w:type="dxa"/>
            <w:tcBorders>
              <w:top w:val="single" w:color="000000" w:sz="4" w:space="0"/>
              <w:left w:val="single" w:color="000000" w:sz="4" w:space="0"/>
              <w:bottom w:val="single" w:color="000000" w:sz="4" w:space="0"/>
              <w:right w:val="single" w:color="000000" w:sz="4" w:space="0"/>
            </w:tcBorders>
            <w:vAlign w:val="center"/>
          </w:tcPr>
          <w:p w14:paraId="5708AB25">
            <w:pPr>
              <w:jc w:val="center"/>
              <w:rPr>
                <w:rFonts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tcPr>
          <w:p w14:paraId="43761C4A">
            <w:pPr>
              <w:pStyle w:val="272"/>
              <w:spacing w:before="131" w:line="276" w:lineRule="auto"/>
              <w:ind w:left="7" w:right="4"/>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《坐便器水效限定值及水效等级》</w:t>
            </w:r>
          </w:p>
          <w:p w14:paraId="0FF54B10">
            <w:pPr>
              <w:pStyle w:val="272"/>
              <w:spacing w:before="131" w:line="276" w:lineRule="auto"/>
              <w:ind w:left="7" w:right="4"/>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（GB25502）</w:t>
            </w:r>
          </w:p>
        </w:tc>
      </w:tr>
      <w:tr w14:paraId="1C599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426E9D4">
            <w:pPr>
              <w:widowControl/>
              <w:jc w:val="left"/>
              <w:rPr>
                <w:rFonts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B4B541A">
            <w:pPr>
              <w:widowControl/>
              <w:jc w:val="left"/>
              <w:rPr>
                <w:rFonts w:ascii="宋体" w:hAnsi="宋体" w:cs="宋体"/>
                <w:color w:val="auto"/>
                <w:szCs w:val="21"/>
                <w:highlight w:val="none"/>
                <w:lang w:eastAsia="en-US"/>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34297693">
            <w:pPr>
              <w:pStyle w:val="272"/>
              <w:jc w:val="center"/>
              <w:rPr>
                <w:rFonts w:ascii="宋体" w:hAnsi="宋体" w:cs="宋体"/>
                <w:color w:val="auto"/>
                <w:sz w:val="21"/>
                <w:szCs w:val="21"/>
                <w:highlight w:val="none"/>
              </w:rPr>
            </w:pPr>
            <w:r>
              <w:rPr>
                <w:rFonts w:hint="eastAsia" w:ascii="宋体" w:hAnsi="宋体" w:cs="宋体"/>
                <w:color w:val="auto"/>
                <w:sz w:val="21"/>
                <w:szCs w:val="21"/>
                <w:highlight w:val="none"/>
              </w:rPr>
              <w:t>蹲便器</w:t>
            </w:r>
          </w:p>
        </w:tc>
        <w:tc>
          <w:tcPr>
            <w:tcW w:w="1481" w:type="dxa"/>
            <w:tcBorders>
              <w:top w:val="single" w:color="000000" w:sz="4" w:space="0"/>
              <w:left w:val="single" w:color="000000" w:sz="4" w:space="0"/>
              <w:bottom w:val="single" w:color="000000" w:sz="4" w:space="0"/>
              <w:right w:val="single" w:color="000000" w:sz="4" w:space="0"/>
            </w:tcBorders>
            <w:vAlign w:val="center"/>
          </w:tcPr>
          <w:p w14:paraId="2AE397F5">
            <w:pPr>
              <w:jc w:val="center"/>
              <w:rPr>
                <w:rFonts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tcPr>
          <w:p w14:paraId="57C332F2">
            <w:pPr>
              <w:pStyle w:val="272"/>
              <w:spacing w:before="131" w:line="276" w:lineRule="auto"/>
              <w:ind w:left="7" w:right="4"/>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《蹲便器用水效率限定值及用水效率等级》（GB30717）</w:t>
            </w:r>
          </w:p>
        </w:tc>
      </w:tr>
      <w:tr w14:paraId="2A754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ECF8042">
            <w:pPr>
              <w:widowControl/>
              <w:jc w:val="left"/>
              <w:rPr>
                <w:rFonts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4746E89">
            <w:pPr>
              <w:widowControl/>
              <w:jc w:val="left"/>
              <w:rPr>
                <w:rFonts w:ascii="宋体" w:hAnsi="宋体" w:cs="宋体"/>
                <w:color w:val="auto"/>
                <w:szCs w:val="21"/>
                <w:highlight w:val="none"/>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1D380270">
            <w:pPr>
              <w:pStyle w:val="272"/>
              <w:jc w:val="center"/>
              <w:rPr>
                <w:rFonts w:ascii="宋体" w:hAnsi="宋体" w:cs="宋体"/>
                <w:color w:val="auto"/>
                <w:sz w:val="21"/>
                <w:szCs w:val="21"/>
                <w:highlight w:val="none"/>
              </w:rPr>
            </w:pPr>
            <w:r>
              <w:rPr>
                <w:rFonts w:hint="eastAsia" w:ascii="宋体" w:hAnsi="宋体" w:cs="宋体"/>
                <w:color w:val="auto"/>
                <w:sz w:val="21"/>
                <w:szCs w:val="21"/>
                <w:highlight w:val="none"/>
              </w:rPr>
              <w:t>小便器</w:t>
            </w:r>
          </w:p>
        </w:tc>
        <w:tc>
          <w:tcPr>
            <w:tcW w:w="1481" w:type="dxa"/>
            <w:tcBorders>
              <w:top w:val="single" w:color="000000" w:sz="4" w:space="0"/>
              <w:left w:val="single" w:color="000000" w:sz="4" w:space="0"/>
              <w:bottom w:val="single" w:color="000000" w:sz="4" w:space="0"/>
              <w:right w:val="single" w:color="000000" w:sz="4" w:space="0"/>
            </w:tcBorders>
            <w:vAlign w:val="center"/>
          </w:tcPr>
          <w:p w14:paraId="7363BBF6">
            <w:pPr>
              <w:jc w:val="center"/>
              <w:rPr>
                <w:rFonts w:ascii="宋体" w:hAnsi="宋体"/>
                <w:color w:val="auto"/>
                <w:szCs w:val="21"/>
                <w:highlight w:val="none"/>
              </w:rPr>
            </w:pPr>
          </w:p>
        </w:tc>
        <w:tc>
          <w:tcPr>
            <w:tcW w:w="3452" w:type="dxa"/>
            <w:tcBorders>
              <w:top w:val="single" w:color="000000" w:sz="4" w:space="0"/>
              <w:left w:val="single" w:color="000000" w:sz="4" w:space="0"/>
              <w:bottom w:val="single" w:color="000000" w:sz="4" w:space="0"/>
              <w:right w:val="single" w:color="000000" w:sz="4" w:space="0"/>
            </w:tcBorders>
          </w:tcPr>
          <w:p w14:paraId="34B37490">
            <w:pPr>
              <w:pStyle w:val="272"/>
              <w:spacing w:before="131" w:line="276" w:lineRule="auto"/>
              <w:ind w:left="7" w:right="4"/>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《小便器用水效率限定值及用水效率等级》（GB28377）</w:t>
            </w:r>
          </w:p>
        </w:tc>
      </w:tr>
      <w:tr w14:paraId="714EC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2BE6F97D">
            <w:pPr>
              <w:pStyle w:val="272"/>
              <w:jc w:val="center"/>
              <w:rPr>
                <w:rFonts w:ascii="宋体" w:hAnsi="宋体" w:cs="宋体"/>
                <w:color w:val="auto"/>
                <w:sz w:val="21"/>
                <w:szCs w:val="21"/>
                <w:highlight w:val="none"/>
              </w:rPr>
            </w:pPr>
            <w:r>
              <w:rPr>
                <w:rFonts w:hint="eastAsia" w:ascii="宋体" w:hAnsi="宋体"/>
                <w:color w:val="auto"/>
                <w:sz w:val="21"/>
                <w:szCs w:val="21"/>
                <w:highlight w:val="none"/>
              </w:rPr>
              <w:t>16</w:t>
            </w:r>
          </w:p>
        </w:tc>
        <w:tc>
          <w:tcPr>
            <w:tcW w:w="1422" w:type="dxa"/>
            <w:tcBorders>
              <w:top w:val="single" w:color="000000" w:sz="4" w:space="0"/>
              <w:left w:val="single" w:color="000000" w:sz="4" w:space="0"/>
              <w:bottom w:val="single" w:color="000000" w:sz="4" w:space="0"/>
              <w:right w:val="single" w:color="000000" w:sz="4" w:space="0"/>
            </w:tcBorders>
            <w:vAlign w:val="center"/>
          </w:tcPr>
          <w:p w14:paraId="408BD217">
            <w:pPr>
              <w:pStyle w:val="272"/>
              <w:spacing w:before="153"/>
              <w:ind w:left="7"/>
              <w:jc w:val="center"/>
              <w:rPr>
                <w:rFonts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仿宋_GB2312"/>
                <w:color w:val="auto"/>
                <w:sz w:val="21"/>
                <w:szCs w:val="21"/>
                <w:highlight w:val="none"/>
              </w:rPr>
              <w:t>A05020106</w:t>
            </w:r>
            <w:r>
              <w:rPr>
                <w:rFonts w:hint="eastAsia" w:ascii="宋体" w:hAnsi="宋体" w:cs="宋体"/>
                <w:color w:val="auto"/>
                <w:sz w:val="21"/>
                <w:szCs w:val="21"/>
                <w:highlight w:val="none"/>
              </w:rPr>
              <w:t>水嘴</w:t>
            </w:r>
          </w:p>
        </w:tc>
        <w:tc>
          <w:tcPr>
            <w:tcW w:w="1496" w:type="dxa"/>
            <w:tcBorders>
              <w:top w:val="single" w:color="000000" w:sz="4" w:space="0"/>
              <w:left w:val="single" w:color="000000" w:sz="4" w:space="0"/>
              <w:bottom w:val="single" w:color="000000" w:sz="4" w:space="0"/>
              <w:right w:val="single" w:color="000000" w:sz="4" w:space="0"/>
            </w:tcBorders>
            <w:vAlign w:val="center"/>
          </w:tcPr>
          <w:p w14:paraId="17A34430">
            <w:pPr>
              <w:jc w:val="center"/>
              <w:rPr>
                <w:rFonts w:ascii="宋体" w:hAnsi="宋体"/>
                <w:color w:val="auto"/>
                <w:szCs w:val="21"/>
                <w:highlight w:val="none"/>
                <w:lang w:eastAsia="en-US"/>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54AD13D5">
            <w:pPr>
              <w:jc w:val="center"/>
              <w:rPr>
                <w:rFonts w:ascii="宋体" w:hAnsi="宋体"/>
                <w:color w:val="auto"/>
                <w:szCs w:val="21"/>
                <w:highlight w:val="none"/>
                <w:lang w:eastAsia="en-US"/>
              </w:rPr>
            </w:pPr>
          </w:p>
        </w:tc>
        <w:tc>
          <w:tcPr>
            <w:tcW w:w="3452" w:type="dxa"/>
            <w:tcBorders>
              <w:top w:val="single" w:color="000000" w:sz="4" w:space="0"/>
              <w:left w:val="single" w:color="000000" w:sz="4" w:space="0"/>
              <w:bottom w:val="single" w:color="000000" w:sz="4" w:space="0"/>
              <w:right w:val="single" w:color="000000" w:sz="4" w:space="0"/>
            </w:tcBorders>
          </w:tcPr>
          <w:p w14:paraId="6FA8C2D8">
            <w:pPr>
              <w:pStyle w:val="272"/>
              <w:spacing w:before="153" w:line="276" w:lineRule="auto"/>
              <w:ind w:left="7" w:right="4"/>
              <w:rPr>
                <w:rFonts w:ascii="宋体" w:hAnsi="宋体" w:cs="宋体"/>
                <w:color w:val="auto"/>
                <w:sz w:val="21"/>
                <w:szCs w:val="21"/>
                <w:highlight w:val="none"/>
                <w:lang w:eastAsia="zh-CN"/>
              </w:rPr>
            </w:pPr>
            <w:r>
              <w:rPr>
                <w:rFonts w:hint="eastAsia" w:ascii="宋体" w:hAnsi="宋体" w:cs="宋体"/>
                <w:color w:val="auto"/>
                <w:spacing w:val="10"/>
                <w:sz w:val="21"/>
                <w:szCs w:val="21"/>
                <w:highlight w:val="none"/>
                <w:lang w:eastAsia="zh-CN"/>
              </w:rPr>
              <w:t>《水嘴用水效率限定值及用水效</w:t>
            </w:r>
            <w:r>
              <w:rPr>
                <w:rFonts w:hint="eastAsia" w:ascii="宋体" w:hAnsi="宋体" w:cs="宋体"/>
                <w:color w:val="auto"/>
                <w:sz w:val="21"/>
                <w:szCs w:val="21"/>
                <w:highlight w:val="none"/>
                <w:lang w:eastAsia="zh-CN"/>
              </w:rPr>
              <w:t>率等级》（GB 25501）</w:t>
            </w:r>
          </w:p>
        </w:tc>
      </w:tr>
      <w:tr w14:paraId="3A273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189F3A1A">
            <w:pPr>
              <w:pStyle w:val="272"/>
              <w:jc w:val="center"/>
              <w:rPr>
                <w:rFonts w:ascii="宋体" w:hAnsi="宋体" w:cs="宋体"/>
                <w:color w:val="auto"/>
                <w:sz w:val="21"/>
                <w:szCs w:val="21"/>
                <w:highlight w:val="none"/>
              </w:rPr>
            </w:pPr>
            <w:r>
              <w:rPr>
                <w:rFonts w:hint="eastAsia" w:ascii="宋体" w:hAnsi="宋体"/>
                <w:color w:val="auto"/>
                <w:sz w:val="21"/>
                <w:szCs w:val="21"/>
                <w:highlight w:val="none"/>
              </w:rPr>
              <w:t>17</w:t>
            </w:r>
          </w:p>
        </w:tc>
        <w:tc>
          <w:tcPr>
            <w:tcW w:w="1422" w:type="dxa"/>
            <w:tcBorders>
              <w:top w:val="single" w:color="000000" w:sz="4" w:space="0"/>
              <w:left w:val="single" w:color="000000" w:sz="4" w:space="0"/>
              <w:bottom w:val="single" w:color="000000" w:sz="4" w:space="0"/>
              <w:right w:val="single" w:color="000000" w:sz="4" w:space="0"/>
            </w:tcBorders>
            <w:vAlign w:val="center"/>
          </w:tcPr>
          <w:p w14:paraId="4160281F">
            <w:pPr>
              <w:pStyle w:val="272"/>
              <w:spacing w:before="112"/>
              <w:ind w:left="7"/>
              <w:jc w:val="center"/>
              <w:rPr>
                <w:rFonts w:ascii="宋体" w:hAnsi="宋体" w:cs="宋体"/>
                <w:color w:val="auto"/>
                <w:sz w:val="21"/>
                <w:szCs w:val="21"/>
                <w:highlight w:val="none"/>
              </w:rPr>
            </w:pPr>
            <w:r>
              <w:rPr>
                <w:rFonts w:hint="eastAsia" w:ascii="宋体" w:hAnsi="宋体" w:cs="仿宋_GB2312"/>
                <w:color w:val="auto"/>
                <w:sz w:val="21"/>
                <w:szCs w:val="21"/>
                <w:highlight w:val="none"/>
              </w:rPr>
              <w:t>A05020107</w:t>
            </w:r>
            <w:r>
              <w:rPr>
                <w:rFonts w:hint="eastAsia" w:ascii="宋体" w:hAnsi="宋体" w:cs="宋体"/>
                <w:color w:val="auto"/>
                <w:sz w:val="21"/>
                <w:szCs w:val="21"/>
                <w:highlight w:val="none"/>
              </w:rPr>
              <w:t>便器冲洗阀</w:t>
            </w:r>
          </w:p>
        </w:tc>
        <w:tc>
          <w:tcPr>
            <w:tcW w:w="1496" w:type="dxa"/>
            <w:tcBorders>
              <w:top w:val="single" w:color="000000" w:sz="4" w:space="0"/>
              <w:left w:val="single" w:color="000000" w:sz="4" w:space="0"/>
              <w:bottom w:val="single" w:color="000000" w:sz="4" w:space="0"/>
              <w:right w:val="single" w:color="000000" w:sz="4" w:space="0"/>
            </w:tcBorders>
            <w:vAlign w:val="center"/>
          </w:tcPr>
          <w:p w14:paraId="6BCAD547">
            <w:pPr>
              <w:jc w:val="center"/>
              <w:rPr>
                <w:rFonts w:ascii="宋体" w:hAnsi="宋体"/>
                <w:color w:val="auto"/>
                <w:szCs w:val="21"/>
                <w:highlight w:val="none"/>
                <w:lang w:eastAsia="en-US"/>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58BBB720">
            <w:pPr>
              <w:jc w:val="center"/>
              <w:rPr>
                <w:rFonts w:ascii="宋体" w:hAnsi="宋体"/>
                <w:color w:val="auto"/>
                <w:szCs w:val="21"/>
                <w:highlight w:val="none"/>
                <w:lang w:eastAsia="en-US"/>
              </w:rPr>
            </w:pPr>
          </w:p>
        </w:tc>
        <w:tc>
          <w:tcPr>
            <w:tcW w:w="3452" w:type="dxa"/>
            <w:tcBorders>
              <w:top w:val="single" w:color="000000" w:sz="4" w:space="0"/>
              <w:left w:val="single" w:color="000000" w:sz="4" w:space="0"/>
              <w:bottom w:val="single" w:color="000000" w:sz="4" w:space="0"/>
              <w:right w:val="single" w:color="000000" w:sz="4" w:space="0"/>
            </w:tcBorders>
          </w:tcPr>
          <w:p w14:paraId="448424F9">
            <w:pPr>
              <w:pStyle w:val="272"/>
              <w:spacing w:before="112" w:line="276" w:lineRule="auto"/>
              <w:ind w:left="7" w:right="4"/>
              <w:rPr>
                <w:rFonts w:ascii="宋体" w:hAnsi="宋体" w:cs="宋体"/>
                <w:color w:val="auto"/>
                <w:sz w:val="21"/>
                <w:szCs w:val="21"/>
                <w:highlight w:val="none"/>
                <w:lang w:eastAsia="zh-CN"/>
              </w:rPr>
            </w:pPr>
            <w:r>
              <w:rPr>
                <w:rFonts w:hint="eastAsia" w:ascii="宋体" w:hAnsi="宋体" w:cs="宋体"/>
                <w:color w:val="auto"/>
                <w:spacing w:val="10"/>
                <w:sz w:val="21"/>
                <w:szCs w:val="21"/>
                <w:highlight w:val="none"/>
                <w:lang w:eastAsia="zh-CN"/>
              </w:rPr>
              <w:t>《便器冲洗阀用水效率限定值及</w:t>
            </w:r>
            <w:r>
              <w:rPr>
                <w:rFonts w:hint="eastAsia" w:ascii="宋体" w:hAnsi="宋体" w:cs="宋体"/>
                <w:color w:val="auto"/>
                <w:sz w:val="21"/>
                <w:szCs w:val="21"/>
                <w:highlight w:val="none"/>
                <w:lang w:eastAsia="zh-CN"/>
              </w:rPr>
              <w:t>用水效率等级》（GB28379）</w:t>
            </w:r>
          </w:p>
        </w:tc>
      </w:tr>
      <w:tr w14:paraId="14331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2428DE06">
            <w:pPr>
              <w:pStyle w:val="272"/>
              <w:jc w:val="center"/>
              <w:rPr>
                <w:rFonts w:ascii="宋体" w:hAnsi="宋体" w:cs="宋体"/>
                <w:color w:val="auto"/>
                <w:sz w:val="21"/>
                <w:szCs w:val="21"/>
                <w:highlight w:val="none"/>
              </w:rPr>
            </w:pPr>
            <w:r>
              <w:rPr>
                <w:rFonts w:hint="eastAsia" w:ascii="宋体" w:hAnsi="宋体"/>
                <w:color w:val="auto"/>
                <w:sz w:val="21"/>
                <w:szCs w:val="21"/>
                <w:highlight w:val="none"/>
              </w:rPr>
              <w:t>18</w:t>
            </w:r>
          </w:p>
        </w:tc>
        <w:tc>
          <w:tcPr>
            <w:tcW w:w="1422" w:type="dxa"/>
            <w:tcBorders>
              <w:top w:val="single" w:color="000000" w:sz="4" w:space="0"/>
              <w:left w:val="single" w:color="000000" w:sz="4" w:space="0"/>
              <w:bottom w:val="single" w:color="000000" w:sz="4" w:space="0"/>
              <w:right w:val="single" w:color="000000" w:sz="4" w:space="0"/>
            </w:tcBorders>
            <w:vAlign w:val="center"/>
          </w:tcPr>
          <w:p w14:paraId="2331D5E8">
            <w:pPr>
              <w:pStyle w:val="272"/>
              <w:spacing w:before="131"/>
              <w:ind w:left="7"/>
              <w:jc w:val="center"/>
              <w:rPr>
                <w:rFonts w:ascii="宋体" w:hAnsi="宋体" w:cs="宋体"/>
                <w:color w:val="auto"/>
                <w:sz w:val="21"/>
                <w:szCs w:val="21"/>
                <w:highlight w:val="none"/>
              </w:rPr>
            </w:pPr>
            <w:r>
              <w:rPr>
                <w:rFonts w:hint="eastAsia" w:ascii="宋体" w:hAnsi="宋体" w:cs="仿宋_GB2312"/>
                <w:color w:val="auto"/>
                <w:sz w:val="21"/>
                <w:szCs w:val="21"/>
                <w:highlight w:val="none"/>
              </w:rPr>
              <w:t>A05020110</w:t>
            </w:r>
            <w:r>
              <w:rPr>
                <w:rFonts w:hint="eastAsia" w:ascii="宋体" w:hAnsi="宋体" w:cs="宋体"/>
                <w:color w:val="auto"/>
                <w:sz w:val="21"/>
                <w:szCs w:val="21"/>
                <w:highlight w:val="none"/>
              </w:rPr>
              <w:t>淋浴器</w:t>
            </w:r>
          </w:p>
        </w:tc>
        <w:tc>
          <w:tcPr>
            <w:tcW w:w="1496" w:type="dxa"/>
            <w:tcBorders>
              <w:top w:val="single" w:color="000000" w:sz="4" w:space="0"/>
              <w:left w:val="single" w:color="000000" w:sz="4" w:space="0"/>
              <w:bottom w:val="single" w:color="000000" w:sz="4" w:space="0"/>
              <w:right w:val="single" w:color="000000" w:sz="4" w:space="0"/>
            </w:tcBorders>
            <w:vAlign w:val="center"/>
          </w:tcPr>
          <w:p w14:paraId="1E80ED7F">
            <w:pPr>
              <w:jc w:val="center"/>
              <w:rPr>
                <w:rFonts w:ascii="宋体" w:hAnsi="宋体"/>
                <w:color w:val="auto"/>
                <w:szCs w:val="21"/>
                <w:highlight w:val="none"/>
                <w:lang w:eastAsia="en-US"/>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32944EC4">
            <w:pPr>
              <w:jc w:val="center"/>
              <w:rPr>
                <w:rFonts w:ascii="宋体" w:hAnsi="宋体"/>
                <w:color w:val="auto"/>
                <w:szCs w:val="21"/>
                <w:highlight w:val="none"/>
                <w:lang w:eastAsia="en-US"/>
              </w:rPr>
            </w:pPr>
          </w:p>
        </w:tc>
        <w:tc>
          <w:tcPr>
            <w:tcW w:w="3452" w:type="dxa"/>
            <w:tcBorders>
              <w:top w:val="single" w:color="000000" w:sz="4" w:space="0"/>
              <w:left w:val="single" w:color="000000" w:sz="4" w:space="0"/>
              <w:bottom w:val="single" w:color="000000" w:sz="4" w:space="0"/>
              <w:right w:val="single" w:color="000000" w:sz="4" w:space="0"/>
            </w:tcBorders>
          </w:tcPr>
          <w:p w14:paraId="7116E727">
            <w:pPr>
              <w:pStyle w:val="272"/>
              <w:spacing w:before="131" w:line="276" w:lineRule="auto"/>
              <w:ind w:left="7" w:right="4"/>
              <w:rPr>
                <w:rFonts w:ascii="宋体" w:hAnsi="宋体" w:cs="宋体"/>
                <w:color w:val="auto"/>
                <w:sz w:val="21"/>
                <w:szCs w:val="21"/>
                <w:highlight w:val="none"/>
                <w:lang w:eastAsia="zh-CN"/>
              </w:rPr>
            </w:pPr>
            <w:r>
              <w:rPr>
                <w:rFonts w:hint="eastAsia" w:ascii="宋体" w:hAnsi="宋体" w:cs="宋体"/>
                <w:color w:val="auto"/>
                <w:spacing w:val="10"/>
                <w:sz w:val="21"/>
                <w:szCs w:val="21"/>
                <w:highlight w:val="none"/>
                <w:lang w:eastAsia="zh-CN"/>
              </w:rPr>
              <w:t>《淋浴器用水效率限定值及用水</w:t>
            </w:r>
            <w:r>
              <w:rPr>
                <w:rFonts w:hint="eastAsia" w:ascii="宋体" w:hAnsi="宋体" w:cs="宋体"/>
                <w:color w:val="auto"/>
                <w:sz w:val="21"/>
                <w:szCs w:val="21"/>
                <w:highlight w:val="none"/>
                <w:lang w:eastAsia="zh-CN"/>
              </w:rPr>
              <w:t>效率等级》（GB28378）</w:t>
            </w:r>
          </w:p>
        </w:tc>
      </w:tr>
    </w:tbl>
    <w:p w14:paraId="5EDEBA03">
      <w:pPr>
        <w:pStyle w:val="19"/>
        <w:spacing w:line="360" w:lineRule="auto"/>
        <w:rPr>
          <w:rFonts w:ascii="宋体" w:hAnsi="宋体"/>
          <w:color w:val="auto"/>
          <w:sz w:val="21"/>
          <w:szCs w:val="21"/>
          <w:highlight w:val="none"/>
        </w:rPr>
      </w:pPr>
      <w:r>
        <w:rPr>
          <w:rFonts w:hint="eastAsia" w:ascii="宋体" w:hAnsi="宋体"/>
          <w:color w:val="auto"/>
          <w:spacing w:val="-3"/>
          <w:sz w:val="21"/>
          <w:szCs w:val="21"/>
          <w:highlight w:val="none"/>
        </w:rPr>
        <w:t>注：</w:t>
      </w:r>
      <w:r>
        <w:rPr>
          <w:rFonts w:ascii="宋体" w:hAnsi="宋体"/>
          <w:color w:val="auto"/>
          <w:spacing w:val="-3"/>
          <w:sz w:val="21"/>
          <w:szCs w:val="21"/>
          <w:highlight w:val="none"/>
        </w:rPr>
        <w:t>1.</w:t>
      </w:r>
      <w:r>
        <w:rPr>
          <w:rFonts w:hint="eastAsia" w:ascii="宋体" w:hAnsi="宋体"/>
          <w:color w:val="auto"/>
          <w:spacing w:val="-3"/>
          <w:sz w:val="21"/>
          <w:szCs w:val="21"/>
          <w:highlight w:val="none"/>
        </w:rPr>
        <w:t>节能产品认证应依据相关国家标准的最新版本，依据国家标准中二级能效（水效）</w:t>
      </w:r>
      <w:r>
        <w:rPr>
          <w:rFonts w:hint="eastAsia" w:ascii="宋体" w:hAnsi="宋体"/>
          <w:color w:val="auto"/>
          <w:sz w:val="21"/>
          <w:szCs w:val="21"/>
          <w:highlight w:val="none"/>
        </w:rPr>
        <w:t>指标。</w:t>
      </w:r>
    </w:p>
    <w:p w14:paraId="5CCCE18E">
      <w:pPr>
        <w:pStyle w:val="19"/>
        <w:spacing w:line="360" w:lineRule="auto"/>
        <w:ind w:firstLine="465"/>
        <w:rPr>
          <w:rFonts w:ascii="宋体" w:hAnsi="宋体"/>
          <w:color w:val="auto"/>
          <w:sz w:val="21"/>
          <w:szCs w:val="21"/>
          <w:highlight w:val="none"/>
        </w:rPr>
      </w:pPr>
      <w:r>
        <w:rPr>
          <w:rFonts w:ascii="宋体" w:hAnsi="宋体"/>
          <w:color w:val="auto"/>
          <w:sz w:val="21"/>
          <w:szCs w:val="21"/>
          <w:highlight w:val="none"/>
        </w:rPr>
        <w:t>2</w:t>
      </w:r>
      <w:r>
        <w:rPr>
          <w:rFonts w:hint="eastAsia" w:ascii="宋体" w:hAnsi="宋体"/>
          <w:color w:val="auto"/>
          <w:sz w:val="21"/>
          <w:szCs w:val="21"/>
          <w:highlight w:val="none"/>
        </w:rPr>
        <w:t>.以</w:t>
      </w:r>
      <w:r>
        <w:rPr>
          <w:rFonts w:ascii="宋体" w:hAnsi="宋体"/>
          <w:color w:val="auto"/>
          <w:sz w:val="21"/>
          <w:szCs w:val="21"/>
          <w:highlight w:val="none"/>
        </w:rPr>
        <w:t>“</w:t>
      </w:r>
      <w:r>
        <w:rPr>
          <w:rFonts w:hint="eastAsia" w:ascii="宋体" w:hAnsi="宋体"/>
          <w:color w:val="auto"/>
          <w:sz w:val="21"/>
          <w:szCs w:val="21"/>
          <w:highlight w:val="none"/>
        </w:rPr>
        <w:t>★</w:t>
      </w:r>
      <w:r>
        <w:rPr>
          <w:rFonts w:ascii="宋体" w:hAnsi="宋体"/>
          <w:color w:val="auto"/>
          <w:sz w:val="21"/>
          <w:szCs w:val="21"/>
          <w:highlight w:val="none"/>
        </w:rPr>
        <w:t>”</w:t>
      </w:r>
      <w:r>
        <w:rPr>
          <w:rFonts w:hint="eastAsia" w:ascii="宋体" w:hAnsi="宋体"/>
          <w:color w:val="auto"/>
          <w:sz w:val="21"/>
          <w:szCs w:val="21"/>
          <w:highlight w:val="none"/>
        </w:rPr>
        <w:t>标注的为政府强制采购产品。</w:t>
      </w:r>
    </w:p>
    <w:p w14:paraId="319FB2AB">
      <w:pPr>
        <w:pStyle w:val="19"/>
        <w:spacing w:line="360" w:lineRule="auto"/>
        <w:ind w:firstLine="465"/>
        <w:rPr>
          <w:rFonts w:ascii="宋体" w:hAnsi="宋体"/>
          <w:color w:val="auto"/>
          <w:sz w:val="21"/>
          <w:szCs w:val="21"/>
          <w:highlight w:val="none"/>
        </w:rPr>
      </w:pPr>
      <w:r>
        <w:rPr>
          <w:rFonts w:hint="eastAsia" w:ascii="宋体" w:hAnsi="宋体"/>
          <w:color w:val="auto"/>
          <w:sz w:val="21"/>
          <w:szCs w:val="21"/>
          <w:highlight w:val="none"/>
        </w:rPr>
        <w:t>3.本表格原为《关于印发节能产品政府采购品目清单的通知》（财库〔2019〕19号）规定的表格附件，其中名称及编码已根据《财政部关于印发〈政府采购品目分类目录〉的通知》（财库〔2022〕31号）修改。</w:t>
      </w:r>
    </w:p>
    <w:p w14:paraId="5033DF05">
      <w:pPr>
        <w:rPr>
          <w:rFonts w:ascii="宋体" w:hAnsi="宋体"/>
          <w:color w:val="auto"/>
          <w:szCs w:val="21"/>
          <w:highlight w:val="none"/>
        </w:rPr>
      </w:pPr>
      <w:r>
        <w:rPr>
          <w:rFonts w:hint="eastAsia" w:ascii="宋体" w:hAnsi="宋体"/>
          <w:color w:val="auto"/>
          <w:szCs w:val="21"/>
          <w:highlight w:val="none"/>
        </w:rPr>
        <w:br w:type="page" w:clear="all"/>
      </w:r>
    </w:p>
    <w:p w14:paraId="367285ED">
      <w:pPr>
        <w:pStyle w:val="41"/>
        <w:rPr>
          <w:color w:val="auto"/>
          <w:highlight w:val="none"/>
        </w:rPr>
      </w:pPr>
    </w:p>
    <w:p w14:paraId="2FAEFB32">
      <w:pPr>
        <w:widowControl/>
        <w:jc w:val="left"/>
        <w:rPr>
          <w:rFonts w:ascii="宋体" w:hAnsi="宋体" w:cs="宋体"/>
          <w:color w:val="auto"/>
          <w:sz w:val="20"/>
          <w:szCs w:val="20"/>
          <w:highlight w:val="none"/>
        </w:rPr>
      </w:pPr>
    </w:p>
    <w:p w14:paraId="488F09BF">
      <w:pPr>
        <w:widowControl/>
        <w:jc w:val="left"/>
        <w:rPr>
          <w:rFonts w:ascii="宋体" w:hAnsi="宋体" w:cs="宋体"/>
          <w:color w:val="auto"/>
          <w:sz w:val="20"/>
          <w:szCs w:val="20"/>
          <w:highlight w:val="none"/>
        </w:rPr>
      </w:pPr>
    </w:p>
    <w:p w14:paraId="1F7FF232">
      <w:pPr>
        <w:widowControl/>
        <w:jc w:val="left"/>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附件2：</w:t>
      </w:r>
    </w:p>
    <w:p w14:paraId="0370FC29">
      <w:pPr>
        <w:pStyle w:val="19"/>
        <w:jc w:val="center"/>
        <w:rPr>
          <w:b/>
          <w:color w:val="auto"/>
          <w:sz w:val="28"/>
          <w:szCs w:val="28"/>
          <w:highlight w:val="none"/>
        </w:rPr>
      </w:pPr>
      <w:r>
        <w:rPr>
          <w:rFonts w:hint="eastAsia"/>
          <w:b/>
          <w:color w:val="auto"/>
          <w:sz w:val="28"/>
          <w:szCs w:val="28"/>
          <w:highlight w:val="none"/>
        </w:rPr>
        <w:t>中小企业划型标准规定</w:t>
      </w:r>
    </w:p>
    <w:p w14:paraId="16354295">
      <w:pPr>
        <w:pStyle w:val="19"/>
        <w:jc w:val="center"/>
        <w:rPr>
          <w:rFonts w:ascii="宋体" w:hAnsi="宋体"/>
          <w:color w:val="auto"/>
          <w:sz w:val="21"/>
          <w:szCs w:val="21"/>
          <w:highlight w:val="none"/>
        </w:rPr>
      </w:pPr>
      <w:r>
        <w:rPr>
          <w:rFonts w:hint="eastAsia" w:ascii="宋体" w:hAnsi="宋体"/>
          <w:color w:val="auto"/>
          <w:sz w:val="21"/>
          <w:szCs w:val="21"/>
          <w:highlight w:val="none"/>
        </w:rPr>
        <w:t>工信部联企业[2011]300号</w:t>
      </w:r>
    </w:p>
    <w:p w14:paraId="6403DEE8">
      <w:pPr>
        <w:pStyle w:val="19"/>
        <w:rPr>
          <w:color w:val="auto"/>
          <w:sz w:val="21"/>
          <w:szCs w:val="21"/>
          <w:highlight w:val="none"/>
        </w:rPr>
      </w:pPr>
    </w:p>
    <w:p w14:paraId="1BF6BBCD">
      <w:pPr>
        <w:pStyle w:val="19"/>
        <w:rPr>
          <w:color w:val="auto"/>
          <w:sz w:val="21"/>
          <w:szCs w:val="21"/>
          <w:highlight w:val="none"/>
        </w:rPr>
      </w:pPr>
      <w:r>
        <w:rPr>
          <w:rFonts w:hint="eastAsia"/>
          <w:color w:val="auto"/>
          <w:sz w:val="21"/>
          <w:szCs w:val="21"/>
          <w:highlight w:val="none"/>
        </w:rPr>
        <w:t>　　一、根据《中华人民共和国中小企业促进法》和《国务院关于进一步促进中小企业发展的若干意见》(国发[2009]36号)，制定本规定。</w:t>
      </w:r>
    </w:p>
    <w:p w14:paraId="3703C657">
      <w:pPr>
        <w:pStyle w:val="19"/>
        <w:rPr>
          <w:color w:val="auto"/>
          <w:sz w:val="21"/>
          <w:szCs w:val="21"/>
          <w:highlight w:val="none"/>
        </w:rPr>
      </w:pPr>
      <w:r>
        <w:rPr>
          <w:rFonts w:hint="eastAsia"/>
          <w:color w:val="auto"/>
          <w:sz w:val="21"/>
          <w:szCs w:val="21"/>
          <w:highlight w:val="none"/>
        </w:rPr>
        <w:t>　　二、中小企业划分为中型、小型、微型三种类型，具体标准根据企业从业人员、营业收入、资产总额等指标，结合行业特点制定。</w:t>
      </w:r>
    </w:p>
    <w:p w14:paraId="757FA257">
      <w:pPr>
        <w:pStyle w:val="19"/>
        <w:rPr>
          <w:color w:val="auto"/>
          <w:sz w:val="21"/>
          <w:szCs w:val="21"/>
          <w:highlight w:val="none"/>
        </w:rPr>
      </w:pPr>
      <w:r>
        <w:rPr>
          <w:rFonts w:hint="eastAsia"/>
          <w:color w:val="auto"/>
          <w:sz w:val="21"/>
          <w:szCs w:val="21"/>
          <w:highlight w:val="none"/>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3F687F2C">
      <w:pPr>
        <w:pStyle w:val="19"/>
        <w:rPr>
          <w:color w:val="auto"/>
          <w:sz w:val="21"/>
          <w:szCs w:val="21"/>
          <w:highlight w:val="none"/>
        </w:rPr>
      </w:pPr>
      <w:r>
        <w:rPr>
          <w:rFonts w:hint="eastAsia"/>
          <w:color w:val="auto"/>
          <w:sz w:val="21"/>
          <w:szCs w:val="21"/>
          <w:highlight w:val="none"/>
        </w:rPr>
        <w:t>　　四、各行业划型标准为：</w:t>
      </w:r>
    </w:p>
    <w:p w14:paraId="79443170">
      <w:pPr>
        <w:pStyle w:val="19"/>
        <w:rPr>
          <w:color w:val="auto"/>
          <w:sz w:val="21"/>
          <w:szCs w:val="21"/>
          <w:highlight w:val="none"/>
        </w:rPr>
      </w:pPr>
      <w:r>
        <w:rPr>
          <w:rFonts w:hint="eastAsia"/>
          <w:color w:val="auto"/>
          <w:sz w:val="21"/>
          <w:szCs w:val="21"/>
          <w:highlight w:val="none"/>
        </w:rPr>
        <w:t>　　（一）农、林、牧、渔业。营业收入20000万元以下的为中小微型企业。其中，营业收入500万元及以上的为中型企业，营业收入50万元及以上的为小型企业，营业收入50万元以下的为微型企业。</w:t>
      </w:r>
    </w:p>
    <w:p w14:paraId="7DCF7C60">
      <w:pPr>
        <w:pStyle w:val="19"/>
        <w:rPr>
          <w:color w:val="auto"/>
          <w:sz w:val="21"/>
          <w:szCs w:val="21"/>
          <w:highlight w:val="none"/>
        </w:rPr>
      </w:pPr>
      <w:r>
        <w:rPr>
          <w:rFonts w:hint="eastAsia"/>
          <w:color w:val="auto"/>
          <w:sz w:val="21"/>
          <w:szCs w:val="21"/>
          <w:highlight w:val="none"/>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4604FB61">
      <w:pPr>
        <w:pStyle w:val="19"/>
        <w:rPr>
          <w:color w:val="auto"/>
          <w:sz w:val="21"/>
          <w:szCs w:val="21"/>
          <w:highlight w:val="none"/>
        </w:rPr>
      </w:pPr>
      <w:r>
        <w:rPr>
          <w:rFonts w:hint="eastAsia"/>
          <w:color w:val="auto"/>
          <w:sz w:val="21"/>
          <w:szCs w:val="21"/>
          <w:highlight w:val="none"/>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00E93F8D">
      <w:pPr>
        <w:pStyle w:val="19"/>
        <w:rPr>
          <w:color w:val="auto"/>
          <w:sz w:val="21"/>
          <w:szCs w:val="21"/>
          <w:highlight w:val="none"/>
        </w:rPr>
      </w:pPr>
      <w:r>
        <w:rPr>
          <w:rFonts w:hint="eastAsia"/>
          <w:color w:val="auto"/>
          <w:sz w:val="21"/>
          <w:szCs w:val="21"/>
          <w:highlight w:val="none"/>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4863553B">
      <w:pPr>
        <w:pStyle w:val="19"/>
        <w:rPr>
          <w:color w:val="auto"/>
          <w:sz w:val="21"/>
          <w:szCs w:val="21"/>
          <w:highlight w:val="none"/>
        </w:rPr>
      </w:pPr>
      <w:r>
        <w:rPr>
          <w:rFonts w:hint="eastAsia"/>
          <w:color w:val="auto"/>
          <w:sz w:val="21"/>
          <w:szCs w:val="21"/>
          <w:highlight w:val="none"/>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75CA75CE">
      <w:pPr>
        <w:pStyle w:val="19"/>
        <w:rPr>
          <w:color w:val="auto"/>
          <w:sz w:val="21"/>
          <w:szCs w:val="21"/>
          <w:highlight w:val="none"/>
        </w:rPr>
      </w:pPr>
      <w:r>
        <w:rPr>
          <w:rFonts w:hint="eastAsia"/>
          <w:color w:val="auto"/>
          <w:sz w:val="21"/>
          <w:szCs w:val="21"/>
          <w:highlight w:val="none"/>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48A4D4E7">
      <w:pPr>
        <w:pStyle w:val="19"/>
        <w:rPr>
          <w:color w:val="auto"/>
          <w:sz w:val="21"/>
          <w:szCs w:val="21"/>
          <w:highlight w:val="none"/>
        </w:rPr>
      </w:pPr>
      <w:r>
        <w:rPr>
          <w:rFonts w:hint="eastAsia"/>
          <w:color w:val="auto"/>
          <w:sz w:val="21"/>
          <w:szCs w:val="21"/>
          <w:highlight w:val="none"/>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438606CD">
      <w:pPr>
        <w:pStyle w:val="19"/>
        <w:rPr>
          <w:color w:val="auto"/>
          <w:sz w:val="21"/>
          <w:szCs w:val="21"/>
          <w:highlight w:val="none"/>
        </w:rPr>
      </w:pPr>
      <w:r>
        <w:rPr>
          <w:rFonts w:hint="eastAsia"/>
          <w:color w:val="auto"/>
          <w:sz w:val="21"/>
          <w:szCs w:val="21"/>
          <w:highlight w:val="none"/>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61F995F7">
      <w:pPr>
        <w:pStyle w:val="19"/>
        <w:rPr>
          <w:color w:val="auto"/>
          <w:sz w:val="21"/>
          <w:szCs w:val="21"/>
          <w:highlight w:val="none"/>
        </w:rPr>
      </w:pPr>
      <w:r>
        <w:rPr>
          <w:rFonts w:hint="eastAsia"/>
          <w:color w:val="auto"/>
          <w:sz w:val="21"/>
          <w:szCs w:val="21"/>
          <w:highlight w:val="none"/>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4D76D082">
      <w:pPr>
        <w:pStyle w:val="19"/>
        <w:rPr>
          <w:color w:val="auto"/>
          <w:sz w:val="21"/>
          <w:szCs w:val="21"/>
          <w:highlight w:val="none"/>
        </w:rPr>
      </w:pPr>
      <w:r>
        <w:rPr>
          <w:rFonts w:hint="eastAsia"/>
          <w:color w:val="auto"/>
          <w:sz w:val="21"/>
          <w:szCs w:val="21"/>
          <w:highlight w:val="none"/>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6E20045C">
      <w:pPr>
        <w:pStyle w:val="19"/>
        <w:rPr>
          <w:color w:val="auto"/>
          <w:sz w:val="21"/>
          <w:szCs w:val="21"/>
          <w:highlight w:val="none"/>
        </w:rPr>
      </w:pPr>
      <w:r>
        <w:rPr>
          <w:rFonts w:hint="eastAsia"/>
          <w:color w:val="auto"/>
          <w:sz w:val="21"/>
          <w:szCs w:val="21"/>
          <w:highlight w:val="none"/>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322F7494">
      <w:pPr>
        <w:pStyle w:val="19"/>
        <w:rPr>
          <w:color w:val="auto"/>
          <w:sz w:val="21"/>
          <w:szCs w:val="21"/>
          <w:highlight w:val="none"/>
        </w:rPr>
      </w:pPr>
      <w:r>
        <w:rPr>
          <w:rFonts w:hint="eastAsia"/>
          <w:color w:val="auto"/>
          <w:sz w:val="21"/>
          <w:szCs w:val="21"/>
          <w:highlight w:val="none"/>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2B17AC93">
      <w:pPr>
        <w:pStyle w:val="19"/>
        <w:rPr>
          <w:color w:val="auto"/>
          <w:sz w:val="21"/>
          <w:szCs w:val="21"/>
          <w:highlight w:val="none"/>
        </w:rPr>
      </w:pPr>
      <w:r>
        <w:rPr>
          <w:rFonts w:hint="eastAsia"/>
          <w:color w:val="auto"/>
          <w:sz w:val="21"/>
          <w:szCs w:val="21"/>
          <w:highlight w:val="none"/>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6AAD0A63">
      <w:pPr>
        <w:pStyle w:val="19"/>
        <w:rPr>
          <w:color w:val="auto"/>
          <w:sz w:val="21"/>
          <w:szCs w:val="21"/>
          <w:highlight w:val="none"/>
        </w:rPr>
      </w:pPr>
      <w:r>
        <w:rPr>
          <w:rFonts w:hint="eastAsia"/>
          <w:color w:val="auto"/>
          <w:sz w:val="21"/>
          <w:szCs w:val="21"/>
          <w:highlight w:val="none"/>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7BFBFB58">
      <w:pPr>
        <w:pStyle w:val="19"/>
        <w:rPr>
          <w:color w:val="auto"/>
          <w:sz w:val="21"/>
          <w:szCs w:val="21"/>
          <w:highlight w:val="none"/>
        </w:rPr>
      </w:pPr>
      <w:r>
        <w:rPr>
          <w:rFonts w:hint="eastAsia"/>
          <w:color w:val="auto"/>
          <w:sz w:val="21"/>
          <w:szCs w:val="21"/>
          <w:highlight w:val="none"/>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1A859FF0">
      <w:pPr>
        <w:pStyle w:val="19"/>
        <w:rPr>
          <w:color w:val="auto"/>
          <w:sz w:val="21"/>
          <w:szCs w:val="21"/>
          <w:highlight w:val="none"/>
        </w:rPr>
      </w:pPr>
      <w:r>
        <w:rPr>
          <w:rFonts w:hint="eastAsia"/>
          <w:color w:val="auto"/>
          <w:sz w:val="21"/>
          <w:szCs w:val="21"/>
          <w:highlight w:val="none"/>
        </w:rPr>
        <w:t>　　（十六）其他未列明行业。从业人员300人以下的为中小微型企业。其中，从业人员100人及以上的为中型企业；从业人员10人及以上的为小型企业；从业人员10人以下的为微型企业。</w:t>
      </w:r>
    </w:p>
    <w:p w14:paraId="22FF7F6C">
      <w:pPr>
        <w:pStyle w:val="19"/>
        <w:rPr>
          <w:color w:val="auto"/>
          <w:sz w:val="21"/>
          <w:szCs w:val="21"/>
          <w:highlight w:val="none"/>
        </w:rPr>
      </w:pPr>
      <w:r>
        <w:rPr>
          <w:rFonts w:hint="eastAsia"/>
          <w:color w:val="auto"/>
          <w:sz w:val="21"/>
          <w:szCs w:val="21"/>
          <w:highlight w:val="none"/>
        </w:rPr>
        <w:t>　　五、企业类型的划分以统计部门的统计数据为依据。</w:t>
      </w:r>
    </w:p>
    <w:p w14:paraId="67AC8858">
      <w:pPr>
        <w:pStyle w:val="19"/>
        <w:rPr>
          <w:color w:val="auto"/>
          <w:sz w:val="21"/>
          <w:szCs w:val="21"/>
          <w:highlight w:val="none"/>
        </w:rPr>
      </w:pPr>
      <w:r>
        <w:rPr>
          <w:rFonts w:hint="eastAsia"/>
          <w:color w:val="auto"/>
          <w:sz w:val="21"/>
          <w:szCs w:val="21"/>
          <w:highlight w:val="none"/>
        </w:rPr>
        <w:t>　　六、本规定适用于在中华人民共和国境内依法设立的各类所有制和各种组织形式的企业。个体工商户和本规定以外的行业，参照本规定进行划型。</w:t>
      </w:r>
    </w:p>
    <w:p w14:paraId="6994821B">
      <w:pPr>
        <w:pStyle w:val="19"/>
        <w:rPr>
          <w:color w:val="auto"/>
          <w:sz w:val="21"/>
          <w:szCs w:val="21"/>
          <w:highlight w:val="none"/>
        </w:rPr>
      </w:pPr>
      <w:r>
        <w:rPr>
          <w:rFonts w:hint="eastAsia"/>
          <w:color w:val="auto"/>
          <w:sz w:val="21"/>
          <w:szCs w:val="21"/>
          <w:highlight w:val="none"/>
        </w:rPr>
        <w:t>　　七、本规定的中型企业标准上限即为大型企业标准的下限，国家统计部门据此制定大中小微型企业的统计分类。国务院有关部门据此进行相关数据分析，不得制定与本规定不一致的企业划型标准。</w:t>
      </w:r>
    </w:p>
    <w:p w14:paraId="463F0D01">
      <w:pPr>
        <w:pStyle w:val="19"/>
        <w:rPr>
          <w:color w:val="auto"/>
          <w:sz w:val="21"/>
          <w:szCs w:val="21"/>
          <w:highlight w:val="none"/>
        </w:rPr>
      </w:pPr>
      <w:r>
        <w:rPr>
          <w:rFonts w:hint="eastAsia"/>
          <w:color w:val="auto"/>
          <w:sz w:val="21"/>
          <w:szCs w:val="21"/>
          <w:highlight w:val="none"/>
        </w:rPr>
        <w:t>　　八、本规定由工业和信息化部、国家统计局会同有关部门根据《国民经济行业分类》修订情况和企业发展变化情况适时修订。</w:t>
      </w:r>
    </w:p>
    <w:p w14:paraId="2E9C95F5">
      <w:pPr>
        <w:pStyle w:val="19"/>
        <w:rPr>
          <w:color w:val="auto"/>
          <w:sz w:val="21"/>
          <w:szCs w:val="21"/>
          <w:highlight w:val="none"/>
        </w:rPr>
      </w:pPr>
      <w:r>
        <w:rPr>
          <w:rFonts w:hint="eastAsia"/>
          <w:color w:val="auto"/>
          <w:sz w:val="21"/>
          <w:szCs w:val="21"/>
          <w:highlight w:val="none"/>
        </w:rPr>
        <w:t>　　九、本规定由工业和信息化部、国家统计局会同有关部门负责解释。</w:t>
      </w:r>
    </w:p>
    <w:p w14:paraId="19381719">
      <w:pPr>
        <w:pStyle w:val="19"/>
        <w:ind w:firstLine="420"/>
        <w:rPr>
          <w:color w:val="auto"/>
          <w:sz w:val="21"/>
          <w:szCs w:val="21"/>
          <w:highlight w:val="none"/>
        </w:rPr>
      </w:pPr>
      <w:r>
        <w:rPr>
          <w:rFonts w:hint="eastAsia"/>
          <w:color w:val="auto"/>
          <w:sz w:val="21"/>
          <w:szCs w:val="21"/>
          <w:highlight w:val="none"/>
        </w:rPr>
        <w:t>十、本规定自发布之日起执行，原国家经贸委、原国家计委、财政部和国家统计局2003年颁布的《中小企业标准暂行规定》同时废止。</w:t>
      </w:r>
    </w:p>
    <w:p w14:paraId="00CCA8EB">
      <w:pPr>
        <w:pStyle w:val="19"/>
        <w:ind w:firstLine="420"/>
        <w:rPr>
          <w:color w:val="auto"/>
          <w:sz w:val="21"/>
          <w:szCs w:val="21"/>
          <w:highlight w:val="none"/>
        </w:rPr>
      </w:pPr>
    </w:p>
    <w:p w14:paraId="30605465">
      <w:pPr>
        <w:pStyle w:val="2"/>
        <w:spacing w:before="0" w:after="0" w:line="240" w:lineRule="auto"/>
        <w:jc w:val="center"/>
        <w:rPr>
          <w:color w:val="auto"/>
          <w:highlight w:val="none"/>
        </w:rPr>
      </w:pPr>
      <w:r>
        <w:rPr>
          <w:color w:val="auto"/>
          <w:highlight w:val="none"/>
        </w:rPr>
        <w:br w:type="page" w:clear="all"/>
      </w:r>
      <w:bookmarkStart w:id="2" w:name="_Toc24568"/>
      <w:r>
        <w:rPr>
          <w:rFonts w:hint="eastAsia"/>
          <w:color w:val="auto"/>
          <w:highlight w:val="none"/>
        </w:rPr>
        <w:t>第三章 投标人须知</w:t>
      </w:r>
      <w:bookmarkEnd w:id="2"/>
    </w:p>
    <w:p w14:paraId="49BA3116">
      <w:pPr>
        <w:jc w:val="center"/>
        <w:rPr>
          <w:color w:val="auto"/>
          <w:sz w:val="36"/>
          <w:szCs w:val="36"/>
          <w:highlight w:val="none"/>
        </w:rPr>
      </w:pPr>
      <w:r>
        <w:rPr>
          <w:rFonts w:hint="eastAsia"/>
          <w:color w:val="auto"/>
          <w:sz w:val="36"/>
          <w:szCs w:val="36"/>
          <w:highlight w:val="none"/>
        </w:rPr>
        <w:t>投标人须知前附表</w:t>
      </w:r>
    </w:p>
    <w:tbl>
      <w:tblPr>
        <w:tblStyle w:val="50"/>
        <w:tblW w:w="960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5"/>
        <w:gridCol w:w="8711"/>
      </w:tblGrid>
      <w:tr w14:paraId="192570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6EBDE4B5">
            <w:pPr>
              <w:spacing w:line="360" w:lineRule="auto"/>
              <w:jc w:val="left"/>
              <w:rPr>
                <w:rFonts w:ascii="宋体" w:hAnsi="宋体"/>
                <w:color w:val="auto"/>
                <w:szCs w:val="21"/>
                <w:highlight w:val="none"/>
              </w:rPr>
            </w:pPr>
            <w:r>
              <w:rPr>
                <w:rFonts w:hint="eastAsia" w:ascii="宋体" w:hAnsi="宋体"/>
                <w:color w:val="auto"/>
                <w:szCs w:val="21"/>
                <w:highlight w:val="none"/>
              </w:rPr>
              <w:t>条款号</w:t>
            </w:r>
          </w:p>
        </w:tc>
        <w:tc>
          <w:tcPr>
            <w:tcW w:w="8711" w:type="dxa"/>
            <w:tcBorders>
              <w:top w:val="single" w:color="auto" w:sz="4" w:space="0"/>
              <w:left w:val="single" w:color="auto" w:sz="4" w:space="0"/>
              <w:bottom w:val="single" w:color="auto" w:sz="4" w:space="0"/>
              <w:right w:val="single" w:color="auto" w:sz="4" w:space="0"/>
            </w:tcBorders>
            <w:vAlign w:val="center"/>
          </w:tcPr>
          <w:p w14:paraId="416DB991">
            <w:pPr>
              <w:spacing w:line="360" w:lineRule="auto"/>
              <w:jc w:val="center"/>
              <w:rPr>
                <w:rFonts w:ascii="宋体" w:hAnsi="宋体"/>
                <w:color w:val="auto"/>
                <w:szCs w:val="21"/>
                <w:highlight w:val="none"/>
              </w:rPr>
            </w:pPr>
            <w:r>
              <w:rPr>
                <w:rFonts w:hint="eastAsia" w:ascii="宋体" w:hAnsi="宋体"/>
                <w:color w:val="auto"/>
                <w:szCs w:val="21"/>
                <w:highlight w:val="none"/>
              </w:rPr>
              <w:t>编列内容</w:t>
            </w:r>
          </w:p>
        </w:tc>
      </w:tr>
      <w:tr w14:paraId="6D45D7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64D8D974">
            <w:pPr>
              <w:spacing w:line="360" w:lineRule="auto"/>
              <w:jc w:val="center"/>
              <w:rPr>
                <w:rFonts w:ascii="宋体" w:hAnsi="宋体"/>
                <w:color w:val="auto"/>
                <w:szCs w:val="21"/>
                <w:highlight w:val="none"/>
              </w:rPr>
            </w:pPr>
            <w:r>
              <w:rPr>
                <w:rFonts w:hint="eastAsia" w:ascii="宋体" w:hAnsi="宋体"/>
                <w:color w:val="auto"/>
                <w:szCs w:val="21"/>
                <w:highlight w:val="none"/>
              </w:rPr>
              <w:t>3</w:t>
            </w:r>
          </w:p>
        </w:tc>
        <w:tc>
          <w:tcPr>
            <w:tcW w:w="8711" w:type="dxa"/>
            <w:tcBorders>
              <w:top w:val="single" w:color="auto" w:sz="4" w:space="0"/>
              <w:left w:val="single" w:color="auto" w:sz="4" w:space="0"/>
              <w:bottom w:val="single" w:color="auto" w:sz="4" w:space="0"/>
              <w:right w:val="single" w:color="auto" w:sz="4" w:space="0"/>
            </w:tcBorders>
            <w:vAlign w:val="center"/>
          </w:tcPr>
          <w:p w14:paraId="7BBF7F84">
            <w:pPr>
              <w:spacing w:line="360" w:lineRule="auto"/>
              <w:jc w:val="left"/>
              <w:rPr>
                <w:rFonts w:ascii="宋体" w:hAnsi="宋体"/>
                <w:color w:val="auto"/>
                <w:szCs w:val="21"/>
                <w:highlight w:val="none"/>
              </w:rPr>
            </w:pPr>
            <w:r>
              <w:rPr>
                <w:rFonts w:hint="eastAsia" w:ascii="宋体" w:hAnsi="宋体"/>
                <w:color w:val="auto"/>
                <w:szCs w:val="21"/>
                <w:highlight w:val="none"/>
              </w:rPr>
              <w:t>1</w:t>
            </w:r>
            <w:r>
              <w:rPr>
                <w:rFonts w:ascii="宋体" w:hAnsi="宋体"/>
                <w:color w:val="auto"/>
                <w:szCs w:val="21"/>
                <w:highlight w:val="none"/>
              </w:rPr>
              <w:t>.</w:t>
            </w:r>
            <w:r>
              <w:rPr>
                <w:rFonts w:hint="eastAsia" w:ascii="宋体" w:hAnsi="宋体"/>
                <w:color w:val="auto"/>
                <w:szCs w:val="21"/>
                <w:highlight w:val="none"/>
              </w:rPr>
              <w:t>投标人的资格要求详见招标公告。</w:t>
            </w:r>
          </w:p>
          <w:p w14:paraId="3F7F5972">
            <w:pPr>
              <w:spacing w:line="360" w:lineRule="auto"/>
              <w:jc w:val="left"/>
              <w:rPr>
                <w:rFonts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w:t>
            </w:r>
            <w:r>
              <w:rPr>
                <w:rFonts w:hint="eastAsia" w:ascii="宋体" w:hAnsi="宋体"/>
                <w:color w:val="auto"/>
                <w:szCs w:val="21"/>
                <w:highlight w:val="none"/>
              </w:rPr>
              <w:t>投标人出现下列情形之一的，不得参加政府采购活动：</w:t>
            </w:r>
          </w:p>
          <w:p w14:paraId="6339E4AC">
            <w:pPr>
              <w:spacing w:line="360" w:lineRule="auto"/>
              <w:jc w:val="left"/>
              <w:rPr>
                <w:rFonts w:ascii="宋体" w:hAnsi="宋体"/>
                <w:color w:val="auto"/>
                <w:szCs w:val="21"/>
                <w:highlight w:val="none"/>
              </w:rPr>
            </w:pPr>
            <w:r>
              <w:rPr>
                <w:rFonts w:ascii="宋体" w:hAnsi="宋体"/>
                <w:color w:val="auto"/>
                <w:szCs w:val="21"/>
                <w:highlight w:val="none"/>
              </w:rPr>
              <w:t>2.1</w:t>
            </w:r>
            <w:r>
              <w:rPr>
                <w:rFonts w:hint="eastAsia" w:ascii="宋体" w:hAnsi="宋体"/>
                <w:color w:val="auto"/>
                <w:szCs w:val="21"/>
                <w:highlight w:val="none"/>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7E8101EB">
            <w:pPr>
              <w:spacing w:line="360" w:lineRule="auto"/>
              <w:jc w:val="left"/>
              <w:rPr>
                <w:rFonts w:ascii="宋体" w:hAnsi="宋体"/>
                <w:color w:val="auto"/>
                <w:szCs w:val="21"/>
                <w:highlight w:val="none"/>
              </w:rPr>
            </w:pPr>
            <w:r>
              <w:rPr>
                <w:rFonts w:ascii="宋体" w:hAnsi="宋体"/>
                <w:color w:val="auto"/>
                <w:szCs w:val="21"/>
                <w:highlight w:val="none"/>
              </w:rPr>
              <w:t>2.2</w:t>
            </w:r>
            <w:r>
              <w:rPr>
                <w:rFonts w:hint="eastAsia" w:ascii="宋体" w:hAnsi="宋体"/>
                <w:color w:val="auto"/>
                <w:szCs w:val="21"/>
                <w:highlight w:val="none"/>
              </w:rPr>
              <w:t>对在“信用中国”网站（https://www.creditchina.gov.cn） 、中国政府采购网（https://www.ccgp.gov.cn）被列入失信被执行人、重大税收违法失信主体、政府采购严重违法失信行为记录名单及其他不符合《中华人民共和国政府采购法》第二十二条规定条件的供应商，不得参与政府采购活动。</w:t>
            </w:r>
          </w:p>
        </w:tc>
      </w:tr>
      <w:tr w14:paraId="14AB08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3711BA27">
            <w:pPr>
              <w:spacing w:line="360" w:lineRule="auto"/>
              <w:jc w:val="center"/>
              <w:rPr>
                <w:rFonts w:ascii="宋体" w:hAnsi="宋体"/>
                <w:color w:val="auto"/>
                <w:szCs w:val="21"/>
                <w:highlight w:val="none"/>
              </w:rPr>
            </w:pPr>
            <w:r>
              <w:rPr>
                <w:rFonts w:hint="eastAsia" w:ascii="宋体" w:hAnsi="宋体"/>
                <w:color w:val="auto"/>
                <w:szCs w:val="21"/>
                <w:highlight w:val="none"/>
              </w:rPr>
              <w:t>6.1</w:t>
            </w:r>
          </w:p>
        </w:tc>
        <w:tc>
          <w:tcPr>
            <w:tcW w:w="8711" w:type="dxa"/>
            <w:tcBorders>
              <w:top w:val="single" w:color="auto" w:sz="4" w:space="0"/>
              <w:left w:val="single" w:color="auto" w:sz="4" w:space="0"/>
              <w:bottom w:val="single" w:color="auto" w:sz="4" w:space="0"/>
              <w:right w:val="single" w:color="auto" w:sz="4" w:space="0"/>
            </w:tcBorders>
            <w:vAlign w:val="center"/>
          </w:tcPr>
          <w:p w14:paraId="435E5AB5">
            <w:pPr>
              <w:pStyle w:val="17"/>
              <w:spacing w:line="360" w:lineRule="auto"/>
              <w:rPr>
                <w:rFonts w:ascii="宋体" w:hAnsi="宋体"/>
                <w:color w:val="auto"/>
                <w:szCs w:val="21"/>
                <w:highlight w:val="none"/>
              </w:rPr>
            </w:pPr>
            <w:r>
              <w:rPr>
                <w:rFonts w:hint="eastAsia" w:ascii="宋体" w:hAnsi="宋体"/>
                <w:color w:val="auto"/>
                <w:szCs w:val="21"/>
                <w:highlight w:val="none"/>
              </w:rPr>
              <w:t>本项目是否接受联合体投标：详见招标公告。</w:t>
            </w:r>
          </w:p>
        </w:tc>
      </w:tr>
      <w:tr w14:paraId="734B0B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1D3F7F91">
            <w:pPr>
              <w:spacing w:line="360" w:lineRule="auto"/>
              <w:jc w:val="center"/>
              <w:rPr>
                <w:rFonts w:ascii="宋体" w:hAnsi="宋体"/>
                <w:color w:val="auto"/>
                <w:szCs w:val="21"/>
                <w:highlight w:val="none"/>
              </w:rPr>
            </w:pPr>
            <w:r>
              <w:rPr>
                <w:rFonts w:hint="eastAsia" w:ascii="宋体" w:hAnsi="宋体"/>
                <w:color w:val="auto"/>
                <w:szCs w:val="21"/>
                <w:highlight w:val="none"/>
              </w:rPr>
              <w:t>7.2</w:t>
            </w:r>
          </w:p>
        </w:tc>
        <w:tc>
          <w:tcPr>
            <w:tcW w:w="8711" w:type="dxa"/>
            <w:tcBorders>
              <w:top w:val="single" w:color="auto" w:sz="4" w:space="0"/>
              <w:left w:val="single" w:color="auto" w:sz="4" w:space="0"/>
              <w:bottom w:val="single" w:color="auto" w:sz="4" w:space="0"/>
              <w:right w:val="single" w:color="auto" w:sz="4" w:space="0"/>
            </w:tcBorders>
            <w:vAlign w:val="center"/>
          </w:tcPr>
          <w:p w14:paraId="23818AF4">
            <w:pPr>
              <w:pStyle w:val="17"/>
              <w:spacing w:line="360" w:lineRule="auto"/>
              <w:rPr>
                <w:rFonts w:ascii="宋体" w:hAnsi="宋体"/>
                <w:color w:val="auto"/>
                <w:szCs w:val="21"/>
                <w:highlight w:val="none"/>
              </w:rPr>
            </w:pPr>
            <w:r>
              <w:rPr>
                <w:rFonts w:hint="eastAsia" w:ascii="宋体" w:hAnsi="宋体"/>
                <w:color w:val="auto"/>
                <w:szCs w:val="21"/>
                <w:highlight w:val="none"/>
              </w:rPr>
              <w:t>本项目不允许分包</w:t>
            </w:r>
          </w:p>
        </w:tc>
      </w:tr>
      <w:tr w14:paraId="382500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77C1F551">
            <w:pPr>
              <w:spacing w:line="360" w:lineRule="auto"/>
              <w:jc w:val="center"/>
              <w:rPr>
                <w:rFonts w:ascii="宋体" w:hAnsi="宋体"/>
                <w:color w:val="auto"/>
                <w:szCs w:val="21"/>
                <w:highlight w:val="none"/>
              </w:rPr>
            </w:pPr>
            <w:r>
              <w:rPr>
                <w:rFonts w:hint="eastAsia" w:ascii="宋体" w:hAnsi="宋体"/>
                <w:color w:val="auto"/>
                <w:szCs w:val="21"/>
                <w:highlight w:val="none"/>
              </w:rPr>
              <w:t>8.1</w:t>
            </w:r>
          </w:p>
        </w:tc>
        <w:tc>
          <w:tcPr>
            <w:tcW w:w="8711" w:type="dxa"/>
            <w:tcBorders>
              <w:top w:val="single" w:color="auto" w:sz="4" w:space="0"/>
              <w:left w:val="single" w:color="auto" w:sz="4" w:space="0"/>
              <w:bottom w:val="single" w:color="auto" w:sz="4" w:space="0"/>
              <w:right w:val="single" w:color="auto" w:sz="4" w:space="0"/>
            </w:tcBorders>
            <w:vAlign w:val="center"/>
          </w:tcPr>
          <w:p w14:paraId="78717CA1">
            <w:pPr>
              <w:spacing w:line="360" w:lineRule="auto"/>
              <w:rPr>
                <w:rFonts w:ascii="宋体" w:hAnsi="宋体"/>
                <w:color w:val="auto"/>
                <w:szCs w:val="21"/>
                <w:highlight w:val="none"/>
              </w:rPr>
            </w:pPr>
            <w:r>
              <w:rPr>
                <w:rFonts w:hint="eastAsia" w:ascii="宋体" w:hAnsi="宋体"/>
                <w:color w:val="auto"/>
                <w:sz w:val="22"/>
                <w:szCs w:val="22"/>
                <w:highlight w:val="none"/>
              </w:rPr>
              <w:t>采用综合评分法的采购项目，</w:t>
            </w:r>
            <w:r>
              <w:rPr>
                <w:rFonts w:hint="eastAsia" w:ascii="宋体" w:hAnsi="宋体"/>
                <w:color w:val="auto"/>
                <w:szCs w:val="21"/>
                <w:highlight w:val="none"/>
              </w:rPr>
              <w:t>提供相同品牌产品（非单一产品采购项目的，指核心产品）的不同投标人评审得分相同时，按照下列方式确定一个投标人获得中标人推荐资格：</w:t>
            </w:r>
          </w:p>
          <w:p w14:paraId="2D6157F7">
            <w:pPr>
              <w:spacing w:line="360" w:lineRule="auto"/>
              <w:rPr>
                <w:rFonts w:ascii="宋体" w:hAnsi="宋体"/>
                <w:i/>
                <w:color w:val="auto"/>
                <w:szCs w:val="21"/>
                <w:highlight w:val="none"/>
              </w:rPr>
            </w:pPr>
            <w:r>
              <w:rPr>
                <w:rFonts w:hint="eastAsia" w:ascii="宋体" w:hAnsi="宋体"/>
                <w:color w:val="auto"/>
                <w:szCs w:val="21"/>
                <w:highlight w:val="none"/>
              </w:rPr>
              <w:t>☑依次按投标报价低的优先、政策分得分高的优先、技术评分高的优先、商务评分高的优先、质保期长优先、交货期短优先、故障响应时间短优先的顺序推荐；</w:t>
            </w:r>
          </w:p>
          <w:p w14:paraId="6DBCEEBC">
            <w:pPr>
              <w:spacing w:line="360" w:lineRule="auto"/>
              <w:rPr>
                <w:rFonts w:ascii="宋体" w:hAnsi="宋体"/>
                <w:color w:val="auto"/>
                <w:szCs w:val="21"/>
                <w:highlight w:val="none"/>
              </w:rPr>
            </w:pPr>
            <w:r>
              <w:rPr>
                <w:rFonts w:hint="eastAsia" w:ascii="宋体" w:hAnsi="宋体"/>
                <w:color w:val="auto"/>
                <w:szCs w:val="21"/>
                <w:highlight w:val="none"/>
              </w:rPr>
              <w:t>□随机抽取；</w:t>
            </w:r>
          </w:p>
        </w:tc>
      </w:tr>
      <w:tr w14:paraId="6C9A22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11" w:hRule="atLeast"/>
        </w:trPr>
        <w:tc>
          <w:tcPr>
            <w:tcW w:w="895" w:type="dxa"/>
            <w:vMerge w:val="restart"/>
            <w:tcBorders>
              <w:top w:val="single" w:color="auto" w:sz="4" w:space="0"/>
              <w:left w:val="single" w:color="auto" w:sz="4" w:space="0"/>
              <w:right w:val="single" w:color="auto" w:sz="4" w:space="0"/>
            </w:tcBorders>
            <w:vAlign w:val="center"/>
          </w:tcPr>
          <w:p w14:paraId="231440B1">
            <w:pPr>
              <w:spacing w:line="360" w:lineRule="auto"/>
              <w:jc w:val="center"/>
              <w:rPr>
                <w:rFonts w:ascii="宋体" w:hAnsi="宋体"/>
                <w:color w:val="auto"/>
                <w:szCs w:val="21"/>
                <w:highlight w:val="none"/>
              </w:rPr>
            </w:pPr>
            <w:r>
              <w:rPr>
                <w:rFonts w:hint="eastAsia" w:ascii="宋体" w:hAnsi="宋体"/>
                <w:color w:val="auto"/>
                <w:szCs w:val="21"/>
                <w:highlight w:val="none"/>
              </w:rPr>
              <w:t>1</w:t>
            </w:r>
            <w:r>
              <w:rPr>
                <w:rFonts w:ascii="宋体" w:hAnsi="宋体"/>
                <w:color w:val="auto"/>
                <w:szCs w:val="21"/>
                <w:highlight w:val="none"/>
              </w:rPr>
              <w:t>1.2</w:t>
            </w:r>
          </w:p>
        </w:tc>
        <w:tc>
          <w:tcPr>
            <w:tcW w:w="8711" w:type="dxa"/>
            <w:tcBorders>
              <w:top w:val="single" w:color="auto" w:sz="4" w:space="0"/>
              <w:left w:val="single" w:color="auto" w:sz="4" w:space="0"/>
              <w:bottom w:val="single" w:color="auto" w:sz="4" w:space="0"/>
              <w:right w:val="single" w:color="auto" w:sz="4" w:space="0"/>
            </w:tcBorders>
            <w:vAlign w:val="center"/>
          </w:tcPr>
          <w:p w14:paraId="6048BF7F">
            <w:pPr>
              <w:spacing w:line="360" w:lineRule="auto"/>
              <w:rPr>
                <w:rFonts w:ascii="宋体" w:hAnsi="宋体"/>
                <w:color w:val="auto"/>
                <w:szCs w:val="21"/>
                <w:highlight w:val="none"/>
              </w:rPr>
            </w:pPr>
            <w:r>
              <w:rPr>
                <w:rFonts w:ascii="Wingdings 2" w:hAnsi="Wingdings 2"/>
                <w:color w:val="auto"/>
                <w:szCs w:val="21"/>
                <w:highlight w:val="none"/>
              </w:rPr>
              <w:t></w:t>
            </w:r>
            <w:r>
              <w:rPr>
                <w:rFonts w:hint="eastAsia" w:ascii="宋体" w:hAnsi="宋体"/>
                <w:color w:val="auto"/>
                <w:szCs w:val="21"/>
                <w:highlight w:val="none"/>
              </w:rPr>
              <w:t>不组织现场考察</w:t>
            </w:r>
          </w:p>
          <w:p w14:paraId="678C1CEF">
            <w:pPr>
              <w:spacing w:line="360" w:lineRule="auto"/>
              <w:rPr>
                <w:rFonts w:ascii="宋体" w:hAnsi="宋体"/>
                <w:color w:val="auto"/>
                <w:szCs w:val="21"/>
                <w:highlight w:val="none"/>
              </w:rPr>
            </w:pPr>
            <w:r>
              <w:rPr>
                <w:rFonts w:hint="eastAsia" w:ascii="宋体" w:hAnsi="宋体"/>
                <w:color w:val="auto"/>
                <w:szCs w:val="21"/>
                <w:highlight w:val="none"/>
              </w:rPr>
              <w:t>□组织现场考察：</w:t>
            </w:r>
          </w:p>
          <w:p w14:paraId="5F9598A4">
            <w:pPr>
              <w:spacing w:line="360" w:lineRule="auto"/>
              <w:rPr>
                <w:rFonts w:ascii="宋体" w:hAnsi="宋体"/>
                <w:color w:val="auto"/>
                <w:szCs w:val="21"/>
                <w:highlight w:val="none"/>
                <w:u w:val="single"/>
              </w:rPr>
            </w:pPr>
            <w:r>
              <w:rPr>
                <w:rFonts w:hint="eastAsia" w:ascii="宋体" w:hAnsi="宋体"/>
                <w:color w:val="auto"/>
                <w:szCs w:val="21"/>
                <w:highlight w:val="none"/>
              </w:rPr>
              <w:t>集中时间：</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日 </w:t>
            </w:r>
            <w:r>
              <w:rPr>
                <w:rFonts w:hint="eastAsia" w:ascii="宋体" w:hAnsi="宋体"/>
                <w:color w:val="auto"/>
                <w:szCs w:val="21"/>
                <w:highlight w:val="none"/>
                <w:u w:val="single"/>
              </w:rPr>
              <w:t xml:space="preserve">  </w:t>
            </w:r>
            <w:r>
              <w:rPr>
                <w:rFonts w:hint="eastAsia" w:ascii="宋体" w:hAnsi="宋体"/>
                <w:color w:val="auto"/>
                <w:szCs w:val="21"/>
                <w:highlight w:val="none"/>
              </w:rPr>
              <w:t>时</w:t>
            </w:r>
            <w:r>
              <w:rPr>
                <w:rFonts w:hint="eastAsia" w:ascii="宋体" w:hAnsi="宋体"/>
                <w:color w:val="auto"/>
                <w:szCs w:val="21"/>
                <w:highlight w:val="none"/>
                <w:u w:val="single"/>
              </w:rPr>
              <w:t xml:space="preserve">  分</w:t>
            </w:r>
            <w:r>
              <w:rPr>
                <w:rFonts w:hint="eastAsia" w:ascii="宋体" w:hAnsi="宋体"/>
                <w:color w:val="auto"/>
                <w:szCs w:val="21"/>
                <w:highlight w:val="none"/>
              </w:rPr>
              <w:t>，逾期后果自负。集中地点：</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p>
          <w:p w14:paraId="73725F2F">
            <w:pPr>
              <w:spacing w:line="360" w:lineRule="auto"/>
              <w:rPr>
                <w:rFonts w:ascii="宋体" w:hAnsi="宋体"/>
                <w:color w:val="auto"/>
                <w:szCs w:val="21"/>
                <w:highlight w:val="none"/>
              </w:rPr>
            </w:pPr>
            <w:r>
              <w:rPr>
                <w:rFonts w:hint="eastAsia" w:ascii="宋体" w:hAnsi="宋体"/>
                <w:color w:val="auto"/>
                <w:szCs w:val="21"/>
                <w:highlight w:val="none"/>
              </w:rPr>
              <w:t>联系人：</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；联系电话：</w:t>
            </w:r>
            <w:r>
              <w:rPr>
                <w:rFonts w:ascii="宋体" w:hAnsi="宋体"/>
                <w:color w:val="auto"/>
                <w:szCs w:val="21"/>
                <w:highlight w:val="none"/>
                <w:u w:val="single"/>
              </w:rPr>
              <w:t xml:space="preserve">                </w:t>
            </w:r>
          </w:p>
        </w:tc>
      </w:tr>
      <w:tr w14:paraId="4C4AFA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58" w:hRule="atLeast"/>
        </w:trPr>
        <w:tc>
          <w:tcPr>
            <w:tcW w:w="895" w:type="dxa"/>
            <w:vMerge w:val="continue"/>
            <w:tcBorders>
              <w:left w:val="single" w:color="auto" w:sz="4" w:space="0"/>
              <w:bottom w:val="single" w:color="auto" w:sz="4" w:space="0"/>
              <w:right w:val="single" w:color="auto" w:sz="4" w:space="0"/>
            </w:tcBorders>
            <w:vAlign w:val="center"/>
          </w:tcPr>
          <w:p w14:paraId="6C442A23">
            <w:pPr>
              <w:spacing w:line="360" w:lineRule="auto"/>
              <w:jc w:val="center"/>
              <w:rPr>
                <w:rFonts w:ascii="宋体" w:hAnsi="宋体"/>
                <w:color w:val="auto"/>
                <w:szCs w:val="21"/>
                <w:highlight w:val="none"/>
              </w:rPr>
            </w:pPr>
          </w:p>
        </w:tc>
        <w:tc>
          <w:tcPr>
            <w:tcW w:w="8711" w:type="dxa"/>
            <w:tcBorders>
              <w:top w:val="single" w:color="auto" w:sz="4" w:space="0"/>
              <w:left w:val="single" w:color="auto" w:sz="4" w:space="0"/>
              <w:bottom w:val="single" w:color="auto" w:sz="4" w:space="0"/>
              <w:right w:val="single" w:color="auto" w:sz="4" w:space="0"/>
            </w:tcBorders>
            <w:vAlign w:val="center"/>
          </w:tcPr>
          <w:p w14:paraId="3DCA33A8">
            <w:pPr>
              <w:spacing w:line="360" w:lineRule="auto"/>
              <w:rPr>
                <w:rFonts w:ascii="宋体" w:hAnsi="宋体"/>
                <w:color w:val="auto"/>
                <w:szCs w:val="21"/>
                <w:highlight w:val="none"/>
              </w:rPr>
            </w:pPr>
            <w:r>
              <w:rPr>
                <w:rFonts w:ascii="Wingdings 2" w:hAnsi="Wingdings 2"/>
                <w:color w:val="auto"/>
                <w:szCs w:val="21"/>
                <w:highlight w:val="none"/>
              </w:rPr>
              <w:t></w:t>
            </w:r>
            <w:r>
              <w:rPr>
                <w:rFonts w:hint="eastAsia" w:ascii="宋体" w:hAnsi="宋体"/>
                <w:color w:val="auto"/>
                <w:szCs w:val="21"/>
                <w:highlight w:val="none"/>
              </w:rPr>
              <w:t>不组织召开开标前答疑会</w:t>
            </w:r>
          </w:p>
          <w:p w14:paraId="367CB2B8">
            <w:pPr>
              <w:spacing w:line="360" w:lineRule="auto"/>
              <w:rPr>
                <w:rFonts w:ascii="宋体" w:hAnsi="宋体"/>
                <w:color w:val="auto"/>
                <w:szCs w:val="21"/>
                <w:highlight w:val="none"/>
              </w:rPr>
            </w:pPr>
            <w:r>
              <w:rPr>
                <w:rFonts w:hint="eastAsia" w:ascii="宋体" w:hAnsi="宋体"/>
                <w:color w:val="auto"/>
                <w:szCs w:val="21"/>
                <w:highlight w:val="none"/>
              </w:rPr>
              <w:t>□组织召开开标前答疑会</w:t>
            </w:r>
          </w:p>
          <w:p w14:paraId="13DC3805">
            <w:pPr>
              <w:spacing w:line="360" w:lineRule="auto"/>
              <w:rPr>
                <w:rFonts w:ascii="宋体" w:hAnsi="宋体"/>
                <w:color w:val="auto"/>
                <w:szCs w:val="21"/>
                <w:highlight w:val="none"/>
              </w:rPr>
            </w:pPr>
            <w:r>
              <w:rPr>
                <w:rFonts w:hint="eastAsia" w:ascii="宋体" w:hAnsi="宋体"/>
                <w:color w:val="auto"/>
                <w:szCs w:val="21"/>
                <w:highlight w:val="none"/>
              </w:rPr>
              <w:t>会议开始时间：</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日 </w:t>
            </w:r>
            <w:r>
              <w:rPr>
                <w:rFonts w:hint="eastAsia" w:ascii="宋体" w:hAnsi="宋体"/>
                <w:color w:val="auto"/>
                <w:szCs w:val="21"/>
                <w:highlight w:val="none"/>
                <w:u w:val="single"/>
              </w:rPr>
              <w:t xml:space="preserve">  </w:t>
            </w:r>
            <w:r>
              <w:rPr>
                <w:rFonts w:hint="eastAsia" w:ascii="宋体" w:hAnsi="宋体"/>
                <w:color w:val="auto"/>
                <w:szCs w:val="21"/>
                <w:highlight w:val="none"/>
              </w:rPr>
              <w:t>时</w:t>
            </w:r>
            <w:r>
              <w:rPr>
                <w:rFonts w:hint="eastAsia" w:ascii="宋体" w:hAnsi="宋体"/>
                <w:color w:val="auto"/>
                <w:szCs w:val="21"/>
                <w:highlight w:val="none"/>
                <w:u w:val="single"/>
              </w:rPr>
              <w:t xml:space="preserve">  分</w:t>
            </w:r>
            <w:r>
              <w:rPr>
                <w:rFonts w:hint="eastAsia" w:ascii="宋体" w:hAnsi="宋体"/>
                <w:color w:val="auto"/>
                <w:szCs w:val="21"/>
                <w:highlight w:val="none"/>
              </w:rPr>
              <w:t>，逾期后果自负。会议地点：</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p>
        </w:tc>
      </w:tr>
      <w:tr w14:paraId="485C3F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vMerge w:val="restart"/>
            <w:tcBorders>
              <w:top w:val="single" w:color="auto" w:sz="4" w:space="0"/>
              <w:left w:val="single" w:color="auto" w:sz="4" w:space="0"/>
              <w:right w:val="single" w:color="auto" w:sz="4" w:space="0"/>
            </w:tcBorders>
            <w:vAlign w:val="center"/>
          </w:tcPr>
          <w:p w14:paraId="304A1A3C">
            <w:pPr>
              <w:spacing w:line="360" w:lineRule="auto"/>
              <w:jc w:val="center"/>
              <w:rPr>
                <w:rFonts w:ascii="宋体" w:hAnsi="宋体"/>
                <w:color w:val="auto"/>
                <w:szCs w:val="21"/>
                <w:highlight w:val="none"/>
              </w:rPr>
            </w:pPr>
            <w:r>
              <w:rPr>
                <w:rFonts w:hint="eastAsia" w:ascii="宋体" w:hAnsi="宋体"/>
                <w:color w:val="auto"/>
                <w:szCs w:val="21"/>
                <w:highlight w:val="none"/>
              </w:rPr>
              <w:t>13</w:t>
            </w:r>
          </w:p>
        </w:tc>
        <w:tc>
          <w:tcPr>
            <w:tcW w:w="8711" w:type="dxa"/>
            <w:tcBorders>
              <w:top w:val="single" w:color="auto" w:sz="4" w:space="0"/>
              <w:left w:val="single" w:color="auto" w:sz="4" w:space="0"/>
              <w:bottom w:val="single" w:color="auto" w:sz="4" w:space="0"/>
              <w:right w:val="single" w:color="auto" w:sz="4" w:space="0"/>
            </w:tcBorders>
            <w:vAlign w:val="center"/>
          </w:tcPr>
          <w:p w14:paraId="0D1DA6F5">
            <w:pPr>
              <w:spacing w:line="360" w:lineRule="auto"/>
              <w:jc w:val="left"/>
              <w:rPr>
                <w:rFonts w:ascii="宋体" w:hAnsi="宋体" w:cs="Courier New"/>
                <w:b/>
                <w:color w:val="auto"/>
                <w:szCs w:val="21"/>
                <w:highlight w:val="none"/>
              </w:rPr>
            </w:pPr>
            <w:r>
              <w:rPr>
                <w:rFonts w:hint="eastAsia" w:ascii="宋体" w:hAnsi="宋体" w:cs="Courier New"/>
                <w:b/>
                <w:color w:val="auto"/>
                <w:szCs w:val="21"/>
                <w:highlight w:val="none"/>
              </w:rPr>
              <w:t>报价文件：</w:t>
            </w:r>
          </w:p>
          <w:p w14:paraId="739C9AB2">
            <w:pPr>
              <w:tabs>
                <w:tab w:val="left" w:pos="459"/>
              </w:tabs>
              <w:spacing w:line="360" w:lineRule="auto"/>
              <w:ind w:left="420"/>
              <w:jc w:val="left"/>
              <w:rPr>
                <w:rFonts w:ascii="宋体" w:hAnsi="宋体"/>
                <w:color w:val="auto"/>
                <w:szCs w:val="21"/>
                <w:highlight w:val="none"/>
              </w:rPr>
            </w:pPr>
            <w:r>
              <w:rPr>
                <w:rFonts w:hint="eastAsia" w:ascii="宋体" w:hAnsi="宋体"/>
                <w:color w:val="auto"/>
                <w:szCs w:val="21"/>
                <w:highlight w:val="none"/>
              </w:rPr>
              <w:t>1.投标函（格式后附）；</w:t>
            </w:r>
            <w:r>
              <w:rPr>
                <w:rFonts w:hint="eastAsia" w:ascii="宋体" w:hAnsi="宋体"/>
                <w:b/>
                <w:color w:val="auto"/>
                <w:szCs w:val="21"/>
                <w:highlight w:val="none"/>
              </w:rPr>
              <w:t>（必须提供，否则按无效投标处理）</w:t>
            </w:r>
          </w:p>
          <w:p w14:paraId="4E4FB7FA">
            <w:pPr>
              <w:tabs>
                <w:tab w:val="left" w:pos="459"/>
              </w:tabs>
              <w:spacing w:line="360" w:lineRule="auto"/>
              <w:ind w:left="420"/>
              <w:jc w:val="left"/>
              <w:rPr>
                <w:rFonts w:ascii="宋体" w:hAnsi="宋体"/>
                <w:color w:val="auto"/>
                <w:szCs w:val="21"/>
                <w:highlight w:val="none"/>
              </w:rPr>
            </w:pPr>
            <w:r>
              <w:rPr>
                <w:rFonts w:hint="eastAsia" w:ascii="宋体" w:hAnsi="宋体"/>
                <w:color w:val="auto"/>
                <w:szCs w:val="21"/>
                <w:highlight w:val="none"/>
              </w:rPr>
              <w:t>2.开标一览表（格式后附）；（</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674766BD">
            <w:pPr>
              <w:tabs>
                <w:tab w:val="left" w:pos="459"/>
              </w:tabs>
              <w:spacing w:line="360" w:lineRule="auto"/>
              <w:ind w:left="630" w:hanging="210"/>
              <w:jc w:val="left"/>
              <w:rPr>
                <w:rFonts w:ascii="宋体" w:hAnsi="宋体"/>
                <w:color w:val="auto"/>
                <w:szCs w:val="21"/>
                <w:highlight w:val="none"/>
              </w:rPr>
            </w:pPr>
            <w:r>
              <w:rPr>
                <w:rFonts w:hint="eastAsia" w:ascii="宋体" w:hAnsi="宋体"/>
                <w:color w:val="auto"/>
                <w:szCs w:val="21"/>
                <w:highlight w:val="none"/>
              </w:rPr>
              <w:t>3. 《关于符合本国产品标准的声明函》或者财政部会同有关部门规定的有关证明文件；（供应商根据自身响应情况出具）</w:t>
            </w:r>
          </w:p>
          <w:p w14:paraId="26602A7A">
            <w:pPr>
              <w:tabs>
                <w:tab w:val="left" w:pos="459"/>
              </w:tabs>
              <w:spacing w:line="360" w:lineRule="auto"/>
              <w:ind w:left="420"/>
              <w:jc w:val="left"/>
              <w:rPr>
                <w:rFonts w:ascii="宋体" w:hAnsi="宋体"/>
                <w:color w:val="auto"/>
                <w:szCs w:val="21"/>
                <w:highlight w:val="none"/>
              </w:rPr>
            </w:pPr>
            <w:r>
              <w:rPr>
                <w:rFonts w:hint="eastAsia" w:ascii="宋体" w:hAnsi="宋体"/>
                <w:color w:val="auto"/>
                <w:szCs w:val="21"/>
                <w:highlight w:val="none"/>
                <w:lang w:val="en-US" w:eastAsia="zh-CN"/>
              </w:rPr>
              <w:t>4</w:t>
            </w:r>
            <w:r>
              <w:rPr>
                <w:rFonts w:ascii="宋体" w:hAnsi="宋体"/>
                <w:color w:val="auto"/>
                <w:szCs w:val="21"/>
                <w:highlight w:val="none"/>
              </w:rPr>
              <w:t>.</w:t>
            </w:r>
            <w:r>
              <w:rPr>
                <w:rFonts w:hint="eastAsia" w:ascii="宋体" w:hAnsi="宋体"/>
                <w:color w:val="auto"/>
                <w:szCs w:val="21"/>
                <w:highlight w:val="none"/>
              </w:rPr>
              <w:t>投标人针对报价需要说明的其他文件和说明（格式自拟）。</w:t>
            </w:r>
          </w:p>
          <w:p w14:paraId="01983C1C">
            <w:pPr>
              <w:spacing w:line="360" w:lineRule="auto"/>
              <w:ind w:firstLine="422"/>
              <w:jc w:val="left"/>
              <w:rPr>
                <w:rFonts w:ascii="宋体" w:hAnsi="宋体" w:cs="宋体"/>
                <w:b/>
                <w:color w:val="auto"/>
                <w:szCs w:val="21"/>
                <w:highlight w:val="none"/>
              </w:rPr>
            </w:pPr>
            <w:r>
              <w:rPr>
                <w:rFonts w:hint="eastAsia" w:ascii="宋体" w:hAnsi="宋体" w:cs="宋体"/>
                <w:b/>
                <w:color w:val="auto"/>
                <w:szCs w:val="21"/>
                <w:highlight w:val="none"/>
              </w:rPr>
              <w:t>注：</w:t>
            </w:r>
            <w:r>
              <w:rPr>
                <w:rFonts w:hint="eastAsia" w:ascii="宋体" w:hAnsi="宋体"/>
                <w:b/>
                <w:bCs/>
                <w:color w:val="auto"/>
                <w:szCs w:val="21"/>
                <w:highlight w:val="none"/>
              </w:rPr>
              <w:t>以上标明“必须提供”的材料，格式</w:t>
            </w:r>
            <w:r>
              <w:rPr>
                <w:rFonts w:hint="eastAsia" w:ascii="宋体" w:hAnsi="宋体" w:cs="宋体"/>
                <w:b/>
                <w:color w:val="auto"/>
                <w:szCs w:val="21"/>
                <w:highlight w:val="none"/>
              </w:rPr>
              <w:t>中有要求法定代表人或者委托代理人签字的，必须按要求签字并加盖投标人电子签章</w:t>
            </w:r>
            <w:r>
              <w:rPr>
                <w:rFonts w:hint="eastAsia" w:ascii="宋体" w:hAnsi="宋体"/>
                <w:b/>
                <w:bCs/>
                <w:color w:val="auto"/>
                <w:szCs w:val="21"/>
                <w:highlight w:val="none"/>
              </w:rPr>
              <w:t>，否则按无效投标</w:t>
            </w:r>
            <w:r>
              <w:rPr>
                <w:rFonts w:hint="eastAsia" w:ascii="宋体" w:hAnsi="宋体" w:cs="Courier New"/>
                <w:b/>
                <w:color w:val="auto"/>
                <w:szCs w:val="21"/>
                <w:highlight w:val="none"/>
              </w:rPr>
              <w:t>处理。</w:t>
            </w:r>
          </w:p>
        </w:tc>
      </w:tr>
      <w:tr w14:paraId="18E9A9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vMerge w:val="continue"/>
            <w:tcBorders>
              <w:left w:val="single" w:color="auto" w:sz="4" w:space="0"/>
              <w:right w:val="single" w:color="auto" w:sz="4" w:space="0"/>
            </w:tcBorders>
            <w:vAlign w:val="center"/>
          </w:tcPr>
          <w:p w14:paraId="43974A8A">
            <w:pPr>
              <w:spacing w:line="360" w:lineRule="auto"/>
              <w:rPr>
                <w:rFonts w:ascii="宋体" w:hAnsi="宋体"/>
                <w:color w:val="auto"/>
                <w:szCs w:val="21"/>
                <w:highlight w:val="none"/>
              </w:rPr>
            </w:pPr>
          </w:p>
        </w:tc>
        <w:tc>
          <w:tcPr>
            <w:tcW w:w="8711" w:type="dxa"/>
            <w:tcBorders>
              <w:top w:val="single" w:color="auto" w:sz="4" w:space="0"/>
              <w:left w:val="single" w:color="auto" w:sz="4" w:space="0"/>
              <w:bottom w:val="single" w:color="auto" w:sz="4" w:space="0"/>
              <w:right w:val="single" w:color="auto" w:sz="4" w:space="0"/>
            </w:tcBorders>
            <w:vAlign w:val="center"/>
          </w:tcPr>
          <w:p w14:paraId="76D22CB0">
            <w:pPr>
              <w:spacing w:line="360" w:lineRule="auto"/>
              <w:jc w:val="left"/>
              <w:rPr>
                <w:rFonts w:ascii="宋体" w:hAnsi="宋体" w:cs="Courier New"/>
                <w:b/>
                <w:color w:val="auto"/>
                <w:szCs w:val="21"/>
                <w:highlight w:val="none"/>
              </w:rPr>
            </w:pPr>
            <w:r>
              <w:rPr>
                <w:rFonts w:hint="eastAsia" w:ascii="宋体" w:hAnsi="宋体" w:cs="Courier New"/>
                <w:b/>
                <w:color w:val="auto"/>
                <w:szCs w:val="21"/>
                <w:highlight w:val="none"/>
              </w:rPr>
              <w:t>资格证明文件</w:t>
            </w:r>
          </w:p>
          <w:p w14:paraId="3317A0B2">
            <w:pPr>
              <w:spacing w:line="360" w:lineRule="auto"/>
              <w:ind w:firstLine="420"/>
              <w:jc w:val="left"/>
              <w:rPr>
                <w:rFonts w:ascii="宋体" w:hAnsi="宋体" w:cs="Courier New"/>
                <w:b/>
                <w:color w:val="auto"/>
                <w:szCs w:val="21"/>
                <w:highlight w:val="none"/>
              </w:rPr>
            </w:pPr>
            <w:r>
              <w:rPr>
                <w:rFonts w:hint="eastAsia" w:ascii="宋体" w:hAnsi="宋体"/>
                <w:color w:val="auto"/>
                <w:szCs w:val="21"/>
                <w:highlight w:val="none"/>
              </w:rPr>
              <w:t>1.投标人为法人或者其他组织的，提供营业执照等证明文件</w:t>
            </w:r>
            <w:r>
              <w:rPr>
                <w:rFonts w:hint="eastAsia" w:ascii="宋体" w:hAnsi="宋体" w:cs="宋体"/>
                <w:color w:val="auto"/>
                <w:szCs w:val="21"/>
                <w:highlight w:val="none"/>
              </w:rPr>
              <w:t>（如营业执照或者事业单位法人证书或者</w:t>
            </w:r>
            <w:r>
              <w:rPr>
                <w:rStyle w:val="264"/>
                <w:color w:val="auto"/>
                <w:sz w:val="21"/>
                <w:szCs w:val="21"/>
                <w:highlight w:val="none"/>
              </w:rPr>
              <w:t>执业许可证</w:t>
            </w:r>
            <w:r>
              <w:rPr>
                <w:rFonts w:hint="eastAsia" w:ascii="宋体" w:hAnsi="宋体" w:cs="宋体"/>
                <w:color w:val="auto"/>
                <w:szCs w:val="21"/>
                <w:highlight w:val="none"/>
              </w:rPr>
              <w:t>或者登记证书等）</w:t>
            </w:r>
            <w:r>
              <w:rPr>
                <w:rFonts w:hint="eastAsia" w:ascii="宋体" w:hAnsi="宋体"/>
                <w:color w:val="auto"/>
                <w:szCs w:val="21"/>
                <w:highlight w:val="none"/>
              </w:rPr>
              <w:t>，投标人为自然人的，提供身份证</w:t>
            </w:r>
            <w:r>
              <w:rPr>
                <w:rFonts w:hint="eastAsia" w:ascii="宋体" w:hAnsi="宋体" w:cs="宋体"/>
                <w:color w:val="auto"/>
                <w:szCs w:val="21"/>
                <w:highlight w:val="none"/>
              </w:rPr>
              <w:t>复印件</w:t>
            </w:r>
            <w:r>
              <w:rPr>
                <w:rFonts w:hint="eastAsia" w:ascii="宋体" w:hAnsi="宋体"/>
                <w:color w:val="auto"/>
                <w:szCs w:val="21"/>
                <w:highlight w:val="none"/>
              </w:rPr>
              <w:t>；（</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09C58B14">
            <w:pPr>
              <w:spacing w:line="360" w:lineRule="auto"/>
              <w:ind w:firstLine="420"/>
              <w:jc w:val="left"/>
              <w:rPr>
                <w:rFonts w:ascii="宋体" w:hAnsi="宋体" w:cs="Courier New"/>
                <w:b/>
                <w:color w:val="auto"/>
                <w:szCs w:val="21"/>
                <w:highlight w:val="none"/>
              </w:rPr>
            </w:pPr>
            <w:r>
              <w:rPr>
                <w:rFonts w:hint="eastAsia" w:ascii="宋体" w:hAnsi="宋体" w:cs="宋体"/>
                <w:color w:val="auto"/>
                <w:szCs w:val="21"/>
                <w:highlight w:val="none"/>
              </w:rPr>
              <w:t>2.投标人依法缴纳税收的相关材料（</w:t>
            </w:r>
            <w:r>
              <w:rPr>
                <w:rFonts w:hint="eastAsia" w:ascii="宋体" w:hAnsi="宋体" w:cs="宋体"/>
                <w:color w:val="auto"/>
                <w:szCs w:val="21"/>
                <w:highlight w:val="none"/>
                <w:u w:val="none"/>
              </w:rPr>
              <w:t>2025年</w:t>
            </w:r>
            <w:r>
              <w:rPr>
                <w:rFonts w:hint="eastAsia" w:ascii="宋体" w:hAnsi="宋体" w:cs="宋体"/>
                <w:color w:val="auto"/>
                <w:szCs w:val="21"/>
                <w:highlight w:val="none"/>
                <w:u w:val="none"/>
                <w:lang w:val="en-US" w:eastAsia="zh-CN"/>
              </w:rPr>
              <w:t>8</w:t>
            </w:r>
            <w:r>
              <w:rPr>
                <w:rFonts w:hint="eastAsia" w:ascii="宋体" w:hAnsi="宋体" w:cs="宋体"/>
                <w:color w:val="auto"/>
                <w:szCs w:val="21"/>
                <w:highlight w:val="none"/>
                <w:u w:val="none"/>
              </w:rPr>
              <w:t>月至 2026年</w:t>
            </w:r>
            <w:r>
              <w:rPr>
                <w:rFonts w:hint="eastAsia" w:ascii="宋体" w:hAnsi="宋体" w:cs="宋体"/>
                <w:color w:val="auto"/>
                <w:szCs w:val="21"/>
                <w:highlight w:val="none"/>
                <w:u w:val="none"/>
                <w:lang w:val="en-US" w:eastAsia="zh-CN"/>
              </w:rPr>
              <w:t>8</w:t>
            </w:r>
            <w:r>
              <w:rPr>
                <w:rFonts w:hint="eastAsia" w:ascii="宋体" w:hAnsi="宋体" w:cs="宋体"/>
                <w:color w:val="auto"/>
                <w:szCs w:val="21"/>
                <w:highlight w:val="none"/>
              </w:rPr>
              <w:t>月内</w:t>
            </w:r>
            <w:r>
              <w:rPr>
                <w:rFonts w:hint="eastAsia"/>
                <w:color w:val="auto"/>
                <w:highlight w:val="none"/>
              </w:rPr>
              <w:t>任意</w:t>
            </w:r>
            <w:r>
              <w:rPr>
                <w:rFonts w:hint="eastAsia" w:ascii="宋体" w:hAnsi="宋体" w:cs="宋体"/>
                <w:color w:val="auto"/>
                <w:szCs w:val="21"/>
                <w:highlight w:val="none"/>
              </w:rPr>
              <w:t>连续</w:t>
            </w:r>
            <w:r>
              <w:rPr>
                <w:rFonts w:hint="eastAsia" w:ascii="宋体" w:hAnsi="宋体" w:cs="宋体"/>
                <w:color w:val="auto"/>
                <w:szCs w:val="21"/>
                <w:highlight w:val="none"/>
                <w:u w:val="single"/>
              </w:rPr>
              <w:t xml:space="preserve"> 3 </w:t>
            </w:r>
            <w:r>
              <w:rPr>
                <w:rFonts w:hint="eastAsia" w:ascii="宋体" w:hAnsi="宋体" w:cs="宋体"/>
                <w:color w:val="auto"/>
                <w:szCs w:val="21"/>
                <w:highlight w:val="none"/>
              </w:rPr>
              <w:t>个月的依法缴纳税收的</w:t>
            </w:r>
            <w:r>
              <w:rPr>
                <w:rFonts w:hint="eastAsia"/>
                <w:color w:val="auto"/>
                <w:highlight w:val="none"/>
              </w:rPr>
              <w:t>证明材料</w:t>
            </w:r>
            <w:r>
              <w:rPr>
                <w:rFonts w:hint="eastAsia" w:ascii="宋体" w:hAnsi="宋体" w:cs="宋体"/>
                <w:color w:val="auto"/>
                <w:szCs w:val="21"/>
                <w:highlight w:val="none"/>
              </w:rPr>
              <w:t>复印件；</w:t>
            </w:r>
            <w:r>
              <w:rPr>
                <w:rFonts w:hint="eastAsia" w:ascii="宋体" w:hAnsi="宋体"/>
                <w:color w:val="auto"/>
                <w:szCs w:val="21"/>
                <w:highlight w:val="none"/>
              </w:rPr>
              <w:t>依法免税的供应商，</w:t>
            </w:r>
            <w:r>
              <w:rPr>
                <w:rFonts w:hint="eastAsia"/>
                <w:color w:val="auto"/>
                <w:highlight w:val="none"/>
              </w:rPr>
              <w:t>必须提供符合免税条件的证明材料</w:t>
            </w:r>
            <w:r>
              <w:rPr>
                <w:rFonts w:hint="eastAsia" w:ascii="宋体" w:hAnsi="宋体"/>
                <w:color w:val="auto"/>
                <w:szCs w:val="21"/>
                <w:highlight w:val="none"/>
              </w:rPr>
              <w:t>。</w:t>
            </w:r>
            <w:r>
              <w:rPr>
                <w:rFonts w:hint="eastAsia" w:ascii="宋体" w:hAnsi="宋体" w:cs="宋体"/>
                <w:color w:val="auto"/>
                <w:szCs w:val="21"/>
                <w:highlight w:val="none"/>
              </w:rPr>
              <w:t>从</w:t>
            </w:r>
            <w:r>
              <w:rPr>
                <w:rFonts w:hint="eastAsia"/>
                <w:color w:val="auto"/>
                <w:szCs w:val="21"/>
                <w:highlight w:val="none"/>
              </w:rPr>
              <w:t>成立之日</w:t>
            </w:r>
            <w:r>
              <w:rPr>
                <w:rFonts w:hint="eastAsia" w:ascii="宋体" w:hAnsi="宋体" w:cs="宋体"/>
                <w:color w:val="auto"/>
                <w:szCs w:val="21"/>
                <w:highlight w:val="none"/>
              </w:rPr>
              <w:t>起到投标文件提交截止时间止不足要求月数的，只需提供从</w:t>
            </w:r>
            <w:r>
              <w:rPr>
                <w:rFonts w:hint="eastAsia"/>
                <w:color w:val="auto"/>
                <w:szCs w:val="21"/>
                <w:highlight w:val="none"/>
              </w:rPr>
              <w:t>成立之日起</w:t>
            </w:r>
            <w:r>
              <w:rPr>
                <w:rFonts w:hint="eastAsia" w:ascii="宋体" w:hAnsi="宋体" w:cs="宋体"/>
                <w:color w:val="auto"/>
                <w:szCs w:val="21"/>
                <w:highlight w:val="none"/>
              </w:rPr>
              <w:t>的依法缴纳税收</w:t>
            </w:r>
            <w:r>
              <w:rPr>
                <w:rFonts w:hint="eastAsia" w:ascii="宋体" w:hAnsi="宋体"/>
                <w:color w:val="auto"/>
                <w:szCs w:val="21"/>
                <w:highlight w:val="none"/>
              </w:rPr>
              <w:t>相应证明文件</w:t>
            </w:r>
            <w:r>
              <w:rPr>
                <w:rFonts w:hint="eastAsia" w:ascii="宋体" w:hAnsi="宋体" w:cs="宋体"/>
                <w:color w:val="auto"/>
                <w:szCs w:val="21"/>
                <w:highlight w:val="none"/>
              </w:rPr>
              <w:t>）</w:t>
            </w:r>
            <w:r>
              <w:rPr>
                <w:rFonts w:hint="eastAsia" w:ascii="宋体" w:hAnsi="宋体"/>
                <w:color w:val="auto"/>
                <w:szCs w:val="21"/>
                <w:highlight w:val="none"/>
              </w:rPr>
              <w:t>；（</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38429C21">
            <w:pPr>
              <w:spacing w:line="360" w:lineRule="auto"/>
              <w:ind w:firstLine="420"/>
              <w:jc w:val="left"/>
              <w:rPr>
                <w:rFonts w:ascii="宋体" w:hAnsi="宋体" w:cs="Courier New"/>
                <w:b/>
                <w:color w:val="auto"/>
                <w:szCs w:val="21"/>
                <w:highlight w:val="none"/>
              </w:rPr>
            </w:pPr>
            <w:r>
              <w:rPr>
                <w:rFonts w:hint="eastAsia" w:ascii="宋体" w:hAnsi="宋体" w:cs="宋体"/>
                <w:color w:val="auto"/>
                <w:szCs w:val="21"/>
                <w:highlight w:val="none"/>
              </w:rPr>
              <w:t>3.投标人依法缴纳社会保障资金的相关材料[2025年</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月至 2026年</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月内任意连续</w:t>
            </w:r>
            <w:r>
              <w:rPr>
                <w:rFonts w:hint="eastAsia" w:ascii="宋体" w:hAnsi="宋体" w:cs="宋体"/>
                <w:color w:val="auto"/>
                <w:szCs w:val="21"/>
                <w:highlight w:val="none"/>
                <w:u w:val="single"/>
              </w:rPr>
              <w:t xml:space="preserve"> 3  </w:t>
            </w:r>
            <w:r>
              <w:rPr>
                <w:rFonts w:hint="eastAsia" w:ascii="宋体" w:hAnsi="宋体" w:cs="宋体"/>
                <w:color w:val="auto"/>
                <w:szCs w:val="21"/>
                <w:highlight w:val="none"/>
              </w:rPr>
              <w:t>个月的依法缴纳社会保障资金的缴费</w:t>
            </w:r>
            <w:r>
              <w:rPr>
                <w:rFonts w:hint="eastAsia"/>
                <w:color w:val="auto"/>
                <w:highlight w:val="none"/>
              </w:rPr>
              <w:t>证明材料</w:t>
            </w:r>
            <w:r>
              <w:rPr>
                <w:rFonts w:hint="eastAsia" w:ascii="宋体" w:hAnsi="宋体" w:cs="宋体"/>
                <w:color w:val="auto"/>
                <w:szCs w:val="21"/>
                <w:highlight w:val="none"/>
              </w:rPr>
              <w:t>（</w:t>
            </w:r>
            <w:r>
              <w:rPr>
                <w:rFonts w:hint="eastAsia"/>
                <w:color w:val="auto"/>
                <w:highlight w:val="none"/>
              </w:rPr>
              <w:t>如：</w:t>
            </w:r>
            <w:r>
              <w:rPr>
                <w:rFonts w:hint="eastAsia" w:ascii="宋体" w:hAnsi="宋体" w:cs="宋体"/>
                <w:color w:val="auto"/>
                <w:szCs w:val="21"/>
                <w:highlight w:val="none"/>
              </w:rPr>
              <w:t>专用收据、社会保险缴纳清单或者社保部门的证明）复印件；</w:t>
            </w:r>
            <w:r>
              <w:rPr>
                <w:rFonts w:hint="eastAsia" w:ascii="宋体" w:hAnsi="宋体"/>
                <w:color w:val="auto"/>
                <w:szCs w:val="21"/>
                <w:highlight w:val="none"/>
              </w:rPr>
              <w:t>依法不需要缴纳社会保障资金的供应商，必须提供相应文件证明不需要缴纳社会保障资金。</w:t>
            </w:r>
            <w:r>
              <w:rPr>
                <w:rFonts w:hint="eastAsia" w:ascii="宋体" w:hAnsi="宋体" w:cs="宋体"/>
                <w:color w:val="auto"/>
                <w:szCs w:val="21"/>
                <w:highlight w:val="none"/>
              </w:rPr>
              <w:t>从</w:t>
            </w:r>
            <w:r>
              <w:rPr>
                <w:rFonts w:hint="eastAsia"/>
                <w:color w:val="auto"/>
                <w:szCs w:val="21"/>
                <w:highlight w:val="none"/>
              </w:rPr>
              <w:t>成立之日起</w:t>
            </w:r>
            <w:r>
              <w:rPr>
                <w:rFonts w:hint="eastAsia" w:ascii="宋体" w:hAnsi="宋体" w:cs="宋体"/>
                <w:color w:val="auto"/>
                <w:szCs w:val="21"/>
                <w:highlight w:val="none"/>
              </w:rPr>
              <w:t>到投标文件提交截止时间止不足要求月数的只需提供从</w:t>
            </w:r>
            <w:r>
              <w:rPr>
                <w:rFonts w:hint="eastAsia"/>
                <w:color w:val="auto"/>
                <w:szCs w:val="21"/>
                <w:highlight w:val="none"/>
              </w:rPr>
              <w:t>成立之日起</w:t>
            </w:r>
            <w:r>
              <w:rPr>
                <w:rFonts w:hint="eastAsia" w:ascii="宋体" w:hAnsi="宋体" w:cs="宋体"/>
                <w:color w:val="auto"/>
                <w:szCs w:val="21"/>
                <w:highlight w:val="none"/>
              </w:rPr>
              <w:t>的依法缴纳社会保障资金的</w:t>
            </w:r>
            <w:r>
              <w:rPr>
                <w:rFonts w:hint="eastAsia" w:ascii="宋体" w:hAnsi="宋体"/>
                <w:color w:val="auto"/>
                <w:szCs w:val="21"/>
                <w:highlight w:val="none"/>
              </w:rPr>
              <w:t>相应证明文件</w:t>
            </w:r>
            <w:r>
              <w:rPr>
                <w:rFonts w:hint="eastAsia" w:ascii="宋体" w:hAnsi="宋体" w:cs="宋体"/>
                <w:color w:val="auto"/>
                <w:szCs w:val="21"/>
                <w:highlight w:val="none"/>
              </w:rPr>
              <w:t>]</w:t>
            </w:r>
            <w:r>
              <w:rPr>
                <w:rFonts w:hint="eastAsia" w:ascii="宋体" w:hAnsi="宋体"/>
                <w:color w:val="auto"/>
                <w:szCs w:val="21"/>
                <w:highlight w:val="none"/>
              </w:rPr>
              <w:t>；（</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6010A370">
            <w:pPr>
              <w:spacing w:line="360" w:lineRule="auto"/>
              <w:ind w:firstLine="420"/>
              <w:jc w:val="left"/>
              <w:rPr>
                <w:rFonts w:ascii="宋体" w:hAnsi="宋体" w:cs="Courier New"/>
                <w:b/>
                <w:color w:val="auto"/>
                <w:szCs w:val="21"/>
                <w:highlight w:val="none"/>
              </w:rPr>
            </w:pPr>
            <w:r>
              <w:rPr>
                <w:rFonts w:hint="eastAsia" w:ascii="宋体" w:hAnsi="宋体" w:cs="宋体"/>
                <w:color w:val="auto"/>
                <w:szCs w:val="21"/>
                <w:highlight w:val="none"/>
              </w:rPr>
              <w:t>4.投标人</w:t>
            </w:r>
            <w:r>
              <w:rPr>
                <w:rFonts w:hint="eastAsia"/>
                <w:color w:val="auto"/>
                <w:szCs w:val="21"/>
                <w:highlight w:val="none"/>
              </w:rPr>
              <w:t>财务状况报告</w:t>
            </w:r>
            <w:r>
              <w:rPr>
                <w:rFonts w:hint="eastAsia" w:ascii="宋体" w:hAnsi="宋体"/>
                <w:color w:val="auto"/>
                <w:szCs w:val="21"/>
                <w:highlight w:val="none"/>
              </w:rPr>
              <w:t>[</w:t>
            </w:r>
            <w:r>
              <w:rPr>
                <w:rFonts w:ascii="宋体" w:hAnsi="宋体"/>
                <w:color w:val="auto"/>
                <w:szCs w:val="21"/>
                <w:highlight w:val="none"/>
                <w:u w:val="single"/>
              </w:rPr>
              <w:t xml:space="preserve"> </w:t>
            </w:r>
            <w:r>
              <w:rPr>
                <w:rFonts w:hint="eastAsia" w:ascii="宋体" w:hAnsi="宋体"/>
                <w:color w:val="auto"/>
                <w:szCs w:val="21"/>
                <w:highlight w:val="none"/>
                <w:u w:val="single"/>
              </w:rPr>
              <w:t>2025</w:t>
            </w:r>
            <w:r>
              <w:rPr>
                <w:rFonts w:hint="eastAsia" w:ascii="宋体" w:hAnsi="宋体"/>
                <w:color w:val="auto"/>
                <w:szCs w:val="21"/>
                <w:highlight w:val="none"/>
              </w:rPr>
              <w:t>年度财务报表复印件，或者银行出具的资信证明，或者中国人民银行征信中心出具的信用报告（企业投标的提供企业信用报告，自然人投标的提供个人信用报告</w:t>
            </w:r>
            <w:r>
              <w:rPr>
                <w:rFonts w:hint="eastAsia" w:ascii="宋体" w:hAnsi="宋体"/>
                <w:color w:val="auto"/>
                <w:highlight w:val="none"/>
              </w:rPr>
              <w:t>，投标人</w:t>
            </w:r>
            <w:r>
              <w:rPr>
                <w:rFonts w:ascii="宋体" w:hAnsi="宋体"/>
                <w:color w:val="auto"/>
                <w:highlight w:val="none"/>
              </w:rPr>
              <w:t>属于成立时间在规定年度之后的法人或其他组织</w:t>
            </w:r>
            <w:r>
              <w:rPr>
                <w:rFonts w:hint="eastAsia" w:ascii="宋体" w:hAnsi="宋体"/>
                <w:color w:val="auto"/>
                <w:highlight w:val="none"/>
              </w:rPr>
              <w:t>，需提供成立之日起至投标截止时间前的月报表</w:t>
            </w:r>
            <w:r>
              <w:rPr>
                <w:rFonts w:hint="eastAsia" w:ascii="宋体" w:hAnsi="宋体"/>
                <w:color w:val="auto"/>
                <w:szCs w:val="21"/>
                <w:highlight w:val="none"/>
              </w:rPr>
              <w:t>或银行出具的资信证明或者中国人民银行征信中心出具的企业信用报告；资信证明应在有效期内，未注明有效期的，银行出具时间至投标截止时间不超过一年]</w:t>
            </w:r>
            <w:r>
              <w:rPr>
                <w:rFonts w:hint="eastAsia"/>
                <w:color w:val="auto"/>
                <w:szCs w:val="21"/>
                <w:highlight w:val="none"/>
              </w:rPr>
              <w:t>；</w:t>
            </w:r>
            <w:r>
              <w:rPr>
                <w:rFonts w:hint="eastAsia" w:ascii="宋体" w:hAnsi="宋体"/>
                <w:color w:val="auto"/>
                <w:szCs w:val="21"/>
                <w:highlight w:val="none"/>
              </w:rPr>
              <w:t>（</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486943A2">
            <w:pPr>
              <w:spacing w:line="360" w:lineRule="auto"/>
              <w:ind w:firstLine="420"/>
              <w:jc w:val="left"/>
              <w:rPr>
                <w:rFonts w:ascii="宋体" w:hAnsi="宋体"/>
                <w:color w:val="auto"/>
                <w:szCs w:val="21"/>
                <w:highlight w:val="none"/>
              </w:rPr>
            </w:pPr>
            <w:r>
              <w:rPr>
                <w:rFonts w:hint="eastAsia" w:ascii="宋体" w:hAnsi="宋体"/>
                <w:color w:val="auto"/>
                <w:szCs w:val="21"/>
                <w:highlight w:val="none"/>
              </w:rPr>
              <w:t>5.投标人直接控股股东信息表（格式后附）；（</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5CDAFB48">
            <w:pPr>
              <w:spacing w:line="360" w:lineRule="auto"/>
              <w:ind w:firstLine="420"/>
              <w:jc w:val="left"/>
              <w:rPr>
                <w:rFonts w:ascii="宋体" w:hAnsi="宋体"/>
                <w:color w:val="auto"/>
                <w:szCs w:val="21"/>
                <w:highlight w:val="none"/>
              </w:rPr>
            </w:pPr>
            <w:r>
              <w:rPr>
                <w:rFonts w:hint="eastAsia" w:ascii="宋体" w:hAnsi="宋体"/>
                <w:color w:val="auto"/>
                <w:szCs w:val="21"/>
                <w:highlight w:val="none"/>
              </w:rPr>
              <w:t>6. 投标人直接管理关系信息表（格式后附）；（</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2C66C49F">
            <w:pPr>
              <w:spacing w:line="360" w:lineRule="auto"/>
              <w:ind w:firstLine="420"/>
              <w:jc w:val="left"/>
              <w:rPr>
                <w:rFonts w:ascii="宋体" w:hAnsi="宋体" w:cs="Courier New"/>
                <w:b/>
                <w:color w:val="auto"/>
                <w:szCs w:val="21"/>
                <w:highlight w:val="none"/>
              </w:rPr>
            </w:pPr>
            <w:r>
              <w:rPr>
                <w:rFonts w:hint="eastAsia" w:ascii="宋体" w:hAnsi="宋体"/>
                <w:color w:val="auto"/>
                <w:szCs w:val="21"/>
                <w:highlight w:val="none"/>
              </w:rPr>
              <w:t>7.投标声明（格式后附）；（</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4431BB32">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 xml:space="preserve">8. </w:t>
            </w:r>
            <w:r>
              <w:rPr>
                <w:rFonts w:hint="eastAsia" w:ascii="宋体" w:hAnsi="宋体" w:cs="宋体"/>
                <w:color w:val="auto"/>
                <w:szCs w:val="21"/>
                <w:highlight w:val="none"/>
                <w:lang w:val="en-US" w:eastAsia="zh-CN"/>
              </w:rPr>
              <w:t>投标人</w:t>
            </w:r>
            <w:r>
              <w:rPr>
                <w:rFonts w:hint="eastAsia" w:ascii="宋体" w:hAnsi="宋体" w:cs="宋体"/>
                <w:color w:val="auto"/>
                <w:szCs w:val="21"/>
                <w:highlight w:val="none"/>
              </w:rPr>
              <w:t>必须在</w:t>
            </w:r>
            <w:r>
              <w:rPr>
                <w:rFonts w:hint="eastAsia" w:ascii="宋体" w:hAnsi="宋体" w:cs="宋体"/>
                <w:color w:val="auto"/>
                <w:szCs w:val="21"/>
                <w:highlight w:val="none"/>
                <w:lang w:val="en-US" w:eastAsia="zh-CN"/>
              </w:rPr>
              <w:t>投标</w:t>
            </w:r>
            <w:r>
              <w:rPr>
                <w:rFonts w:hint="eastAsia" w:ascii="宋体" w:hAnsi="宋体" w:cs="宋体"/>
                <w:color w:val="auto"/>
                <w:szCs w:val="21"/>
                <w:highlight w:val="none"/>
              </w:rPr>
              <w:t>文件中提供《中小企业声明函（货物）》，提供的货物全部由符合政策要求的中小</w:t>
            </w:r>
            <w:r>
              <w:rPr>
                <w:rFonts w:hint="eastAsia" w:ascii="宋体" w:hAnsi="宋体" w:cs="宋体"/>
                <w:color w:val="auto"/>
                <w:szCs w:val="21"/>
                <w:highlight w:val="none"/>
                <w:lang w:val="en-US" w:eastAsia="zh-CN"/>
              </w:rPr>
              <w:t>微</w:t>
            </w:r>
            <w:r>
              <w:rPr>
                <w:rFonts w:hint="eastAsia" w:ascii="宋体" w:hAnsi="宋体" w:cs="宋体"/>
                <w:color w:val="auto"/>
                <w:szCs w:val="21"/>
                <w:highlight w:val="none"/>
              </w:rPr>
              <w:t>企业制造，如果属于残疾人福利性单位或监狱企业的，</w:t>
            </w:r>
            <w:r>
              <w:rPr>
                <w:rFonts w:hint="eastAsia" w:ascii="宋体" w:hAnsi="宋体" w:cs="宋体"/>
                <w:color w:val="auto"/>
                <w:szCs w:val="21"/>
                <w:highlight w:val="none"/>
                <w:lang w:val="en-US" w:eastAsia="zh-CN"/>
              </w:rPr>
              <w:t>投标人</w:t>
            </w:r>
            <w:r>
              <w:rPr>
                <w:rFonts w:hint="eastAsia" w:ascii="宋体" w:hAnsi="宋体" w:cs="宋体"/>
                <w:color w:val="auto"/>
                <w:szCs w:val="21"/>
                <w:highlight w:val="none"/>
              </w:rPr>
              <w:t>应按要求填写残疾人福利性单位或监狱企业或残疾人福利企业声明函并提供相关证明）</w:t>
            </w:r>
            <w:r>
              <w:rPr>
                <w:rFonts w:hint="eastAsia" w:ascii="宋体" w:hAnsi="宋体"/>
                <w:color w:val="auto"/>
                <w:szCs w:val="21"/>
                <w:highlight w:val="none"/>
              </w:rPr>
              <w:t>（</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729BCC5C">
            <w:pPr>
              <w:spacing w:line="360" w:lineRule="auto"/>
              <w:ind w:firstLine="420"/>
              <w:jc w:val="left"/>
              <w:rPr>
                <w:rFonts w:ascii="宋体" w:hAnsi="宋体"/>
                <w:color w:val="auto"/>
                <w:szCs w:val="21"/>
                <w:highlight w:val="none"/>
              </w:rPr>
            </w:pPr>
            <w:r>
              <w:rPr>
                <w:rFonts w:hint="eastAsia" w:ascii="宋体" w:hAnsi="宋体"/>
                <w:color w:val="auto"/>
                <w:szCs w:val="21"/>
                <w:highlight w:val="none"/>
                <w:lang w:val="en-US" w:eastAsia="zh-CN"/>
              </w:rPr>
              <w:t>9.</w:t>
            </w:r>
            <w:r>
              <w:rPr>
                <w:rFonts w:hint="eastAsia" w:ascii="宋体" w:hAnsi="宋体"/>
                <w:color w:val="auto"/>
                <w:szCs w:val="21"/>
                <w:highlight w:val="none"/>
              </w:rPr>
              <w:t>除招标文件规定必须提供以外，投标人认为需要提供的其他证明材料。</w:t>
            </w:r>
          </w:p>
          <w:p w14:paraId="1F34208A">
            <w:pPr>
              <w:spacing w:line="360" w:lineRule="auto"/>
              <w:contextualSpacing/>
              <w:jc w:val="left"/>
              <w:rPr>
                <w:rFonts w:ascii="宋体" w:hAnsi="宋体" w:cs="宋体"/>
                <w:b/>
                <w:color w:val="auto"/>
                <w:szCs w:val="21"/>
                <w:highlight w:val="none"/>
              </w:rPr>
            </w:pPr>
            <w:r>
              <w:rPr>
                <w:rFonts w:hint="eastAsia" w:ascii="宋体" w:hAnsi="宋体"/>
                <w:b/>
                <w:bCs/>
                <w:color w:val="auto"/>
                <w:szCs w:val="21"/>
                <w:highlight w:val="none"/>
              </w:rPr>
              <w:t>注：</w:t>
            </w:r>
            <w:r>
              <w:rPr>
                <w:rFonts w:hint="eastAsia" w:ascii="宋体" w:hAnsi="宋体" w:cs="宋体"/>
                <w:b/>
                <w:color w:val="auto"/>
                <w:szCs w:val="21"/>
                <w:highlight w:val="none"/>
              </w:rPr>
              <w:t>1.以上标明“必须提供”的材料必须加盖投标人</w:t>
            </w:r>
            <w:r>
              <w:rPr>
                <w:rFonts w:hint="eastAsia" w:ascii="宋体" w:hAnsi="宋体"/>
                <w:b/>
                <w:color w:val="auto"/>
                <w:szCs w:val="21"/>
                <w:highlight w:val="none"/>
              </w:rPr>
              <w:t>电子签章</w:t>
            </w:r>
            <w:r>
              <w:rPr>
                <w:rFonts w:hint="eastAsia" w:ascii="宋体" w:hAnsi="宋体" w:cs="宋体"/>
                <w:b/>
                <w:color w:val="auto"/>
                <w:szCs w:val="21"/>
                <w:highlight w:val="none"/>
              </w:rPr>
              <w:t>，必须提供的材料在第五章“投标文件格式”中有要求法定代表人或委托代理人签字的，必须由法定代表人或委托代理人签字（或者电子签名），否则投标文件按无效处理。</w:t>
            </w:r>
          </w:p>
          <w:p w14:paraId="175840E8">
            <w:pPr>
              <w:pStyle w:val="17"/>
              <w:spacing w:line="360" w:lineRule="auto"/>
              <w:rPr>
                <w:rFonts w:ascii="宋体" w:hAnsi="宋体" w:cs="宋体"/>
                <w:b/>
                <w:bCs/>
                <w:color w:val="auto"/>
                <w:szCs w:val="21"/>
                <w:highlight w:val="none"/>
              </w:rPr>
            </w:pPr>
            <w:r>
              <w:rPr>
                <w:rFonts w:hint="eastAsia" w:ascii="宋体" w:hAnsi="宋体"/>
                <w:b/>
                <w:bCs/>
                <w:color w:val="auto"/>
                <w:szCs w:val="21"/>
                <w:highlight w:val="none"/>
              </w:rPr>
              <w:t>2.</w:t>
            </w:r>
            <w:r>
              <w:rPr>
                <w:rFonts w:hint="eastAsia" w:ascii="宋体" w:hAnsi="宋体" w:cs="宋体"/>
                <w:b/>
                <w:bCs/>
                <w:color w:val="auto"/>
                <w:szCs w:val="21"/>
                <w:highlight w:val="none"/>
              </w:rPr>
              <w:t>投标文件（包含电子备份投标文件），其中电子投标文件中所须加盖公章部分均采用CA签章。若采购文件中有专门标注的某关联点，并要求投标人在电子投标系统中作出投标响应的，如投标人未对关联点进行响应或者在投标文件其它内容进行描述，造成电子评审不能查询的责任由投标人自行承担。</w:t>
            </w:r>
          </w:p>
          <w:p w14:paraId="25F7F998">
            <w:pPr>
              <w:spacing w:line="360" w:lineRule="auto"/>
              <w:jc w:val="left"/>
              <w:rPr>
                <w:rFonts w:ascii="宋体" w:hAnsi="宋体"/>
                <w:b/>
                <w:bCs/>
                <w:color w:val="auto"/>
                <w:szCs w:val="21"/>
                <w:highlight w:val="none"/>
              </w:rPr>
            </w:pPr>
            <w:r>
              <w:rPr>
                <w:rFonts w:hint="eastAsia" w:ascii="宋体" w:hAnsi="宋体" w:cs="宋体"/>
                <w:b/>
                <w:bCs/>
                <w:color w:val="auto"/>
                <w:szCs w:val="21"/>
                <w:highlight w:val="none"/>
              </w:rPr>
              <w:t>3.分公司参加投标的，应当取得总公司授权并在投标文件中提供授权书复印件，否则按无效投标处理。</w:t>
            </w:r>
          </w:p>
        </w:tc>
      </w:tr>
      <w:tr w14:paraId="53B82E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vMerge w:val="continue"/>
            <w:tcBorders>
              <w:left w:val="single" w:color="auto" w:sz="4" w:space="0"/>
              <w:right w:val="single" w:color="auto" w:sz="4" w:space="0"/>
            </w:tcBorders>
            <w:vAlign w:val="center"/>
          </w:tcPr>
          <w:p w14:paraId="0AA2E215">
            <w:pPr>
              <w:spacing w:line="360" w:lineRule="auto"/>
              <w:rPr>
                <w:rFonts w:ascii="宋体" w:hAnsi="宋体"/>
                <w:color w:val="auto"/>
                <w:szCs w:val="21"/>
                <w:highlight w:val="none"/>
              </w:rPr>
            </w:pPr>
          </w:p>
        </w:tc>
        <w:tc>
          <w:tcPr>
            <w:tcW w:w="8711" w:type="dxa"/>
            <w:tcBorders>
              <w:top w:val="single" w:color="auto" w:sz="4" w:space="0"/>
              <w:left w:val="single" w:color="auto" w:sz="4" w:space="0"/>
              <w:bottom w:val="single" w:color="auto" w:sz="4" w:space="0"/>
              <w:right w:val="single" w:color="auto" w:sz="4" w:space="0"/>
            </w:tcBorders>
            <w:vAlign w:val="center"/>
          </w:tcPr>
          <w:p w14:paraId="377902B4">
            <w:pPr>
              <w:spacing w:line="360" w:lineRule="auto"/>
              <w:jc w:val="left"/>
              <w:rPr>
                <w:rFonts w:ascii="宋体" w:hAnsi="宋体" w:cs="Courier New"/>
                <w:b/>
                <w:color w:val="auto"/>
                <w:szCs w:val="21"/>
                <w:highlight w:val="none"/>
              </w:rPr>
            </w:pPr>
            <w:r>
              <w:rPr>
                <w:rFonts w:hint="eastAsia"/>
                <w:b/>
                <w:color w:val="auto"/>
                <w:highlight w:val="none"/>
                <w:u w:val="single"/>
              </w:rPr>
              <w:t>商务及技术文件</w:t>
            </w:r>
            <w:r>
              <w:rPr>
                <w:rFonts w:hint="eastAsia" w:ascii="宋体" w:hAnsi="宋体" w:cs="Courier New"/>
                <w:b/>
                <w:color w:val="auto"/>
                <w:szCs w:val="21"/>
                <w:highlight w:val="none"/>
              </w:rPr>
              <w:t>：</w:t>
            </w:r>
          </w:p>
          <w:p w14:paraId="503FDE6F">
            <w:pPr>
              <w:spacing w:line="360" w:lineRule="auto"/>
              <w:ind w:left="413"/>
              <w:jc w:val="left"/>
              <w:rPr>
                <w:rFonts w:ascii="宋体" w:hAnsi="宋体"/>
                <w:color w:val="auto"/>
                <w:szCs w:val="21"/>
                <w:highlight w:val="none"/>
              </w:rPr>
            </w:pPr>
            <w:r>
              <w:rPr>
                <w:rFonts w:hint="eastAsia" w:ascii="宋体" w:hAnsi="宋体"/>
                <w:color w:val="auto"/>
                <w:szCs w:val="21"/>
                <w:highlight w:val="none"/>
              </w:rPr>
              <w:t>1.无串通投标行为的承诺函（格式后附）；（</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21B30E3E">
            <w:pPr>
              <w:spacing w:line="360" w:lineRule="auto"/>
              <w:ind w:left="413"/>
              <w:jc w:val="left"/>
              <w:rPr>
                <w:rFonts w:ascii="宋体" w:hAnsi="宋体"/>
                <w:color w:val="auto"/>
                <w:szCs w:val="21"/>
                <w:highlight w:val="none"/>
              </w:rPr>
            </w:pPr>
            <w:r>
              <w:rPr>
                <w:rFonts w:hint="eastAsia" w:ascii="宋体" w:hAnsi="宋体"/>
                <w:color w:val="auto"/>
                <w:szCs w:val="21"/>
                <w:highlight w:val="none"/>
              </w:rPr>
              <w:t>2.投标保证金提交凭证；（</w:t>
            </w:r>
            <w:r>
              <w:rPr>
                <w:rFonts w:hint="eastAsia"/>
                <w:b/>
                <w:bCs/>
                <w:color w:val="auto"/>
                <w:highlight w:val="none"/>
              </w:rPr>
              <w:t>如要求提交投标保证金的则必须提供</w:t>
            </w:r>
            <w:r>
              <w:rPr>
                <w:rFonts w:hint="eastAsia" w:ascii="宋体" w:hAnsi="宋体"/>
                <w:b/>
                <w:color w:val="auto"/>
                <w:szCs w:val="21"/>
                <w:highlight w:val="none"/>
              </w:rPr>
              <w:t>，否则按无效投标处理</w:t>
            </w:r>
            <w:r>
              <w:rPr>
                <w:rFonts w:hint="eastAsia" w:ascii="宋体" w:hAnsi="宋体"/>
                <w:color w:val="auto"/>
                <w:szCs w:val="21"/>
                <w:highlight w:val="none"/>
              </w:rPr>
              <w:t>）</w:t>
            </w:r>
          </w:p>
          <w:p w14:paraId="1607473D">
            <w:pPr>
              <w:spacing w:line="360" w:lineRule="auto"/>
              <w:ind w:left="413"/>
              <w:jc w:val="left"/>
              <w:rPr>
                <w:rFonts w:ascii="宋体" w:hAnsi="宋体"/>
                <w:color w:val="auto"/>
                <w:szCs w:val="21"/>
                <w:highlight w:val="none"/>
              </w:rPr>
            </w:pPr>
            <w:r>
              <w:rPr>
                <w:rFonts w:hint="eastAsia" w:ascii="宋体" w:hAnsi="宋体"/>
                <w:color w:val="auto"/>
                <w:szCs w:val="21"/>
                <w:highlight w:val="none"/>
              </w:rPr>
              <w:t>3.法定代表人身份证明及法定代表人有效身份证正反面复印件（格式后附）；（</w:t>
            </w:r>
            <w:r>
              <w:rPr>
                <w:rFonts w:hint="eastAsia" w:ascii="宋体" w:hAnsi="宋体" w:cs="宋体"/>
                <w:b/>
                <w:bCs/>
                <w:color w:val="auto"/>
                <w:szCs w:val="21"/>
                <w:highlight w:val="none"/>
              </w:rPr>
              <w:t>除自然人投标外</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1BBB78E9">
            <w:pPr>
              <w:spacing w:line="360" w:lineRule="auto"/>
              <w:ind w:left="413"/>
              <w:jc w:val="left"/>
              <w:rPr>
                <w:rFonts w:ascii="宋体" w:hAnsi="宋体"/>
                <w:color w:val="auto"/>
                <w:szCs w:val="21"/>
                <w:highlight w:val="none"/>
              </w:rPr>
            </w:pPr>
            <w:r>
              <w:rPr>
                <w:rFonts w:hint="eastAsia" w:ascii="宋体" w:hAnsi="宋体"/>
                <w:color w:val="auto"/>
                <w:szCs w:val="21"/>
                <w:highlight w:val="none"/>
              </w:rPr>
              <w:t>4.授权委托书及委托代理人有效身份证正反面复印件（格式后附）；（</w:t>
            </w:r>
            <w:r>
              <w:rPr>
                <w:rFonts w:hint="eastAsia" w:ascii="宋体" w:hAnsi="宋体"/>
                <w:b/>
                <w:color w:val="auto"/>
                <w:szCs w:val="21"/>
                <w:highlight w:val="none"/>
              </w:rPr>
              <w:t>委托时必须提供，否则按无效投标处理</w:t>
            </w:r>
            <w:r>
              <w:rPr>
                <w:rFonts w:hint="eastAsia" w:ascii="宋体" w:hAnsi="宋体"/>
                <w:color w:val="auto"/>
                <w:szCs w:val="21"/>
                <w:highlight w:val="none"/>
              </w:rPr>
              <w:t>）</w:t>
            </w:r>
          </w:p>
          <w:p w14:paraId="26D25DA0">
            <w:pPr>
              <w:spacing w:line="360" w:lineRule="auto"/>
              <w:ind w:left="413"/>
              <w:jc w:val="left"/>
              <w:rPr>
                <w:rFonts w:ascii="宋体" w:hAnsi="宋体"/>
                <w:color w:val="auto"/>
                <w:szCs w:val="21"/>
                <w:highlight w:val="none"/>
              </w:rPr>
            </w:pPr>
            <w:r>
              <w:rPr>
                <w:rFonts w:hint="eastAsia" w:ascii="宋体" w:hAnsi="宋体"/>
                <w:color w:val="auto"/>
                <w:szCs w:val="21"/>
                <w:highlight w:val="none"/>
              </w:rPr>
              <w:t>5</w:t>
            </w:r>
            <w:r>
              <w:rPr>
                <w:rFonts w:ascii="宋体" w:hAnsi="宋体"/>
                <w:color w:val="auto"/>
                <w:szCs w:val="21"/>
                <w:highlight w:val="none"/>
              </w:rPr>
              <w:t>.</w:t>
            </w:r>
            <w:r>
              <w:rPr>
                <w:rFonts w:hint="eastAsia" w:ascii="宋体" w:hAnsi="宋体"/>
                <w:color w:val="auto"/>
                <w:szCs w:val="21"/>
                <w:highlight w:val="none"/>
              </w:rPr>
              <w:t>商务要求偏离表（格式后附）；（</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208B1083">
            <w:pPr>
              <w:spacing w:line="360" w:lineRule="auto"/>
              <w:ind w:left="413"/>
              <w:jc w:val="left"/>
              <w:rPr>
                <w:color w:val="auto"/>
                <w:highlight w:val="none"/>
              </w:rPr>
            </w:pPr>
            <w:r>
              <w:rPr>
                <w:rFonts w:ascii="宋体" w:hAnsi="宋体"/>
                <w:color w:val="auto"/>
                <w:szCs w:val="21"/>
                <w:highlight w:val="none"/>
              </w:rPr>
              <w:t>6</w:t>
            </w:r>
            <w:r>
              <w:rPr>
                <w:rFonts w:hint="eastAsia" w:ascii="宋体" w:hAnsi="宋体"/>
                <w:color w:val="auto"/>
                <w:szCs w:val="21"/>
                <w:highlight w:val="none"/>
              </w:rPr>
              <w:t>.售后服务方案（格式自拟）；（</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6B287296">
            <w:pPr>
              <w:spacing w:line="360" w:lineRule="auto"/>
              <w:ind w:left="413"/>
              <w:jc w:val="left"/>
              <w:rPr>
                <w:rFonts w:ascii="宋体" w:hAnsi="宋体"/>
                <w:color w:val="auto"/>
                <w:szCs w:val="21"/>
                <w:highlight w:val="none"/>
              </w:rPr>
            </w:pPr>
            <w:r>
              <w:rPr>
                <w:rFonts w:hint="eastAsia" w:ascii="宋体" w:hAnsi="宋体"/>
                <w:color w:val="auto"/>
                <w:szCs w:val="21"/>
                <w:highlight w:val="none"/>
              </w:rPr>
              <w:t xml:space="preserve">7.代理服务费承诺书（格式后附）； </w:t>
            </w:r>
          </w:p>
          <w:p w14:paraId="32783218">
            <w:pPr>
              <w:spacing w:line="360" w:lineRule="auto"/>
              <w:ind w:left="420"/>
              <w:jc w:val="left"/>
              <w:rPr>
                <w:rFonts w:ascii="宋体" w:hAnsi="宋体"/>
                <w:color w:val="auto"/>
                <w:szCs w:val="21"/>
                <w:highlight w:val="none"/>
              </w:rPr>
            </w:pPr>
            <w:r>
              <w:rPr>
                <w:rFonts w:hint="eastAsia" w:ascii="宋体" w:hAnsi="宋体"/>
                <w:color w:val="auto"/>
                <w:szCs w:val="21"/>
                <w:highlight w:val="none"/>
              </w:rPr>
              <w:t>8.设备性能配置清单（格式后附）；（</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71150ACF">
            <w:pPr>
              <w:spacing w:line="360" w:lineRule="auto"/>
              <w:ind w:left="420"/>
              <w:jc w:val="left"/>
              <w:rPr>
                <w:rFonts w:ascii="宋体" w:hAnsi="宋体"/>
                <w:color w:val="auto"/>
                <w:szCs w:val="21"/>
                <w:highlight w:val="none"/>
              </w:rPr>
            </w:pPr>
            <w:r>
              <w:rPr>
                <w:rFonts w:hint="eastAsia" w:ascii="宋体" w:hAnsi="宋体"/>
                <w:color w:val="auto"/>
                <w:szCs w:val="21"/>
                <w:highlight w:val="none"/>
              </w:rPr>
              <w:t>9.技术要求偏离表（格式后附）；（</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514D583F">
            <w:pPr>
              <w:spacing w:line="360" w:lineRule="auto"/>
              <w:ind w:left="420"/>
              <w:jc w:val="left"/>
              <w:rPr>
                <w:rFonts w:ascii="宋体" w:hAnsi="宋体"/>
                <w:color w:val="auto"/>
                <w:szCs w:val="21"/>
                <w:highlight w:val="none"/>
              </w:rPr>
            </w:pPr>
            <w:r>
              <w:rPr>
                <w:rFonts w:hint="eastAsia" w:ascii="宋体" w:hAnsi="宋体"/>
                <w:color w:val="auto"/>
                <w:szCs w:val="21"/>
                <w:highlight w:val="none"/>
              </w:rPr>
              <w:t>10.项目实施方案（格式自拟）【包含但不限于项目实施方案、质量保证措施等】；</w:t>
            </w:r>
          </w:p>
          <w:p w14:paraId="7BDEB823">
            <w:pPr>
              <w:spacing w:line="360" w:lineRule="auto"/>
              <w:ind w:left="420"/>
              <w:jc w:val="left"/>
              <w:rPr>
                <w:rFonts w:ascii="宋体" w:hAnsi="宋体"/>
                <w:color w:val="auto"/>
                <w:szCs w:val="21"/>
                <w:highlight w:val="none"/>
              </w:rPr>
            </w:pPr>
            <w:r>
              <w:rPr>
                <w:rFonts w:hint="eastAsia" w:ascii="宋体" w:hAnsi="宋体"/>
                <w:color w:val="auto"/>
                <w:szCs w:val="21"/>
                <w:highlight w:val="none"/>
              </w:rPr>
              <w:t>11.对本项目系统总体要求的理解。包括：功能说明、性能指标及设备选型说明（质量、性能、价格、外观、体积等方面进行比较和选择的理由及过程，格式自拟）；</w:t>
            </w:r>
          </w:p>
          <w:p w14:paraId="032072AA">
            <w:pPr>
              <w:spacing w:line="360" w:lineRule="auto"/>
              <w:ind w:left="420"/>
              <w:jc w:val="left"/>
              <w:rPr>
                <w:rFonts w:ascii="宋体" w:hAnsi="宋体"/>
                <w:color w:val="auto"/>
                <w:szCs w:val="21"/>
                <w:highlight w:val="none"/>
              </w:rPr>
            </w:pPr>
            <w:r>
              <w:rPr>
                <w:rFonts w:hint="eastAsia" w:ascii="宋体" w:hAnsi="宋体"/>
                <w:color w:val="auto"/>
                <w:szCs w:val="21"/>
                <w:highlight w:val="none"/>
              </w:rPr>
              <w:t>12.产品出厂标准、质量检测报告【其中有精度要求的仪器设备类政府采购项目，应当要求投标人提供精度数据（</w:t>
            </w:r>
            <w:r>
              <w:rPr>
                <w:color w:val="auto"/>
                <w:highlight w:val="none"/>
              </w:rPr>
              <w:t>国家认可具有资质的有资质的第三方检测机构出具的检测报告复印件</w:t>
            </w:r>
            <w:r>
              <w:rPr>
                <w:rFonts w:hint="eastAsia" w:ascii="宋体" w:hAnsi="宋体"/>
                <w:color w:val="auto"/>
                <w:szCs w:val="21"/>
                <w:highlight w:val="none"/>
              </w:rPr>
              <w:t>或者由采购人在投标前组织的实测获得）】</w:t>
            </w:r>
          </w:p>
          <w:p w14:paraId="0957EC52">
            <w:pPr>
              <w:spacing w:line="360" w:lineRule="auto"/>
              <w:ind w:left="420"/>
              <w:jc w:val="left"/>
              <w:rPr>
                <w:rFonts w:ascii="宋体" w:hAnsi="宋体"/>
                <w:color w:val="auto"/>
                <w:szCs w:val="21"/>
                <w:highlight w:val="none"/>
              </w:rPr>
            </w:pPr>
            <w:r>
              <w:rPr>
                <w:rFonts w:hint="eastAsia" w:ascii="宋体" w:hAnsi="宋体"/>
                <w:color w:val="auto"/>
                <w:szCs w:val="21"/>
                <w:highlight w:val="none"/>
              </w:rPr>
              <w:t>13.优惠条件：投标人承诺给予采购人的各种优惠条件，包括售后服务、备品备件、专用耗材等方面的优惠；投标人不得给予赠品或者与采购无关的其他商品、服务；</w:t>
            </w:r>
          </w:p>
          <w:p w14:paraId="31309D63">
            <w:pPr>
              <w:spacing w:line="360" w:lineRule="auto"/>
              <w:ind w:left="420"/>
              <w:jc w:val="left"/>
              <w:rPr>
                <w:rFonts w:ascii="宋体" w:hAnsi="宋体"/>
                <w:color w:val="auto"/>
                <w:szCs w:val="21"/>
                <w:highlight w:val="none"/>
              </w:rPr>
            </w:pPr>
            <w:r>
              <w:rPr>
                <w:rFonts w:hint="eastAsia" w:ascii="宋体" w:hAnsi="宋体"/>
                <w:color w:val="auto"/>
                <w:szCs w:val="21"/>
                <w:highlight w:val="none"/>
              </w:rPr>
              <w:t>14.投标人对本项目的合理化建议和改进措施（格式自拟）；</w:t>
            </w:r>
          </w:p>
          <w:p w14:paraId="3FCF1718">
            <w:pPr>
              <w:spacing w:line="360" w:lineRule="auto"/>
              <w:ind w:left="420"/>
              <w:jc w:val="left"/>
              <w:rPr>
                <w:rFonts w:ascii="宋体" w:hAnsi="宋体"/>
                <w:bCs/>
                <w:color w:val="auto"/>
                <w:szCs w:val="21"/>
                <w:highlight w:val="none"/>
              </w:rPr>
            </w:pPr>
            <w:r>
              <w:rPr>
                <w:rFonts w:hint="eastAsia" w:ascii="宋体" w:hAnsi="宋体"/>
                <w:color w:val="auto"/>
                <w:szCs w:val="21"/>
                <w:highlight w:val="none"/>
              </w:rPr>
              <w:t>15.除招标文件规定必须提供以外，投标人认为需要提供的其他证明材料（格式自拟）。</w:t>
            </w:r>
          </w:p>
          <w:p w14:paraId="4D7BD9C3">
            <w:pPr>
              <w:spacing w:line="360" w:lineRule="auto"/>
              <w:ind w:left="413"/>
              <w:jc w:val="left"/>
              <w:rPr>
                <w:rFonts w:ascii="宋体" w:hAnsi="宋体"/>
                <w:color w:val="auto"/>
                <w:szCs w:val="21"/>
                <w:highlight w:val="none"/>
              </w:rPr>
            </w:pPr>
            <w:r>
              <w:rPr>
                <w:rFonts w:hint="eastAsia" w:ascii="宋体" w:hAnsi="宋体"/>
                <w:color w:val="auto"/>
                <w:szCs w:val="21"/>
                <w:highlight w:val="none"/>
              </w:rPr>
              <w:t>（投标人根据“第二章 采购需求”及“第四章 评标方法及评标标准”提供有关证明材料）。</w:t>
            </w:r>
          </w:p>
          <w:p w14:paraId="46A8B431">
            <w:pPr>
              <w:spacing w:line="360" w:lineRule="auto"/>
              <w:contextualSpacing/>
              <w:jc w:val="left"/>
              <w:rPr>
                <w:rFonts w:ascii="宋体" w:hAnsi="宋体" w:cs="宋体"/>
                <w:b/>
                <w:color w:val="auto"/>
                <w:szCs w:val="21"/>
                <w:highlight w:val="none"/>
              </w:rPr>
            </w:pPr>
            <w:r>
              <w:rPr>
                <w:rFonts w:hint="eastAsia" w:ascii="宋体" w:hAnsi="宋体" w:cs="宋体"/>
                <w:b/>
                <w:color w:val="auto"/>
                <w:szCs w:val="21"/>
                <w:highlight w:val="none"/>
              </w:rPr>
              <w:t>1.以上标明“必须提供”的材料必须加盖投标人</w:t>
            </w:r>
            <w:r>
              <w:rPr>
                <w:rFonts w:hint="eastAsia" w:ascii="宋体" w:hAnsi="宋体"/>
                <w:b/>
                <w:color w:val="auto"/>
                <w:szCs w:val="21"/>
                <w:highlight w:val="none"/>
              </w:rPr>
              <w:t>电子签章</w:t>
            </w:r>
            <w:r>
              <w:rPr>
                <w:rFonts w:hint="eastAsia" w:ascii="宋体" w:hAnsi="宋体" w:cs="宋体"/>
                <w:b/>
                <w:color w:val="auto"/>
                <w:szCs w:val="21"/>
                <w:highlight w:val="none"/>
              </w:rPr>
              <w:t>，必须提供的材料在第五章“投标文件格式”中有要求法定代表人或委托代理人签字的，必须由法定代表人或委托代理人签字（或者电子签名），否则投标文件按无效处理。</w:t>
            </w:r>
          </w:p>
          <w:p w14:paraId="6BC3F11C">
            <w:pPr>
              <w:spacing w:line="360" w:lineRule="auto"/>
              <w:jc w:val="left"/>
              <w:rPr>
                <w:rFonts w:ascii="宋体" w:hAnsi="宋体"/>
                <w:color w:val="auto"/>
                <w:szCs w:val="21"/>
                <w:highlight w:val="none"/>
              </w:rPr>
            </w:pPr>
            <w:r>
              <w:rPr>
                <w:rFonts w:hint="eastAsia" w:ascii="宋体" w:hAnsi="宋体" w:cs="宋体"/>
                <w:b/>
                <w:color w:val="auto"/>
                <w:szCs w:val="21"/>
                <w:highlight w:val="none"/>
              </w:rPr>
              <w:t>2.</w:t>
            </w:r>
            <w:r>
              <w:rPr>
                <w:rFonts w:hint="eastAsia" w:ascii="宋体" w:hAnsi="宋体" w:cs="宋体"/>
                <w:b/>
                <w:bCs/>
                <w:color w:val="auto"/>
                <w:szCs w:val="21"/>
                <w:highlight w:val="none"/>
              </w:rPr>
              <w:t>投标文件（包含电子备份投标文件），其中电子投标文件中所须加盖公章部分均采用CA签章。若采购文件中有专门标注的某关联点，并要求投标人在电子投标系统中作出投标响应的，如投标人未对关联点进行响应或者在投标文件其它内容进行描述，造成电子评审不能查询的责任由供应商自行承担。</w:t>
            </w:r>
          </w:p>
        </w:tc>
      </w:tr>
      <w:tr w14:paraId="166D2F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2D6B39C1">
            <w:pPr>
              <w:spacing w:line="360" w:lineRule="auto"/>
              <w:jc w:val="center"/>
              <w:rPr>
                <w:rFonts w:ascii="宋体" w:hAnsi="宋体"/>
                <w:color w:val="auto"/>
                <w:szCs w:val="21"/>
                <w:highlight w:val="none"/>
              </w:rPr>
            </w:pPr>
            <w:r>
              <w:rPr>
                <w:rFonts w:hint="eastAsia" w:ascii="宋体" w:hAnsi="宋体"/>
                <w:color w:val="auto"/>
                <w:szCs w:val="21"/>
                <w:highlight w:val="none"/>
              </w:rPr>
              <w:t>16.2</w:t>
            </w:r>
          </w:p>
        </w:tc>
        <w:tc>
          <w:tcPr>
            <w:tcW w:w="8711" w:type="dxa"/>
            <w:tcBorders>
              <w:top w:val="single" w:color="auto" w:sz="4" w:space="0"/>
              <w:left w:val="single" w:color="auto" w:sz="4" w:space="0"/>
              <w:bottom w:val="single" w:color="auto" w:sz="4" w:space="0"/>
              <w:right w:val="single" w:color="auto" w:sz="4" w:space="0"/>
            </w:tcBorders>
            <w:vAlign w:val="center"/>
          </w:tcPr>
          <w:p w14:paraId="369A0169">
            <w:pPr>
              <w:spacing w:line="440" w:lineRule="exact"/>
              <w:rPr>
                <w:rFonts w:ascii="宋体" w:hAnsi="宋体"/>
                <w:b/>
                <w:color w:val="auto"/>
                <w:szCs w:val="21"/>
                <w:highlight w:val="none"/>
              </w:rPr>
            </w:pPr>
            <w:r>
              <w:rPr>
                <w:rFonts w:hint="eastAsia" w:ascii="宋体" w:hAnsi="宋体"/>
                <w:color w:val="auto"/>
                <w:szCs w:val="21"/>
                <w:highlight w:val="none"/>
              </w:rPr>
              <w:t>投标报价是履行合同的最终价格，</w:t>
            </w:r>
            <w:r>
              <w:rPr>
                <w:rFonts w:hint="eastAsia"/>
                <w:color w:val="auto"/>
                <w:szCs w:val="21"/>
                <w:highlight w:val="none"/>
              </w:rPr>
              <w:t>包括但不限于货款、标准附件、备品备件、专用工具、包装、运输、装卸、保险、税金、货到就位以及安装、调试、培训、保修、验收等一切税金和费用。投标人在固定总价中必须考虑各种风险费用。在合同履行过程中，采购人不予支付合同以外的其他费用。投标人负责工人人身、设备安全责任，验收前，设备丢失自行负责。</w:t>
            </w:r>
          </w:p>
        </w:tc>
      </w:tr>
      <w:tr w14:paraId="3BC4E5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7053DA11">
            <w:pPr>
              <w:spacing w:line="360" w:lineRule="auto"/>
              <w:jc w:val="center"/>
              <w:rPr>
                <w:rFonts w:ascii="宋体" w:hAnsi="宋体"/>
                <w:color w:val="auto"/>
                <w:szCs w:val="21"/>
                <w:highlight w:val="none"/>
              </w:rPr>
            </w:pPr>
            <w:r>
              <w:rPr>
                <w:rFonts w:hint="eastAsia" w:ascii="宋体" w:hAnsi="宋体"/>
                <w:color w:val="auto"/>
                <w:szCs w:val="21"/>
                <w:highlight w:val="none"/>
              </w:rPr>
              <w:t>17.</w:t>
            </w:r>
            <w:r>
              <w:rPr>
                <w:rFonts w:ascii="宋体" w:hAnsi="宋体"/>
                <w:color w:val="auto"/>
                <w:szCs w:val="21"/>
                <w:highlight w:val="none"/>
              </w:rPr>
              <w:t>2</w:t>
            </w:r>
          </w:p>
        </w:tc>
        <w:tc>
          <w:tcPr>
            <w:tcW w:w="8711" w:type="dxa"/>
            <w:tcBorders>
              <w:top w:val="single" w:color="auto" w:sz="4" w:space="0"/>
              <w:left w:val="single" w:color="auto" w:sz="4" w:space="0"/>
              <w:bottom w:val="single" w:color="auto" w:sz="4" w:space="0"/>
              <w:right w:val="single" w:color="auto" w:sz="4" w:space="0"/>
            </w:tcBorders>
            <w:vAlign w:val="center"/>
          </w:tcPr>
          <w:p w14:paraId="327AD36F">
            <w:pPr>
              <w:spacing w:line="360" w:lineRule="auto"/>
              <w:rPr>
                <w:rFonts w:ascii="宋体" w:hAnsi="宋体"/>
                <w:color w:val="auto"/>
                <w:szCs w:val="21"/>
                <w:highlight w:val="none"/>
              </w:rPr>
            </w:pPr>
            <w:r>
              <w:rPr>
                <w:rFonts w:hint="eastAsia" w:ascii="宋体" w:hAnsi="宋体"/>
                <w:color w:val="auto"/>
                <w:szCs w:val="21"/>
                <w:highlight w:val="none"/>
              </w:rPr>
              <w:t>投标有效期：自投标截止之日起</w:t>
            </w:r>
            <w:r>
              <w:rPr>
                <w:rFonts w:ascii="宋体" w:hAnsi="宋体"/>
                <w:color w:val="auto"/>
                <w:szCs w:val="21"/>
                <w:highlight w:val="none"/>
                <w:u w:val="single"/>
              </w:rPr>
              <w:t xml:space="preserve">  </w:t>
            </w:r>
            <w:r>
              <w:rPr>
                <w:rFonts w:hint="eastAsia" w:ascii="宋体" w:hAnsi="宋体"/>
                <w:color w:val="auto"/>
                <w:szCs w:val="21"/>
                <w:highlight w:val="none"/>
                <w:u w:val="single"/>
              </w:rPr>
              <w:t>60</w:t>
            </w:r>
            <w:r>
              <w:rPr>
                <w:rFonts w:ascii="宋体" w:hAnsi="宋体"/>
                <w:color w:val="auto"/>
                <w:szCs w:val="21"/>
                <w:highlight w:val="none"/>
                <w:u w:val="single"/>
              </w:rPr>
              <w:t xml:space="preserve">  </w:t>
            </w:r>
            <w:r>
              <w:rPr>
                <w:rFonts w:hint="eastAsia" w:ascii="宋体" w:hAnsi="宋体"/>
                <w:color w:val="auto"/>
                <w:szCs w:val="21"/>
                <w:highlight w:val="none"/>
              </w:rPr>
              <w:t>日。</w:t>
            </w:r>
          </w:p>
        </w:tc>
      </w:tr>
      <w:tr w14:paraId="482A3C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24D2B3FE">
            <w:pPr>
              <w:spacing w:line="360" w:lineRule="auto"/>
              <w:jc w:val="center"/>
              <w:rPr>
                <w:rFonts w:ascii="宋体" w:hAnsi="宋体"/>
                <w:color w:val="auto"/>
                <w:szCs w:val="21"/>
                <w:highlight w:val="none"/>
              </w:rPr>
            </w:pPr>
            <w:r>
              <w:rPr>
                <w:rFonts w:hint="eastAsia" w:ascii="宋体" w:hAnsi="宋体"/>
                <w:color w:val="auto"/>
                <w:szCs w:val="21"/>
                <w:highlight w:val="none"/>
              </w:rPr>
              <w:t>18</w:t>
            </w:r>
            <w:r>
              <w:rPr>
                <w:rFonts w:ascii="宋体" w:hAnsi="宋体"/>
                <w:color w:val="auto"/>
                <w:szCs w:val="21"/>
                <w:highlight w:val="none"/>
              </w:rPr>
              <w:t>.1</w:t>
            </w:r>
          </w:p>
        </w:tc>
        <w:tc>
          <w:tcPr>
            <w:tcW w:w="8711" w:type="dxa"/>
            <w:tcBorders>
              <w:top w:val="single" w:color="auto" w:sz="4" w:space="0"/>
              <w:left w:val="single" w:color="auto" w:sz="4" w:space="0"/>
              <w:bottom w:val="single" w:color="auto" w:sz="4" w:space="0"/>
              <w:right w:val="single" w:color="auto" w:sz="4" w:space="0"/>
            </w:tcBorders>
            <w:vAlign w:val="center"/>
          </w:tcPr>
          <w:p w14:paraId="4484F648">
            <w:pPr>
              <w:spacing w:line="360" w:lineRule="auto"/>
              <w:rPr>
                <w:rFonts w:ascii="宋体" w:hAnsi="宋体"/>
                <w:color w:val="auto"/>
                <w:szCs w:val="21"/>
                <w:highlight w:val="none"/>
              </w:rPr>
            </w:pPr>
            <w:r>
              <w:rPr>
                <w:rFonts w:hint="eastAsia" w:ascii="宋体" w:hAnsi="宋体"/>
                <w:color w:val="auto"/>
                <w:szCs w:val="21"/>
                <w:highlight w:val="none"/>
              </w:rPr>
              <w:t>□本项目不收取投标保证金。</w:t>
            </w:r>
          </w:p>
          <w:p w14:paraId="0638CA6F">
            <w:pPr>
              <w:spacing w:line="360" w:lineRule="auto"/>
              <w:rPr>
                <w:rFonts w:ascii="宋体" w:hAnsi="宋体"/>
                <w:color w:val="auto"/>
                <w:szCs w:val="21"/>
                <w:highlight w:val="none"/>
              </w:rPr>
            </w:pPr>
            <w:r>
              <w:rPr>
                <w:rFonts w:ascii="Wingdings 2" w:hAnsi="Wingdings 2"/>
                <w:color w:val="auto"/>
                <w:szCs w:val="21"/>
                <w:highlight w:val="none"/>
              </w:rPr>
              <w:t></w:t>
            </w:r>
            <w:r>
              <w:rPr>
                <w:rFonts w:hint="eastAsia" w:ascii="宋体" w:hAnsi="宋体"/>
                <w:color w:val="auto"/>
                <w:szCs w:val="21"/>
                <w:highlight w:val="none"/>
              </w:rPr>
              <w:t>本项目收取投标保证金，具体规定如下：</w:t>
            </w:r>
            <w:r>
              <w:rPr>
                <w:rFonts w:hint="eastAsia" w:ascii="宋体" w:hAnsi="宋体"/>
                <w:b/>
                <w:bCs/>
                <w:color w:val="auto"/>
                <w:szCs w:val="21"/>
                <w:highlight w:val="none"/>
                <w:u w:val="single"/>
                <w:lang w:val="en-US" w:eastAsia="zh-CN"/>
              </w:rPr>
              <w:t>人民币</w:t>
            </w:r>
            <w:r>
              <w:rPr>
                <w:rFonts w:hint="eastAsia" w:ascii="宋体" w:hAnsi="宋体" w:cs="宋体"/>
                <w:b/>
                <w:bCs/>
                <w:color w:val="auto"/>
                <w:szCs w:val="21"/>
                <w:highlight w:val="none"/>
                <w:u w:val="single"/>
                <w:lang w:val="en-US" w:eastAsia="zh-CN"/>
              </w:rPr>
              <w:t>壹万元整</w:t>
            </w:r>
            <w:r>
              <w:rPr>
                <w:rFonts w:hint="eastAsia" w:ascii="宋体" w:hAnsi="宋体" w:cs="宋体"/>
                <w:b/>
                <w:bCs/>
                <w:color w:val="auto"/>
                <w:szCs w:val="21"/>
                <w:highlight w:val="none"/>
                <w:u w:val="single"/>
              </w:rPr>
              <w:t>（</w:t>
            </w:r>
            <w:r>
              <w:rPr>
                <w:rFonts w:hint="eastAsia" w:ascii="Malgun Gothic" w:hAnsi="Malgun Gothic" w:eastAsia="Malgun Gothic" w:cs="Malgun Gothic"/>
                <w:b/>
                <w:bCs/>
                <w:color w:val="auto"/>
                <w:szCs w:val="21"/>
                <w:highlight w:val="none"/>
                <w:u w:val="single"/>
              </w:rPr>
              <w:t>￥</w:t>
            </w:r>
            <w:r>
              <w:rPr>
                <w:rFonts w:hint="eastAsia" w:ascii="宋体" w:hAnsi="宋体" w:eastAsia="宋体" w:cs="宋体"/>
                <w:b/>
                <w:bCs/>
                <w:color w:val="auto"/>
                <w:szCs w:val="21"/>
                <w:highlight w:val="none"/>
                <w:u w:val="single"/>
                <w:lang w:val="en-US" w:eastAsia="zh-CN"/>
              </w:rPr>
              <w:t>1</w:t>
            </w:r>
            <w:r>
              <w:rPr>
                <w:rFonts w:hint="eastAsia" w:ascii="宋体" w:hAnsi="宋体" w:cs="宋体"/>
                <w:b/>
                <w:bCs/>
                <w:color w:val="auto"/>
                <w:szCs w:val="21"/>
                <w:highlight w:val="none"/>
                <w:u w:val="single"/>
              </w:rPr>
              <w:t>0000.00）</w:t>
            </w:r>
            <w:r>
              <w:rPr>
                <w:rFonts w:hint="eastAsia" w:ascii="宋体" w:hAnsi="宋体" w:cs="宋体"/>
                <w:color w:val="auto"/>
                <w:szCs w:val="21"/>
                <w:highlight w:val="none"/>
              </w:rPr>
              <w:t>。</w:t>
            </w:r>
          </w:p>
          <w:p w14:paraId="435FB1AD">
            <w:pPr>
              <w:spacing w:line="360" w:lineRule="auto"/>
              <w:rPr>
                <w:rFonts w:ascii="宋体" w:hAnsi="宋体"/>
                <w:b/>
                <w:color w:val="auto"/>
                <w:szCs w:val="21"/>
                <w:highlight w:val="none"/>
              </w:rPr>
            </w:pPr>
            <w:r>
              <w:rPr>
                <w:rFonts w:hint="eastAsia" w:ascii="宋体" w:hAnsi="宋体" w:cs="宋体"/>
                <w:color w:val="auto"/>
                <w:szCs w:val="21"/>
                <w:highlight w:val="none"/>
              </w:rPr>
              <w:t>投标保证金的交纳方式：银行转账、支票、汇票、本票或者银行、保险机构出具的保函（包含电子保函），禁止采用现钞方式。采用银行转账方式的，在投标截止时间前</w:t>
            </w:r>
            <w:r>
              <w:rPr>
                <w:rFonts w:hint="eastAsia"/>
                <w:color w:val="auto"/>
                <w:highlight w:val="none"/>
              </w:rPr>
              <w:t>从投标人账户</w:t>
            </w:r>
            <w:r>
              <w:rPr>
                <w:rFonts w:hint="eastAsia" w:ascii="宋体" w:hAnsi="宋体" w:cs="宋体"/>
                <w:color w:val="auto"/>
                <w:szCs w:val="21"/>
                <w:highlight w:val="none"/>
              </w:rPr>
              <w:t>交至指定账户并且到账（</w:t>
            </w:r>
            <w:r>
              <w:rPr>
                <w:rFonts w:hint="eastAsia" w:ascii="宋体" w:hAnsi="宋体"/>
                <w:color w:val="auto"/>
                <w:szCs w:val="21"/>
                <w:highlight w:val="none"/>
                <w:u w:val="single"/>
              </w:rPr>
              <w:t>开户银行：钦州市公共资源交易中心钦州市区农村信用合作联社政务服务中心分社，开户名称：钦州市公共资源交易中心，银行账号：800821600000882</w:t>
            </w:r>
            <w:r>
              <w:rPr>
                <w:rFonts w:hint="eastAsia" w:ascii="宋体" w:hAnsi="宋体" w:cs="宋体"/>
                <w:color w:val="auto"/>
                <w:szCs w:val="21"/>
                <w:highlight w:val="none"/>
              </w:rPr>
              <w:t>）；采用支票、汇票、本票或者保函等方式的，在投标截止时间前，投标人必须递交单独密封的支票、汇票、本票或者保函原件（电子保函除外）。</w:t>
            </w:r>
            <w:r>
              <w:rPr>
                <w:rFonts w:hint="eastAsia" w:ascii="宋体" w:hAnsi="宋体" w:cs="宋体"/>
                <w:b/>
                <w:color w:val="auto"/>
                <w:szCs w:val="21"/>
                <w:highlight w:val="none"/>
              </w:rPr>
              <w:t>否则视为无效投标保证金。</w:t>
            </w:r>
          </w:p>
          <w:p w14:paraId="2F9392CA">
            <w:pPr>
              <w:spacing w:line="360" w:lineRule="auto"/>
              <w:rPr>
                <w:rFonts w:ascii="宋体" w:hAnsi="宋体"/>
                <w:color w:val="auto"/>
                <w:szCs w:val="21"/>
                <w:highlight w:val="none"/>
              </w:rPr>
            </w:pPr>
            <w:r>
              <w:rPr>
                <w:rFonts w:hint="eastAsia" w:ascii="宋体" w:hAnsi="宋体"/>
                <w:color w:val="auto"/>
                <w:szCs w:val="21"/>
                <w:highlight w:val="none"/>
              </w:rPr>
              <w:t>相关要求：</w:t>
            </w:r>
          </w:p>
          <w:p w14:paraId="171FB5D1">
            <w:pPr>
              <w:pStyle w:val="17"/>
              <w:spacing w:line="360" w:lineRule="auto"/>
              <w:rPr>
                <w:rFonts w:ascii="宋体" w:hAnsi="宋体"/>
                <w:color w:val="auto"/>
                <w:szCs w:val="21"/>
                <w:highlight w:val="none"/>
              </w:rPr>
            </w:pPr>
            <w:r>
              <w:rPr>
                <w:rFonts w:hint="eastAsia" w:ascii="宋体" w:hAnsi="宋体"/>
                <w:color w:val="auto"/>
                <w:szCs w:val="21"/>
                <w:highlight w:val="none"/>
              </w:rPr>
              <w:t>1.投标保证金采用银行转账交纳方式，在投标截止时间前交至指定账户并且到账，投标人应将银行转账底单的复印件作为投标保证金提交凭证，放置于商务及技术文件中，</w:t>
            </w:r>
            <w:r>
              <w:rPr>
                <w:rFonts w:hint="eastAsia" w:ascii="宋体" w:hAnsi="宋体"/>
                <w:b/>
                <w:color w:val="auto"/>
                <w:szCs w:val="21"/>
                <w:highlight w:val="none"/>
              </w:rPr>
              <w:t>否则投标无效</w:t>
            </w:r>
            <w:r>
              <w:rPr>
                <w:rFonts w:hint="eastAsia" w:ascii="宋体" w:hAnsi="宋体"/>
                <w:color w:val="auto"/>
                <w:szCs w:val="21"/>
                <w:highlight w:val="none"/>
              </w:rPr>
              <w:t>。</w:t>
            </w:r>
          </w:p>
          <w:p w14:paraId="2253A62C">
            <w:pPr>
              <w:spacing w:line="360" w:lineRule="auto"/>
              <w:rPr>
                <w:rFonts w:ascii="宋体" w:hAnsi="宋体"/>
                <w:color w:val="auto"/>
                <w:szCs w:val="21"/>
                <w:highlight w:val="none"/>
              </w:rPr>
            </w:pPr>
            <w:r>
              <w:rPr>
                <w:rFonts w:hint="eastAsia" w:ascii="宋体" w:hAnsi="宋体"/>
                <w:color w:val="auto"/>
                <w:szCs w:val="21"/>
                <w:highlight w:val="none"/>
              </w:rPr>
              <w:t>2.投标保证金采用支票、汇票、本票或者银行、保险机构出具的保函</w:t>
            </w:r>
            <w:r>
              <w:rPr>
                <w:rFonts w:hint="eastAsia"/>
                <w:color w:val="auto"/>
                <w:highlight w:val="none"/>
              </w:rPr>
              <w:t>（包含电子保函）</w:t>
            </w:r>
            <w:r>
              <w:rPr>
                <w:rFonts w:hint="eastAsia" w:ascii="宋体" w:hAnsi="宋体"/>
                <w:color w:val="auto"/>
                <w:szCs w:val="21"/>
                <w:highlight w:val="none"/>
              </w:rPr>
              <w:t>交纳方式的，投标人应将支票、汇票、本票或者银行、保险机构出具的保函</w:t>
            </w:r>
            <w:r>
              <w:rPr>
                <w:rFonts w:hint="eastAsia"/>
                <w:color w:val="auto"/>
                <w:highlight w:val="none"/>
              </w:rPr>
              <w:t>（包含电子保函）</w:t>
            </w:r>
            <w:r>
              <w:rPr>
                <w:rFonts w:hint="eastAsia" w:ascii="宋体" w:hAnsi="宋体"/>
                <w:color w:val="auto"/>
                <w:szCs w:val="21"/>
                <w:highlight w:val="none"/>
              </w:rPr>
              <w:t>的复印件作为投标保证金提交凭证，放置于商务及技术文件中，</w:t>
            </w:r>
            <w:r>
              <w:rPr>
                <w:rFonts w:hint="eastAsia" w:ascii="宋体" w:hAnsi="宋体"/>
                <w:b/>
                <w:color w:val="auto"/>
                <w:szCs w:val="21"/>
                <w:highlight w:val="none"/>
              </w:rPr>
              <w:t>否则投标无效</w:t>
            </w:r>
            <w:r>
              <w:rPr>
                <w:rFonts w:hint="eastAsia" w:ascii="宋体" w:hAnsi="宋体"/>
                <w:color w:val="auto"/>
                <w:szCs w:val="21"/>
                <w:highlight w:val="none"/>
              </w:rPr>
              <w:t>。投标人必须</w:t>
            </w:r>
            <w:r>
              <w:rPr>
                <w:rFonts w:hint="eastAsia"/>
                <w:color w:val="auto"/>
                <w:highlight w:val="none"/>
              </w:rPr>
              <w:t>在投标截止时间前采用现场或邮寄方式（</w:t>
            </w:r>
            <w:r>
              <w:rPr>
                <w:rFonts w:hint="eastAsia" w:ascii="宋体" w:hAnsi="宋体"/>
                <w:color w:val="auto"/>
                <w:szCs w:val="21"/>
                <w:highlight w:val="none"/>
              </w:rPr>
              <w:t>现场提交地址：</w:t>
            </w:r>
            <w:r>
              <w:rPr>
                <w:rFonts w:hint="eastAsia" w:ascii="宋体" w:hAnsi="宋体"/>
                <w:color w:val="auto"/>
                <w:szCs w:val="21"/>
                <w:highlight w:val="none"/>
                <w:u w:val="single"/>
              </w:rPr>
              <w:t>钦州市公共资源交易中心电子显示屏所安排的开标室</w:t>
            </w:r>
            <w:r>
              <w:rPr>
                <w:rFonts w:hint="eastAsia" w:ascii="宋体" w:hAnsi="宋体"/>
                <w:color w:val="auto"/>
                <w:szCs w:val="21"/>
                <w:highlight w:val="none"/>
              </w:rPr>
              <w:t>；邮寄地址：</w:t>
            </w:r>
            <w:r>
              <w:rPr>
                <w:rFonts w:hint="eastAsia" w:ascii="宋体" w:hAnsi="宋体"/>
                <w:color w:val="auto"/>
                <w:szCs w:val="21"/>
                <w:highlight w:val="none"/>
                <w:u w:val="single"/>
              </w:rPr>
              <w:t>广西钦州市子材东大街19号奥林名城8号楼8层云之龙咨询集团有限公司，联系人：</w:t>
            </w:r>
            <w:r>
              <w:rPr>
                <w:rFonts w:hint="eastAsia" w:ascii="宋体" w:hAnsi="宋体"/>
                <w:color w:val="auto"/>
                <w:szCs w:val="21"/>
                <w:highlight w:val="none"/>
                <w:u w:val="single"/>
                <w:lang w:val="en-US" w:eastAsia="zh-CN"/>
              </w:rPr>
              <w:t>黄洁年</w:t>
            </w:r>
            <w:r>
              <w:rPr>
                <w:rFonts w:hint="eastAsia" w:ascii="宋体" w:hAnsi="宋体"/>
                <w:color w:val="auto"/>
                <w:szCs w:val="21"/>
                <w:highlight w:val="none"/>
                <w:u w:val="single"/>
              </w:rPr>
              <w:t>，电话：0777-5619399。</w:t>
            </w:r>
            <w:r>
              <w:rPr>
                <w:rFonts w:hint="eastAsia"/>
                <w:color w:val="auto"/>
                <w:highlight w:val="none"/>
              </w:rPr>
              <w:t>）</w:t>
            </w:r>
            <w:r>
              <w:rPr>
                <w:rFonts w:hint="eastAsia" w:ascii="宋体" w:hAnsi="宋体"/>
                <w:color w:val="auto"/>
                <w:szCs w:val="21"/>
                <w:highlight w:val="none"/>
              </w:rPr>
              <w:t>将</w:t>
            </w:r>
            <w:r>
              <w:rPr>
                <w:rFonts w:hint="eastAsia" w:ascii="宋体" w:hAnsi="宋体" w:cs="宋体"/>
                <w:color w:val="auto"/>
                <w:szCs w:val="21"/>
                <w:highlight w:val="none"/>
              </w:rPr>
              <w:t>单独密封的</w:t>
            </w:r>
            <w:r>
              <w:rPr>
                <w:rFonts w:hint="eastAsia" w:ascii="宋体" w:hAnsi="宋体"/>
                <w:color w:val="auto"/>
                <w:szCs w:val="21"/>
                <w:highlight w:val="none"/>
              </w:rPr>
              <w:t>支票、汇票、本票或者银行、保险机构出具的保函原件</w:t>
            </w:r>
            <w:r>
              <w:rPr>
                <w:rFonts w:hint="eastAsia" w:ascii="宋体" w:hAnsi="宋体" w:cs="宋体"/>
                <w:color w:val="auto"/>
                <w:szCs w:val="21"/>
                <w:highlight w:val="none"/>
              </w:rPr>
              <w:t>（电子保函除外）</w:t>
            </w:r>
            <w:r>
              <w:rPr>
                <w:rFonts w:hint="eastAsia" w:ascii="宋体" w:hAnsi="宋体"/>
                <w:color w:val="auto"/>
                <w:szCs w:val="21"/>
                <w:highlight w:val="none"/>
              </w:rPr>
              <w:t>提交给采购人或者采购代理机构，未按时提交的</w:t>
            </w:r>
            <w:r>
              <w:rPr>
                <w:rFonts w:hint="eastAsia" w:ascii="宋体" w:hAnsi="宋体"/>
                <w:b/>
                <w:color w:val="auto"/>
                <w:szCs w:val="21"/>
                <w:highlight w:val="none"/>
              </w:rPr>
              <w:t>，投标无效</w:t>
            </w:r>
            <w:r>
              <w:rPr>
                <w:rFonts w:hint="eastAsia" w:ascii="宋体" w:hAnsi="宋体"/>
                <w:color w:val="auto"/>
                <w:szCs w:val="21"/>
                <w:highlight w:val="none"/>
              </w:rPr>
              <w:t>，由采购人或者采购代理机构向投标人出具回执（邮寄方式的除外），并妥善保管。</w:t>
            </w:r>
          </w:p>
          <w:p w14:paraId="013761D3">
            <w:pPr>
              <w:spacing w:line="360" w:lineRule="auto"/>
              <w:rPr>
                <w:rFonts w:ascii="宋体" w:hAnsi="宋体" w:cs="宋体"/>
                <w:color w:val="auto"/>
                <w:szCs w:val="21"/>
                <w:highlight w:val="none"/>
              </w:rPr>
            </w:pPr>
            <w:r>
              <w:rPr>
                <w:rFonts w:hint="eastAsia" w:ascii="宋体" w:hAnsi="宋体"/>
                <w:color w:val="auto"/>
                <w:szCs w:val="21"/>
                <w:highlight w:val="none"/>
              </w:rPr>
              <w:t>3</w:t>
            </w:r>
            <w:r>
              <w:rPr>
                <w:rFonts w:hint="eastAsia" w:ascii="宋体" w:hAnsi="宋体" w:cs="宋体"/>
                <w:color w:val="auto"/>
                <w:szCs w:val="21"/>
                <w:highlight w:val="none"/>
              </w:rPr>
              <w:t>.投标人为联合体的，可以由联合体中的一方或者多方共同交纳投标保证金，其交纳的保证金对联合体各方均具有约束力。</w:t>
            </w:r>
          </w:p>
          <w:p w14:paraId="1E53B038">
            <w:pPr>
              <w:spacing w:line="360" w:lineRule="auto"/>
              <w:rPr>
                <w:rFonts w:ascii="宋体" w:hAnsi="宋体"/>
                <w:b/>
                <w:color w:val="auto"/>
                <w:szCs w:val="21"/>
                <w:highlight w:val="none"/>
              </w:rPr>
            </w:pPr>
            <w:r>
              <w:rPr>
                <w:rFonts w:hint="eastAsia" w:ascii="宋体" w:hAnsi="宋体"/>
                <w:b/>
                <w:color w:val="auto"/>
                <w:szCs w:val="21"/>
                <w:highlight w:val="none"/>
              </w:rPr>
              <w:t xml:space="preserve">备注： </w:t>
            </w:r>
          </w:p>
          <w:p w14:paraId="1E5DC862">
            <w:pPr>
              <w:spacing w:line="360" w:lineRule="auto"/>
              <w:rPr>
                <w:rFonts w:ascii="宋体" w:hAnsi="宋体"/>
                <w:b/>
                <w:color w:val="auto"/>
                <w:szCs w:val="21"/>
                <w:highlight w:val="none"/>
              </w:rPr>
            </w:pPr>
            <w:r>
              <w:rPr>
                <w:rFonts w:hint="eastAsia" w:ascii="宋体" w:hAnsi="宋体"/>
                <w:b/>
                <w:color w:val="auto"/>
                <w:szCs w:val="21"/>
                <w:highlight w:val="none"/>
              </w:rPr>
              <w:t>1. 投标保证金在投标截止时间后提交的，或者不按规定交纳方式交纳的，或者未足额交纳的（包含保函额度不足的），视为无效投标保证金。</w:t>
            </w:r>
          </w:p>
          <w:p w14:paraId="0288E41D">
            <w:pPr>
              <w:spacing w:line="360" w:lineRule="auto"/>
              <w:rPr>
                <w:rFonts w:ascii="宋体" w:hAnsi="宋体"/>
                <w:b/>
                <w:color w:val="auto"/>
                <w:szCs w:val="21"/>
                <w:highlight w:val="none"/>
              </w:rPr>
            </w:pPr>
            <w:r>
              <w:rPr>
                <w:rFonts w:hint="eastAsia" w:ascii="宋体" w:hAnsi="宋体"/>
                <w:b/>
                <w:color w:val="auto"/>
                <w:szCs w:val="21"/>
                <w:highlight w:val="none"/>
              </w:rPr>
              <w:t>2.投标人采用现钞方式或者从个人账户（自然人投标除外）转出的投标保证金，视为无效投标保证金。</w:t>
            </w:r>
          </w:p>
          <w:p w14:paraId="03D1BA47">
            <w:pPr>
              <w:spacing w:line="360" w:lineRule="auto"/>
              <w:rPr>
                <w:rFonts w:ascii="宋体" w:hAnsi="宋体"/>
                <w:b/>
                <w:color w:val="auto"/>
                <w:szCs w:val="21"/>
                <w:highlight w:val="none"/>
              </w:rPr>
            </w:pPr>
            <w:r>
              <w:rPr>
                <w:rFonts w:hint="eastAsia" w:ascii="宋体" w:hAnsi="宋体"/>
                <w:b/>
                <w:color w:val="auto"/>
                <w:szCs w:val="21"/>
                <w:highlight w:val="none"/>
              </w:rPr>
              <w:t>3.支票、汇票或者本票出现无效或者背书情形的，视为无效投标保证金。</w:t>
            </w:r>
          </w:p>
          <w:p w14:paraId="071A8A7D">
            <w:pPr>
              <w:spacing w:line="360" w:lineRule="auto"/>
              <w:rPr>
                <w:rFonts w:ascii="宋体" w:hAnsi="宋体"/>
                <w:b/>
                <w:color w:val="auto"/>
                <w:szCs w:val="21"/>
                <w:highlight w:val="none"/>
              </w:rPr>
            </w:pPr>
            <w:r>
              <w:rPr>
                <w:rFonts w:hint="eastAsia" w:ascii="宋体" w:hAnsi="宋体"/>
                <w:b/>
                <w:color w:val="auto"/>
                <w:szCs w:val="21"/>
                <w:highlight w:val="none"/>
              </w:rPr>
              <w:t>4.保函有效期低于投标有效期的，视为无效投标保证金。</w:t>
            </w:r>
          </w:p>
          <w:p w14:paraId="1E13139B">
            <w:pPr>
              <w:spacing w:line="360" w:lineRule="auto"/>
              <w:rPr>
                <w:color w:val="auto"/>
                <w:highlight w:val="none"/>
              </w:rPr>
            </w:pPr>
            <w:r>
              <w:rPr>
                <w:rFonts w:hint="eastAsia" w:ascii="宋体" w:hAnsi="宋体"/>
                <w:b/>
                <w:color w:val="auto"/>
                <w:szCs w:val="21"/>
                <w:highlight w:val="none"/>
              </w:rPr>
              <w:t>5.采用银行、保险机构出具保函的，必须为无条件保函，否则视为无效投标保证金。</w:t>
            </w:r>
          </w:p>
        </w:tc>
      </w:tr>
      <w:tr w14:paraId="209E68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4908B416">
            <w:pPr>
              <w:spacing w:line="360" w:lineRule="auto"/>
              <w:jc w:val="center"/>
              <w:rPr>
                <w:rFonts w:ascii="宋体" w:hAnsi="宋体"/>
                <w:color w:val="auto"/>
                <w:szCs w:val="21"/>
                <w:highlight w:val="none"/>
              </w:rPr>
            </w:pPr>
            <w:r>
              <w:rPr>
                <w:rFonts w:hint="eastAsia" w:ascii="宋体" w:hAnsi="宋体"/>
                <w:color w:val="auto"/>
                <w:szCs w:val="21"/>
                <w:highlight w:val="none"/>
              </w:rPr>
              <w:t>20</w:t>
            </w:r>
          </w:p>
        </w:tc>
        <w:tc>
          <w:tcPr>
            <w:tcW w:w="8711" w:type="dxa"/>
            <w:tcBorders>
              <w:top w:val="single" w:color="auto" w:sz="4" w:space="0"/>
              <w:left w:val="single" w:color="auto" w:sz="4" w:space="0"/>
              <w:bottom w:val="single" w:color="auto" w:sz="4" w:space="0"/>
              <w:right w:val="single" w:color="auto" w:sz="4" w:space="0"/>
            </w:tcBorders>
            <w:vAlign w:val="center"/>
          </w:tcPr>
          <w:p w14:paraId="2529B559">
            <w:pPr>
              <w:spacing w:line="360" w:lineRule="auto"/>
              <w:rPr>
                <w:rFonts w:ascii="宋体" w:hAnsi="宋体"/>
                <w:color w:val="auto"/>
                <w:szCs w:val="21"/>
                <w:highlight w:val="none"/>
              </w:rPr>
            </w:pPr>
            <w:r>
              <w:rPr>
                <w:rFonts w:hint="eastAsia" w:ascii="宋体" w:hAnsi="宋体"/>
                <w:color w:val="auto"/>
                <w:szCs w:val="21"/>
                <w:highlight w:val="none"/>
              </w:rPr>
              <w:t>本项目不接受</w:t>
            </w:r>
            <w:r>
              <w:rPr>
                <w:rFonts w:hint="eastAsia"/>
                <w:color w:val="auto"/>
                <w:highlight w:val="none"/>
              </w:rPr>
              <w:t>电子</w:t>
            </w:r>
            <w:r>
              <w:rPr>
                <w:rFonts w:hint="eastAsia" w:ascii="宋体" w:hAnsi="宋体"/>
                <w:color w:val="auto"/>
                <w:szCs w:val="21"/>
                <w:highlight w:val="none"/>
              </w:rPr>
              <w:t>备份投标文件；</w:t>
            </w:r>
          </w:p>
        </w:tc>
      </w:tr>
      <w:tr w14:paraId="098E55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895" w:type="dxa"/>
            <w:tcBorders>
              <w:top w:val="single" w:color="auto" w:sz="4" w:space="0"/>
              <w:left w:val="single" w:color="auto" w:sz="4" w:space="0"/>
              <w:bottom w:val="single" w:color="auto" w:sz="4" w:space="0"/>
              <w:right w:val="single" w:color="auto" w:sz="4" w:space="0"/>
            </w:tcBorders>
            <w:vAlign w:val="center"/>
          </w:tcPr>
          <w:p w14:paraId="5F3B4BA5">
            <w:pPr>
              <w:spacing w:line="360" w:lineRule="auto"/>
              <w:jc w:val="center"/>
              <w:rPr>
                <w:rFonts w:ascii="宋体" w:hAnsi="宋体"/>
                <w:color w:val="auto"/>
                <w:szCs w:val="21"/>
                <w:highlight w:val="none"/>
              </w:rPr>
            </w:pPr>
            <w:r>
              <w:rPr>
                <w:rFonts w:hint="eastAsia" w:ascii="宋体" w:hAnsi="宋体"/>
                <w:color w:val="auto"/>
                <w:szCs w:val="21"/>
                <w:highlight w:val="none"/>
              </w:rPr>
              <w:t>21.1</w:t>
            </w:r>
          </w:p>
        </w:tc>
        <w:tc>
          <w:tcPr>
            <w:tcW w:w="8711" w:type="dxa"/>
            <w:tcBorders>
              <w:top w:val="single" w:color="auto" w:sz="4" w:space="0"/>
              <w:left w:val="single" w:color="auto" w:sz="4" w:space="0"/>
              <w:bottom w:val="single" w:color="auto" w:sz="4" w:space="0"/>
              <w:right w:val="single" w:color="auto" w:sz="4" w:space="0"/>
            </w:tcBorders>
            <w:vAlign w:val="center"/>
          </w:tcPr>
          <w:p w14:paraId="3F45411D">
            <w:pPr>
              <w:spacing w:line="360" w:lineRule="auto"/>
              <w:rPr>
                <w:rFonts w:ascii="宋体" w:hAnsi="宋体"/>
                <w:color w:val="auto"/>
                <w:szCs w:val="21"/>
                <w:highlight w:val="none"/>
                <w:u w:val="single"/>
              </w:rPr>
            </w:pPr>
            <w:r>
              <w:rPr>
                <w:rFonts w:hint="eastAsia" w:ascii="宋体" w:hAnsi="宋体"/>
                <w:color w:val="auto"/>
                <w:szCs w:val="21"/>
                <w:highlight w:val="none"/>
              </w:rPr>
              <w:t>1. 提交投标文件截止时间：详见招标公告</w:t>
            </w:r>
          </w:p>
          <w:p w14:paraId="12759DD4">
            <w:pPr>
              <w:spacing w:line="360" w:lineRule="auto"/>
              <w:rPr>
                <w:rFonts w:ascii="宋体" w:hAnsi="宋体"/>
                <w:color w:val="auto"/>
                <w:szCs w:val="21"/>
                <w:highlight w:val="none"/>
              </w:rPr>
            </w:pPr>
            <w:r>
              <w:rPr>
                <w:rFonts w:hint="eastAsia" w:ascii="宋体" w:hAnsi="宋体"/>
                <w:color w:val="auto"/>
                <w:szCs w:val="21"/>
                <w:highlight w:val="none"/>
              </w:rPr>
              <w:t>2.投标地点：详见招标公告</w:t>
            </w:r>
          </w:p>
        </w:tc>
      </w:tr>
      <w:tr w14:paraId="5E095B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29CAD62A">
            <w:pPr>
              <w:spacing w:line="360" w:lineRule="auto"/>
              <w:jc w:val="center"/>
              <w:rPr>
                <w:rFonts w:ascii="宋体" w:hAnsi="宋体"/>
                <w:color w:val="auto"/>
                <w:szCs w:val="21"/>
                <w:highlight w:val="none"/>
              </w:rPr>
            </w:pPr>
            <w:r>
              <w:rPr>
                <w:rFonts w:hint="eastAsia" w:ascii="宋体" w:hAnsi="宋体"/>
                <w:color w:val="auto"/>
                <w:szCs w:val="21"/>
                <w:highlight w:val="none"/>
              </w:rPr>
              <w:t>23</w:t>
            </w:r>
          </w:p>
        </w:tc>
        <w:tc>
          <w:tcPr>
            <w:tcW w:w="8711" w:type="dxa"/>
            <w:tcBorders>
              <w:top w:val="single" w:color="auto" w:sz="4" w:space="0"/>
              <w:left w:val="single" w:color="auto" w:sz="4" w:space="0"/>
              <w:bottom w:val="single" w:color="auto" w:sz="4" w:space="0"/>
              <w:right w:val="single" w:color="auto" w:sz="4" w:space="0"/>
            </w:tcBorders>
            <w:vAlign w:val="center"/>
          </w:tcPr>
          <w:p w14:paraId="52780EA4">
            <w:pPr>
              <w:spacing w:line="360" w:lineRule="auto"/>
              <w:rPr>
                <w:rFonts w:ascii="宋体" w:hAnsi="宋体"/>
                <w:color w:val="auto"/>
                <w:szCs w:val="21"/>
                <w:highlight w:val="none"/>
              </w:rPr>
            </w:pPr>
            <w:r>
              <w:rPr>
                <w:rFonts w:hint="eastAsia" w:ascii="宋体" w:hAnsi="宋体"/>
                <w:color w:val="auto"/>
                <w:szCs w:val="21"/>
                <w:highlight w:val="none"/>
              </w:rPr>
              <w:t>1.开标时间：详见招标公告</w:t>
            </w:r>
          </w:p>
          <w:p w14:paraId="6F961797">
            <w:pPr>
              <w:spacing w:line="360" w:lineRule="auto"/>
              <w:rPr>
                <w:rFonts w:ascii="宋体" w:hAnsi="宋体"/>
                <w:color w:val="auto"/>
                <w:szCs w:val="21"/>
                <w:highlight w:val="none"/>
              </w:rPr>
            </w:pPr>
            <w:r>
              <w:rPr>
                <w:rFonts w:hint="eastAsia" w:ascii="宋体" w:hAnsi="宋体"/>
                <w:color w:val="auto"/>
                <w:szCs w:val="21"/>
                <w:highlight w:val="none"/>
              </w:rPr>
              <w:t>2.开标地点：详见招标公告</w:t>
            </w:r>
          </w:p>
        </w:tc>
      </w:tr>
      <w:tr w14:paraId="42B019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27A3203E">
            <w:pPr>
              <w:spacing w:line="360" w:lineRule="auto"/>
              <w:jc w:val="center"/>
              <w:rPr>
                <w:rFonts w:ascii="宋体" w:hAnsi="宋体"/>
                <w:color w:val="auto"/>
                <w:szCs w:val="21"/>
                <w:highlight w:val="none"/>
              </w:rPr>
            </w:pPr>
            <w:r>
              <w:rPr>
                <w:rFonts w:hint="eastAsia" w:ascii="宋体" w:hAnsi="宋体"/>
                <w:color w:val="auto"/>
                <w:szCs w:val="21"/>
                <w:highlight w:val="none"/>
              </w:rPr>
              <w:t>24.3（1）</w:t>
            </w:r>
          </w:p>
        </w:tc>
        <w:tc>
          <w:tcPr>
            <w:tcW w:w="8711" w:type="dxa"/>
            <w:tcBorders>
              <w:top w:val="single" w:color="auto" w:sz="4" w:space="0"/>
              <w:left w:val="single" w:color="auto" w:sz="4" w:space="0"/>
              <w:bottom w:val="single" w:color="auto" w:sz="4" w:space="0"/>
              <w:right w:val="single" w:color="auto" w:sz="4" w:space="0"/>
            </w:tcBorders>
            <w:vAlign w:val="center"/>
          </w:tcPr>
          <w:p w14:paraId="19350B95">
            <w:pPr>
              <w:spacing w:line="360" w:lineRule="auto"/>
              <w:rPr>
                <w:rFonts w:hAnsi="宋体"/>
                <w:color w:val="auto"/>
                <w:highlight w:val="none"/>
                <w:u w:val="single"/>
              </w:rPr>
            </w:pPr>
            <w:r>
              <w:rPr>
                <w:rFonts w:hint="eastAsia" w:hAnsi="宋体"/>
                <w:color w:val="auto"/>
                <w:highlight w:val="none"/>
              </w:rPr>
              <w:t>电子投标文件解密时间：</w:t>
            </w:r>
            <w:r>
              <w:rPr>
                <w:rFonts w:hint="eastAsia" w:hAnsi="宋体"/>
                <w:color w:val="auto"/>
                <w:highlight w:val="none"/>
                <w:u w:val="single"/>
              </w:rPr>
              <w:t xml:space="preserve">  30   </w:t>
            </w:r>
            <w:r>
              <w:rPr>
                <w:rFonts w:hint="eastAsia" w:hAnsi="宋体"/>
                <w:color w:val="auto"/>
                <w:highlight w:val="none"/>
              </w:rPr>
              <w:t>分钟</w:t>
            </w:r>
          </w:p>
        </w:tc>
      </w:tr>
      <w:tr w14:paraId="654CE3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0CE46419">
            <w:pPr>
              <w:spacing w:line="360" w:lineRule="auto"/>
              <w:jc w:val="center"/>
              <w:rPr>
                <w:rFonts w:ascii="宋体" w:hAnsi="宋体"/>
                <w:color w:val="auto"/>
                <w:szCs w:val="21"/>
                <w:highlight w:val="none"/>
              </w:rPr>
            </w:pPr>
            <w:r>
              <w:rPr>
                <w:rFonts w:hint="eastAsia" w:ascii="宋体" w:hAnsi="宋体"/>
                <w:color w:val="auto"/>
                <w:szCs w:val="21"/>
                <w:highlight w:val="none"/>
              </w:rPr>
              <w:t>24</w:t>
            </w:r>
            <w:r>
              <w:rPr>
                <w:rFonts w:ascii="宋体" w:hAnsi="宋体"/>
                <w:color w:val="auto"/>
                <w:szCs w:val="21"/>
                <w:highlight w:val="none"/>
              </w:rPr>
              <w:t>.3</w:t>
            </w:r>
            <w:r>
              <w:rPr>
                <w:rFonts w:hint="eastAsia" w:ascii="宋体" w:hAnsi="宋体"/>
                <w:color w:val="auto"/>
                <w:szCs w:val="21"/>
                <w:highlight w:val="none"/>
              </w:rPr>
              <w:t>（</w:t>
            </w:r>
            <w:r>
              <w:rPr>
                <w:rFonts w:ascii="宋体" w:hAnsi="宋体"/>
                <w:color w:val="auto"/>
                <w:szCs w:val="21"/>
                <w:highlight w:val="none"/>
              </w:rPr>
              <w:t>2</w:t>
            </w:r>
            <w:r>
              <w:rPr>
                <w:rFonts w:hint="eastAsia" w:ascii="宋体" w:hAnsi="宋体"/>
                <w:color w:val="auto"/>
                <w:szCs w:val="21"/>
                <w:highlight w:val="none"/>
              </w:rPr>
              <w:t>）</w:t>
            </w:r>
          </w:p>
        </w:tc>
        <w:tc>
          <w:tcPr>
            <w:tcW w:w="8711" w:type="dxa"/>
            <w:tcBorders>
              <w:top w:val="single" w:color="auto" w:sz="4" w:space="0"/>
              <w:left w:val="single" w:color="auto" w:sz="4" w:space="0"/>
              <w:bottom w:val="single" w:color="auto" w:sz="4" w:space="0"/>
              <w:right w:val="single" w:color="auto" w:sz="4" w:space="0"/>
            </w:tcBorders>
            <w:vAlign w:val="center"/>
          </w:tcPr>
          <w:p w14:paraId="08F6E1AC">
            <w:pPr>
              <w:spacing w:line="360" w:lineRule="auto"/>
              <w:rPr>
                <w:rFonts w:ascii="宋体" w:hAnsi="宋体"/>
                <w:color w:val="auto"/>
                <w:szCs w:val="21"/>
                <w:highlight w:val="none"/>
              </w:rPr>
            </w:pPr>
            <w:r>
              <w:rPr>
                <w:rFonts w:hint="eastAsia"/>
                <w:color w:val="auto"/>
                <w:highlight w:val="none"/>
              </w:rPr>
              <w:t>宣布的内容</w:t>
            </w:r>
            <w:r>
              <w:rPr>
                <w:rFonts w:hint="eastAsia" w:hAnsi="宋体"/>
                <w:color w:val="auto"/>
                <w:highlight w:val="none"/>
              </w:rPr>
              <w:t>：投标人名称、投标价格、</w:t>
            </w:r>
            <w:r>
              <w:rPr>
                <w:rFonts w:hAnsi="宋体"/>
                <w:color w:val="auto"/>
                <w:highlight w:val="none"/>
                <w:u w:val="single"/>
              </w:rPr>
              <w:t xml:space="preserve"> </w:t>
            </w:r>
            <w:r>
              <w:rPr>
                <w:rFonts w:hint="eastAsia" w:hAnsi="宋体"/>
                <w:color w:val="auto"/>
                <w:highlight w:val="none"/>
                <w:u w:val="single"/>
              </w:rPr>
              <w:t>合同履行期限</w:t>
            </w:r>
            <w:r>
              <w:rPr>
                <w:rFonts w:hAnsi="宋体"/>
                <w:color w:val="auto"/>
                <w:highlight w:val="none"/>
                <w:u w:val="single"/>
              </w:rPr>
              <w:t xml:space="preserve"> </w:t>
            </w:r>
            <w:r>
              <w:rPr>
                <w:rFonts w:hint="eastAsia" w:hAnsi="宋体"/>
                <w:color w:val="auto"/>
                <w:highlight w:val="none"/>
                <w:u w:val="single"/>
              </w:rPr>
              <w:t>。</w:t>
            </w:r>
          </w:p>
        </w:tc>
      </w:tr>
      <w:tr w14:paraId="2AC8BA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157317C0">
            <w:pPr>
              <w:spacing w:line="360" w:lineRule="auto"/>
              <w:jc w:val="center"/>
              <w:rPr>
                <w:rFonts w:ascii="宋体" w:hAnsi="宋体"/>
                <w:color w:val="auto"/>
                <w:szCs w:val="21"/>
                <w:highlight w:val="none"/>
              </w:rPr>
            </w:pPr>
            <w:r>
              <w:rPr>
                <w:rFonts w:hint="eastAsia" w:ascii="宋体" w:hAnsi="宋体"/>
                <w:color w:val="auto"/>
                <w:szCs w:val="21"/>
                <w:highlight w:val="none"/>
              </w:rPr>
              <w:t>25.3（</w:t>
            </w:r>
            <w:r>
              <w:rPr>
                <w:rFonts w:ascii="宋体" w:hAnsi="宋体"/>
                <w:color w:val="auto"/>
                <w:szCs w:val="21"/>
                <w:highlight w:val="none"/>
              </w:rPr>
              <w:t>2</w:t>
            </w:r>
            <w:r>
              <w:rPr>
                <w:rFonts w:hint="eastAsia" w:ascii="宋体" w:hAnsi="宋体"/>
                <w:color w:val="auto"/>
                <w:szCs w:val="21"/>
                <w:highlight w:val="none"/>
              </w:rPr>
              <w:t>）</w:t>
            </w:r>
          </w:p>
        </w:tc>
        <w:tc>
          <w:tcPr>
            <w:tcW w:w="8711" w:type="dxa"/>
            <w:tcBorders>
              <w:top w:val="single" w:color="auto" w:sz="4" w:space="0"/>
              <w:left w:val="single" w:color="auto" w:sz="4" w:space="0"/>
              <w:bottom w:val="single" w:color="auto" w:sz="4" w:space="0"/>
              <w:right w:val="single" w:color="auto" w:sz="4" w:space="0"/>
            </w:tcBorders>
            <w:vAlign w:val="center"/>
          </w:tcPr>
          <w:p w14:paraId="274D111E">
            <w:pPr>
              <w:spacing w:line="360" w:lineRule="auto"/>
              <w:rPr>
                <w:rFonts w:ascii="宋体" w:hAnsi="宋体"/>
                <w:color w:val="auto"/>
                <w:szCs w:val="21"/>
                <w:highlight w:val="none"/>
              </w:rPr>
            </w:pPr>
            <w:r>
              <w:rPr>
                <w:rFonts w:hint="eastAsia" w:ascii="宋体" w:hAnsi="宋体"/>
                <w:color w:val="auto"/>
                <w:szCs w:val="21"/>
                <w:highlight w:val="none"/>
              </w:rPr>
              <w:t>采购人或者采购代理机构在资格审查结束前，对投标人进行信用查询。</w:t>
            </w:r>
          </w:p>
          <w:p w14:paraId="35D6692F">
            <w:pPr>
              <w:spacing w:line="360" w:lineRule="auto"/>
              <w:rPr>
                <w:rFonts w:ascii="宋体" w:hAnsi="宋体"/>
                <w:color w:val="auto"/>
                <w:szCs w:val="21"/>
                <w:highlight w:val="none"/>
              </w:rPr>
            </w:pPr>
            <w:r>
              <w:rPr>
                <w:rFonts w:hint="eastAsia" w:ascii="宋体" w:hAnsi="宋体"/>
                <w:color w:val="auto"/>
                <w:szCs w:val="21"/>
                <w:highlight w:val="none"/>
              </w:rPr>
              <w:t>查询渠道：“信用中国”网站（https://www.creditchina.gov.cn） 、中国政府采购网（https://www.ccgp.gov.cn）。</w:t>
            </w:r>
          </w:p>
          <w:p w14:paraId="3F084F4D">
            <w:pPr>
              <w:spacing w:line="360" w:lineRule="auto"/>
              <w:rPr>
                <w:rFonts w:ascii="宋体" w:hAnsi="宋体"/>
                <w:color w:val="auto"/>
                <w:szCs w:val="21"/>
                <w:highlight w:val="none"/>
              </w:rPr>
            </w:pPr>
            <w:r>
              <w:rPr>
                <w:rFonts w:hint="eastAsia" w:ascii="宋体" w:hAnsi="宋体"/>
                <w:color w:val="auto"/>
                <w:szCs w:val="21"/>
                <w:highlight w:val="none"/>
              </w:rPr>
              <w:t>信用查询截止时点：资格审查结束前</w:t>
            </w:r>
          </w:p>
          <w:p w14:paraId="3CB0557B">
            <w:pPr>
              <w:spacing w:line="360" w:lineRule="auto"/>
              <w:rPr>
                <w:rFonts w:ascii="宋体" w:hAnsi="宋体"/>
                <w:color w:val="auto"/>
                <w:szCs w:val="21"/>
                <w:highlight w:val="none"/>
              </w:rPr>
            </w:pPr>
            <w:r>
              <w:rPr>
                <w:rFonts w:hint="eastAsia" w:ascii="宋体" w:hAnsi="宋体"/>
                <w:color w:val="auto"/>
                <w:szCs w:val="21"/>
                <w:highlight w:val="none"/>
              </w:rPr>
              <w:t>查询记录和证据留存方式：在查询网站中直接打印查询记录，打印材料作为评审资料保存。</w:t>
            </w:r>
          </w:p>
          <w:p w14:paraId="320CF23F">
            <w:pPr>
              <w:spacing w:line="360" w:lineRule="auto"/>
              <w:rPr>
                <w:rFonts w:ascii="宋体" w:hAnsi="宋体"/>
                <w:b/>
                <w:color w:val="auto"/>
                <w:szCs w:val="21"/>
                <w:highlight w:val="none"/>
              </w:rPr>
            </w:pPr>
            <w:r>
              <w:rPr>
                <w:rFonts w:hint="eastAsia" w:ascii="宋体" w:hAnsi="宋体"/>
                <w:color w:val="auto"/>
                <w:szCs w:val="21"/>
                <w:highlight w:val="none"/>
              </w:rPr>
              <w:t>信用信息使用规则：对在“信用中国”网站（https://www.creditchina.gov.cn） 、中国政府采购网（https://www.ccgp.gov.cn）被列入失信被执行人、重大税收违法失信主体、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p>
        </w:tc>
      </w:tr>
      <w:tr w14:paraId="058C00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2FBFA82C">
            <w:pPr>
              <w:spacing w:line="360" w:lineRule="auto"/>
              <w:jc w:val="center"/>
              <w:rPr>
                <w:rFonts w:ascii="宋体" w:hAnsi="宋体"/>
                <w:color w:val="auto"/>
                <w:szCs w:val="21"/>
                <w:highlight w:val="none"/>
              </w:rPr>
            </w:pPr>
            <w:r>
              <w:rPr>
                <w:rFonts w:hint="eastAsia" w:ascii="宋体" w:hAnsi="宋体"/>
                <w:color w:val="auto"/>
                <w:szCs w:val="21"/>
                <w:highlight w:val="none"/>
              </w:rPr>
              <w:t>26</w:t>
            </w:r>
            <w:r>
              <w:rPr>
                <w:rFonts w:ascii="宋体" w:hAnsi="宋体"/>
                <w:color w:val="auto"/>
                <w:szCs w:val="21"/>
                <w:highlight w:val="none"/>
              </w:rPr>
              <w:t>.1</w:t>
            </w:r>
          </w:p>
        </w:tc>
        <w:tc>
          <w:tcPr>
            <w:tcW w:w="8711" w:type="dxa"/>
            <w:tcBorders>
              <w:top w:val="single" w:color="auto" w:sz="4" w:space="0"/>
              <w:left w:val="single" w:color="auto" w:sz="4" w:space="0"/>
              <w:bottom w:val="single" w:color="auto" w:sz="4" w:space="0"/>
              <w:right w:val="single" w:color="auto" w:sz="4" w:space="0"/>
            </w:tcBorders>
            <w:vAlign w:val="center"/>
          </w:tcPr>
          <w:p w14:paraId="10C5E527">
            <w:pPr>
              <w:spacing w:line="360" w:lineRule="auto"/>
              <w:rPr>
                <w:rFonts w:ascii="宋体" w:hAnsi="宋体"/>
                <w:color w:val="auto"/>
                <w:szCs w:val="21"/>
                <w:highlight w:val="none"/>
              </w:rPr>
            </w:pPr>
            <w:r>
              <w:rPr>
                <w:rFonts w:hint="eastAsia" w:ascii="宋体" w:hAnsi="宋体"/>
                <w:color w:val="auto"/>
                <w:szCs w:val="21"/>
                <w:highlight w:val="none"/>
              </w:rPr>
              <w:t>评标委员会的人数：</w:t>
            </w:r>
            <w:r>
              <w:rPr>
                <w:rFonts w:hint="eastAsia" w:ascii="宋体" w:hAnsi="宋体"/>
                <w:color w:val="auto"/>
                <w:szCs w:val="21"/>
                <w:highlight w:val="none"/>
                <w:u w:val="single"/>
              </w:rPr>
              <w:t xml:space="preserve">  5  </w:t>
            </w:r>
            <w:r>
              <w:rPr>
                <w:rFonts w:hint="eastAsia" w:ascii="宋体" w:hAnsi="宋体"/>
                <w:color w:val="auto"/>
                <w:szCs w:val="21"/>
                <w:highlight w:val="none"/>
              </w:rPr>
              <w:t>人</w:t>
            </w:r>
          </w:p>
        </w:tc>
      </w:tr>
      <w:tr w14:paraId="26F17E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505DEEB5">
            <w:pPr>
              <w:spacing w:line="360" w:lineRule="auto"/>
              <w:jc w:val="center"/>
              <w:rPr>
                <w:rFonts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7</w:t>
            </w:r>
          </w:p>
        </w:tc>
        <w:tc>
          <w:tcPr>
            <w:tcW w:w="8711" w:type="dxa"/>
            <w:tcBorders>
              <w:top w:val="single" w:color="auto" w:sz="4" w:space="0"/>
              <w:left w:val="single" w:color="auto" w:sz="4" w:space="0"/>
              <w:bottom w:val="single" w:color="auto" w:sz="4" w:space="0"/>
              <w:right w:val="single" w:color="auto" w:sz="4" w:space="0"/>
            </w:tcBorders>
            <w:vAlign w:val="center"/>
          </w:tcPr>
          <w:p w14:paraId="24D4202A">
            <w:pPr>
              <w:spacing w:line="360" w:lineRule="auto"/>
              <w:rPr>
                <w:rFonts w:ascii="宋体" w:hAnsi="宋体"/>
                <w:color w:val="auto"/>
                <w:szCs w:val="21"/>
                <w:highlight w:val="none"/>
              </w:rPr>
            </w:pPr>
            <w:r>
              <w:rPr>
                <w:rFonts w:hint="eastAsia" w:ascii="宋体" w:hAnsi="宋体"/>
                <w:color w:val="auto"/>
                <w:szCs w:val="21"/>
                <w:highlight w:val="none"/>
              </w:rPr>
              <w:t>如供应商系统平台报价与电子投标文件中报价不一致的，以投标文件开标一览表报价为准。</w:t>
            </w:r>
          </w:p>
        </w:tc>
      </w:tr>
      <w:tr w14:paraId="2A3427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01F948D7">
            <w:pPr>
              <w:spacing w:line="360" w:lineRule="auto"/>
              <w:jc w:val="center"/>
              <w:rPr>
                <w:rFonts w:ascii="宋体" w:hAnsi="宋体"/>
                <w:color w:val="auto"/>
                <w:szCs w:val="21"/>
                <w:highlight w:val="none"/>
              </w:rPr>
            </w:pPr>
            <w:r>
              <w:rPr>
                <w:rFonts w:ascii="宋体" w:hAnsi="宋体"/>
                <w:color w:val="auto"/>
                <w:szCs w:val="21"/>
                <w:highlight w:val="none"/>
              </w:rPr>
              <w:t>29.1</w:t>
            </w:r>
          </w:p>
        </w:tc>
        <w:tc>
          <w:tcPr>
            <w:tcW w:w="8711" w:type="dxa"/>
            <w:tcBorders>
              <w:top w:val="single" w:color="auto" w:sz="4" w:space="0"/>
              <w:left w:val="single" w:color="auto" w:sz="4" w:space="0"/>
              <w:bottom w:val="single" w:color="auto" w:sz="4" w:space="0"/>
              <w:right w:val="single" w:color="auto" w:sz="4" w:space="0"/>
            </w:tcBorders>
            <w:vAlign w:val="center"/>
          </w:tcPr>
          <w:p w14:paraId="50FFE54E">
            <w:pPr>
              <w:spacing w:line="360" w:lineRule="auto"/>
              <w:rPr>
                <w:rFonts w:ascii="宋体" w:hAnsi="宋体"/>
                <w:color w:val="auto"/>
                <w:szCs w:val="21"/>
                <w:highlight w:val="none"/>
              </w:rPr>
            </w:pPr>
            <w:r>
              <w:rPr>
                <w:rFonts w:hint="eastAsia" w:ascii="宋体" w:hAnsi="宋体"/>
                <w:color w:val="auto"/>
                <w:szCs w:val="21"/>
                <w:highlight w:val="none"/>
              </w:rPr>
              <w:t>评标方法：综合评分法</w:t>
            </w:r>
          </w:p>
        </w:tc>
      </w:tr>
      <w:tr w14:paraId="6BDC26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95" w:type="dxa"/>
            <w:tcBorders>
              <w:top w:val="single" w:color="auto" w:sz="4" w:space="0"/>
              <w:left w:val="single" w:color="auto" w:sz="4" w:space="0"/>
              <w:bottom w:val="single" w:color="auto" w:sz="4" w:space="0"/>
              <w:right w:val="single" w:color="auto" w:sz="4" w:space="0"/>
            </w:tcBorders>
            <w:vAlign w:val="center"/>
          </w:tcPr>
          <w:p w14:paraId="361EC35A">
            <w:pPr>
              <w:spacing w:line="360" w:lineRule="auto"/>
              <w:jc w:val="center"/>
              <w:rPr>
                <w:rFonts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9.2</w:t>
            </w:r>
          </w:p>
        </w:tc>
        <w:tc>
          <w:tcPr>
            <w:tcW w:w="8711" w:type="dxa"/>
            <w:tcBorders>
              <w:top w:val="single" w:color="auto" w:sz="4" w:space="0"/>
              <w:left w:val="single" w:color="auto" w:sz="4" w:space="0"/>
              <w:right w:val="single" w:color="auto" w:sz="4" w:space="0"/>
            </w:tcBorders>
            <w:vAlign w:val="center"/>
          </w:tcPr>
          <w:p w14:paraId="3DE35760">
            <w:pPr>
              <w:spacing w:line="360" w:lineRule="auto"/>
              <w:rPr>
                <w:rFonts w:ascii="宋体" w:hAnsi="宋体"/>
                <w:b/>
                <w:bCs/>
                <w:color w:val="auto"/>
                <w:szCs w:val="21"/>
                <w:highlight w:val="none"/>
              </w:rPr>
            </w:pPr>
            <w:r>
              <w:rPr>
                <w:rFonts w:hint="eastAsia" w:ascii="宋体" w:hAnsi="宋体" w:cs="宋体"/>
                <w:b/>
                <w:bCs/>
                <w:color w:val="auto"/>
                <w:szCs w:val="21"/>
                <w:highlight w:val="none"/>
              </w:rPr>
              <w:t>商务要求</w:t>
            </w:r>
            <w:r>
              <w:rPr>
                <w:rFonts w:hint="eastAsia" w:ascii="宋体" w:hAnsi="宋体"/>
                <w:b/>
                <w:bCs/>
                <w:color w:val="auto"/>
                <w:szCs w:val="21"/>
                <w:highlight w:val="none"/>
              </w:rPr>
              <w:t>评审中允许负偏离的条款数为</w:t>
            </w:r>
            <w:r>
              <w:rPr>
                <w:rFonts w:hint="eastAsia" w:ascii="宋体" w:hAnsi="宋体"/>
                <w:b/>
                <w:bCs/>
                <w:color w:val="auto"/>
                <w:szCs w:val="21"/>
                <w:highlight w:val="none"/>
                <w:u w:val="single"/>
              </w:rPr>
              <w:t xml:space="preserve">  0 </w:t>
            </w:r>
            <w:r>
              <w:rPr>
                <w:rFonts w:hint="eastAsia" w:ascii="宋体" w:hAnsi="宋体"/>
                <w:b/>
                <w:bCs/>
                <w:color w:val="auto"/>
                <w:szCs w:val="21"/>
                <w:highlight w:val="none"/>
              </w:rPr>
              <w:t>项。</w:t>
            </w:r>
          </w:p>
          <w:p w14:paraId="4471E86E">
            <w:pPr>
              <w:pStyle w:val="17"/>
              <w:rPr>
                <w:rFonts w:ascii="宋体" w:hAnsi="宋体"/>
                <w:color w:val="auto"/>
                <w:szCs w:val="21"/>
                <w:highlight w:val="none"/>
              </w:rPr>
            </w:pPr>
            <w:r>
              <w:rPr>
                <w:rFonts w:hint="eastAsia" w:ascii="宋体" w:hAnsi="宋体" w:cs="宋体"/>
                <w:b/>
                <w:bCs/>
                <w:color w:val="auto"/>
                <w:szCs w:val="21"/>
                <w:highlight w:val="none"/>
              </w:rPr>
              <w:t>技术要求</w:t>
            </w:r>
            <w:r>
              <w:rPr>
                <w:rFonts w:hint="eastAsia" w:ascii="宋体" w:hAnsi="宋体"/>
                <w:b/>
                <w:bCs/>
                <w:color w:val="auto"/>
                <w:szCs w:val="21"/>
                <w:highlight w:val="none"/>
              </w:rPr>
              <w:t>评审中允许负偏离的条款数为</w:t>
            </w:r>
            <w:r>
              <w:rPr>
                <w:rFonts w:hint="eastAsia" w:ascii="宋体" w:hAnsi="宋体"/>
                <w:b/>
                <w:bCs/>
                <w:color w:val="auto"/>
                <w:szCs w:val="21"/>
                <w:highlight w:val="none"/>
                <w:u w:val="single"/>
              </w:rPr>
              <w:t xml:space="preserve"> 3 </w:t>
            </w:r>
            <w:r>
              <w:rPr>
                <w:rFonts w:hint="eastAsia" w:ascii="宋体" w:hAnsi="宋体"/>
                <w:b/>
                <w:bCs/>
                <w:color w:val="auto"/>
                <w:szCs w:val="21"/>
                <w:highlight w:val="none"/>
              </w:rPr>
              <w:t>项</w:t>
            </w:r>
            <w:r>
              <w:rPr>
                <w:rFonts w:hint="eastAsia"/>
                <w:b/>
                <w:bCs/>
                <w:color w:val="auto"/>
                <w:highlight w:val="none"/>
              </w:rPr>
              <w:t>（</w:t>
            </w:r>
            <w:r>
              <w:rPr>
                <w:rFonts w:hint="eastAsia" w:ascii="宋体" w:hAnsi="宋体"/>
                <w:b/>
                <w:bCs/>
                <w:color w:val="auto"/>
                <w:szCs w:val="21"/>
                <w:highlight w:val="none"/>
              </w:rPr>
              <w:t>标记</w:t>
            </w:r>
            <w:r>
              <w:rPr>
                <w:rFonts w:hint="eastAsia" w:ascii="宋体" w:hAnsi="宋体" w:cs="宋体"/>
                <w:b/>
                <w:bCs/>
                <w:color w:val="auto"/>
                <w:szCs w:val="21"/>
                <w:highlight w:val="none"/>
              </w:rPr>
              <w:t>▲的参数除外</w:t>
            </w:r>
            <w:r>
              <w:rPr>
                <w:rFonts w:hint="eastAsia"/>
                <w:b/>
                <w:bCs/>
                <w:color w:val="auto"/>
                <w:highlight w:val="none"/>
              </w:rPr>
              <w:t>）</w:t>
            </w:r>
            <w:r>
              <w:rPr>
                <w:rFonts w:hint="eastAsia" w:ascii="宋体" w:hAnsi="宋体"/>
                <w:b/>
                <w:bCs/>
                <w:color w:val="auto"/>
                <w:szCs w:val="21"/>
                <w:highlight w:val="none"/>
              </w:rPr>
              <w:t>。</w:t>
            </w:r>
          </w:p>
        </w:tc>
      </w:tr>
      <w:tr w14:paraId="3D5DED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95" w:type="dxa"/>
            <w:tcBorders>
              <w:top w:val="single" w:color="auto" w:sz="4" w:space="0"/>
              <w:left w:val="single" w:color="auto" w:sz="4" w:space="0"/>
              <w:bottom w:val="single" w:color="auto" w:sz="4" w:space="0"/>
              <w:right w:val="single" w:color="auto" w:sz="4" w:space="0"/>
            </w:tcBorders>
            <w:vAlign w:val="center"/>
          </w:tcPr>
          <w:p w14:paraId="7B95C2B3">
            <w:pPr>
              <w:spacing w:line="360" w:lineRule="auto"/>
              <w:jc w:val="center"/>
              <w:rPr>
                <w:rFonts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9.3</w:t>
            </w:r>
          </w:p>
        </w:tc>
        <w:tc>
          <w:tcPr>
            <w:tcW w:w="8711" w:type="dxa"/>
            <w:tcBorders>
              <w:top w:val="single" w:color="auto" w:sz="4" w:space="0"/>
              <w:left w:val="single" w:color="auto" w:sz="4" w:space="0"/>
              <w:right w:val="single" w:color="auto" w:sz="4" w:space="0"/>
            </w:tcBorders>
            <w:vAlign w:val="center"/>
          </w:tcPr>
          <w:p w14:paraId="7325FA06">
            <w:pPr>
              <w:spacing w:line="360" w:lineRule="auto"/>
              <w:rPr>
                <w:rFonts w:ascii="宋体" w:hAnsi="宋体" w:cs="宋体"/>
                <w:color w:val="auto"/>
                <w:szCs w:val="21"/>
                <w:highlight w:val="none"/>
                <w:u w:val="single"/>
              </w:rPr>
            </w:pPr>
            <w:r>
              <w:rPr>
                <w:rFonts w:hAnsi="宋体"/>
                <w:color w:val="auto"/>
                <w:highlight w:val="none"/>
              </w:rPr>
              <w:t>中标候选人推荐数量</w:t>
            </w:r>
            <w:r>
              <w:rPr>
                <w:rFonts w:hint="eastAsia" w:hAnsi="宋体"/>
                <w:color w:val="auto"/>
                <w:highlight w:val="none"/>
              </w:rPr>
              <w:t>：</w:t>
            </w:r>
            <w:r>
              <w:rPr>
                <w:rFonts w:hint="eastAsia" w:hAnsi="宋体"/>
                <w:color w:val="auto"/>
                <w:highlight w:val="none"/>
                <w:u w:val="single"/>
              </w:rPr>
              <w:t xml:space="preserve"> </w:t>
            </w:r>
            <w:r>
              <w:rPr>
                <w:rFonts w:hAnsi="宋体"/>
                <w:color w:val="auto"/>
                <w:highlight w:val="none"/>
                <w:u w:val="single"/>
              </w:rPr>
              <w:t xml:space="preserve"> </w:t>
            </w:r>
            <w:r>
              <w:rPr>
                <w:rFonts w:hint="eastAsia" w:hAnsi="宋体"/>
                <w:color w:val="auto"/>
                <w:highlight w:val="none"/>
                <w:u w:val="single"/>
              </w:rPr>
              <w:t>3</w:t>
            </w:r>
            <w:r>
              <w:rPr>
                <w:rFonts w:hAnsi="宋体"/>
                <w:color w:val="auto"/>
                <w:highlight w:val="none"/>
                <w:u w:val="single"/>
              </w:rPr>
              <w:t xml:space="preserve">  </w:t>
            </w:r>
            <w:r>
              <w:rPr>
                <w:rFonts w:hAnsi="宋体"/>
                <w:color w:val="auto"/>
                <w:highlight w:val="none"/>
              </w:rPr>
              <w:t>名</w:t>
            </w:r>
          </w:p>
        </w:tc>
      </w:tr>
      <w:tr w14:paraId="0ADBBC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1A7E26AA">
            <w:pPr>
              <w:spacing w:line="360" w:lineRule="auto"/>
              <w:jc w:val="center"/>
              <w:rPr>
                <w:rFonts w:ascii="宋体" w:hAnsi="宋体"/>
                <w:color w:val="auto"/>
                <w:szCs w:val="21"/>
                <w:highlight w:val="none"/>
              </w:rPr>
            </w:pPr>
            <w:r>
              <w:rPr>
                <w:rFonts w:hint="eastAsia" w:ascii="宋体" w:hAnsi="宋体"/>
                <w:color w:val="auto"/>
                <w:szCs w:val="21"/>
                <w:highlight w:val="none"/>
              </w:rPr>
              <w:t>30</w:t>
            </w:r>
            <w:r>
              <w:rPr>
                <w:rFonts w:ascii="宋体" w:hAnsi="宋体"/>
                <w:color w:val="auto"/>
                <w:szCs w:val="21"/>
                <w:highlight w:val="none"/>
              </w:rPr>
              <w:t>.1</w:t>
            </w:r>
          </w:p>
        </w:tc>
        <w:tc>
          <w:tcPr>
            <w:tcW w:w="8711" w:type="dxa"/>
            <w:tcBorders>
              <w:top w:val="single" w:color="auto" w:sz="4" w:space="0"/>
              <w:left w:val="single" w:color="auto" w:sz="4" w:space="0"/>
              <w:bottom w:val="single" w:color="auto" w:sz="4" w:space="0"/>
              <w:right w:val="single" w:color="auto" w:sz="4" w:space="0"/>
            </w:tcBorders>
            <w:vAlign w:val="center"/>
          </w:tcPr>
          <w:p w14:paraId="190A649B">
            <w:pPr>
              <w:spacing w:line="360" w:lineRule="auto"/>
              <w:rPr>
                <w:rFonts w:ascii="宋体" w:hAnsi="宋体"/>
                <w:color w:val="auto"/>
                <w:szCs w:val="21"/>
                <w:highlight w:val="none"/>
              </w:rPr>
            </w:pPr>
            <w:r>
              <w:rPr>
                <w:rFonts w:hint="eastAsia" w:ascii="宋体" w:hAnsi="宋体"/>
                <w:color w:val="auto"/>
                <w:szCs w:val="21"/>
                <w:highlight w:val="none"/>
              </w:rPr>
              <w:t>采用综合评分法的采购项目，采购人确定中标人时，出现中标候选人并列的情形，采购人按以下的方式确定中标人：</w:t>
            </w:r>
          </w:p>
          <w:p w14:paraId="739BBED4">
            <w:pPr>
              <w:spacing w:line="360" w:lineRule="auto"/>
              <w:rPr>
                <w:rFonts w:ascii="宋体" w:hAnsi="宋体"/>
                <w:color w:val="auto"/>
                <w:szCs w:val="21"/>
                <w:highlight w:val="none"/>
              </w:rPr>
            </w:pPr>
            <w:r>
              <w:rPr>
                <w:rFonts w:ascii="Wingdings 2" w:hAnsi="Wingdings 2"/>
                <w:color w:val="auto"/>
                <w:szCs w:val="21"/>
                <w:highlight w:val="none"/>
              </w:rPr>
              <w:t></w:t>
            </w:r>
            <w:r>
              <w:rPr>
                <w:rFonts w:hint="eastAsia" w:ascii="宋体" w:hAnsi="宋体"/>
                <w:color w:val="auto"/>
                <w:szCs w:val="21"/>
                <w:highlight w:val="none"/>
              </w:rPr>
              <w:t>依次按投标报价低的优先、政策分得分高的优先、技术评分高的优先、商务评分高的优先、质保期长优先、故障响应时间短优先的顺序确定；</w:t>
            </w:r>
          </w:p>
          <w:p w14:paraId="77774BE4">
            <w:pPr>
              <w:spacing w:line="360" w:lineRule="auto"/>
              <w:rPr>
                <w:rFonts w:ascii="宋体" w:hAnsi="宋体"/>
                <w:color w:val="auto"/>
                <w:szCs w:val="21"/>
                <w:highlight w:val="none"/>
              </w:rPr>
            </w:pPr>
            <w:r>
              <w:rPr>
                <w:rFonts w:hint="eastAsia" w:ascii="宋体" w:hAnsi="宋体"/>
                <w:color w:val="auto"/>
                <w:szCs w:val="21"/>
                <w:highlight w:val="none"/>
              </w:rPr>
              <w:t>□随机抽取；</w:t>
            </w:r>
          </w:p>
        </w:tc>
      </w:tr>
      <w:tr w14:paraId="241918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95" w:type="dxa"/>
            <w:tcBorders>
              <w:top w:val="single" w:color="auto" w:sz="4" w:space="0"/>
              <w:left w:val="single" w:color="auto" w:sz="4" w:space="0"/>
              <w:bottom w:val="single" w:color="auto" w:sz="4" w:space="0"/>
              <w:right w:val="single" w:color="auto" w:sz="4" w:space="0"/>
            </w:tcBorders>
            <w:vAlign w:val="center"/>
          </w:tcPr>
          <w:p w14:paraId="298478E6">
            <w:pPr>
              <w:spacing w:line="360" w:lineRule="auto"/>
              <w:jc w:val="center"/>
              <w:rPr>
                <w:rFonts w:ascii="宋体" w:hAnsi="宋体"/>
                <w:color w:val="auto"/>
                <w:szCs w:val="21"/>
                <w:highlight w:val="none"/>
              </w:rPr>
            </w:pPr>
            <w:r>
              <w:rPr>
                <w:rFonts w:hint="eastAsia" w:ascii="宋体" w:hAnsi="宋体"/>
                <w:color w:val="auto"/>
                <w:szCs w:val="21"/>
                <w:highlight w:val="none"/>
              </w:rPr>
              <w:t>35</w:t>
            </w:r>
            <w:r>
              <w:rPr>
                <w:rFonts w:ascii="宋体" w:hAnsi="宋体"/>
                <w:color w:val="auto"/>
                <w:szCs w:val="21"/>
                <w:highlight w:val="none"/>
              </w:rPr>
              <w:t>.1</w:t>
            </w:r>
          </w:p>
        </w:tc>
        <w:tc>
          <w:tcPr>
            <w:tcW w:w="8711" w:type="dxa"/>
            <w:tcBorders>
              <w:top w:val="single" w:color="auto" w:sz="4" w:space="0"/>
              <w:left w:val="single" w:color="auto" w:sz="4" w:space="0"/>
              <w:bottom w:val="single" w:color="auto" w:sz="4" w:space="0"/>
              <w:right w:val="single" w:color="auto" w:sz="4" w:space="0"/>
            </w:tcBorders>
            <w:vAlign w:val="center"/>
          </w:tcPr>
          <w:p w14:paraId="5B0EAE97">
            <w:pPr>
              <w:spacing w:line="360" w:lineRule="auto"/>
              <w:rPr>
                <w:rFonts w:ascii="宋体" w:hAnsi="宋体" w:cs="宋体"/>
                <w:color w:val="auto"/>
                <w:szCs w:val="21"/>
                <w:highlight w:val="none"/>
              </w:rPr>
            </w:pPr>
            <w:r>
              <w:rPr>
                <w:rFonts w:ascii="Wingdings 2" w:hAnsi="Wingdings 2" w:eastAsia="Wingdings 2" w:cs="Wingdings 2"/>
                <w:color w:val="auto"/>
                <w:szCs w:val="21"/>
                <w:highlight w:val="none"/>
              </w:rPr>
              <w:t>R</w:t>
            </w:r>
            <w:r>
              <w:rPr>
                <w:rFonts w:hint="eastAsia" w:ascii="宋体" w:hAnsi="宋体"/>
                <w:color w:val="auto"/>
                <w:szCs w:val="21"/>
                <w:highlight w:val="none"/>
              </w:rPr>
              <w:t>本项目不收取履约保证金。</w:t>
            </w:r>
          </w:p>
        </w:tc>
      </w:tr>
      <w:tr w14:paraId="737F6D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02E50A5E">
            <w:pPr>
              <w:spacing w:line="360" w:lineRule="auto"/>
              <w:jc w:val="center"/>
              <w:rPr>
                <w:rFonts w:ascii="宋体" w:hAnsi="宋体"/>
                <w:color w:val="auto"/>
                <w:szCs w:val="21"/>
                <w:highlight w:val="none"/>
              </w:rPr>
            </w:pPr>
            <w:r>
              <w:rPr>
                <w:rFonts w:hint="eastAsia" w:ascii="宋体" w:hAnsi="宋体"/>
                <w:color w:val="auto"/>
                <w:szCs w:val="21"/>
                <w:highlight w:val="none"/>
              </w:rPr>
              <w:t>36.1</w:t>
            </w:r>
          </w:p>
        </w:tc>
        <w:tc>
          <w:tcPr>
            <w:tcW w:w="8711" w:type="dxa"/>
            <w:tcBorders>
              <w:top w:val="single" w:color="auto" w:sz="4" w:space="0"/>
              <w:left w:val="single" w:color="auto" w:sz="4" w:space="0"/>
              <w:bottom w:val="single" w:color="auto" w:sz="4" w:space="0"/>
              <w:right w:val="single" w:color="auto" w:sz="4" w:space="0"/>
            </w:tcBorders>
            <w:vAlign w:val="center"/>
          </w:tcPr>
          <w:p w14:paraId="4E8D1DDB">
            <w:pPr>
              <w:spacing w:line="360" w:lineRule="auto"/>
              <w:rPr>
                <w:rFonts w:ascii="宋体" w:hAnsi="宋体"/>
                <w:color w:val="auto"/>
                <w:szCs w:val="21"/>
                <w:highlight w:val="none"/>
              </w:rPr>
            </w:pPr>
            <w:r>
              <w:rPr>
                <w:rFonts w:hint="eastAsia" w:ascii="宋体" w:hAnsi="宋体"/>
                <w:color w:val="auto"/>
                <w:szCs w:val="21"/>
                <w:highlight w:val="none"/>
              </w:rPr>
              <w:t xml:space="preserve">签订合同携带的证明材料： </w:t>
            </w:r>
          </w:p>
          <w:p w14:paraId="4F106178">
            <w:pPr>
              <w:spacing w:line="360" w:lineRule="auto"/>
              <w:rPr>
                <w:rFonts w:ascii="宋体" w:hAnsi="宋体"/>
                <w:color w:val="auto"/>
                <w:szCs w:val="21"/>
                <w:highlight w:val="none"/>
              </w:rPr>
            </w:pPr>
            <w:r>
              <w:rPr>
                <w:rFonts w:hint="eastAsia" w:ascii="宋体" w:hAnsi="宋体"/>
                <w:color w:val="auto"/>
                <w:szCs w:val="21"/>
                <w:highlight w:val="none"/>
              </w:rPr>
              <w:t>委托代理人负责签订合同的，须携带授权委托书及委托代理人身份证原件等其他资格证件。</w:t>
            </w:r>
          </w:p>
          <w:p w14:paraId="73DC4F7F">
            <w:pPr>
              <w:spacing w:line="360" w:lineRule="auto"/>
              <w:rPr>
                <w:rFonts w:ascii="宋体" w:hAnsi="宋体"/>
                <w:color w:val="auto"/>
                <w:szCs w:val="21"/>
                <w:highlight w:val="none"/>
              </w:rPr>
            </w:pPr>
            <w:r>
              <w:rPr>
                <w:rFonts w:hint="eastAsia" w:ascii="宋体" w:hAnsi="宋体"/>
                <w:color w:val="auto"/>
                <w:szCs w:val="21"/>
                <w:highlight w:val="none"/>
              </w:rPr>
              <w:t>法定代表人负责签订合同的，须携带法定代表人</w:t>
            </w:r>
            <w:r>
              <w:rPr>
                <w:rFonts w:ascii="宋体" w:hAnsi="宋体"/>
                <w:color w:val="auto"/>
                <w:szCs w:val="21"/>
                <w:highlight w:val="none"/>
              </w:rPr>
              <w:t>身份证明原件</w:t>
            </w:r>
            <w:r>
              <w:rPr>
                <w:rFonts w:hint="eastAsia" w:ascii="宋体" w:hAnsi="宋体"/>
                <w:color w:val="auto"/>
                <w:szCs w:val="21"/>
                <w:highlight w:val="none"/>
              </w:rPr>
              <w:t>及</w:t>
            </w:r>
            <w:r>
              <w:rPr>
                <w:rFonts w:ascii="宋体" w:hAnsi="宋体"/>
                <w:color w:val="auto"/>
                <w:szCs w:val="21"/>
                <w:highlight w:val="none"/>
              </w:rPr>
              <w:t>身份证原件</w:t>
            </w:r>
            <w:r>
              <w:rPr>
                <w:rFonts w:hint="eastAsia" w:ascii="宋体" w:hAnsi="宋体"/>
                <w:color w:val="auto"/>
                <w:szCs w:val="21"/>
                <w:highlight w:val="none"/>
              </w:rPr>
              <w:t>等其他证明材料。</w:t>
            </w:r>
          </w:p>
        </w:tc>
      </w:tr>
      <w:tr w14:paraId="256069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3C94768F">
            <w:pPr>
              <w:spacing w:line="360" w:lineRule="auto"/>
              <w:jc w:val="center"/>
              <w:rPr>
                <w:rFonts w:ascii="宋体" w:hAnsi="宋体"/>
                <w:color w:val="auto"/>
                <w:szCs w:val="21"/>
                <w:highlight w:val="none"/>
              </w:rPr>
            </w:pPr>
            <w:r>
              <w:rPr>
                <w:rFonts w:hint="eastAsia" w:ascii="宋体" w:hAnsi="宋体"/>
                <w:color w:val="auto"/>
                <w:szCs w:val="21"/>
                <w:highlight w:val="none"/>
              </w:rPr>
              <w:t>3</w:t>
            </w:r>
            <w:r>
              <w:rPr>
                <w:rFonts w:ascii="宋体" w:hAnsi="宋体"/>
                <w:color w:val="auto"/>
                <w:szCs w:val="21"/>
                <w:highlight w:val="none"/>
              </w:rPr>
              <w:t>8.2</w:t>
            </w:r>
          </w:p>
        </w:tc>
        <w:tc>
          <w:tcPr>
            <w:tcW w:w="8711" w:type="dxa"/>
            <w:tcBorders>
              <w:top w:val="single" w:color="auto" w:sz="4" w:space="0"/>
              <w:left w:val="single" w:color="auto" w:sz="4" w:space="0"/>
              <w:bottom w:val="single" w:color="auto" w:sz="4" w:space="0"/>
              <w:right w:val="single" w:color="auto" w:sz="4" w:space="0"/>
            </w:tcBorders>
            <w:vAlign w:val="center"/>
          </w:tcPr>
          <w:p w14:paraId="2ECDC336">
            <w:pPr>
              <w:spacing w:line="360" w:lineRule="auto"/>
              <w:rPr>
                <w:rFonts w:ascii="宋体" w:hAnsi="宋体"/>
                <w:color w:val="auto"/>
                <w:szCs w:val="21"/>
                <w:highlight w:val="none"/>
              </w:rPr>
            </w:pPr>
            <w:r>
              <w:rPr>
                <w:rFonts w:hint="eastAsia" w:ascii="宋体" w:hAnsi="宋体"/>
                <w:color w:val="auto"/>
                <w:szCs w:val="21"/>
                <w:highlight w:val="none"/>
              </w:rPr>
              <w:t>接收质疑函方式：以书面形式</w:t>
            </w:r>
          </w:p>
          <w:p w14:paraId="236CE693">
            <w:pPr>
              <w:spacing w:line="360" w:lineRule="auto"/>
              <w:rPr>
                <w:rFonts w:ascii="宋体" w:hAnsi="宋体"/>
                <w:color w:val="auto"/>
                <w:szCs w:val="21"/>
                <w:highlight w:val="none"/>
              </w:rPr>
            </w:pPr>
            <w:r>
              <w:rPr>
                <w:rFonts w:hint="eastAsia" w:ascii="宋体" w:hAnsi="宋体"/>
                <w:color w:val="auto"/>
                <w:szCs w:val="21"/>
                <w:highlight w:val="none"/>
              </w:rPr>
              <w:t>质疑联系部门及联系方式：云之龙咨询集团有限公司钦州分公司咨询部</w:t>
            </w:r>
          </w:p>
          <w:p w14:paraId="1AEDDF0E">
            <w:pPr>
              <w:spacing w:line="360" w:lineRule="auto"/>
              <w:rPr>
                <w:rFonts w:ascii="宋体" w:hAnsi="宋体"/>
                <w:color w:val="auto"/>
                <w:szCs w:val="21"/>
                <w:highlight w:val="none"/>
              </w:rPr>
            </w:pPr>
            <w:r>
              <w:rPr>
                <w:rFonts w:hint="eastAsia" w:ascii="宋体" w:hAnsi="宋体"/>
                <w:color w:val="auto"/>
                <w:szCs w:val="21"/>
                <w:highlight w:val="none"/>
              </w:rPr>
              <w:t>联系电话：0777-5619366</w:t>
            </w:r>
          </w:p>
          <w:p w14:paraId="6D5BAD9D">
            <w:pPr>
              <w:spacing w:line="360" w:lineRule="auto"/>
              <w:rPr>
                <w:rFonts w:ascii="宋体" w:hAnsi="宋体"/>
                <w:color w:val="auto"/>
                <w:szCs w:val="21"/>
                <w:highlight w:val="none"/>
                <w:u w:val="single"/>
              </w:rPr>
            </w:pPr>
            <w:r>
              <w:rPr>
                <w:rFonts w:hint="eastAsia" w:ascii="宋体" w:hAnsi="宋体"/>
                <w:color w:val="auto"/>
                <w:szCs w:val="21"/>
                <w:highlight w:val="none"/>
              </w:rPr>
              <w:t>通讯地址：云之龙咨询集团有限公司钦州分公司（广西钦州市子材东大街19号奥林名城8号楼8层）</w:t>
            </w:r>
          </w:p>
          <w:p w14:paraId="7891B750">
            <w:pPr>
              <w:spacing w:line="360" w:lineRule="auto"/>
              <w:rPr>
                <w:rFonts w:ascii="宋体" w:hAnsi="宋体"/>
                <w:color w:val="auto"/>
                <w:szCs w:val="21"/>
                <w:highlight w:val="none"/>
              </w:rPr>
            </w:pPr>
            <w:r>
              <w:rPr>
                <w:rFonts w:hint="eastAsia" w:ascii="宋体" w:hAnsi="宋体"/>
                <w:color w:val="auto"/>
                <w:szCs w:val="21"/>
                <w:highlight w:val="none"/>
              </w:rPr>
              <w:t>现场提交质疑办理业务时间：工作日8时00分到12时00分，15时00分到18时 00分，业务时间以外、双休日和法定节假日不办理业务。</w:t>
            </w:r>
          </w:p>
        </w:tc>
      </w:tr>
      <w:tr w14:paraId="6F1C64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135FFD86">
            <w:pPr>
              <w:spacing w:line="360" w:lineRule="auto"/>
              <w:jc w:val="center"/>
              <w:rPr>
                <w:rFonts w:ascii="宋体" w:hAnsi="宋体"/>
                <w:color w:val="auto"/>
                <w:szCs w:val="21"/>
                <w:highlight w:val="none"/>
              </w:rPr>
            </w:pPr>
            <w:r>
              <w:rPr>
                <w:rFonts w:hint="eastAsia" w:ascii="宋体" w:hAnsi="宋体"/>
                <w:color w:val="auto"/>
                <w:szCs w:val="21"/>
                <w:highlight w:val="none"/>
              </w:rPr>
              <w:t>3</w:t>
            </w:r>
            <w:r>
              <w:rPr>
                <w:rFonts w:ascii="宋体" w:hAnsi="宋体"/>
                <w:color w:val="auto"/>
                <w:szCs w:val="21"/>
                <w:highlight w:val="none"/>
              </w:rPr>
              <w:t>9.1</w:t>
            </w:r>
          </w:p>
        </w:tc>
        <w:tc>
          <w:tcPr>
            <w:tcW w:w="8711" w:type="dxa"/>
            <w:tcBorders>
              <w:top w:val="single" w:color="auto" w:sz="4" w:space="0"/>
              <w:left w:val="single" w:color="auto" w:sz="4" w:space="0"/>
              <w:bottom w:val="single" w:color="auto" w:sz="4" w:space="0"/>
              <w:right w:val="single" w:color="auto" w:sz="4" w:space="0"/>
            </w:tcBorders>
            <w:vAlign w:val="center"/>
          </w:tcPr>
          <w:p w14:paraId="24E11F46">
            <w:pPr>
              <w:pStyle w:val="25"/>
              <w:spacing w:line="360" w:lineRule="auto"/>
              <w:rPr>
                <w:rFonts w:hAnsi="宋体" w:cs="宋体"/>
                <w:color w:val="auto"/>
                <w:sz w:val="21"/>
                <w:highlight w:val="none"/>
              </w:rPr>
            </w:pPr>
            <w:r>
              <w:rPr>
                <w:rFonts w:hint="eastAsia" w:hAnsi="宋体" w:cs="宋体"/>
                <w:color w:val="auto"/>
                <w:sz w:val="21"/>
                <w:highlight w:val="none"/>
              </w:rPr>
              <w:t>1.采购代理费支付方式：</w:t>
            </w:r>
          </w:p>
          <w:p w14:paraId="6AEDB444">
            <w:pPr>
              <w:pStyle w:val="25"/>
              <w:spacing w:line="360" w:lineRule="auto"/>
              <w:rPr>
                <w:rFonts w:hAnsi="宋体" w:cs="宋体"/>
                <w:color w:val="auto"/>
                <w:sz w:val="21"/>
                <w:highlight w:val="none"/>
              </w:rPr>
            </w:pPr>
            <w:r>
              <w:rPr>
                <w:rFonts w:hint="eastAsia" w:hAnsi="宋体" w:cs="宋体"/>
                <w:color w:val="auto"/>
                <w:sz w:val="21"/>
                <w:highlight w:val="none"/>
              </w:rPr>
              <w:t>本项目代理服务费由各</w:t>
            </w:r>
            <w:r>
              <w:rPr>
                <w:rFonts w:hint="eastAsia" w:hAnsi="宋体" w:cs="宋体"/>
                <w:color w:val="auto"/>
                <w:sz w:val="21"/>
                <w:highlight w:val="none"/>
                <w:u w:val="single"/>
              </w:rPr>
              <w:t>中标人</w:t>
            </w:r>
            <w:r>
              <w:rPr>
                <w:rFonts w:hint="eastAsia" w:hAnsi="宋体" w:cs="宋体"/>
                <w:color w:val="auto"/>
                <w:sz w:val="21"/>
                <w:highlight w:val="none"/>
              </w:rPr>
              <w:t>一次性向采购代理机构支付。</w:t>
            </w:r>
          </w:p>
          <w:p w14:paraId="1FCB79DF">
            <w:pPr>
              <w:pStyle w:val="25"/>
              <w:spacing w:line="360" w:lineRule="auto"/>
              <w:rPr>
                <w:rFonts w:hAnsi="宋体" w:cs="宋体"/>
                <w:color w:val="auto"/>
                <w:sz w:val="21"/>
                <w:highlight w:val="none"/>
              </w:rPr>
            </w:pPr>
            <w:r>
              <w:rPr>
                <w:rFonts w:hint="eastAsia" w:hAnsi="宋体" w:cs="宋体"/>
                <w:color w:val="auto"/>
                <w:sz w:val="21"/>
                <w:highlight w:val="none"/>
              </w:rPr>
              <w:t>2.采购代理费收取标准：</w:t>
            </w:r>
          </w:p>
          <w:p w14:paraId="0998090B">
            <w:pPr>
              <w:pStyle w:val="25"/>
              <w:spacing w:line="360" w:lineRule="auto"/>
              <w:rPr>
                <w:rFonts w:hAnsi="宋体" w:cs="宋体"/>
                <w:color w:val="auto"/>
                <w:sz w:val="21"/>
                <w:highlight w:val="none"/>
              </w:rPr>
            </w:pPr>
            <w:r>
              <w:rPr>
                <w:rFonts w:hint="eastAsia" w:hAnsi="宋体" w:cs="宋体"/>
                <w:color w:val="auto"/>
                <w:sz w:val="21"/>
                <w:highlight w:val="none"/>
              </w:rPr>
              <w:t>以预算金额为计费额，按本须知正文第</w:t>
            </w:r>
            <w:r>
              <w:rPr>
                <w:rFonts w:hAnsi="宋体" w:cs="宋体"/>
                <w:color w:val="auto"/>
                <w:sz w:val="21"/>
                <w:highlight w:val="none"/>
              </w:rPr>
              <w:t>39</w:t>
            </w:r>
            <w:r>
              <w:rPr>
                <w:rFonts w:hint="eastAsia" w:hAnsi="宋体" w:cs="宋体"/>
                <w:color w:val="auto"/>
                <w:sz w:val="21"/>
                <w:highlight w:val="none"/>
              </w:rPr>
              <w:t>.</w:t>
            </w:r>
            <w:r>
              <w:rPr>
                <w:rFonts w:hAnsi="宋体" w:cs="宋体"/>
                <w:color w:val="auto"/>
                <w:sz w:val="21"/>
                <w:highlight w:val="none"/>
              </w:rPr>
              <w:t>2</w:t>
            </w:r>
            <w:r>
              <w:rPr>
                <w:rFonts w:hint="eastAsia" w:hAnsi="宋体" w:cs="宋体"/>
                <w:color w:val="auto"/>
                <w:sz w:val="21"/>
                <w:highlight w:val="none"/>
              </w:rPr>
              <w:t>条规定的收费计算标准货物招标类，采用差额定率累进法计算出收费基准价格，采购代理收费以收费基准价格收取。</w:t>
            </w:r>
          </w:p>
          <w:p w14:paraId="63F92D15">
            <w:pPr>
              <w:pStyle w:val="25"/>
              <w:spacing w:line="360" w:lineRule="auto"/>
              <w:rPr>
                <w:rFonts w:hAnsi="宋体" w:cs="宋体"/>
                <w:color w:val="auto"/>
                <w:sz w:val="21"/>
                <w:highlight w:val="none"/>
              </w:rPr>
            </w:pPr>
            <w:r>
              <w:rPr>
                <w:rFonts w:hint="eastAsia" w:hAnsi="宋体" w:cs="宋体"/>
                <w:color w:val="auto"/>
                <w:sz w:val="21"/>
                <w:highlight w:val="none"/>
              </w:rPr>
              <w:t>3</w:t>
            </w:r>
            <w:r>
              <w:rPr>
                <w:rFonts w:hAnsi="宋体" w:cs="宋体"/>
                <w:color w:val="auto"/>
                <w:sz w:val="21"/>
                <w:highlight w:val="none"/>
              </w:rPr>
              <w:t>.</w:t>
            </w:r>
            <w:r>
              <w:rPr>
                <w:rFonts w:hint="eastAsia" w:hAnsi="宋体" w:cs="宋体"/>
                <w:color w:val="auto"/>
                <w:sz w:val="21"/>
                <w:highlight w:val="none"/>
              </w:rPr>
              <w:t xml:space="preserve"> 账户名称：云之龙咨询集团有限公司钦州分公司</w:t>
            </w:r>
          </w:p>
          <w:p w14:paraId="44A1A99A">
            <w:pPr>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  开户银行：中信银行南宁园湖支行；</w:t>
            </w:r>
          </w:p>
          <w:p w14:paraId="0F872423">
            <w:pPr>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  银行账号：8113 0010 1330 0157 979；</w:t>
            </w:r>
          </w:p>
          <w:p w14:paraId="4EE961C8">
            <w:pPr>
              <w:spacing w:line="360" w:lineRule="auto"/>
              <w:ind w:firstLine="210" w:firstLineChars="100"/>
              <w:rPr>
                <w:rFonts w:hAnsi="宋体" w:cs="宋体"/>
                <w:color w:val="auto"/>
                <w:sz w:val="21"/>
                <w:highlight w:val="none"/>
              </w:rPr>
            </w:pPr>
            <w:r>
              <w:rPr>
                <w:rFonts w:hint="eastAsia" w:ascii="宋体" w:hAnsi="宋体" w:eastAsia="宋体" w:cs="宋体"/>
                <w:color w:val="auto"/>
                <w:szCs w:val="21"/>
                <w:highlight w:val="none"/>
              </w:rPr>
              <w:t>行号：3026 1102 9137</w:t>
            </w:r>
          </w:p>
        </w:tc>
      </w:tr>
      <w:tr w14:paraId="67C79D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2E26E870">
            <w:pPr>
              <w:spacing w:line="360" w:lineRule="auto"/>
              <w:jc w:val="center"/>
              <w:rPr>
                <w:rFonts w:ascii="宋体" w:hAnsi="宋体"/>
                <w:color w:val="auto"/>
                <w:szCs w:val="21"/>
                <w:highlight w:val="none"/>
              </w:rPr>
            </w:pPr>
            <w:r>
              <w:rPr>
                <w:rFonts w:ascii="宋体" w:hAnsi="宋体"/>
                <w:color w:val="auto"/>
                <w:szCs w:val="21"/>
                <w:highlight w:val="none"/>
              </w:rPr>
              <w:t>40.1</w:t>
            </w:r>
          </w:p>
        </w:tc>
        <w:tc>
          <w:tcPr>
            <w:tcW w:w="8711" w:type="dxa"/>
            <w:tcBorders>
              <w:top w:val="single" w:color="auto" w:sz="4" w:space="0"/>
              <w:left w:val="single" w:color="auto" w:sz="4" w:space="0"/>
              <w:bottom w:val="single" w:color="auto" w:sz="4" w:space="0"/>
              <w:right w:val="single" w:color="auto" w:sz="4" w:space="0"/>
            </w:tcBorders>
            <w:vAlign w:val="center"/>
          </w:tcPr>
          <w:p w14:paraId="5B6A9576">
            <w:pPr>
              <w:spacing w:line="360" w:lineRule="auto"/>
              <w:rPr>
                <w:rFonts w:ascii="宋体" w:hAnsi="宋体"/>
                <w:color w:val="auto"/>
                <w:szCs w:val="21"/>
                <w:highlight w:val="none"/>
              </w:rPr>
            </w:pPr>
            <w:r>
              <w:rPr>
                <w:rFonts w:hint="eastAsia" w:ascii="宋体" w:hAnsi="宋体"/>
                <w:color w:val="auto"/>
                <w:szCs w:val="21"/>
                <w:highlight w:val="none"/>
              </w:rPr>
              <w:t>解释：</w:t>
            </w:r>
            <w:r>
              <w:rPr>
                <w:rFonts w:ascii="宋体" w:hAnsi="宋体"/>
                <w:color w:val="auto"/>
                <w:szCs w:val="21"/>
                <w:highlight w:val="none"/>
              </w:rPr>
              <w:t>构成本招标文件的各个组成文件应互为解释，互为说明；除招标文件中有特别规定外，仅适用于招标投标阶段的规定，按</w:t>
            </w:r>
            <w:r>
              <w:rPr>
                <w:rFonts w:hint="eastAsia" w:ascii="宋体" w:hAnsi="宋体"/>
                <w:color w:val="auto"/>
                <w:szCs w:val="21"/>
                <w:highlight w:val="none"/>
              </w:rPr>
              <w:t>更正公告（澄清公告）</w:t>
            </w:r>
            <w:r>
              <w:rPr>
                <w:rFonts w:ascii="宋体" w:hAnsi="宋体"/>
                <w:color w:val="auto"/>
                <w:szCs w:val="21"/>
                <w:highlight w:val="none"/>
              </w:rPr>
              <w:t>、招标公告、</w:t>
            </w:r>
            <w:r>
              <w:rPr>
                <w:rFonts w:hint="eastAsia" w:ascii="宋体" w:hAnsi="宋体"/>
                <w:color w:val="auto"/>
                <w:szCs w:val="21"/>
                <w:highlight w:val="none"/>
              </w:rPr>
              <w:t>采购需求、</w:t>
            </w:r>
            <w:r>
              <w:rPr>
                <w:rFonts w:ascii="宋体" w:hAnsi="宋体"/>
                <w:color w:val="auto"/>
                <w:szCs w:val="21"/>
                <w:highlight w:val="none"/>
              </w:rPr>
              <w:t>投标人须知、</w:t>
            </w:r>
            <w:r>
              <w:rPr>
                <w:rFonts w:hint="eastAsia" w:ascii="宋体" w:hAnsi="宋体"/>
                <w:color w:val="auto"/>
                <w:szCs w:val="21"/>
                <w:highlight w:val="none"/>
              </w:rPr>
              <w:t>评标方法及评标标准</w:t>
            </w:r>
            <w:r>
              <w:rPr>
                <w:rFonts w:ascii="宋体" w:hAnsi="宋体"/>
                <w:color w:val="auto"/>
                <w:szCs w:val="21"/>
                <w:highlight w:val="none"/>
              </w:rPr>
              <w:t>、</w:t>
            </w:r>
            <w:r>
              <w:rPr>
                <w:rFonts w:hint="eastAsia" w:ascii="宋体" w:hAnsi="宋体"/>
                <w:color w:val="auto"/>
                <w:szCs w:val="21"/>
                <w:highlight w:val="none"/>
              </w:rPr>
              <w:t>拟签订的合同文本、</w:t>
            </w:r>
            <w:r>
              <w:rPr>
                <w:rFonts w:ascii="宋体" w:hAnsi="宋体"/>
                <w:color w:val="auto"/>
                <w:szCs w:val="21"/>
                <w:highlight w:val="none"/>
              </w:rPr>
              <w:t>投标文件格式的先后顺序解释；同一组成文件中就同一事项的规定或者约定不一致的，以编排顺序在后者为准；同一组成文件不同版本之间有不一致的，以形成时间在后者为准；</w:t>
            </w:r>
            <w:r>
              <w:rPr>
                <w:rFonts w:hint="eastAsia" w:ascii="宋体" w:hAnsi="宋体"/>
                <w:color w:val="auto"/>
                <w:szCs w:val="21"/>
                <w:highlight w:val="none"/>
              </w:rPr>
              <w:t>更正公告（澄清公告）</w:t>
            </w:r>
            <w:r>
              <w:rPr>
                <w:rFonts w:ascii="宋体" w:hAnsi="宋体"/>
                <w:color w:val="auto"/>
                <w:szCs w:val="21"/>
                <w:highlight w:val="none"/>
              </w:rPr>
              <w:t>与同步更新的招标文件不一致时以</w:t>
            </w:r>
            <w:r>
              <w:rPr>
                <w:rFonts w:hint="eastAsia" w:ascii="宋体" w:hAnsi="宋体"/>
                <w:color w:val="auto"/>
                <w:szCs w:val="21"/>
                <w:highlight w:val="none"/>
              </w:rPr>
              <w:t>更正公告（澄清公告）</w:t>
            </w:r>
            <w:r>
              <w:rPr>
                <w:rFonts w:ascii="宋体" w:hAnsi="宋体"/>
                <w:color w:val="auto"/>
                <w:szCs w:val="21"/>
                <w:highlight w:val="none"/>
              </w:rPr>
              <w:t>为准。按本款前述规定仍不能形成结论的，由</w:t>
            </w:r>
            <w:r>
              <w:rPr>
                <w:rFonts w:hint="eastAsia" w:ascii="宋体" w:hAnsi="宋体"/>
                <w:color w:val="auto"/>
                <w:szCs w:val="21"/>
                <w:highlight w:val="none"/>
              </w:rPr>
              <w:t>采购</w:t>
            </w:r>
            <w:r>
              <w:rPr>
                <w:rFonts w:ascii="宋体" w:hAnsi="宋体"/>
                <w:color w:val="auto"/>
                <w:szCs w:val="21"/>
                <w:highlight w:val="none"/>
              </w:rPr>
              <w:t>人</w:t>
            </w:r>
            <w:r>
              <w:rPr>
                <w:rFonts w:hint="eastAsia" w:ascii="宋体" w:hAnsi="宋体"/>
                <w:color w:val="auto"/>
                <w:szCs w:val="21"/>
                <w:highlight w:val="none"/>
              </w:rPr>
              <w:t>或者采购代理机构</w:t>
            </w:r>
            <w:r>
              <w:rPr>
                <w:rFonts w:ascii="宋体" w:hAnsi="宋体"/>
                <w:color w:val="auto"/>
                <w:szCs w:val="21"/>
                <w:highlight w:val="none"/>
              </w:rPr>
              <w:t>负责解释。</w:t>
            </w:r>
          </w:p>
        </w:tc>
      </w:tr>
      <w:tr w14:paraId="203D4A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02A7435E">
            <w:pPr>
              <w:spacing w:line="360" w:lineRule="auto"/>
              <w:jc w:val="center"/>
              <w:rPr>
                <w:rFonts w:ascii="宋体" w:hAnsi="宋体"/>
                <w:color w:val="auto"/>
                <w:szCs w:val="21"/>
                <w:highlight w:val="none"/>
              </w:rPr>
            </w:pPr>
            <w:r>
              <w:rPr>
                <w:rFonts w:ascii="宋体" w:hAnsi="宋体"/>
                <w:color w:val="auto"/>
                <w:szCs w:val="21"/>
                <w:highlight w:val="none"/>
              </w:rPr>
              <w:t>40.2</w:t>
            </w:r>
          </w:p>
        </w:tc>
        <w:tc>
          <w:tcPr>
            <w:tcW w:w="8711" w:type="dxa"/>
            <w:tcBorders>
              <w:top w:val="single" w:color="auto" w:sz="4" w:space="0"/>
              <w:left w:val="single" w:color="auto" w:sz="4" w:space="0"/>
              <w:bottom w:val="single" w:color="auto" w:sz="4" w:space="0"/>
              <w:right w:val="single" w:color="auto" w:sz="4" w:space="0"/>
            </w:tcBorders>
            <w:vAlign w:val="center"/>
          </w:tcPr>
          <w:p w14:paraId="1CA24880">
            <w:pPr>
              <w:pStyle w:val="25"/>
              <w:spacing w:line="360" w:lineRule="auto"/>
              <w:rPr>
                <w:rFonts w:hAnsi="宋体" w:cs="宋体"/>
                <w:bCs/>
                <w:color w:val="auto"/>
                <w:sz w:val="21"/>
                <w:highlight w:val="none"/>
              </w:rPr>
            </w:pPr>
            <w:r>
              <w:rPr>
                <w:rFonts w:hint="eastAsia" w:hAnsi="宋体" w:cs="宋体"/>
                <w:bCs/>
                <w:color w:val="auto"/>
                <w:sz w:val="21"/>
                <w:highlight w:val="none"/>
              </w:rPr>
              <w:t>1.本招标文件中描述投标人的“公章”是指根据我国对公章的管理规定，使用投标人法定主体行为名称制作的印章，除本招标文件有特殊规定外，投标人的财务章、部门章、分公司章、工会章、合同章、投标专用章、业务专用章及银行的转账章、现金收讫章、现金付讫章等其他形式印章均不能代替公章。</w:t>
            </w:r>
          </w:p>
          <w:p w14:paraId="09DA215B">
            <w:pPr>
              <w:pStyle w:val="25"/>
              <w:spacing w:line="360" w:lineRule="auto"/>
              <w:rPr>
                <w:rFonts w:hAnsi="宋体" w:cs="宋体"/>
                <w:bCs/>
                <w:color w:val="auto"/>
                <w:sz w:val="21"/>
                <w:highlight w:val="none"/>
              </w:rPr>
            </w:pPr>
            <w:r>
              <w:rPr>
                <w:rFonts w:hint="eastAsia" w:hAnsi="宋体" w:cs="宋体"/>
                <w:bCs/>
                <w:color w:val="auto"/>
                <w:sz w:val="21"/>
                <w:highlight w:val="none"/>
              </w:rPr>
              <w:t>2.本招标文件所称的“</w:t>
            </w:r>
            <w:r>
              <w:rPr>
                <w:rFonts w:hint="eastAsia" w:hAnsi="宋体"/>
                <w:color w:val="auto"/>
                <w:sz w:val="21"/>
                <w:highlight w:val="none"/>
              </w:rPr>
              <w:t>电子签章</w:t>
            </w:r>
            <w:r>
              <w:rPr>
                <w:rFonts w:hint="eastAsia" w:hAnsi="宋体" w:cs="宋体"/>
                <w:bCs/>
                <w:color w:val="auto"/>
                <w:sz w:val="21"/>
                <w:highlight w:val="none"/>
              </w:rPr>
              <w:t>”、“电子签名”</w:t>
            </w:r>
            <w:r>
              <w:rPr>
                <w:rFonts w:hint="eastAsia" w:hAnsi="宋体"/>
                <w:color w:val="auto"/>
                <w:sz w:val="21"/>
                <w:highlight w:val="none"/>
              </w:rPr>
              <w:t>，是指经广西政府采购云平台认可的CA认证的电子签名数据为表现形式的印章，可用于签署电子投标文件，电子印章与实物印章具有同等法律效力，不因其采用电子化表现形式而否定其法律效力。</w:t>
            </w:r>
          </w:p>
          <w:p w14:paraId="3C770BE1">
            <w:pPr>
              <w:pStyle w:val="25"/>
              <w:spacing w:line="360" w:lineRule="auto"/>
              <w:rPr>
                <w:rFonts w:hAnsi="宋体" w:cs="宋体"/>
                <w:bCs/>
                <w:color w:val="auto"/>
                <w:sz w:val="21"/>
                <w:highlight w:val="none"/>
              </w:rPr>
            </w:pPr>
            <w:r>
              <w:rPr>
                <w:rFonts w:hint="eastAsia" w:hAnsi="宋体" w:cs="宋体"/>
                <w:bCs/>
                <w:color w:val="auto"/>
                <w:sz w:val="21"/>
                <w:highlight w:val="none"/>
              </w:rPr>
              <w:t>3.投标人为其他组织或者自然人时，本招标文件规定的法定代表人指负责人或者自然人。本招标文件所称负责人是指参加投标的其他组织营业执照或者执业许可证等证照上的负责人，本招标文件所称自然人指参与投标的自然人本人，且应具备独立承担民事责任能力，自然人应当为年满18岁以上成年人（十六周岁以上的未成年人，以自己的劳动收入为主要生活来源的，视为完全民事行为能力人）。</w:t>
            </w:r>
          </w:p>
          <w:p w14:paraId="62CBF736">
            <w:pPr>
              <w:pStyle w:val="25"/>
              <w:spacing w:line="360" w:lineRule="auto"/>
              <w:rPr>
                <w:rFonts w:hAnsi="宋体" w:cs="宋体"/>
                <w:bCs/>
                <w:color w:val="auto"/>
                <w:sz w:val="21"/>
                <w:highlight w:val="none"/>
              </w:rPr>
            </w:pPr>
            <w:r>
              <w:rPr>
                <w:rFonts w:hint="eastAsia" w:hAnsi="宋体" w:cs="宋体"/>
                <w:bCs/>
                <w:color w:val="auto"/>
                <w:sz w:val="21"/>
                <w:highlight w:val="none"/>
              </w:rPr>
              <w:t>4.本招标文件中描述投标人的“签字”是指投标人的法定代表人或者委托代理人亲自在文件规定签字处亲笔写上个人的名字的行为，私章、签字章、印鉴、影印等其他形式均不能代替亲笔签字。</w:t>
            </w:r>
          </w:p>
          <w:p w14:paraId="158E813E">
            <w:pPr>
              <w:pStyle w:val="25"/>
              <w:spacing w:line="360" w:lineRule="auto"/>
              <w:rPr>
                <w:color w:val="auto"/>
                <w:sz w:val="21"/>
                <w:highlight w:val="none"/>
              </w:rPr>
            </w:pPr>
            <w:r>
              <w:rPr>
                <w:rFonts w:hint="eastAsia" w:hAnsi="宋体" w:cs="宋体"/>
                <w:bCs/>
                <w:color w:val="auto"/>
                <w:sz w:val="21"/>
                <w:highlight w:val="none"/>
              </w:rPr>
              <w:t>5.本招标文件所称的“以上”“以下”“以内”“届满”，包括本数；所称的“不满”“超过”“以外”，不包括本数。</w:t>
            </w:r>
          </w:p>
        </w:tc>
      </w:tr>
    </w:tbl>
    <w:p w14:paraId="1EBFBC2C">
      <w:pPr>
        <w:rPr>
          <w:rFonts w:ascii="宋体" w:hAnsi="宋体"/>
          <w:color w:val="auto"/>
          <w:sz w:val="24"/>
          <w:szCs w:val="20"/>
          <w:highlight w:val="none"/>
        </w:rPr>
      </w:pPr>
    </w:p>
    <w:p w14:paraId="10949D59">
      <w:pPr>
        <w:rPr>
          <w:rFonts w:ascii="宋体" w:hAnsi="宋体"/>
          <w:color w:val="auto"/>
          <w:sz w:val="24"/>
          <w:szCs w:val="20"/>
          <w:highlight w:val="none"/>
        </w:rPr>
      </w:pPr>
    </w:p>
    <w:p w14:paraId="2E3C52E2">
      <w:pPr>
        <w:pStyle w:val="4"/>
        <w:keepNext w:val="0"/>
        <w:keepLines w:val="0"/>
        <w:jc w:val="center"/>
        <w:rPr>
          <w:color w:val="auto"/>
          <w:highlight w:val="none"/>
        </w:rPr>
      </w:pPr>
      <w:r>
        <w:rPr>
          <w:color w:val="auto"/>
          <w:highlight w:val="none"/>
        </w:rPr>
        <w:br w:type="page" w:clear="all"/>
      </w:r>
      <w:r>
        <w:rPr>
          <w:rFonts w:hint="eastAsia"/>
          <w:color w:val="auto"/>
          <w:highlight w:val="none"/>
        </w:rPr>
        <w:t>投标人须知正文</w:t>
      </w:r>
    </w:p>
    <w:p w14:paraId="272C3AE3">
      <w:pPr>
        <w:pStyle w:val="4"/>
        <w:keepNext w:val="0"/>
        <w:keepLines w:val="0"/>
        <w:jc w:val="center"/>
        <w:rPr>
          <w:color w:val="auto"/>
          <w:highlight w:val="none"/>
        </w:rPr>
      </w:pPr>
      <w:r>
        <w:rPr>
          <w:rFonts w:hint="eastAsia"/>
          <w:color w:val="auto"/>
          <w:highlight w:val="none"/>
        </w:rPr>
        <w:t>一、总  则</w:t>
      </w:r>
    </w:p>
    <w:p w14:paraId="11E6557B">
      <w:pPr>
        <w:pStyle w:val="6"/>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1.适用范围</w:t>
      </w:r>
    </w:p>
    <w:p w14:paraId="221A26E2">
      <w:pPr>
        <w:spacing w:line="360" w:lineRule="auto"/>
        <w:ind w:firstLine="420"/>
        <w:jc w:val="left"/>
        <w:rPr>
          <w:rFonts w:ascii="宋体" w:hAnsi="宋体"/>
          <w:color w:val="auto"/>
          <w:szCs w:val="21"/>
          <w:highlight w:val="none"/>
        </w:rPr>
      </w:pPr>
      <w:r>
        <w:rPr>
          <w:rFonts w:hint="eastAsia" w:ascii="宋体" w:hAnsi="宋体"/>
          <w:color w:val="auto"/>
          <w:szCs w:val="21"/>
          <w:highlight w:val="none"/>
        </w:rPr>
        <w:t>1.1适用法律：本项目采购人、采购代理机构、投标人、评标委员会的相关行为均受《中华人民共和国政府采购法》《中华人民共和国政府采购法实施条例》《政府采购货物和服务招标投标管理办法》及本项目本级和上级财政部门政府采购有关规定的约束和保护。</w:t>
      </w:r>
    </w:p>
    <w:p w14:paraId="4EABA41B">
      <w:pPr>
        <w:spacing w:line="360" w:lineRule="auto"/>
        <w:ind w:firstLine="420"/>
        <w:jc w:val="left"/>
        <w:rPr>
          <w:rFonts w:ascii="宋体" w:hAnsi="宋体" w:cs="宋体"/>
          <w:color w:val="auto"/>
          <w:spacing w:val="-6"/>
          <w:szCs w:val="21"/>
          <w:highlight w:val="none"/>
        </w:rPr>
      </w:pPr>
      <w:r>
        <w:rPr>
          <w:rFonts w:hint="eastAsia" w:ascii="宋体" w:hAnsi="宋体"/>
          <w:color w:val="auto"/>
          <w:szCs w:val="21"/>
          <w:highlight w:val="none"/>
        </w:rPr>
        <w:t>1.2本招标文件</w:t>
      </w:r>
      <w:r>
        <w:rPr>
          <w:rFonts w:hint="eastAsia" w:ascii="宋体" w:hAnsi="宋体" w:cs="宋体"/>
          <w:color w:val="auto"/>
          <w:spacing w:val="-6"/>
          <w:szCs w:val="21"/>
          <w:highlight w:val="none"/>
        </w:rPr>
        <w:t>适用于本项目的所有采购程序和环节（法律、法规另有规定的，从其规定）。</w:t>
      </w:r>
    </w:p>
    <w:p w14:paraId="5D0FED19">
      <w:pPr>
        <w:pStyle w:val="6"/>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2.定义</w:t>
      </w:r>
    </w:p>
    <w:p w14:paraId="2AEB04DE">
      <w:pPr>
        <w:pStyle w:val="6"/>
        <w:keepNext w:val="0"/>
        <w:keepLines w:val="0"/>
        <w:spacing w:before="0" w:after="0" w:line="360" w:lineRule="auto"/>
        <w:ind w:left="420"/>
        <w:rPr>
          <w:rFonts w:ascii="宋体" w:hAnsi="宋体"/>
          <w:b w:val="0"/>
          <w:color w:val="auto"/>
          <w:sz w:val="21"/>
          <w:szCs w:val="21"/>
          <w:highlight w:val="none"/>
        </w:rPr>
      </w:pPr>
      <w:r>
        <w:rPr>
          <w:rFonts w:hint="eastAsia" w:ascii="宋体" w:hAnsi="宋体"/>
          <w:b w:val="0"/>
          <w:color w:val="auto"/>
          <w:sz w:val="21"/>
          <w:szCs w:val="21"/>
          <w:highlight w:val="none"/>
        </w:rPr>
        <w:t>2.1“采购人”是指依法进行政府采购的国家机关、事业单位、团体组织。</w:t>
      </w:r>
    </w:p>
    <w:p w14:paraId="263B673F">
      <w:pPr>
        <w:pStyle w:val="6"/>
        <w:keepNext w:val="0"/>
        <w:keepLines w:val="0"/>
        <w:spacing w:before="0" w:after="0" w:line="360" w:lineRule="auto"/>
        <w:ind w:left="420"/>
        <w:rPr>
          <w:rFonts w:ascii="宋体" w:hAnsi="宋体"/>
          <w:b w:val="0"/>
          <w:color w:val="auto"/>
          <w:sz w:val="21"/>
          <w:szCs w:val="21"/>
          <w:highlight w:val="none"/>
        </w:rPr>
      </w:pPr>
      <w:r>
        <w:rPr>
          <w:rFonts w:hint="eastAsia" w:ascii="宋体" w:hAnsi="宋体"/>
          <w:b w:val="0"/>
          <w:color w:val="auto"/>
          <w:sz w:val="21"/>
          <w:szCs w:val="21"/>
          <w:highlight w:val="none"/>
        </w:rPr>
        <w:t>2.2“采购代理机构”是指政府采购集中采购机构和集中采购机构以外的采购代理机构。</w:t>
      </w:r>
    </w:p>
    <w:p w14:paraId="7415B79D">
      <w:pPr>
        <w:pStyle w:val="6"/>
        <w:keepNext w:val="0"/>
        <w:keepLines w:val="0"/>
        <w:spacing w:before="0" w:after="0" w:line="360" w:lineRule="auto"/>
        <w:ind w:left="420"/>
        <w:rPr>
          <w:rFonts w:ascii="宋体" w:hAnsi="宋体"/>
          <w:b w:val="0"/>
          <w:color w:val="auto"/>
          <w:sz w:val="21"/>
          <w:szCs w:val="21"/>
          <w:highlight w:val="none"/>
        </w:rPr>
      </w:pPr>
      <w:r>
        <w:rPr>
          <w:rFonts w:hint="eastAsia" w:ascii="宋体" w:hAnsi="宋体"/>
          <w:b w:val="0"/>
          <w:color w:val="auto"/>
          <w:sz w:val="21"/>
          <w:szCs w:val="21"/>
          <w:highlight w:val="none"/>
        </w:rPr>
        <w:t>2.3“供应商”是指向采购人提供货物、工程或者服务的法人、其他组织或者自然人。</w:t>
      </w:r>
    </w:p>
    <w:p w14:paraId="53C9C00C">
      <w:pPr>
        <w:pStyle w:val="7"/>
        <w:spacing w:line="360" w:lineRule="auto"/>
        <w:rPr>
          <w:rFonts w:ascii="宋体" w:hAnsi="宋体"/>
          <w:color w:val="auto"/>
          <w:szCs w:val="21"/>
          <w:highlight w:val="none"/>
        </w:rPr>
      </w:pPr>
      <w:r>
        <w:rPr>
          <w:rFonts w:hint="eastAsia" w:ascii="宋体" w:hAnsi="宋体"/>
          <w:color w:val="auto"/>
          <w:szCs w:val="21"/>
          <w:highlight w:val="none"/>
        </w:rPr>
        <w:t>2.4“投标人”是指响应招标、参加投标竞争的法人、其他组织或者自然人。</w:t>
      </w:r>
    </w:p>
    <w:p w14:paraId="1D2B7848">
      <w:pPr>
        <w:pStyle w:val="6"/>
        <w:keepNext w:val="0"/>
        <w:keepLines w:val="0"/>
        <w:spacing w:before="0" w:after="0" w:line="360" w:lineRule="auto"/>
        <w:ind w:firstLine="420"/>
        <w:rPr>
          <w:rFonts w:ascii="宋体" w:hAnsi="宋体"/>
          <w:b w:val="0"/>
          <w:color w:val="auto"/>
          <w:sz w:val="21"/>
          <w:szCs w:val="21"/>
          <w:highlight w:val="none"/>
        </w:rPr>
      </w:pPr>
      <w:r>
        <w:rPr>
          <w:rFonts w:hint="eastAsia" w:ascii="宋体" w:hAnsi="宋体"/>
          <w:b w:val="0"/>
          <w:color w:val="auto"/>
          <w:sz w:val="21"/>
          <w:szCs w:val="21"/>
          <w:highlight w:val="none"/>
        </w:rPr>
        <w:t>2.5“货物”是指各种形态和种类的物品，包括原材料、燃料、设备、产品等。</w:t>
      </w:r>
    </w:p>
    <w:p w14:paraId="10757EB2">
      <w:pPr>
        <w:pStyle w:val="6"/>
        <w:keepNext w:val="0"/>
        <w:keepLines w:val="0"/>
        <w:spacing w:before="0" w:after="0" w:line="360" w:lineRule="auto"/>
        <w:ind w:firstLine="420"/>
        <w:rPr>
          <w:rFonts w:ascii="宋体" w:hAnsi="宋体"/>
          <w:b w:val="0"/>
          <w:color w:val="auto"/>
          <w:sz w:val="21"/>
          <w:szCs w:val="21"/>
          <w:highlight w:val="none"/>
        </w:rPr>
      </w:pPr>
      <w:r>
        <w:rPr>
          <w:rFonts w:hint="eastAsia" w:ascii="宋体" w:hAnsi="宋体"/>
          <w:b w:val="0"/>
          <w:color w:val="auto"/>
          <w:sz w:val="21"/>
          <w:szCs w:val="21"/>
          <w:highlight w:val="none"/>
        </w:rPr>
        <w:t>2.6“售后服务” 是指商品出售以后所提供的各种服务，包含但不限于投标人须承担的备品备件、包装、运输、装卸、保险、货到就位以及安装、调试、培训、质保以及其他各种服务。</w:t>
      </w:r>
    </w:p>
    <w:p w14:paraId="2210928E">
      <w:pPr>
        <w:pStyle w:val="6"/>
        <w:keepNext w:val="0"/>
        <w:keepLines w:val="0"/>
        <w:spacing w:before="0" w:after="0" w:line="360" w:lineRule="auto"/>
        <w:rPr>
          <w:rFonts w:ascii="宋体" w:hAnsi="宋体"/>
          <w:b w:val="0"/>
          <w:color w:val="auto"/>
          <w:sz w:val="21"/>
          <w:szCs w:val="21"/>
          <w:highlight w:val="none"/>
        </w:rPr>
      </w:pPr>
      <w:r>
        <w:rPr>
          <w:rFonts w:hint="eastAsia" w:ascii="宋体" w:hAnsi="宋体"/>
          <w:b w:val="0"/>
          <w:color w:val="auto"/>
          <w:sz w:val="21"/>
          <w:szCs w:val="21"/>
          <w:highlight w:val="none"/>
        </w:rPr>
        <w:t xml:space="preserve">    2.7“书面形式”是指合同书、信件和数据电文（包括电报、电传、传真、电子数据交换和电子邮件）等可以有形地表现所载内容的形式。</w:t>
      </w:r>
    </w:p>
    <w:p w14:paraId="4C95D9B2">
      <w:pPr>
        <w:pStyle w:val="6"/>
        <w:keepNext w:val="0"/>
        <w:keepLines w:val="0"/>
        <w:spacing w:before="0" w:after="0" w:line="360" w:lineRule="auto"/>
        <w:ind w:firstLine="420"/>
        <w:rPr>
          <w:rFonts w:ascii="宋体" w:hAnsi="宋体"/>
          <w:b w:val="0"/>
          <w:color w:val="auto"/>
          <w:sz w:val="21"/>
          <w:szCs w:val="21"/>
          <w:highlight w:val="none"/>
        </w:rPr>
      </w:pPr>
      <w:r>
        <w:rPr>
          <w:rFonts w:hint="eastAsia" w:ascii="宋体" w:hAnsi="宋体"/>
          <w:b w:val="0"/>
          <w:color w:val="auto"/>
          <w:sz w:val="21"/>
          <w:szCs w:val="21"/>
          <w:highlight w:val="none"/>
        </w:rPr>
        <w:t>2.8“实质性要求”是指招标文件中已经指明不满足则投标无效的条款，或者不能负偏离的条款，或者采购需求中带“▲”的条款。</w:t>
      </w:r>
    </w:p>
    <w:p w14:paraId="6C155B21">
      <w:pPr>
        <w:spacing w:line="360" w:lineRule="auto"/>
        <w:ind w:firstLine="420"/>
        <w:jc w:val="left"/>
        <w:rPr>
          <w:rFonts w:ascii="宋体" w:hAnsi="宋体" w:cs="宋体"/>
          <w:color w:val="auto"/>
          <w:szCs w:val="21"/>
          <w:highlight w:val="none"/>
        </w:rPr>
      </w:pPr>
      <w:r>
        <w:rPr>
          <w:rFonts w:hint="eastAsia" w:ascii="宋体" w:hAnsi="宋体"/>
          <w:color w:val="auto"/>
          <w:szCs w:val="21"/>
          <w:highlight w:val="none"/>
        </w:rPr>
        <w:t xml:space="preserve">2.9 </w:t>
      </w:r>
      <w:r>
        <w:rPr>
          <w:rFonts w:hint="eastAsia" w:ascii="宋体" w:hAnsi="宋体" w:cs="宋体"/>
          <w:color w:val="auto"/>
          <w:szCs w:val="21"/>
          <w:highlight w:val="none"/>
        </w:rPr>
        <w:t>“正偏离”，是指投标文件对招标文件“采购需求”中有关条款作出的响应优于条款要求并有利于采购人的情形。</w:t>
      </w:r>
    </w:p>
    <w:p w14:paraId="457A425C">
      <w:pPr>
        <w:spacing w:line="360" w:lineRule="auto"/>
        <w:ind w:firstLine="420"/>
        <w:jc w:val="left"/>
        <w:rPr>
          <w:rFonts w:ascii="宋体" w:hAnsi="宋体" w:cs="宋体"/>
          <w:color w:val="auto"/>
          <w:szCs w:val="21"/>
          <w:highlight w:val="none"/>
        </w:rPr>
      </w:pPr>
      <w:r>
        <w:rPr>
          <w:rFonts w:ascii="宋体" w:hAnsi="宋体" w:cs="宋体"/>
          <w:color w:val="auto"/>
          <w:szCs w:val="21"/>
          <w:highlight w:val="none"/>
        </w:rPr>
        <w:t>2.10</w:t>
      </w:r>
      <w:r>
        <w:rPr>
          <w:rFonts w:hint="eastAsia" w:ascii="宋体" w:hAnsi="宋体" w:cs="宋体"/>
          <w:color w:val="auto"/>
          <w:szCs w:val="21"/>
          <w:highlight w:val="none"/>
        </w:rPr>
        <w:t>“负偏离”，是指投标文件对招标文件“采购需求”中有关条款作出的响应不满足条款要求，导致采购人要求不能得到满足的情形。</w:t>
      </w:r>
    </w:p>
    <w:p w14:paraId="2DFAEBC3">
      <w:pPr>
        <w:spacing w:line="360" w:lineRule="auto"/>
        <w:ind w:firstLine="420"/>
        <w:jc w:val="left"/>
        <w:rPr>
          <w:rFonts w:ascii="宋体" w:hAnsi="宋体" w:cs="宋体"/>
          <w:color w:val="auto"/>
          <w:szCs w:val="21"/>
          <w:highlight w:val="none"/>
        </w:rPr>
      </w:pPr>
      <w:r>
        <w:rPr>
          <w:rFonts w:hint="eastAsia" w:ascii="宋体" w:hAnsi="宋体"/>
          <w:color w:val="auto"/>
          <w:szCs w:val="21"/>
          <w:highlight w:val="none"/>
        </w:rPr>
        <w:t>2.1</w:t>
      </w:r>
      <w:r>
        <w:rPr>
          <w:rFonts w:ascii="宋体" w:hAnsi="宋体"/>
          <w:color w:val="auto"/>
          <w:szCs w:val="21"/>
          <w:highlight w:val="none"/>
        </w:rPr>
        <w:t>1</w:t>
      </w:r>
      <w:r>
        <w:rPr>
          <w:rFonts w:hint="eastAsia" w:ascii="宋体" w:hAnsi="宋体" w:cs="宋体"/>
          <w:color w:val="auto"/>
          <w:szCs w:val="21"/>
          <w:highlight w:val="none"/>
        </w:rPr>
        <w:t>“允许负偏离的条款”是指采购需求中的不属于“实质性要求”的条款。</w:t>
      </w:r>
    </w:p>
    <w:p w14:paraId="74B149BF">
      <w:pPr>
        <w:pStyle w:val="6"/>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3.投标人的资格要求</w:t>
      </w:r>
    </w:p>
    <w:p w14:paraId="148FB493">
      <w:pPr>
        <w:spacing w:line="360" w:lineRule="auto"/>
        <w:ind w:firstLine="420"/>
        <w:jc w:val="left"/>
        <w:rPr>
          <w:rFonts w:ascii="宋体" w:hAnsi="宋体"/>
          <w:color w:val="auto"/>
          <w:szCs w:val="21"/>
          <w:highlight w:val="none"/>
        </w:rPr>
      </w:pPr>
      <w:r>
        <w:rPr>
          <w:rFonts w:hint="eastAsia" w:ascii="宋体" w:hAnsi="宋体"/>
          <w:color w:val="auto"/>
          <w:szCs w:val="21"/>
          <w:highlight w:val="none"/>
        </w:rPr>
        <w:t>投标人的资格要求详见“投标人须知前附表”。</w:t>
      </w:r>
    </w:p>
    <w:p w14:paraId="4773FBB1">
      <w:pPr>
        <w:pStyle w:val="6"/>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4.投标委托</w:t>
      </w:r>
    </w:p>
    <w:p w14:paraId="6531CDB3">
      <w:pPr>
        <w:spacing w:line="360" w:lineRule="auto"/>
        <w:ind w:firstLine="420"/>
        <w:jc w:val="left"/>
        <w:rPr>
          <w:rFonts w:ascii="宋体" w:hAnsi="宋体"/>
          <w:color w:val="auto"/>
          <w:szCs w:val="21"/>
          <w:highlight w:val="none"/>
        </w:rPr>
      </w:pPr>
      <w:r>
        <w:rPr>
          <w:rFonts w:hint="eastAsia" w:ascii="宋体" w:hAnsi="宋体"/>
          <w:color w:val="auto"/>
          <w:szCs w:val="21"/>
          <w:highlight w:val="none"/>
        </w:rPr>
        <w:t>投标人代表参加投标活动过程中必须携带个人有效身份证件。如投标人代表不是法定代表人，须持有授权委托书（按第六章要求格式填写）。</w:t>
      </w:r>
    </w:p>
    <w:p w14:paraId="568724D8">
      <w:pPr>
        <w:pStyle w:val="6"/>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5.投标费用</w:t>
      </w:r>
    </w:p>
    <w:p w14:paraId="002370DC">
      <w:pPr>
        <w:spacing w:line="360" w:lineRule="auto"/>
        <w:ind w:firstLine="420"/>
        <w:jc w:val="left"/>
        <w:rPr>
          <w:rFonts w:ascii="宋体" w:hAnsi="宋体"/>
          <w:color w:val="auto"/>
          <w:szCs w:val="21"/>
          <w:highlight w:val="none"/>
        </w:rPr>
      </w:pPr>
      <w:r>
        <w:rPr>
          <w:rFonts w:hint="eastAsia" w:ascii="宋体" w:hAnsi="宋体" w:cs="宋体"/>
          <w:color w:val="auto"/>
          <w:szCs w:val="21"/>
          <w:highlight w:val="none"/>
        </w:rPr>
        <w:t>投标费用：投标人应承担参与本次采购活动有关的所有费用，包括但不限于获取招标文件、勘查现场、编制和提交投标文件、参加澄清说明、签订合同等，不论投标结果如何，均应自行承担。</w:t>
      </w:r>
    </w:p>
    <w:p w14:paraId="2735C689">
      <w:pPr>
        <w:pStyle w:val="6"/>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6.联合体投标</w:t>
      </w:r>
    </w:p>
    <w:p w14:paraId="0EC3D73C">
      <w:pPr>
        <w:spacing w:line="360" w:lineRule="auto"/>
        <w:ind w:firstLine="420"/>
        <w:jc w:val="left"/>
        <w:rPr>
          <w:rFonts w:ascii="宋体" w:hAnsi="宋体"/>
          <w:color w:val="auto"/>
          <w:szCs w:val="21"/>
          <w:highlight w:val="none"/>
        </w:rPr>
      </w:pPr>
      <w:r>
        <w:rPr>
          <w:rFonts w:hint="eastAsia" w:ascii="宋体" w:hAnsi="宋体"/>
          <w:color w:val="auto"/>
          <w:szCs w:val="21"/>
          <w:highlight w:val="none"/>
        </w:rPr>
        <w:t>6.1本项目是否接受联合体投标，详见“投标人须知前附表”。</w:t>
      </w:r>
    </w:p>
    <w:p w14:paraId="74E07E7B">
      <w:pPr>
        <w:spacing w:line="360" w:lineRule="auto"/>
        <w:ind w:firstLine="420"/>
        <w:jc w:val="left"/>
        <w:rPr>
          <w:rFonts w:ascii="宋体" w:hAnsi="宋体"/>
          <w:bCs/>
          <w:color w:val="auto"/>
          <w:szCs w:val="21"/>
          <w:highlight w:val="none"/>
        </w:rPr>
      </w:pPr>
      <w:r>
        <w:rPr>
          <w:rFonts w:hint="eastAsia" w:ascii="宋体" w:hAnsi="宋体"/>
          <w:bCs/>
          <w:color w:val="auto"/>
          <w:szCs w:val="21"/>
          <w:highlight w:val="none"/>
        </w:rPr>
        <w:t>6.2如接受联合体投标，联合体投标要求详见“投标人须知前附表”。</w:t>
      </w:r>
    </w:p>
    <w:p w14:paraId="47E900B5">
      <w:pPr>
        <w:pStyle w:val="6"/>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 xml:space="preserve">7.转包与分包             </w:t>
      </w:r>
    </w:p>
    <w:p w14:paraId="4543F669">
      <w:pPr>
        <w:pStyle w:val="6"/>
        <w:keepNext w:val="0"/>
        <w:keepLines w:val="0"/>
        <w:spacing w:before="0" w:after="0" w:line="360" w:lineRule="auto"/>
        <w:ind w:left="420"/>
        <w:rPr>
          <w:rFonts w:ascii="宋体" w:hAnsi="宋体"/>
          <w:b w:val="0"/>
          <w:color w:val="auto"/>
          <w:sz w:val="21"/>
          <w:szCs w:val="21"/>
          <w:highlight w:val="none"/>
        </w:rPr>
      </w:pPr>
      <w:r>
        <w:rPr>
          <w:rFonts w:hint="eastAsia" w:ascii="宋体" w:hAnsi="宋体"/>
          <w:b w:val="0"/>
          <w:color w:val="auto"/>
          <w:sz w:val="21"/>
          <w:szCs w:val="21"/>
          <w:highlight w:val="none"/>
        </w:rPr>
        <w:t>7.1本项目不允许转包。</w:t>
      </w:r>
    </w:p>
    <w:p w14:paraId="4CE6CA11">
      <w:pPr>
        <w:pStyle w:val="6"/>
        <w:keepNext w:val="0"/>
        <w:keepLines w:val="0"/>
        <w:spacing w:before="0" w:after="0" w:line="360" w:lineRule="auto"/>
        <w:ind w:firstLine="315"/>
        <w:rPr>
          <w:rFonts w:ascii="宋体" w:hAnsi="宋体"/>
          <w:b w:val="0"/>
          <w:color w:val="auto"/>
          <w:sz w:val="21"/>
          <w:szCs w:val="21"/>
          <w:highlight w:val="none"/>
        </w:rPr>
      </w:pPr>
      <w:r>
        <w:rPr>
          <w:rFonts w:hint="eastAsia" w:ascii="宋体" w:hAnsi="宋体"/>
          <w:b w:val="0"/>
          <w:color w:val="auto"/>
          <w:sz w:val="21"/>
          <w:szCs w:val="21"/>
          <w:highlight w:val="none"/>
        </w:rPr>
        <w:t xml:space="preserve"> 7.2本项目是否允许分包详见“投标人须知前附表”，本项目不允许违法分包。允许分包的非主体、非关键性工作，根据法律法规规定承担该工作需要行政许可的，如该工作由投标人自行承担，投标人应具备相应的行政许可，如投标人不具备相应的行政许可必须采用分包的方式，但分包投标人应具备相应行政许可。</w:t>
      </w:r>
    </w:p>
    <w:p w14:paraId="37DDC940">
      <w:pPr>
        <w:pStyle w:val="6"/>
        <w:keepNext w:val="0"/>
        <w:keepLines w:val="0"/>
        <w:spacing w:before="0" w:after="0" w:line="360" w:lineRule="auto"/>
        <w:ind w:firstLine="315"/>
        <w:rPr>
          <w:rFonts w:ascii="宋体" w:hAnsi="宋体"/>
          <w:b w:val="0"/>
          <w:color w:val="auto"/>
          <w:sz w:val="21"/>
          <w:szCs w:val="21"/>
          <w:highlight w:val="none"/>
        </w:rPr>
      </w:pPr>
      <w:r>
        <w:rPr>
          <w:rFonts w:hint="eastAsia" w:ascii="宋体" w:hAnsi="宋体"/>
          <w:b w:val="0"/>
          <w:color w:val="auto"/>
          <w:sz w:val="21"/>
          <w:szCs w:val="21"/>
          <w:highlight w:val="none"/>
        </w:rPr>
        <w:t xml:space="preserve"> 7.3投标人根据招标文件的规定和采购项目的实际情况，拟在中标后将中标项目的非主体、非关键性工作分包的，应当在投标文件中载明分包承担主体，分包承担主体应当具备相应资质条件且不得再次分包。</w:t>
      </w:r>
    </w:p>
    <w:p w14:paraId="22AA4038">
      <w:pPr>
        <w:pStyle w:val="6"/>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8.特别说明</w:t>
      </w:r>
    </w:p>
    <w:p w14:paraId="1BE8DA33">
      <w:pPr>
        <w:pStyle w:val="6"/>
        <w:keepNext w:val="0"/>
        <w:keepLines w:val="0"/>
        <w:spacing w:before="0" w:after="0" w:line="360" w:lineRule="auto"/>
        <w:ind w:firstLine="562"/>
        <w:rPr>
          <w:rFonts w:ascii="宋体" w:hAnsi="宋体"/>
          <w:b w:val="0"/>
          <w:color w:val="auto"/>
          <w:sz w:val="21"/>
          <w:szCs w:val="21"/>
          <w:highlight w:val="none"/>
        </w:rPr>
      </w:pPr>
      <w:r>
        <w:rPr>
          <w:color w:val="auto"/>
          <w:highlight w:val="none"/>
        </w:rPr>
        <w:fldChar w:fldCharType="begin"/>
      </w:r>
      <w:r>
        <w:rPr>
          <w:color w:val="auto"/>
          <w:highlight w:val="none"/>
        </w:rPr>
        <w:instrText xml:space="preserve"> HYPERLINK \l "_8.1" </w:instrText>
      </w:r>
      <w:r>
        <w:rPr>
          <w:color w:val="auto"/>
          <w:highlight w:val="none"/>
        </w:rPr>
        <w:fldChar w:fldCharType="separate"/>
      </w:r>
      <w:r>
        <w:rPr>
          <w:rFonts w:hint="eastAsia" w:ascii="宋体" w:hAnsi="宋体"/>
          <w:b w:val="0"/>
          <w:color w:val="auto"/>
          <w:sz w:val="21"/>
          <w:szCs w:val="21"/>
          <w:highlight w:val="none"/>
        </w:rPr>
        <w:t>8.1</w:t>
      </w:r>
      <w:r>
        <w:rPr>
          <w:rFonts w:hint="eastAsia" w:ascii="宋体" w:hAnsi="宋体"/>
          <w:b w:val="0"/>
          <w:color w:val="auto"/>
          <w:sz w:val="21"/>
          <w:szCs w:val="21"/>
          <w:highlight w:val="none"/>
        </w:rPr>
        <w:fldChar w:fldCharType="end"/>
      </w:r>
      <w:r>
        <w:rPr>
          <w:rFonts w:hint="eastAsia" w:ascii="宋体" w:hAnsi="宋体"/>
          <w:b w:val="0"/>
          <w:color w:val="auto"/>
          <w:sz w:val="21"/>
          <w:szCs w:val="21"/>
          <w:highlight w:val="none"/>
        </w:rPr>
        <w:t>采用最低评标价法的采购项目，提供相同品牌产品的不同投标人参加同一合同项下投标的，以其中通过资格审查、符合性审查且报价最低的参加评标；报价相同的，由采购人或者采购人委托评标委员会按照“投标人须知前附表”规定的方式确定一个参加评标的投标人，</w:t>
      </w:r>
      <w:r>
        <w:rPr>
          <w:rFonts w:hint="eastAsia" w:ascii="宋体" w:hAnsi="宋体"/>
          <w:color w:val="auto"/>
          <w:sz w:val="22"/>
          <w:szCs w:val="22"/>
          <w:highlight w:val="none"/>
        </w:rPr>
        <w:t>其他投标无效。</w:t>
      </w:r>
    </w:p>
    <w:p w14:paraId="3548CAEE">
      <w:pPr>
        <w:pStyle w:val="6"/>
        <w:keepNext w:val="0"/>
        <w:keepLines w:val="0"/>
        <w:spacing w:before="0" w:after="0" w:line="360" w:lineRule="auto"/>
        <w:ind w:firstLine="420"/>
        <w:rPr>
          <w:rFonts w:ascii="宋体" w:hAnsi="宋体"/>
          <w:b w:val="0"/>
          <w:color w:val="auto"/>
          <w:sz w:val="21"/>
          <w:szCs w:val="21"/>
          <w:highlight w:val="none"/>
        </w:rPr>
      </w:pPr>
      <w:r>
        <w:rPr>
          <w:rFonts w:hint="eastAsia" w:ascii="宋体" w:hAnsi="宋体"/>
          <w:b w:val="0"/>
          <w:color w:val="auto"/>
          <w:sz w:val="21"/>
          <w:szCs w:val="21"/>
          <w:highlight w:val="none"/>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投标人须知前附表”规定的方式确定一个投标人获得中标人推荐资格，其他同品牌投标人不作为中标候选人。</w:t>
      </w:r>
    </w:p>
    <w:p w14:paraId="1602AD11">
      <w:pPr>
        <w:pStyle w:val="25"/>
        <w:spacing w:line="360" w:lineRule="auto"/>
        <w:ind w:left="2" w:firstLine="420"/>
        <w:rPr>
          <w:rFonts w:hAnsi="宋体"/>
          <w:color w:val="auto"/>
          <w:sz w:val="21"/>
          <w:highlight w:val="none"/>
        </w:rPr>
      </w:pPr>
      <w:r>
        <w:rPr>
          <w:rFonts w:hint="eastAsia" w:hAnsi="宋体"/>
          <w:color w:val="auto"/>
          <w:sz w:val="21"/>
          <w:highlight w:val="none"/>
        </w:rPr>
        <w:t>非单一产品采购项目，多家投标人提供的核心产品品牌相同的，</w:t>
      </w:r>
      <w:r>
        <w:rPr>
          <w:rFonts w:hint="eastAsia" w:hAnsi="宋体"/>
          <w:color w:val="auto"/>
          <w:sz w:val="22"/>
          <w:szCs w:val="22"/>
          <w:highlight w:val="none"/>
        </w:rPr>
        <w:t>按前两款规定处理</w:t>
      </w:r>
      <w:r>
        <w:rPr>
          <w:rFonts w:hint="eastAsia" w:hAnsi="宋体"/>
          <w:color w:val="auto"/>
          <w:sz w:val="21"/>
          <w:highlight w:val="none"/>
        </w:rPr>
        <w:t>。</w:t>
      </w:r>
    </w:p>
    <w:p w14:paraId="4B75637F">
      <w:pPr>
        <w:pStyle w:val="6"/>
        <w:keepNext w:val="0"/>
        <w:keepLines w:val="0"/>
        <w:spacing w:before="0" w:after="0" w:line="360" w:lineRule="auto"/>
        <w:ind w:firstLine="367"/>
        <w:rPr>
          <w:rFonts w:ascii="宋体" w:hAnsi="宋体"/>
          <w:b w:val="0"/>
          <w:color w:val="auto"/>
          <w:sz w:val="21"/>
          <w:szCs w:val="21"/>
          <w:highlight w:val="none"/>
        </w:rPr>
      </w:pPr>
      <w:r>
        <w:rPr>
          <w:rFonts w:hint="eastAsia" w:ascii="宋体" w:hAnsi="宋体"/>
          <w:b w:val="0"/>
          <w:color w:val="auto"/>
          <w:sz w:val="21"/>
          <w:szCs w:val="21"/>
          <w:highlight w:val="none"/>
        </w:rPr>
        <w:t xml:space="preserve"> 8.2如果本招标文件要求提供投标人或制造商的资格、信誉、荣誉、业绩与企业认证等材料的，资格、信誉、荣誉、业绩与企业认证等必须为投标人或者制造商所拥有或自身获得 。</w:t>
      </w:r>
    </w:p>
    <w:p w14:paraId="616B60FE">
      <w:pPr>
        <w:pStyle w:val="6"/>
        <w:keepNext w:val="0"/>
        <w:keepLines w:val="0"/>
        <w:spacing w:before="0" w:after="0" w:line="360" w:lineRule="auto"/>
        <w:ind w:firstLine="367"/>
        <w:rPr>
          <w:rFonts w:ascii="宋体" w:hAnsi="宋体"/>
          <w:b w:val="0"/>
          <w:color w:val="auto"/>
          <w:sz w:val="21"/>
          <w:szCs w:val="21"/>
          <w:highlight w:val="none"/>
        </w:rPr>
      </w:pPr>
      <w:r>
        <w:rPr>
          <w:rFonts w:hint="eastAsia" w:ascii="宋体" w:hAnsi="宋体"/>
          <w:b w:val="0"/>
          <w:color w:val="auto"/>
          <w:sz w:val="21"/>
          <w:szCs w:val="21"/>
          <w:highlight w:val="none"/>
        </w:rPr>
        <w:t xml:space="preserve"> 8.3投标人应仔细阅读招标文件的所有内容，按照招标文件的要求提交投标文件，并对所提供的全部资料的真实性承担法律责任。</w:t>
      </w:r>
    </w:p>
    <w:p w14:paraId="328A7B09">
      <w:pPr>
        <w:pStyle w:val="6"/>
        <w:keepNext w:val="0"/>
        <w:keepLines w:val="0"/>
        <w:spacing w:before="0" w:after="0" w:line="360" w:lineRule="auto"/>
        <w:ind w:firstLine="367"/>
        <w:rPr>
          <w:rFonts w:ascii="宋体" w:hAnsi="宋体"/>
          <w:b w:val="0"/>
          <w:color w:val="auto"/>
          <w:sz w:val="21"/>
          <w:szCs w:val="21"/>
          <w:highlight w:val="none"/>
        </w:rPr>
      </w:pPr>
      <w:r>
        <w:rPr>
          <w:rFonts w:hint="eastAsia" w:ascii="宋体" w:hAnsi="宋体"/>
          <w:b w:val="0"/>
          <w:color w:val="auto"/>
          <w:sz w:val="21"/>
          <w:szCs w:val="21"/>
          <w:highlight w:val="none"/>
        </w:rPr>
        <w:t xml:space="preserve"> 8.4投标人在投标活动中提供任何虚假材料，将报监管部门查处；中标后发现的，中标人须依照《中华人民共和国消费者权益保护法》规定赔偿采购人，且民事赔偿并不免除违法投标人的行政与刑事责任。</w:t>
      </w:r>
    </w:p>
    <w:p w14:paraId="0F13D5D3">
      <w:pPr>
        <w:pStyle w:val="7"/>
        <w:spacing w:line="360" w:lineRule="auto"/>
        <w:rPr>
          <w:color w:val="auto"/>
          <w:highlight w:val="none"/>
        </w:rPr>
      </w:pPr>
      <w:r>
        <w:rPr>
          <w:color w:val="auto"/>
          <w:highlight w:val="none"/>
        </w:rPr>
        <w:t>8.5</w:t>
      </w:r>
      <w:r>
        <w:rPr>
          <w:rFonts w:hint="eastAsia"/>
          <w:color w:val="auto"/>
          <w:highlight w:val="none"/>
        </w:rPr>
        <w:t>根据《国务院办公厅关于在政府采购中实施本国产品标准及相关政策的通知》（国办发〔2025〕34号）的规定，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C4B7AB2">
      <w:pPr>
        <w:pStyle w:val="7"/>
        <w:spacing w:line="360" w:lineRule="auto"/>
        <w:rPr>
          <w:color w:val="auto"/>
          <w:highlight w:val="none"/>
        </w:rPr>
      </w:pPr>
      <w:r>
        <w:rPr>
          <w:rFonts w:hint="eastAsia"/>
          <w:color w:val="auto"/>
          <w:highlight w:val="none"/>
        </w:rPr>
        <w:t>产品在中国境内生产的组件成本占比应当达到规定比例，计算公式为：</w:t>
      </w:r>
    </w:p>
    <w:p w14:paraId="6A03C5C5">
      <w:pPr>
        <w:widowControl/>
        <w:shd w:val="clear" w:color="auto" w:fill="FFFFFF"/>
        <w:spacing w:before="30" w:after="30" w:line="360" w:lineRule="auto"/>
        <w:jc w:val="center"/>
        <w:rPr>
          <w:rFonts w:ascii="宋体" w:hAnsi="宋体" w:cs="宋体"/>
          <w:color w:val="auto"/>
          <w:sz w:val="24"/>
          <w:highlight w:val="none"/>
        </w:rPr>
      </w:pPr>
      <w:r>
        <w:rPr>
          <w:rFonts w:ascii="宋体" w:hAnsi="宋体" w:cs="宋体"/>
          <w:color w:val="auto"/>
          <w:sz w:val="24"/>
          <w:highlight w:val="none"/>
        </w:rPr>
        <w:fldChar w:fldCharType="begin"/>
      </w:r>
      <w:r>
        <w:rPr>
          <w:rFonts w:ascii="宋体" w:hAnsi="宋体" w:cs="宋体"/>
          <w:color w:val="auto"/>
          <w:sz w:val="24"/>
          <w:highlight w:val="none"/>
        </w:rPr>
        <w:instrText xml:space="preserve"> INCLUDEPICTURE "https://www.gov.cn/zhengce/content/202509/W020250930645245947614.png" \* MERGEFORMATINET </w:instrText>
      </w:r>
      <w:r>
        <w:rPr>
          <w:rFonts w:ascii="宋体" w:hAnsi="宋体" w:cs="宋体"/>
          <w:color w:val="auto"/>
          <w:sz w:val="24"/>
          <w:highlight w:val="none"/>
        </w:rPr>
        <w:fldChar w:fldCharType="separate"/>
      </w:r>
      <w:r>
        <w:rPr>
          <w:rFonts w:ascii="宋体" w:hAnsi="宋体" w:cs="宋体"/>
          <w:color w:val="auto"/>
          <w:sz w:val="24"/>
          <w:highlight w:val="none"/>
        </w:rPr>
        <w:drawing>
          <wp:inline distT="0" distB="0" distL="0" distR="0">
            <wp:extent cx="4827905" cy="762635"/>
            <wp:effectExtent l="0" t="0" r="3175" b="14604"/>
            <wp:docPr id="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pic:cNvPicPr>
                      <a:picLocks noChangeAspect="1"/>
                    </pic:cNvPicPr>
                  </pic:nvPicPr>
                  <pic:blipFill>
                    <a:blip r:embed="rId15"/>
                    <a:stretch>
                      <a:fillRect/>
                    </a:stretch>
                  </pic:blipFill>
                  <pic:spPr>
                    <a:xfrm>
                      <a:off x="0" y="0"/>
                      <a:ext cx="4827905" cy="762635"/>
                    </a:xfrm>
                    <a:prstGeom prst="rect">
                      <a:avLst/>
                    </a:prstGeom>
                    <a:noFill/>
                    <a:ln>
                      <a:noFill/>
                    </a:ln>
                  </pic:spPr>
                </pic:pic>
              </a:graphicData>
            </a:graphic>
          </wp:inline>
        </w:drawing>
      </w:r>
      <w:r>
        <w:rPr>
          <w:rFonts w:ascii="宋体" w:hAnsi="宋体" w:cs="宋体"/>
          <w:color w:val="auto"/>
          <w:sz w:val="24"/>
          <w:highlight w:val="none"/>
        </w:rPr>
        <w:fldChar w:fldCharType="end"/>
      </w:r>
    </w:p>
    <w:p w14:paraId="27ACF180">
      <w:pPr>
        <w:pStyle w:val="7"/>
        <w:spacing w:line="360" w:lineRule="auto"/>
        <w:rPr>
          <w:color w:val="auto"/>
          <w:highlight w:val="none"/>
        </w:rPr>
      </w:pPr>
      <w:r>
        <w:rPr>
          <w:rFonts w:hint="eastAsia"/>
          <w:color w:val="auto"/>
          <w:highlight w:val="none"/>
        </w:rPr>
        <w:t>财政部会同有关行业主管部门，分产品确定在中国境内生产的组件成本占比应当达到的规定比例。在分产品的中国境内生产的组件成本占比相关要求实施前，符合《国务院办公厅关于在政府采购中实施本国产品标准及相关政策的通知》第一条第（一）项条件的产品在政府采购活动中视同本国产品。</w:t>
      </w:r>
    </w:p>
    <w:p w14:paraId="63E0919C">
      <w:pPr>
        <w:pStyle w:val="7"/>
        <w:spacing w:line="360" w:lineRule="auto"/>
        <w:rPr>
          <w:color w:val="auto"/>
          <w:highlight w:val="none"/>
        </w:rPr>
      </w:pPr>
      <w:r>
        <w:rPr>
          <w:rFonts w:hint="eastAsia"/>
          <w:color w:val="auto"/>
          <w:highlight w:val="none"/>
        </w:rPr>
        <w:t>政府采购活动中既有本国产品又有非本国产品参与竞争的，依法对本国产品给予价格评审优惠，对本国产品的报价给予20%的价格扣除，用扣除后的价格参与评审。</w:t>
      </w:r>
    </w:p>
    <w:p w14:paraId="2644FB31">
      <w:pPr>
        <w:pStyle w:val="7"/>
        <w:spacing w:line="360" w:lineRule="auto"/>
        <w:rPr>
          <w:color w:val="auto"/>
          <w:highlight w:val="none"/>
        </w:rPr>
      </w:pPr>
      <w:r>
        <w:rPr>
          <w:rFonts w:hint="eastAsia"/>
          <w:color w:val="auto"/>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3D58BE5">
      <w:pPr>
        <w:pStyle w:val="7"/>
        <w:rPr>
          <w:color w:val="auto"/>
          <w:highlight w:val="none"/>
        </w:rPr>
      </w:pPr>
    </w:p>
    <w:p w14:paraId="6AF30EEF">
      <w:pPr>
        <w:pStyle w:val="6"/>
        <w:keepNext w:val="0"/>
        <w:keepLines w:val="0"/>
        <w:spacing w:before="0" w:after="0" w:line="360" w:lineRule="auto"/>
        <w:ind w:left="420"/>
        <w:rPr>
          <w:rFonts w:ascii="黑体" w:hAnsi="黑体" w:eastAsia="黑体"/>
          <w:color w:val="auto"/>
          <w:sz w:val="24"/>
          <w:highlight w:val="none"/>
        </w:rPr>
      </w:pPr>
      <w:r>
        <w:rPr>
          <w:rFonts w:ascii="黑体" w:hAnsi="黑体" w:eastAsia="黑体"/>
          <w:color w:val="auto"/>
          <w:sz w:val="24"/>
          <w:highlight w:val="none"/>
        </w:rPr>
        <w:t>9.</w:t>
      </w:r>
      <w:r>
        <w:rPr>
          <w:rFonts w:hint="eastAsia" w:ascii="黑体" w:hAnsi="黑体" w:eastAsia="黑体"/>
          <w:color w:val="auto"/>
          <w:sz w:val="24"/>
          <w:highlight w:val="none"/>
        </w:rPr>
        <w:t>回避与串通投标</w:t>
      </w:r>
    </w:p>
    <w:p w14:paraId="4026984D">
      <w:pPr>
        <w:pStyle w:val="6"/>
        <w:keepNext w:val="0"/>
        <w:keepLines w:val="0"/>
        <w:spacing w:before="0" w:after="0" w:line="360" w:lineRule="auto"/>
        <w:ind w:firstLine="367"/>
        <w:rPr>
          <w:rFonts w:ascii="宋体" w:hAnsi="宋体"/>
          <w:b w:val="0"/>
          <w:color w:val="auto"/>
          <w:sz w:val="21"/>
          <w:szCs w:val="21"/>
          <w:highlight w:val="none"/>
        </w:rPr>
      </w:pPr>
      <w:r>
        <w:rPr>
          <w:rFonts w:hint="eastAsia" w:ascii="宋体" w:hAnsi="宋体"/>
          <w:b w:val="0"/>
          <w:color w:val="auto"/>
          <w:sz w:val="21"/>
          <w:szCs w:val="21"/>
          <w:highlight w:val="none"/>
        </w:rPr>
        <w:t>9</w:t>
      </w:r>
      <w:r>
        <w:rPr>
          <w:rFonts w:ascii="宋体" w:hAnsi="宋体"/>
          <w:b w:val="0"/>
          <w:color w:val="auto"/>
          <w:sz w:val="21"/>
          <w:szCs w:val="21"/>
          <w:highlight w:val="none"/>
        </w:rPr>
        <w:t>.1在政府采购活动中，采购人员及相关人员与</w:t>
      </w:r>
      <w:r>
        <w:rPr>
          <w:rFonts w:hint="eastAsia" w:ascii="宋体" w:hAnsi="宋体"/>
          <w:b w:val="0"/>
          <w:color w:val="auto"/>
          <w:sz w:val="21"/>
          <w:szCs w:val="21"/>
          <w:highlight w:val="none"/>
        </w:rPr>
        <w:t>供应商</w:t>
      </w:r>
      <w:r>
        <w:rPr>
          <w:rFonts w:ascii="宋体" w:hAnsi="宋体"/>
          <w:b w:val="0"/>
          <w:color w:val="auto"/>
          <w:sz w:val="21"/>
          <w:szCs w:val="21"/>
          <w:highlight w:val="none"/>
        </w:rPr>
        <w:t>有下列利害关系之一的，应当回避：</w:t>
      </w:r>
    </w:p>
    <w:p w14:paraId="537B31B9">
      <w:pPr>
        <w:pStyle w:val="25"/>
        <w:spacing w:line="360" w:lineRule="auto"/>
        <w:ind w:left="2" w:firstLine="420"/>
        <w:rPr>
          <w:rFonts w:hAnsi="宋体"/>
          <w:color w:val="auto"/>
          <w:sz w:val="21"/>
          <w:highlight w:val="none"/>
        </w:rPr>
      </w:pPr>
      <w:r>
        <w:rPr>
          <w:rFonts w:hAnsi="宋体"/>
          <w:color w:val="auto"/>
          <w:sz w:val="21"/>
          <w:highlight w:val="none"/>
        </w:rPr>
        <w:t>（</w:t>
      </w:r>
      <w:r>
        <w:rPr>
          <w:rFonts w:hint="eastAsia" w:hAnsi="宋体"/>
          <w:color w:val="auto"/>
          <w:sz w:val="21"/>
          <w:highlight w:val="none"/>
        </w:rPr>
        <w:t>1</w:t>
      </w:r>
      <w:r>
        <w:rPr>
          <w:rFonts w:hAnsi="宋体"/>
          <w:color w:val="auto"/>
          <w:sz w:val="21"/>
          <w:highlight w:val="none"/>
        </w:rPr>
        <w:t>）参加采购活动前3年内与</w:t>
      </w:r>
      <w:r>
        <w:rPr>
          <w:rFonts w:hint="eastAsia" w:hAnsi="宋体"/>
          <w:color w:val="auto"/>
          <w:sz w:val="21"/>
          <w:highlight w:val="none"/>
        </w:rPr>
        <w:t>供应商</w:t>
      </w:r>
      <w:r>
        <w:rPr>
          <w:rFonts w:hAnsi="宋体"/>
          <w:color w:val="auto"/>
          <w:sz w:val="21"/>
          <w:highlight w:val="none"/>
        </w:rPr>
        <w:t>存在劳动关系；</w:t>
      </w:r>
    </w:p>
    <w:p w14:paraId="180D8935">
      <w:pPr>
        <w:pStyle w:val="25"/>
        <w:spacing w:line="360" w:lineRule="auto"/>
        <w:ind w:left="2" w:firstLine="420"/>
        <w:rPr>
          <w:rFonts w:hAnsi="宋体"/>
          <w:color w:val="auto"/>
          <w:sz w:val="21"/>
          <w:highlight w:val="none"/>
        </w:rPr>
      </w:pPr>
      <w:r>
        <w:rPr>
          <w:rFonts w:hAnsi="宋体"/>
          <w:color w:val="auto"/>
          <w:sz w:val="21"/>
          <w:highlight w:val="none"/>
        </w:rPr>
        <w:t>（</w:t>
      </w:r>
      <w:r>
        <w:rPr>
          <w:rFonts w:hint="eastAsia" w:hAnsi="宋体"/>
          <w:color w:val="auto"/>
          <w:sz w:val="21"/>
          <w:highlight w:val="none"/>
        </w:rPr>
        <w:t>2</w:t>
      </w:r>
      <w:r>
        <w:rPr>
          <w:rFonts w:hAnsi="宋体"/>
          <w:color w:val="auto"/>
          <w:sz w:val="21"/>
          <w:highlight w:val="none"/>
        </w:rPr>
        <w:t>）参加采购活动前3年内担任</w:t>
      </w:r>
      <w:r>
        <w:rPr>
          <w:rFonts w:hint="eastAsia" w:hAnsi="宋体"/>
          <w:color w:val="auto"/>
          <w:sz w:val="21"/>
          <w:highlight w:val="none"/>
        </w:rPr>
        <w:t>供应商</w:t>
      </w:r>
      <w:r>
        <w:rPr>
          <w:rFonts w:hAnsi="宋体"/>
          <w:color w:val="auto"/>
          <w:sz w:val="21"/>
          <w:highlight w:val="none"/>
        </w:rPr>
        <w:t>的董事、监事；</w:t>
      </w:r>
    </w:p>
    <w:p w14:paraId="5BCE23AC">
      <w:pPr>
        <w:pStyle w:val="25"/>
        <w:spacing w:line="360" w:lineRule="auto"/>
        <w:ind w:left="2" w:firstLine="420"/>
        <w:rPr>
          <w:rFonts w:hAnsi="宋体"/>
          <w:color w:val="auto"/>
          <w:sz w:val="21"/>
          <w:highlight w:val="none"/>
        </w:rPr>
      </w:pPr>
      <w:r>
        <w:rPr>
          <w:rFonts w:hAnsi="宋体"/>
          <w:color w:val="auto"/>
          <w:sz w:val="21"/>
          <w:highlight w:val="none"/>
        </w:rPr>
        <w:t>（</w:t>
      </w:r>
      <w:r>
        <w:rPr>
          <w:rFonts w:hint="eastAsia" w:hAnsi="宋体"/>
          <w:color w:val="auto"/>
          <w:sz w:val="21"/>
          <w:highlight w:val="none"/>
        </w:rPr>
        <w:t>3</w:t>
      </w:r>
      <w:r>
        <w:rPr>
          <w:rFonts w:hAnsi="宋体"/>
          <w:color w:val="auto"/>
          <w:sz w:val="21"/>
          <w:highlight w:val="none"/>
        </w:rPr>
        <w:t>）参加采购活动前3年内是</w:t>
      </w:r>
      <w:r>
        <w:rPr>
          <w:rFonts w:hint="eastAsia" w:hAnsi="宋体"/>
          <w:color w:val="auto"/>
          <w:sz w:val="21"/>
          <w:highlight w:val="none"/>
        </w:rPr>
        <w:t>供应商</w:t>
      </w:r>
      <w:r>
        <w:rPr>
          <w:rFonts w:hAnsi="宋体"/>
          <w:color w:val="auto"/>
          <w:sz w:val="21"/>
          <w:highlight w:val="none"/>
        </w:rPr>
        <w:t>的控股股东或者实际控制人；</w:t>
      </w:r>
    </w:p>
    <w:p w14:paraId="65AF0660">
      <w:pPr>
        <w:pStyle w:val="25"/>
        <w:spacing w:line="360" w:lineRule="auto"/>
        <w:ind w:left="2" w:firstLine="420"/>
        <w:rPr>
          <w:rFonts w:hAnsi="宋体"/>
          <w:color w:val="auto"/>
          <w:sz w:val="21"/>
          <w:highlight w:val="none"/>
        </w:rPr>
      </w:pPr>
      <w:r>
        <w:rPr>
          <w:rFonts w:hAnsi="宋体"/>
          <w:color w:val="auto"/>
          <w:sz w:val="21"/>
          <w:highlight w:val="none"/>
        </w:rPr>
        <w:t>（</w:t>
      </w:r>
      <w:r>
        <w:rPr>
          <w:rFonts w:hint="eastAsia" w:hAnsi="宋体"/>
          <w:color w:val="auto"/>
          <w:sz w:val="21"/>
          <w:highlight w:val="none"/>
        </w:rPr>
        <w:t>4</w:t>
      </w:r>
      <w:r>
        <w:rPr>
          <w:rFonts w:hAnsi="宋体"/>
          <w:color w:val="auto"/>
          <w:sz w:val="21"/>
          <w:highlight w:val="none"/>
        </w:rPr>
        <w:t>）与</w:t>
      </w:r>
      <w:r>
        <w:rPr>
          <w:rFonts w:hint="eastAsia" w:hAnsi="宋体"/>
          <w:color w:val="auto"/>
          <w:sz w:val="21"/>
          <w:highlight w:val="none"/>
        </w:rPr>
        <w:t>供应商</w:t>
      </w:r>
      <w:r>
        <w:rPr>
          <w:rFonts w:hAnsi="宋体"/>
          <w:color w:val="auto"/>
          <w:sz w:val="21"/>
          <w:highlight w:val="none"/>
        </w:rPr>
        <w:t>的法定代表人或者负责人有夫妻、直系血亲、三代以内旁系血亲或者近姻亲关系；</w:t>
      </w:r>
    </w:p>
    <w:p w14:paraId="0465EBFB">
      <w:pPr>
        <w:pStyle w:val="25"/>
        <w:spacing w:line="360" w:lineRule="auto"/>
        <w:ind w:left="2" w:firstLine="420"/>
        <w:rPr>
          <w:rFonts w:hAnsi="宋体"/>
          <w:color w:val="auto"/>
          <w:sz w:val="21"/>
          <w:highlight w:val="none"/>
        </w:rPr>
      </w:pPr>
      <w:r>
        <w:rPr>
          <w:rFonts w:hAnsi="宋体"/>
          <w:color w:val="auto"/>
          <w:sz w:val="21"/>
          <w:highlight w:val="none"/>
        </w:rPr>
        <w:t>（</w:t>
      </w:r>
      <w:r>
        <w:rPr>
          <w:rFonts w:hint="eastAsia" w:hAnsi="宋体"/>
          <w:color w:val="auto"/>
          <w:sz w:val="21"/>
          <w:highlight w:val="none"/>
        </w:rPr>
        <w:t>5</w:t>
      </w:r>
      <w:r>
        <w:rPr>
          <w:rFonts w:hAnsi="宋体"/>
          <w:color w:val="auto"/>
          <w:sz w:val="21"/>
          <w:highlight w:val="none"/>
        </w:rPr>
        <w:t>）与</w:t>
      </w:r>
      <w:r>
        <w:rPr>
          <w:rFonts w:hint="eastAsia" w:hAnsi="宋体"/>
          <w:color w:val="auto"/>
          <w:sz w:val="21"/>
          <w:highlight w:val="none"/>
        </w:rPr>
        <w:t>供应商</w:t>
      </w:r>
      <w:r>
        <w:rPr>
          <w:rFonts w:hAnsi="宋体"/>
          <w:color w:val="auto"/>
          <w:sz w:val="21"/>
          <w:highlight w:val="none"/>
        </w:rPr>
        <w:t>有其他可能影响政府采购活动公平、公正进行的关系。</w:t>
      </w:r>
    </w:p>
    <w:p w14:paraId="607B20A9">
      <w:pPr>
        <w:pStyle w:val="25"/>
        <w:spacing w:line="360" w:lineRule="auto"/>
        <w:ind w:left="2" w:firstLine="420"/>
        <w:rPr>
          <w:rFonts w:hAnsi="宋体"/>
          <w:color w:val="auto"/>
          <w:sz w:val="21"/>
          <w:highlight w:val="none"/>
        </w:rPr>
      </w:pPr>
      <w:r>
        <w:rPr>
          <w:rFonts w:hint="eastAsia" w:hAnsi="宋体"/>
          <w:color w:val="auto"/>
          <w:sz w:val="21"/>
          <w:highlight w:val="none"/>
        </w:rPr>
        <w:t>供应商</w:t>
      </w:r>
      <w:r>
        <w:rPr>
          <w:rFonts w:hAnsi="宋体"/>
          <w:color w:val="auto"/>
          <w:sz w:val="21"/>
          <w:highlight w:val="none"/>
        </w:rPr>
        <w:t>认为采购人员及相关人员与其他</w:t>
      </w:r>
      <w:r>
        <w:rPr>
          <w:rFonts w:hint="eastAsia" w:hAnsi="宋体"/>
          <w:color w:val="auto"/>
          <w:sz w:val="21"/>
          <w:highlight w:val="none"/>
        </w:rPr>
        <w:t>供应商</w:t>
      </w:r>
      <w:r>
        <w:rPr>
          <w:rFonts w:hAnsi="宋体"/>
          <w:color w:val="auto"/>
          <w:sz w:val="21"/>
          <w:highlight w:val="none"/>
        </w:rPr>
        <w:t>有利害关系的，可以向采购人或者采购代理机构书面提出回避申请，并说明理由。采购人或者采购代理机构应当及时询问被申请回避人员，有利害关系的被申请回避人员应当回避。</w:t>
      </w:r>
    </w:p>
    <w:p w14:paraId="47734854">
      <w:pPr>
        <w:pStyle w:val="6"/>
        <w:keepNext w:val="0"/>
        <w:keepLines w:val="0"/>
        <w:spacing w:before="0" w:after="0" w:line="360" w:lineRule="auto"/>
        <w:ind w:left="420"/>
        <w:rPr>
          <w:rFonts w:ascii="宋体" w:hAnsi="宋体"/>
          <w:color w:val="auto"/>
          <w:sz w:val="21"/>
          <w:szCs w:val="21"/>
          <w:highlight w:val="none"/>
        </w:rPr>
      </w:pPr>
      <w:r>
        <w:rPr>
          <w:rFonts w:ascii="宋体" w:hAnsi="宋体"/>
          <w:color w:val="auto"/>
          <w:sz w:val="21"/>
          <w:szCs w:val="21"/>
          <w:highlight w:val="none"/>
        </w:rPr>
        <w:t>9.2</w:t>
      </w:r>
      <w:r>
        <w:rPr>
          <w:rFonts w:hint="eastAsia" w:ascii="宋体" w:hAnsi="宋体"/>
          <w:color w:val="auto"/>
          <w:sz w:val="21"/>
          <w:szCs w:val="21"/>
          <w:highlight w:val="none"/>
        </w:rPr>
        <w:t>有下列情形之一的视为投标人相互串通投标，投标文件将被视为无效：</w:t>
      </w:r>
    </w:p>
    <w:p w14:paraId="64E6F278">
      <w:pPr>
        <w:pStyle w:val="25"/>
        <w:spacing w:line="360" w:lineRule="auto"/>
        <w:ind w:left="2" w:firstLine="422"/>
        <w:rPr>
          <w:rFonts w:hAnsi="宋体"/>
          <w:b/>
          <w:color w:val="auto"/>
          <w:sz w:val="21"/>
          <w:highlight w:val="none"/>
        </w:rPr>
      </w:pPr>
      <w:r>
        <w:rPr>
          <w:rFonts w:hint="eastAsia" w:hAnsi="宋体"/>
          <w:b/>
          <w:color w:val="auto"/>
          <w:sz w:val="21"/>
          <w:highlight w:val="none"/>
        </w:rPr>
        <w:t xml:space="preserve">（1）不同投标人的投标文件由同一单位或者个人编制；或不同投标人报名的IP地址一致的； </w:t>
      </w:r>
    </w:p>
    <w:p w14:paraId="565FDA85">
      <w:pPr>
        <w:pStyle w:val="25"/>
        <w:spacing w:line="360" w:lineRule="auto"/>
        <w:ind w:left="2" w:firstLine="422"/>
        <w:rPr>
          <w:rFonts w:hAnsi="宋体"/>
          <w:b/>
          <w:color w:val="auto"/>
          <w:sz w:val="21"/>
          <w:highlight w:val="none"/>
        </w:rPr>
      </w:pPr>
      <w:r>
        <w:rPr>
          <w:rFonts w:hint="eastAsia" w:hAnsi="宋体"/>
          <w:b/>
          <w:color w:val="auto"/>
          <w:sz w:val="21"/>
          <w:highlight w:val="none"/>
        </w:rPr>
        <w:t>（2）不同投标人委托同一单位或者个人办理投标事宜；</w:t>
      </w:r>
    </w:p>
    <w:p w14:paraId="6484F5E2">
      <w:pPr>
        <w:pStyle w:val="25"/>
        <w:spacing w:line="360" w:lineRule="auto"/>
        <w:ind w:left="2" w:firstLine="422"/>
        <w:rPr>
          <w:rFonts w:hAnsi="宋体"/>
          <w:b/>
          <w:color w:val="auto"/>
          <w:sz w:val="21"/>
          <w:highlight w:val="none"/>
        </w:rPr>
      </w:pPr>
      <w:r>
        <w:rPr>
          <w:rFonts w:hint="eastAsia" w:hAnsi="宋体"/>
          <w:b/>
          <w:color w:val="auto"/>
          <w:sz w:val="21"/>
          <w:highlight w:val="none"/>
        </w:rPr>
        <w:t>（3）不同的投标人的投标文件载明的项目管理员为同一个人；</w:t>
      </w:r>
    </w:p>
    <w:p w14:paraId="5C2FC348">
      <w:pPr>
        <w:pStyle w:val="25"/>
        <w:spacing w:line="360" w:lineRule="auto"/>
        <w:ind w:left="2" w:firstLine="422"/>
        <w:rPr>
          <w:rFonts w:hAnsi="宋体"/>
          <w:b/>
          <w:color w:val="auto"/>
          <w:sz w:val="21"/>
          <w:highlight w:val="none"/>
        </w:rPr>
      </w:pPr>
      <w:r>
        <w:rPr>
          <w:rFonts w:hint="eastAsia" w:hAnsi="宋体"/>
          <w:b/>
          <w:color w:val="auto"/>
          <w:sz w:val="21"/>
          <w:highlight w:val="none"/>
        </w:rPr>
        <w:t>（4）不同投标人的投标文件异常一致或者投标报价呈规律性差异；</w:t>
      </w:r>
    </w:p>
    <w:p w14:paraId="72C9FB58">
      <w:pPr>
        <w:pStyle w:val="25"/>
        <w:spacing w:line="360" w:lineRule="auto"/>
        <w:ind w:left="2" w:firstLine="422"/>
        <w:rPr>
          <w:rFonts w:hAnsi="宋体"/>
          <w:b/>
          <w:color w:val="auto"/>
          <w:sz w:val="21"/>
          <w:highlight w:val="none"/>
        </w:rPr>
      </w:pPr>
      <w:r>
        <w:rPr>
          <w:rFonts w:hint="eastAsia" w:hAnsi="宋体"/>
          <w:b/>
          <w:color w:val="auto"/>
          <w:sz w:val="21"/>
          <w:highlight w:val="none"/>
        </w:rPr>
        <w:t>（5）不同投标人的投标文件相互混装；</w:t>
      </w:r>
    </w:p>
    <w:p w14:paraId="431E2BA9">
      <w:pPr>
        <w:pStyle w:val="25"/>
        <w:spacing w:line="360" w:lineRule="auto"/>
        <w:ind w:left="2" w:firstLine="422"/>
        <w:rPr>
          <w:rFonts w:hAnsi="宋体"/>
          <w:b/>
          <w:color w:val="auto"/>
          <w:sz w:val="21"/>
          <w:highlight w:val="none"/>
        </w:rPr>
      </w:pPr>
      <w:r>
        <w:rPr>
          <w:rFonts w:hint="eastAsia" w:hAnsi="宋体"/>
          <w:b/>
          <w:color w:val="auto"/>
          <w:sz w:val="21"/>
          <w:highlight w:val="none"/>
        </w:rPr>
        <w:t>（6）不同投标人的投标保证金从同一单位或者个人账户转出。</w:t>
      </w:r>
    </w:p>
    <w:p w14:paraId="3994AB79">
      <w:pPr>
        <w:pStyle w:val="6"/>
        <w:keepNext w:val="0"/>
        <w:keepLines w:val="0"/>
        <w:spacing w:before="0" w:after="0" w:line="360" w:lineRule="auto"/>
        <w:ind w:left="420"/>
        <w:rPr>
          <w:rFonts w:ascii="宋体" w:hAnsi="宋体"/>
          <w:b w:val="0"/>
          <w:color w:val="auto"/>
          <w:sz w:val="21"/>
          <w:szCs w:val="21"/>
          <w:highlight w:val="none"/>
        </w:rPr>
      </w:pPr>
      <w:r>
        <w:rPr>
          <w:rFonts w:ascii="宋体" w:hAnsi="宋体"/>
          <w:b w:val="0"/>
          <w:color w:val="auto"/>
          <w:sz w:val="21"/>
          <w:szCs w:val="21"/>
          <w:highlight w:val="none"/>
        </w:rPr>
        <w:t>9.3</w:t>
      </w:r>
      <w:r>
        <w:rPr>
          <w:rFonts w:hint="eastAsia" w:ascii="宋体" w:hAnsi="宋体"/>
          <w:b w:val="0"/>
          <w:color w:val="auto"/>
          <w:sz w:val="21"/>
          <w:szCs w:val="21"/>
          <w:highlight w:val="none"/>
        </w:rPr>
        <w:t>供应商有下列情形之一的，属于恶意串通行为，将报同级监督管理部门：</w:t>
      </w:r>
    </w:p>
    <w:p w14:paraId="68E77E7A">
      <w:pPr>
        <w:pStyle w:val="25"/>
        <w:spacing w:line="360" w:lineRule="auto"/>
        <w:ind w:left="2" w:firstLine="420"/>
        <w:rPr>
          <w:rFonts w:hAnsi="宋体"/>
          <w:color w:val="auto"/>
          <w:sz w:val="21"/>
          <w:highlight w:val="none"/>
        </w:rPr>
      </w:pPr>
      <w:r>
        <w:rPr>
          <w:rFonts w:hint="eastAsia" w:hAnsi="宋体"/>
          <w:color w:val="auto"/>
          <w:sz w:val="21"/>
          <w:highlight w:val="none"/>
        </w:rPr>
        <w:t>（1）供应商直接或者间接从采购人或者采购代理机构处获得其他供应商的相关信息并修改其投标文件或者投标文件；</w:t>
      </w:r>
    </w:p>
    <w:p w14:paraId="29989A85">
      <w:pPr>
        <w:pStyle w:val="25"/>
        <w:spacing w:line="360" w:lineRule="auto"/>
        <w:ind w:left="2" w:firstLine="420"/>
        <w:rPr>
          <w:rFonts w:hAnsi="宋体"/>
          <w:color w:val="auto"/>
          <w:sz w:val="21"/>
          <w:highlight w:val="none"/>
        </w:rPr>
      </w:pPr>
      <w:r>
        <w:rPr>
          <w:rFonts w:hint="eastAsia" w:hAnsi="宋体"/>
          <w:color w:val="auto"/>
          <w:sz w:val="21"/>
          <w:highlight w:val="none"/>
        </w:rPr>
        <w:t>（2）供应商按照采购人或者采购代理机构的授意撤换、修改投标文件或者投标文件；</w:t>
      </w:r>
    </w:p>
    <w:p w14:paraId="218B4C13">
      <w:pPr>
        <w:pStyle w:val="25"/>
        <w:spacing w:line="360" w:lineRule="auto"/>
        <w:ind w:left="2" w:firstLine="420"/>
        <w:rPr>
          <w:rFonts w:hAnsi="宋体"/>
          <w:color w:val="auto"/>
          <w:sz w:val="21"/>
          <w:highlight w:val="none"/>
        </w:rPr>
      </w:pPr>
      <w:r>
        <w:rPr>
          <w:rFonts w:hint="eastAsia" w:hAnsi="宋体"/>
          <w:color w:val="auto"/>
          <w:sz w:val="21"/>
          <w:highlight w:val="none"/>
        </w:rPr>
        <w:t>（3）供应商之间协商报价、技术方案等投标文件或者投标文件的实质性内容；</w:t>
      </w:r>
    </w:p>
    <w:p w14:paraId="7FFD201F">
      <w:pPr>
        <w:pStyle w:val="25"/>
        <w:spacing w:line="360" w:lineRule="auto"/>
        <w:ind w:left="2" w:firstLine="420"/>
        <w:rPr>
          <w:rFonts w:hAnsi="宋体"/>
          <w:color w:val="auto"/>
          <w:sz w:val="21"/>
          <w:highlight w:val="none"/>
        </w:rPr>
      </w:pPr>
      <w:r>
        <w:rPr>
          <w:rFonts w:hint="eastAsia" w:hAnsi="宋体"/>
          <w:color w:val="auto"/>
          <w:sz w:val="21"/>
          <w:highlight w:val="none"/>
        </w:rPr>
        <w:t>（4）属于同一集团、协会、商会等组织成员的供应商按照该组织要求协同参加政府采购活动；</w:t>
      </w:r>
    </w:p>
    <w:p w14:paraId="04B79203">
      <w:pPr>
        <w:pStyle w:val="25"/>
        <w:spacing w:line="360" w:lineRule="auto"/>
        <w:ind w:left="2" w:firstLine="420"/>
        <w:rPr>
          <w:rFonts w:hAnsi="宋体"/>
          <w:color w:val="auto"/>
          <w:sz w:val="21"/>
          <w:highlight w:val="none"/>
        </w:rPr>
      </w:pPr>
      <w:r>
        <w:rPr>
          <w:rFonts w:hint="eastAsia" w:hAnsi="宋体"/>
          <w:color w:val="auto"/>
          <w:sz w:val="21"/>
          <w:highlight w:val="none"/>
        </w:rPr>
        <w:t>（5）供应商之间事先约定一致抬高或者压低投标报价，或者在招标项目中事先约定轮流以高价位或者低价位中标，或者事先约定由某一特定供应商中标，然后再参加投标；</w:t>
      </w:r>
    </w:p>
    <w:p w14:paraId="399F8897">
      <w:pPr>
        <w:pStyle w:val="25"/>
        <w:spacing w:line="360" w:lineRule="auto"/>
        <w:ind w:left="2" w:firstLine="420"/>
        <w:rPr>
          <w:rFonts w:hAnsi="宋体"/>
          <w:color w:val="auto"/>
          <w:sz w:val="21"/>
          <w:highlight w:val="none"/>
        </w:rPr>
      </w:pPr>
      <w:r>
        <w:rPr>
          <w:rFonts w:hint="eastAsia" w:hAnsi="宋体"/>
          <w:color w:val="auto"/>
          <w:sz w:val="21"/>
          <w:highlight w:val="none"/>
        </w:rPr>
        <w:t>（6）供应商之间商定部分供应商放弃参加政府采购活动或者放弃中标；</w:t>
      </w:r>
    </w:p>
    <w:p w14:paraId="7B98BAB2">
      <w:pPr>
        <w:pStyle w:val="25"/>
        <w:spacing w:line="360" w:lineRule="auto"/>
        <w:ind w:left="2" w:firstLine="420"/>
        <w:rPr>
          <w:rFonts w:hAnsi="宋体"/>
          <w:color w:val="auto"/>
          <w:sz w:val="21"/>
          <w:highlight w:val="none"/>
        </w:rPr>
      </w:pPr>
      <w:r>
        <w:rPr>
          <w:rFonts w:hint="eastAsia" w:hAnsi="宋体"/>
          <w:color w:val="auto"/>
          <w:sz w:val="21"/>
          <w:highlight w:val="none"/>
        </w:rPr>
        <w:t>（7）供应商与采购人或者采购代理机构之间、供应商相互之间，为谋求特定供应商中标或者排斥其他供应商的其他串通行为。</w:t>
      </w:r>
    </w:p>
    <w:p w14:paraId="7DF7B367">
      <w:pPr>
        <w:pStyle w:val="25"/>
        <w:spacing w:line="360" w:lineRule="auto"/>
        <w:ind w:left="2" w:firstLine="422"/>
        <w:rPr>
          <w:rFonts w:hAnsi="宋体"/>
          <w:b/>
          <w:color w:val="auto"/>
          <w:sz w:val="21"/>
          <w:highlight w:val="none"/>
        </w:rPr>
      </w:pPr>
    </w:p>
    <w:p w14:paraId="54289B7B">
      <w:pPr>
        <w:pStyle w:val="4"/>
        <w:keepNext w:val="0"/>
        <w:keepLines w:val="0"/>
        <w:jc w:val="center"/>
        <w:rPr>
          <w:color w:val="auto"/>
          <w:highlight w:val="none"/>
        </w:rPr>
      </w:pPr>
      <w:r>
        <w:rPr>
          <w:rFonts w:hint="eastAsia"/>
          <w:color w:val="auto"/>
          <w:highlight w:val="none"/>
        </w:rPr>
        <w:t>二、招标文件</w:t>
      </w:r>
    </w:p>
    <w:p w14:paraId="5263C40E">
      <w:pPr>
        <w:pStyle w:val="6"/>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10.招标文件的组成</w:t>
      </w:r>
    </w:p>
    <w:p w14:paraId="5A479725">
      <w:pPr>
        <w:spacing w:line="360" w:lineRule="auto"/>
        <w:ind w:firstLine="420"/>
        <w:jc w:val="left"/>
        <w:rPr>
          <w:rFonts w:ascii="宋体" w:hAnsi="宋体"/>
          <w:color w:val="auto"/>
          <w:szCs w:val="21"/>
          <w:highlight w:val="none"/>
        </w:rPr>
      </w:pPr>
      <w:r>
        <w:rPr>
          <w:rFonts w:hint="eastAsia" w:ascii="宋体" w:hAnsi="宋体"/>
          <w:color w:val="auto"/>
          <w:szCs w:val="21"/>
          <w:highlight w:val="none"/>
        </w:rPr>
        <w:t>（1）招标公告；</w:t>
      </w:r>
    </w:p>
    <w:p w14:paraId="1BEEEEB1">
      <w:pPr>
        <w:spacing w:line="360" w:lineRule="auto"/>
        <w:ind w:firstLine="420"/>
        <w:jc w:val="left"/>
        <w:rPr>
          <w:rFonts w:ascii="宋体" w:hAnsi="宋体"/>
          <w:color w:val="auto"/>
          <w:szCs w:val="21"/>
          <w:highlight w:val="none"/>
        </w:rPr>
      </w:pPr>
      <w:r>
        <w:rPr>
          <w:rFonts w:hint="eastAsia" w:ascii="宋体" w:hAnsi="宋体"/>
          <w:color w:val="auto"/>
          <w:szCs w:val="21"/>
          <w:highlight w:val="none"/>
        </w:rPr>
        <w:t xml:space="preserve">（2）采购需求； </w:t>
      </w:r>
    </w:p>
    <w:p w14:paraId="47960D18">
      <w:pPr>
        <w:spacing w:line="360" w:lineRule="auto"/>
        <w:ind w:firstLine="420"/>
        <w:jc w:val="left"/>
        <w:rPr>
          <w:rFonts w:ascii="宋体" w:hAnsi="宋体"/>
          <w:color w:val="auto"/>
          <w:szCs w:val="21"/>
          <w:highlight w:val="none"/>
        </w:rPr>
      </w:pPr>
      <w:r>
        <w:rPr>
          <w:rFonts w:hint="eastAsia" w:ascii="宋体" w:hAnsi="宋体"/>
          <w:color w:val="auto"/>
          <w:szCs w:val="21"/>
          <w:highlight w:val="none"/>
        </w:rPr>
        <w:t>（3）投标人须知；</w:t>
      </w:r>
    </w:p>
    <w:p w14:paraId="231C10E0">
      <w:pPr>
        <w:spacing w:line="360" w:lineRule="auto"/>
        <w:ind w:firstLine="420"/>
        <w:jc w:val="left"/>
        <w:rPr>
          <w:rFonts w:ascii="宋体" w:hAnsi="宋体"/>
          <w:color w:val="auto"/>
          <w:szCs w:val="21"/>
          <w:highlight w:val="none"/>
        </w:rPr>
      </w:pPr>
      <w:r>
        <w:rPr>
          <w:rFonts w:hint="eastAsia" w:ascii="宋体" w:hAnsi="宋体"/>
          <w:color w:val="auto"/>
          <w:szCs w:val="21"/>
          <w:highlight w:val="none"/>
        </w:rPr>
        <w:t>（4）评标方法及评标标准；</w:t>
      </w:r>
    </w:p>
    <w:p w14:paraId="0F38A849">
      <w:pPr>
        <w:spacing w:line="360" w:lineRule="auto"/>
        <w:ind w:firstLine="420"/>
        <w:jc w:val="left"/>
        <w:rPr>
          <w:rFonts w:ascii="宋体" w:hAnsi="宋体"/>
          <w:color w:val="auto"/>
          <w:szCs w:val="21"/>
          <w:highlight w:val="none"/>
        </w:rPr>
      </w:pPr>
      <w:r>
        <w:rPr>
          <w:rFonts w:hint="eastAsia" w:ascii="宋体" w:hAnsi="宋体"/>
          <w:color w:val="auto"/>
          <w:szCs w:val="21"/>
          <w:highlight w:val="none"/>
        </w:rPr>
        <w:t>（5）拟签订的合同文本；</w:t>
      </w:r>
    </w:p>
    <w:p w14:paraId="427B40E3">
      <w:pPr>
        <w:spacing w:line="360" w:lineRule="auto"/>
        <w:ind w:firstLine="420"/>
        <w:jc w:val="left"/>
        <w:rPr>
          <w:rFonts w:ascii="宋体" w:hAnsi="宋体"/>
          <w:color w:val="auto"/>
          <w:szCs w:val="21"/>
          <w:highlight w:val="none"/>
        </w:rPr>
      </w:pPr>
      <w:r>
        <w:rPr>
          <w:rFonts w:hint="eastAsia" w:ascii="宋体" w:hAnsi="宋体"/>
          <w:color w:val="auto"/>
          <w:szCs w:val="21"/>
          <w:highlight w:val="none"/>
        </w:rPr>
        <w:t>（6）投标文件格式。</w:t>
      </w:r>
    </w:p>
    <w:p w14:paraId="533908BC">
      <w:pPr>
        <w:pStyle w:val="6"/>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11.招标文件的澄清、修改 、现场考察和答疑会</w:t>
      </w:r>
    </w:p>
    <w:p w14:paraId="17E3A4D9">
      <w:pPr>
        <w:pStyle w:val="6"/>
        <w:keepNext w:val="0"/>
        <w:keepLines w:val="0"/>
        <w:spacing w:before="0" w:after="0" w:line="360" w:lineRule="auto"/>
        <w:ind w:firstLine="315"/>
        <w:rPr>
          <w:rFonts w:ascii="宋体" w:hAnsi="宋体"/>
          <w:b w:val="0"/>
          <w:color w:val="auto"/>
          <w:sz w:val="21"/>
          <w:szCs w:val="21"/>
          <w:highlight w:val="none"/>
        </w:rPr>
      </w:pPr>
      <w:r>
        <w:rPr>
          <w:rFonts w:hint="eastAsia" w:ascii="宋体" w:hAnsi="宋体"/>
          <w:b w:val="0"/>
          <w:color w:val="auto"/>
          <w:sz w:val="21"/>
          <w:szCs w:val="21"/>
          <w:highlight w:val="none"/>
        </w:rPr>
        <w:t xml:space="preserve"> 11.1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14:paraId="068980FE">
      <w:pPr>
        <w:pStyle w:val="25"/>
        <w:spacing w:line="360" w:lineRule="auto"/>
        <w:ind w:firstLine="420"/>
        <w:rPr>
          <w:rFonts w:hAnsi="宋体"/>
          <w:color w:val="auto"/>
          <w:sz w:val="21"/>
          <w:highlight w:val="none"/>
        </w:rPr>
      </w:pPr>
      <w:r>
        <w:rPr>
          <w:rFonts w:hint="eastAsia" w:hAnsi="宋体"/>
          <w:color w:val="auto"/>
          <w:sz w:val="21"/>
          <w:highlight w:val="none"/>
        </w:rPr>
        <w:t>澄清或者修改的内容可能影响投标文件编制的，采购人或者采购代理机构应当在投标截止时间至少15日前，以书面形式通知所有获取招标文件的潜在投标人；不足15日的，采购人或者采购代理机构应当顺延提交投标文件的截止时间。</w:t>
      </w:r>
    </w:p>
    <w:p w14:paraId="4E73D1EA">
      <w:pPr>
        <w:pStyle w:val="25"/>
        <w:spacing w:line="360" w:lineRule="auto"/>
        <w:ind w:firstLine="420"/>
        <w:rPr>
          <w:rFonts w:hAnsi="宋体"/>
          <w:color w:val="auto"/>
          <w:sz w:val="21"/>
          <w:highlight w:val="none"/>
        </w:rPr>
      </w:pPr>
      <w:r>
        <w:rPr>
          <w:rFonts w:hint="eastAsia" w:hAnsi="宋体"/>
          <w:color w:val="auto"/>
          <w:sz w:val="21"/>
          <w:highlight w:val="none"/>
        </w:rPr>
        <w:t>1</w:t>
      </w:r>
      <w:r>
        <w:rPr>
          <w:rFonts w:hAnsi="宋体"/>
          <w:color w:val="auto"/>
          <w:sz w:val="21"/>
          <w:highlight w:val="none"/>
        </w:rPr>
        <w:t>1.2</w:t>
      </w:r>
      <w:r>
        <w:rPr>
          <w:rFonts w:hint="eastAsia" w:hAnsi="宋体"/>
          <w:color w:val="auto"/>
          <w:sz w:val="21"/>
          <w:highlight w:val="none"/>
        </w:rPr>
        <w:t>采购人或者采购代理机构可以在招标文件提供期限截止后，组织已获取招标文件的潜在投标人现场考察或者召开开标前答疑会，具体详见“投标人须知前附表”。</w:t>
      </w:r>
    </w:p>
    <w:p w14:paraId="54CC9761">
      <w:pPr>
        <w:pStyle w:val="4"/>
        <w:keepNext w:val="0"/>
        <w:keepLines w:val="0"/>
        <w:jc w:val="center"/>
        <w:rPr>
          <w:color w:val="auto"/>
          <w:highlight w:val="none"/>
        </w:rPr>
      </w:pPr>
      <w:r>
        <w:rPr>
          <w:rFonts w:hint="eastAsia"/>
          <w:color w:val="auto"/>
          <w:highlight w:val="none"/>
        </w:rPr>
        <w:t>三、投标文件的编制</w:t>
      </w:r>
    </w:p>
    <w:p w14:paraId="432DAE8B">
      <w:pPr>
        <w:pStyle w:val="6"/>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12.投标文件的编制原则</w:t>
      </w:r>
    </w:p>
    <w:p w14:paraId="73B0E822">
      <w:pPr>
        <w:spacing w:line="360" w:lineRule="auto"/>
        <w:ind w:firstLine="420"/>
        <w:jc w:val="left"/>
        <w:rPr>
          <w:rFonts w:ascii="宋体" w:hAnsi="宋体" w:cs="Courier New"/>
          <w:color w:val="auto"/>
          <w:szCs w:val="21"/>
          <w:highlight w:val="none"/>
        </w:rPr>
      </w:pPr>
      <w:r>
        <w:rPr>
          <w:rFonts w:ascii="宋体" w:hAnsi="宋体"/>
          <w:color w:val="auto"/>
          <w:szCs w:val="21"/>
          <w:highlight w:val="none"/>
        </w:rPr>
        <w:t>投标人必须按照招标文件的要求编制投标文件。投标文件必须对招标文件提出的要求和条件作出明确响应。</w:t>
      </w:r>
    </w:p>
    <w:p w14:paraId="38DE561B">
      <w:pPr>
        <w:pStyle w:val="6"/>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13.投标文件的组成</w:t>
      </w:r>
    </w:p>
    <w:p w14:paraId="27061198">
      <w:pPr>
        <w:spacing w:line="360" w:lineRule="auto"/>
        <w:ind w:firstLine="420"/>
        <w:jc w:val="left"/>
        <w:rPr>
          <w:rFonts w:ascii="宋体" w:hAnsi="宋体"/>
          <w:color w:val="auto"/>
          <w:szCs w:val="21"/>
          <w:highlight w:val="none"/>
        </w:rPr>
      </w:pPr>
      <w:r>
        <w:rPr>
          <w:rFonts w:hint="eastAsia" w:ascii="宋体" w:hAnsi="宋体"/>
          <w:color w:val="auto"/>
          <w:szCs w:val="21"/>
          <w:highlight w:val="none"/>
        </w:rPr>
        <w:t>投标文件由报价文件、资格证明文件、商务及技术文件三部分组成。</w:t>
      </w:r>
    </w:p>
    <w:p w14:paraId="0B9BC39E">
      <w:pPr>
        <w:pStyle w:val="6"/>
        <w:keepNext w:val="0"/>
        <w:keepLines w:val="0"/>
        <w:spacing w:before="0" w:after="0" w:line="360" w:lineRule="auto"/>
        <w:ind w:left="420"/>
        <w:rPr>
          <w:rFonts w:ascii="宋体" w:hAnsi="宋体"/>
          <w:b w:val="0"/>
          <w:color w:val="auto"/>
          <w:sz w:val="21"/>
          <w:szCs w:val="21"/>
          <w:highlight w:val="none"/>
        </w:rPr>
      </w:pPr>
      <w:r>
        <w:rPr>
          <w:rFonts w:hint="eastAsia" w:ascii="宋体" w:hAnsi="宋体"/>
          <w:b w:val="0"/>
          <w:color w:val="auto"/>
          <w:sz w:val="21"/>
          <w:szCs w:val="21"/>
          <w:highlight w:val="none"/>
        </w:rPr>
        <w:t>（1）报价文件：</w:t>
      </w:r>
      <w:r>
        <w:rPr>
          <w:rFonts w:ascii="宋体" w:hAnsi="宋体"/>
          <w:b w:val="0"/>
          <w:color w:val="auto"/>
          <w:sz w:val="21"/>
          <w:szCs w:val="21"/>
          <w:highlight w:val="none"/>
        </w:rPr>
        <w:t>具体材料见“投标人须知前附表”</w:t>
      </w:r>
      <w:r>
        <w:rPr>
          <w:rFonts w:hint="eastAsia" w:ascii="宋体" w:hAnsi="宋体"/>
          <w:b w:val="0"/>
          <w:color w:val="auto"/>
          <w:sz w:val="21"/>
          <w:szCs w:val="21"/>
          <w:highlight w:val="none"/>
        </w:rPr>
        <w:t>。</w:t>
      </w:r>
    </w:p>
    <w:p w14:paraId="17AFAA8E">
      <w:pPr>
        <w:pStyle w:val="6"/>
        <w:keepNext w:val="0"/>
        <w:keepLines w:val="0"/>
        <w:spacing w:before="0" w:after="0" w:line="360" w:lineRule="auto"/>
        <w:ind w:left="420"/>
        <w:rPr>
          <w:rFonts w:ascii="宋体" w:hAnsi="宋体"/>
          <w:b w:val="0"/>
          <w:color w:val="auto"/>
          <w:sz w:val="21"/>
          <w:szCs w:val="21"/>
          <w:highlight w:val="none"/>
        </w:rPr>
      </w:pPr>
      <w:r>
        <w:rPr>
          <w:rFonts w:hint="eastAsia" w:ascii="宋体" w:hAnsi="宋体"/>
          <w:b w:val="0"/>
          <w:color w:val="auto"/>
          <w:sz w:val="21"/>
          <w:szCs w:val="21"/>
          <w:highlight w:val="none"/>
        </w:rPr>
        <w:t>（</w:t>
      </w:r>
      <w:r>
        <w:rPr>
          <w:rFonts w:ascii="宋体" w:hAnsi="宋体"/>
          <w:b w:val="0"/>
          <w:color w:val="auto"/>
          <w:sz w:val="21"/>
          <w:szCs w:val="21"/>
          <w:highlight w:val="none"/>
        </w:rPr>
        <w:t>2</w:t>
      </w:r>
      <w:r>
        <w:rPr>
          <w:rFonts w:hint="eastAsia" w:ascii="宋体" w:hAnsi="宋体"/>
          <w:b w:val="0"/>
          <w:color w:val="auto"/>
          <w:sz w:val="21"/>
          <w:szCs w:val="21"/>
          <w:highlight w:val="none"/>
        </w:rPr>
        <w:t>）资格证明文件：</w:t>
      </w:r>
      <w:r>
        <w:rPr>
          <w:rFonts w:ascii="宋体" w:hAnsi="宋体"/>
          <w:b w:val="0"/>
          <w:color w:val="auto"/>
          <w:sz w:val="21"/>
          <w:szCs w:val="21"/>
          <w:highlight w:val="none"/>
        </w:rPr>
        <w:t>具体材料见“投标人须知前附表”</w:t>
      </w:r>
      <w:r>
        <w:rPr>
          <w:rFonts w:hint="eastAsia" w:ascii="宋体" w:hAnsi="宋体"/>
          <w:b w:val="0"/>
          <w:color w:val="auto"/>
          <w:sz w:val="21"/>
          <w:szCs w:val="21"/>
          <w:highlight w:val="none"/>
        </w:rPr>
        <w:t>。</w:t>
      </w:r>
    </w:p>
    <w:p w14:paraId="3631D56F">
      <w:pPr>
        <w:pStyle w:val="6"/>
        <w:keepNext w:val="0"/>
        <w:keepLines w:val="0"/>
        <w:spacing w:before="0" w:after="0" w:line="360" w:lineRule="auto"/>
        <w:ind w:left="420"/>
        <w:rPr>
          <w:rFonts w:ascii="宋体" w:hAnsi="宋体"/>
          <w:b w:val="0"/>
          <w:color w:val="auto"/>
          <w:sz w:val="21"/>
          <w:szCs w:val="21"/>
          <w:highlight w:val="none"/>
        </w:rPr>
      </w:pPr>
      <w:r>
        <w:rPr>
          <w:rFonts w:hint="eastAsia" w:ascii="宋体" w:hAnsi="宋体"/>
          <w:b w:val="0"/>
          <w:color w:val="auto"/>
          <w:sz w:val="21"/>
          <w:szCs w:val="21"/>
          <w:highlight w:val="none"/>
        </w:rPr>
        <w:t>（</w:t>
      </w:r>
      <w:r>
        <w:rPr>
          <w:rFonts w:ascii="宋体" w:hAnsi="宋体"/>
          <w:b w:val="0"/>
          <w:color w:val="auto"/>
          <w:sz w:val="21"/>
          <w:szCs w:val="21"/>
          <w:highlight w:val="none"/>
        </w:rPr>
        <w:t>3</w:t>
      </w:r>
      <w:r>
        <w:rPr>
          <w:rFonts w:hint="eastAsia" w:ascii="宋体" w:hAnsi="宋体"/>
          <w:b w:val="0"/>
          <w:color w:val="auto"/>
          <w:sz w:val="21"/>
          <w:szCs w:val="21"/>
          <w:highlight w:val="none"/>
        </w:rPr>
        <w:t>）商务及技术文件：</w:t>
      </w:r>
      <w:r>
        <w:rPr>
          <w:rFonts w:ascii="宋体" w:hAnsi="宋体"/>
          <w:b w:val="0"/>
          <w:color w:val="auto"/>
          <w:sz w:val="21"/>
          <w:szCs w:val="21"/>
          <w:highlight w:val="none"/>
        </w:rPr>
        <w:t>具体材料见“投标人须知前附表”</w:t>
      </w:r>
      <w:r>
        <w:rPr>
          <w:rFonts w:hint="eastAsia" w:ascii="宋体" w:hAnsi="宋体"/>
          <w:b w:val="0"/>
          <w:color w:val="auto"/>
          <w:sz w:val="21"/>
          <w:szCs w:val="21"/>
          <w:highlight w:val="none"/>
        </w:rPr>
        <w:t>。</w:t>
      </w:r>
    </w:p>
    <w:p w14:paraId="5EC9969D">
      <w:pPr>
        <w:pStyle w:val="6"/>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14.投标文件的语言及计量</w:t>
      </w:r>
    </w:p>
    <w:p w14:paraId="5106F01E">
      <w:pPr>
        <w:pStyle w:val="6"/>
        <w:keepNext w:val="0"/>
        <w:keepLines w:val="0"/>
        <w:spacing w:before="0" w:after="0" w:line="360" w:lineRule="auto"/>
        <w:ind w:left="420"/>
        <w:rPr>
          <w:rFonts w:ascii="宋体" w:hAnsi="宋体"/>
          <w:b w:val="0"/>
          <w:color w:val="auto"/>
          <w:sz w:val="21"/>
          <w:szCs w:val="21"/>
          <w:highlight w:val="none"/>
        </w:rPr>
      </w:pPr>
      <w:r>
        <w:rPr>
          <w:rFonts w:hint="eastAsia" w:ascii="宋体" w:hAnsi="宋体"/>
          <w:b w:val="0"/>
          <w:color w:val="auto"/>
          <w:sz w:val="21"/>
          <w:szCs w:val="21"/>
          <w:highlight w:val="none"/>
        </w:rPr>
        <w:t>14.1语言文字</w:t>
      </w:r>
    </w:p>
    <w:p w14:paraId="4FD884E5">
      <w:pPr>
        <w:pStyle w:val="6"/>
        <w:keepNext w:val="0"/>
        <w:keepLines w:val="0"/>
        <w:spacing w:before="0" w:after="0" w:line="360" w:lineRule="auto"/>
        <w:ind w:firstLine="420"/>
        <w:rPr>
          <w:rFonts w:ascii="宋体" w:hAnsi="宋体"/>
          <w:b w:val="0"/>
          <w:color w:val="auto"/>
          <w:sz w:val="21"/>
          <w:szCs w:val="21"/>
          <w:highlight w:val="none"/>
        </w:rPr>
      </w:pPr>
      <w:r>
        <w:rPr>
          <w:rFonts w:hint="eastAsia" w:ascii="宋体" w:hAnsi="宋体"/>
          <w:b w:val="0"/>
          <w:color w:val="auto"/>
          <w:sz w:val="21"/>
          <w:szCs w:val="21"/>
          <w:highlight w:val="none"/>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32D4C1CE">
      <w:pPr>
        <w:pStyle w:val="6"/>
        <w:keepNext w:val="0"/>
        <w:keepLines w:val="0"/>
        <w:spacing w:before="0" w:after="0" w:line="360" w:lineRule="auto"/>
        <w:ind w:firstLine="420"/>
        <w:rPr>
          <w:rFonts w:ascii="宋体" w:hAnsi="宋体"/>
          <w:b w:val="0"/>
          <w:color w:val="auto"/>
          <w:sz w:val="21"/>
          <w:szCs w:val="21"/>
          <w:highlight w:val="none"/>
        </w:rPr>
      </w:pPr>
      <w:r>
        <w:rPr>
          <w:rFonts w:hint="eastAsia" w:ascii="宋体" w:hAnsi="宋体"/>
          <w:b w:val="0"/>
          <w:color w:val="auto"/>
          <w:sz w:val="21"/>
          <w:szCs w:val="21"/>
          <w:highlight w:val="none"/>
        </w:rPr>
        <w:t>14.2投标计量单位</w:t>
      </w:r>
    </w:p>
    <w:p w14:paraId="31DFC001">
      <w:pPr>
        <w:pStyle w:val="6"/>
        <w:keepNext w:val="0"/>
        <w:keepLines w:val="0"/>
        <w:spacing w:before="0" w:after="0" w:line="360" w:lineRule="auto"/>
        <w:ind w:firstLine="420"/>
        <w:rPr>
          <w:rFonts w:ascii="宋体" w:hAnsi="宋体"/>
          <w:b w:val="0"/>
          <w:color w:val="auto"/>
          <w:sz w:val="21"/>
          <w:szCs w:val="21"/>
          <w:highlight w:val="none"/>
        </w:rPr>
      </w:pPr>
      <w:r>
        <w:rPr>
          <w:rFonts w:hint="eastAsia" w:ascii="宋体" w:hAnsi="宋体"/>
          <w:b w:val="0"/>
          <w:color w:val="auto"/>
          <w:sz w:val="21"/>
          <w:szCs w:val="21"/>
          <w:highlight w:val="none"/>
        </w:rPr>
        <w:t>招标文件已有明确规定的，使用招标文件规定的计量单位；招标文件没有规定的，应采用中华人民共和国法定计量单位，货币种类为人民币，</w:t>
      </w:r>
      <w:r>
        <w:rPr>
          <w:rFonts w:hint="eastAsia" w:ascii="宋体" w:hAnsi="宋体"/>
          <w:color w:val="auto"/>
          <w:sz w:val="21"/>
          <w:szCs w:val="21"/>
          <w:highlight w:val="none"/>
        </w:rPr>
        <w:t>否则视同未响应。</w:t>
      </w:r>
    </w:p>
    <w:p w14:paraId="25EA5DCE">
      <w:pPr>
        <w:pStyle w:val="6"/>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15.投标的风险</w:t>
      </w:r>
    </w:p>
    <w:p w14:paraId="7C24AAFE">
      <w:pPr>
        <w:pStyle w:val="25"/>
        <w:spacing w:line="360" w:lineRule="auto"/>
        <w:ind w:firstLine="420"/>
        <w:jc w:val="left"/>
        <w:rPr>
          <w:rFonts w:hAnsi="宋体"/>
          <w:color w:val="auto"/>
          <w:sz w:val="21"/>
          <w:highlight w:val="none"/>
        </w:rPr>
      </w:pPr>
      <w:r>
        <w:rPr>
          <w:rFonts w:hint="eastAsia" w:hAnsi="宋体"/>
          <w:color w:val="auto"/>
          <w:sz w:val="21"/>
          <w:highlight w:val="none"/>
        </w:rPr>
        <w:t>投标人没有按照招标文件要求提供全部资料，或者投标人没有对招标文件作出实质性响应是投标人的风险，并可能导致其投标被拒绝。</w:t>
      </w:r>
    </w:p>
    <w:p w14:paraId="25C775E0">
      <w:pPr>
        <w:pStyle w:val="6"/>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16.投标报价</w:t>
      </w:r>
    </w:p>
    <w:p w14:paraId="40E88378">
      <w:pPr>
        <w:pStyle w:val="6"/>
        <w:keepNext w:val="0"/>
        <w:keepLines w:val="0"/>
        <w:spacing w:before="0" w:after="0" w:line="360" w:lineRule="auto"/>
        <w:ind w:left="420"/>
        <w:rPr>
          <w:rFonts w:ascii="宋体" w:hAnsi="宋体"/>
          <w:b w:val="0"/>
          <w:color w:val="auto"/>
          <w:sz w:val="21"/>
          <w:szCs w:val="21"/>
          <w:highlight w:val="none"/>
        </w:rPr>
      </w:pPr>
      <w:r>
        <w:rPr>
          <w:rFonts w:hint="eastAsia" w:ascii="宋体" w:hAnsi="宋体"/>
          <w:b w:val="0"/>
          <w:color w:val="auto"/>
          <w:sz w:val="21"/>
          <w:szCs w:val="21"/>
          <w:highlight w:val="none"/>
        </w:rPr>
        <w:t>16.1投标报价应按“第六章　投标文件格式”中“开标一览表”格式填写。</w:t>
      </w:r>
    </w:p>
    <w:p w14:paraId="204E057F">
      <w:pPr>
        <w:pStyle w:val="6"/>
        <w:keepNext w:val="0"/>
        <w:keepLines w:val="0"/>
        <w:spacing w:before="0" w:after="0" w:line="360" w:lineRule="auto"/>
        <w:ind w:left="420"/>
        <w:rPr>
          <w:rFonts w:ascii="宋体" w:hAnsi="宋体"/>
          <w:b w:val="0"/>
          <w:color w:val="auto"/>
          <w:sz w:val="21"/>
          <w:szCs w:val="21"/>
          <w:highlight w:val="none"/>
        </w:rPr>
      </w:pPr>
      <w:r>
        <w:rPr>
          <w:rFonts w:hint="eastAsia" w:ascii="宋体" w:hAnsi="宋体"/>
          <w:b w:val="0"/>
          <w:color w:val="auto"/>
          <w:sz w:val="21"/>
          <w:szCs w:val="21"/>
          <w:highlight w:val="none"/>
        </w:rPr>
        <w:t>16.2投标报价具体包括内容详见“投标人须知前附表”。</w:t>
      </w:r>
    </w:p>
    <w:p w14:paraId="34BF9283">
      <w:pPr>
        <w:pStyle w:val="6"/>
        <w:keepNext w:val="0"/>
        <w:keepLines w:val="0"/>
        <w:spacing w:before="0" w:after="0" w:line="360" w:lineRule="auto"/>
        <w:ind w:firstLine="420"/>
        <w:rPr>
          <w:rFonts w:ascii="宋体" w:hAnsi="宋体"/>
          <w:b w:val="0"/>
          <w:color w:val="auto"/>
          <w:sz w:val="21"/>
          <w:szCs w:val="21"/>
          <w:highlight w:val="none"/>
        </w:rPr>
      </w:pPr>
      <w:r>
        <w:rPr>
          <w:rFonts w:hint="eastAsia" w:ascii="宋体" w:hAnsi="宋体"/>
          <w:b w:val="0"/>
          <w:color w:val="auto"/>
          <w:sz w:val="21"/>
          <w:szCs w:val="21"/>
          <w:highlight w:val="none"/>
        </w:rPr>
        <w:t>16.3投标人必须就所投每个分标的全部内容分别作完整唯一总价报价，不得存在漏项报价；投标人必须就所投分标的单项内容作唯一报价。</w:t>
      </w:r>
    </w:p>
    <w:p w14:paraId="34D55DCF">
      <w:pPr>
        <w:pStyle w:val="6"/>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17.投标有效期</w:t>
      </w:r>
    </w:p>
    <w:p w14:paraId="420CCC7F">
      <w:pPr>
        <w:pStyle w:val="6"/>
        <w:keepNext w:val="0"/>
        <w:keepLines w:val="0"/>
        <w:spacing w:before="0" w:after="0" w:line="360" w:lineRule="auto"/>
        <w:ind w:firstLine="420"/>
        <w:rPr>
          <w:rFonts w:ascii="宋体" w:hAnsi="宋体"/>
          <w:b w:val="0"/>
          <w:color w:val="auto"/>
          <w:sz w:val="21"/>
          <w:szCs w:val="21"/>
          <w:highlight w:val="none"/>
        </w:rPr>
      </w:pPr>
      <w:r>
        <w:rPr>
          <w:rFonts w:hint="eastAsia" w:ascii="宋体" w:hAnsi="宋体"/>
          <w:b w:val="0"/>
          <w:color w:val="auto"/>
          <w:sz w:val="21"/>
          <w:szCs w:val="21"/>
          <w:highlight w:val="none"/>
        </w:rPr>
        <w:t>17.1投标有效期是指为保证采购人有足够的时间在开标后完成评标、定标、合同签订等工作而要求投标人提交的投标文件在一定时间内保持有效的期限。</w:t>
      </w:r>
    </w:p>
    <w:p w14:paraId="2CA7F3A6">
      <w:pPr>
        <w:pStyle w:val="6"/>
        <w:keepNext w:val="0"/>
        <w:keepLines w:val="0"/>
        <w:spacing w:before="0" w:after="0" w:line="360" w:lineRule="auto"/>
        <w:ind w:firstLine="424"/>
        <w:rPr>
          <w:rFonts w:ascii="宋体" w:hAnsi="宋体"/>
          <w:b w:val="0"/>
          <w:color w:val="auto"/>
          <w:sz w:val="21"/>
          <w:szCs w:val="21"/>
          <w:highlight w:val="none"/>
        </w:rPr>
      </w:pPr>
      <w:r>
        <w:rPr>
          <w:rFonts w:hint="eastAsia" w:ascii="宋体" w:hAnsi="宋体"/>
          <w:b w:val="0"/>
          <w:color w:val="auto"/>
          <w:sz w:val="21"/>
          <w:szCs w:val="21"/>
          <w:highlight w:val="none"/>
        </w:rPr>
        <w:t>17.2 投标有效期应按招标文件规定的期限作出承诺，具体详见“投标人须知前附表”。</w:t>
      </w:r>
      <w:r>
        <w:rPr>
          <w:rFonts w:hint="eastAsia" w:ascii="宋体" w:hAnsi="宋体"/>
          <w:color w:val="auto"/>
          <w:sz w:val="21"/>
          <w:szCs w:val="21"/>
          <w:highlight w:val="none"/>
        </w:rPr>
        <w:t>承诺的投标有效期低于招标文件规定期限的，按无效投标处理</w:t>
      </w:r>
      <w:r>
        <w:rPr>
          <w:rFonts w:hint="eastAsia" w:ascii="宋体" w:hAnsi="宋体"/>
          <w:b w:val="0"/>
          <w:color w:val="auto"/>
          <w:sz w:val="21"/>
          <w:szCs w:val="21"/>
          <w:highlight w:val="none"/>
        </w:rPr>
        <w:t>。</w:t>
      </w:r>
    </w:p>
    <w:p w14:paraId="22F6D5CA">
      <w:pPr>
        <w:pStyle w:val="6"/>
        <w:keepNext w:val="0"/>
        <w:keepLines w:val="0"/>
        <w:spacing w:before="0" w:after="0" w:line="360" w:lineRule="auto"/>
        <w:ind w:left="420"/>
        <w:rPr>
          <w:rFonts w:ascii="宋体" w:hAnsi="宋体"/>
          <w:b w:val="0"/>
          <w:color w:val="auto"/>
          <w:sz w:val="21"/>
          <w:szCs w:val="21"/>
          <w:highlight w:val="none"/>
        </w:rPr>
      </w:pPr>
      <w:r>
        <w:rPr>
          <w:rFonts w:hint="eastAsia" w:ascii="宋体" w:hAnsi="宋体"/>
          <w:b w:val="0"/>
          <w:color w:val="auto"/>
          <w:sz w:val="21"/>
          <w:szCs w:val="21"/>
          <w:highlight w:val="none"/>
        </w:rPr>
        <w:t>17.3投标人的投标文件在投标有效期内均保持有效。</w:t>
      </w:r>
    </w:p>
    <w:p w14:paraId="226044C9">
      <w:pPr>
        <w:pStyle w:val="6"/>
        <w:keepNext w:val="0"/>
        <w:keepLines w:val="0"/>
        <w:spacing w:before="0" w:after="0" w:line="360" w:lineRule="auto"/>
        <w:ind w:left="420"/>
        <w:rPr>
          <w:rFonts w:ascii="宋体" w:hAnsi="宋体"/>
          <w:b w:val="0"/>
          <w:color w:val="auto"/>
          <w:sz w:val="21"/>
          <w:szCs w:val="21"/>
          <w:highlight w:val="none"/>
        </w:rPr>
      </w:pPr>
    </w:p>
    <w:p w14:paraId="288F75B5">
      <w:pPr>
        <w:pStyle w:val="6"/>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18.投标保证金</w:t>
      </w:r>
    </w:p>
    <w:p w14:paraId="5240E20C">
      <w:pPr>
        <w:pStyle w:val="6"/>
        <w:keepNext w:val="0"/>
        <w:keepLines w:val="0"/>
        <w:spacing w:before="0" w:after="0" w:line="360" w:lineRule="auto"/>
        <w:ind w:left="420"/>
        <w:rPr>
          <w:rFonts w:ascii="宋体" w:hAnsi="宋体"/>
          <w:b w:val="0"/>
          <w:color w:val="auto"/>
          <w:sz w:val="21"/>
          <w:szCs w:val="21"/>
          <w:highlight w:val="none"/>
        </w:rPr>
      </w:pPr>
      <w:r>
        <w:rPr>
          <w:rFonts w:hint="eastAsia" w:ascii="宋体" w:hAnsi="宋体"/>
          <w:b w:val="0"/>
          <w:color w:val="auto"/>
          <w:sz w:val="21"/>
          <w:szCs w:val="21"/>
          <w:highlight w:val="none"/>
        </w:rPr>
        <w:t>18.1投标人须按“投标人须知前附表” 的规定提交投标保证金。</w:t>
      </w:r>
    </w:p>
    <w:p w14:paraId="7E14598F">
      <w:pPr>
        <w:pStyle w:val="6"/>
        <w:keepNext w:val="0"/>
        <w:keepLines w:val="0"/>
        <w:spacing w:before="0" w:after="0" w:line="360" w:lineRule="auto"/>
        <w:ind w:firstLine="420"/>
        <w:rPr>
          <w:rFonts w:ascii="宋体" w:hAnsi="宋体"/>
          <w:b w:val="0"/>
          <w:color w:val="auto"/>
          <w:sz w:val="21"/>
          <w:szCs w:val="21"/>
          <w:highlight w:val="none"/>
        </w:rPr>
      </w:pPr>
      <w:r>
        <w:rPr>
          <w:rFonts w:hint="eastAsia" w:ascii="宋体" w:hAnsi="宋体"/>
          <w:b w:val="0"/>
          <w:color w:val="auto"/>
          <w:sz w:val="21"/>
          <w:szCs w:val="21"/>
          <w:highlight w:val="none"/>
        </w:rPr>
        <w:t>18.2投标保证金的退还</w:t>
      </w:r>
    </w:p>
    <w:p w14:paraId="6B0F1988">
      <w:pPr>
        <w:pStyle w:val="6"/>
        <w:keepNext w:val="0"/>
        <w:keepLines w:val="0"/>
        <w:spacing w:before="0" w:after="0" w:line="360" w:lineRule="auto"/>
        <w:ind w:firstLine="420"/>
        <w:rPr>
          <w:rFonts w:ascii="宋体" w:hAnsi="宋体"/>
          <w:b w:val="0"/>
          <w:color w:val="auto"/>
          <w:sz w:val="21"/>
          <w:szCs w:val="21"/>
          <w:highlight w:val="none"/>
        </w:rPr>
      </w:pPr>
      <w:r>
        <w:rPr>
          <w:rFonts w:hint="eastAsia" w:ascii="宋体" w:hAnsi="宋体"/>
          <w:b w:val="0"/>
          <w:color w:val="auto"/>
          <w:sz w:val="21"/>
          <w:szCs w:val="21"/>
          <w:highlight w:val="none"/>
        </w:rPr>
        <w:t xml:space="preserve">未中标人的投标保证金自中标通知书发出之日起5个工作日内退还；中标人的投标保证金自政府采购合同签订之日起5个工作日内退还。 </w:t>
      </w:r>
    </w:p>
    <w:p w14:paraId="0248A853">
      <w:pPr>
        <w:pStyle w:val="6"/>
        <w:keepNext w:val="0"/>
        <w:keepLines w:val="0"/>
        <w:spacing w:before="0" w:after="0" w:line="360" w:lineRule="auto"/>
        <w:ind w:left="420"/>
        <w:rPr>
          <w:rFonts w:ascii="宋体" w:hAnsi="宋体"/>
          <w:b w:val="0"/>
          <w:color w:val="auto"/>
          <w:sz w:val="21"/>
          <w:szCs w:val="21"/>
          <w:highlight w:val="none"/>
        </w:rPr>
      </w:pPr>
      <w:r>
        <w:rPr>
          <w:rFonts w:hint="eastAsia" w:ascii="宋体" w:hAnsi="宋体"/>
          <w:b w:val="0"/>
          <w:color w:val="auto"/>
          <w:sz w:val="21"/>
          <w:szCs w:val="21"/>
          <w:highlight w:val="none"/>
        </w:rPr>
        <w:t>18.3除逾期退还投标保证金和终止招标的情形以外，投标保证金不计息。</w:t>
      </w:r>
    </w:p>
    <w:p w14:paraId="0E497DA9">
      <w:pPr>
        <w:pStyle w:val="6"/>
        <w:keepNext w:val="0"/>
        <w:keepLines w:val="0"/>
        <w:spacing w:before="0" w:after="0" w:line="360" w:lineRule="auto"/>
        <w:ind w:left="420"/>
        <w:rPr>
          <w:rFonts w:ascii="宋体" w:hAnsi="宋体"/>
          <w:b w:val="0"/>
          <w:color w:val="auto"/>
          <w:sz w:val="21"/>
          <w:szCs w:val="21"/>
          <w:highlight w:val="none"/>
        </w:rPr>
      </w:pPr>
      <w:r>
        <w:rPr>
          <w:rFonts w:hint="eastAsia" w:ascii="宋体" w:hAnsi="宋体"/>
          <w:b w:val="0"/>
          <w:color w:val="auto"/>
          <w:sz w:val="21"/>
          <w:szCs w:val="21"/>
          <w:highlight w:val="none"/>
        </w:rPr>
        <w:t xml:space="preserve">18.4投标人有下列情形之一的，投标保证金将不予退还： </w:t>
      </w:r>
    </w:p>
    <w:p w14:paraId="738F3B20">
      <w:pPr>
        <w:spacing w:line="360" w:lineRule="auto"/>
        <w:ind w:firstLine="411"/>
        <w:jc w:val="left"/>
        <w:rPr>
          <w:rFonts w:ascii="宋体" w:hAnsi="宋体"/>
          <w:color w:val="auto"/>
          <w:szCs w:val="21"/>
          <w:highlight w:val="none"/>
        </w:rPr>
      </w:pPr>
      <w:r>
        <w:rPr>
          <w:rFonts w:hint="eastAsia" w:ascii="宋体" w:hAnsi="宋体"/>
          <w:color w:val="auto"/>
          <w:szCs w:val="21"/>
          <w:highlight w:val="none"/>
        </w:rPr>
        <w:t>（1）投标人在投标有效期内撤销投标文件的；</w:t>
      </w:r>
    </w:p>
    <w:p w14:paraId="31DEF5B7">
      <w:pPr>
        <w:spacing w:line="360" w:lineRule="auto"/>
        <w:ind w:firstLine="411"/>
        <w:jc w:val="left"/>
        <w:rPr>
          <w:rFonts w:ascii="宋体" w:hAnsi="宋体"/>
          <w:color w:val="auto"/>
          <w:szCs w:val="21"/>
          <w:highlight w:val="none"/>
        </w:rPr>
      </w:pPr>
      <w:r>
        <w:rPr>
          <w:rFonts w:hint="eastAsia" w:ascii="宋体" w:hAnsi="宋体"/>
          <w:color w:val="auto"/>
          <w:szCs w:val="21"/>
          <w:highlight w:val="none"/>
        </w:rPr>
        <w:t>（2）未按规定提交履约保证金的；</w:t>
      </w:r>
    </w:p>
    <w:p w14:paraId="03FFA60C">
      <w:pPr>
        <w:spacing w:line="360" w:lineRule="auto"/>
        <w:ind w:firstLine="411"/>
        <w:jc w:val="left"/>
        <w:rPr>
          <w:rFonts w:ascii="宋体" w:hAnsi="宋体"/>
          <w:color w:val="auto"/>
          <w:szCs w:val="21"/>
          <w:highlight w:val="none"/>
        </w:rPr>
      </w:pPr>
      <w:r>
        <w:rPr>
          <w:rFonts w:hint="eastAsia" w:ascii="宋体" w:hAnsi="宋体"/>
          <w:color w:val="auto"/>
          <w:szCs w:val="21"/>
          <w:highlight w:val="none"/>
        </w:rPr>
        <w:t>（3）投标人在投标过程中弄虚作假，提供虚假材料的；</w:t>
      </w:r>
    </w:p>
    <w:p w14:paraId="31917066">
      <w:pPr>
        <w:spacing w:line="360" w:lineRule="auto"/>
        <w:ind w:firstLine="411"/>
        <w:rPr>
          <w:rFonts w:ascii="宋体" w:hAnsi="宋体"/>
          <w:color w:val="auto"/>
          <w:szCs w:val="21"/>
          <w:highlight w:val="none"/>
        </w:rPr>
      </w:pPr>
      <w:r>
        <w:rPr>
          <w:rFonts w:hint="eastAsia" w:ascii="宋体" w:hAnsi="宋体"/>
          <w:color w:val="auto"/>
          <w:szCs w:val="21"/>
          <w:highlight w:val="none"/>
        </w:rPr>
        <w:t>（4）中标人无正当理由不与采购人签订合同的；</w:t>
      </w:r>
    </w:p>
    <w:p w14:paraId="2FADC01F">
      <w:pPr>
        <w:spacing w:line="360" w:lineRule="auto"/>
        <w:ind w:firstLine="420"/>
        <w:rPr>
          <w:rFonts w:ascii="宋体" w:hAnsi="宋体"/>
          <w:color w:val="auto"/>
          <w:szCs w:val="21"/>
          <w:highlight w:val="none"/>
        </w:rPr>
      </w:pPr>
      <w:r>
        <w:rPr>
          <w:rFonts w:hint="eastAsia" w:ascii="宋体" w:hAnsi="宋体"/>
          <w:color w:val="auto"/>
          <w:szCs w:val="21"/>
          <w:highlight w:val="none"/>
        </w:rPr>
        <w:t>（5）投标人出现本章第9.2、9.3情形的；</w:t>
      </w:r>
    </w:p>
    <w:p w14:paraId="3C3CF194">
      <w:pPr>
        <w:spacing w:line="360" w:lineRule="auto"/>
        <w:ind w:firstLine="420"/>
        <w:rPr>
          <w:rFonts w:ascii="宋体" w:hAnsi="宋体"/>
          <w:color w:val="auto"/>
          <w:szCs w:val="21"/>
          <w:highlight w:val="none"/>
        </w:rPr>
      </w:pPr>
      <w:r>
        <w:rPr>
          <w:rFonts w:hint="eastAsia" w:ascii="宋体" w:hAnsi="宋体"/>
          <w:color w:val="auto"/>
          <w:szCs w:val="21"/>
          <w:highlight w:val="none"/>
        </w:rPr>
        <w:t>（6）</w:t>
      </w:r>
      <w:r>
        <w:rPr>
          <w:rFonts w:hint="eastAsia" w:ascii="宋体" w:hAnsi="宋体" w:cs="宋体"/>
          <w:color w:val="auto"/>
          <w:szCs w:val="21"/>
          <w:highlight w:val="none"/>
        </w:rPr>
        <w:t>法律法规规定的其他情形</w:t>
      </w:r>
      <w:r>
        <w:rPr>
          <w:rFonts w:hint="eastAsia" w:ascii="宋体" w:hAnsi="宋体"/>
          <w:color w:val="auto"/>
          <w:szCs w:val="21"/>
          <w:highlight w:val="none"/>
        </w:rPr>
        <w:t>。</w:t>
      </w:r>
    </w:p>
    <w:p w14:paraId="5409E5E0">
      <w:pPr>
        <w:pStyle w:val="6"/>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19.投标文件的编制</w:t>
      </w:r>
    </w:p>
    <w:p w14:paraId="705D02EB">
      <w:pPr>
        <w:pStyle w:val="6"/>
        <w:keepNext w:val="0"/>
        <w:keepLines w:val="0"/>
        <w:numPr>
          <w:ilvl w:val="4"/>
          <w:numId w:val="4"/>
        </w:numPr>
        <w:spacing w:before="0" w:after="0" w:line="360" w:lineRule="auto"/>
        <w:ind w:firstLine="315"/>
        <w:rPr>
          <w:rFonts w:ascii="宋体" w:hAnsi="宋体"/>
          <w:b w:val="0"/>
          <w:color w:val="auto"/>
          <w:sz w:val="21"/>
          <w:szCs w:val="21"/>
          <w:highlight w:val="none"/>
        </w:rPr>
      </w:pPr>
      <w:r>
        <w:rPr>
          <w:rFonts w:hint="eastAsia" w:ascii="宋体" w:hAnsi="宋体"/>
          <w:b w:val="0"/>
          <w:color w:val="auto"/>
          <w:sz w:val="21"/>
          <w:szCs w:val="21"/>
          <w:highlight w:val="none"/>
        </w:rPr>
        <w:t xml:space="preserve">  19.1投标人应按照本项目招标文件规定的格式和顺序和广西政府采购云平台的要求编制投标文件并加密。投标文件内容不完整、编排混乱导致投标文件被误读、漏读或者查找不到相关内容的，由此引发的后果由投标人承担。</w:t>
      </w:r>
    </w:p>
    <w:p w14:paraId="1C441E3F">
      <w:pPr>
        <w:pStyle w:val="6"/>
        <w:keepNext w:val="0"/>
        <w:keepLines w:val="0"/>
        <w:numPr>
          <w:ilvl w:val="4"/>
          <w:numId w:val="4"/>
        </w:numPr>
        <w:spacing w:before="0" w:after="0" w:line="360" w:lineRule="auto"/>
        <w:ind w:firstLine="315"/>
        <w:rPr>
          <w:rFonts w:ascii="宋体" w:hAnsi="宋体"/>
          <w:b w:val="0"/>
          <w:color w:val="auto"/>
          <w:sz w:val="21"/>
          <w:szCs w:val="21"/>
          <w:highlight w:val="none"/>
        </w:rPr>
      </w:pPr>
      <w:r>
        <w:rPr>
          <w:rFonts w:hint="eastAsia" w:ascii="宋体" w:hAnsi="宋体"/>
          <w:b w:val="0"/>
          <w:color w:val="auto"/>
          <w:sz w:val="21"/>
          <w:szCs w:val="21"/>
          <w:highlight w:val="none"/>
        </w:rPr>
        <w:t xml:space="preserve"> 19.2为确保网上操作合法、有效和安全，投标人应当在投标截止时间前完成在广西政府采购云平台的身份认证，确保在电子投标过程中能够对相关数据电文进行加密和使用电子签章。</w:t>
      </w:r>
    </w:p>
    <w:p w14:paraId="42EEACA9">
      <w:pPr>
        <w:pStyle w:val="6"/>
        <w:keepNext w:val="0"/>
        <w:keepLines w:val="0"/>
        <w:numPr>
          <w:ilvl w:val="4"/>
          <w:numId w:val="4"/>
        </w:numPr>
        <w:spacing w:before="0" w:after="0" w:line="360" w:lineRule="auto"/>
        <w:rPr>
          <w:rFonts w:ascii="宋体" w:hAnsi="宋体"/>
          <w:b w:val="0"/>
          <w:color w:val="auto"/>
          <w:sz w:val="21"/>
          <w:szCs w:val="21"/>
          <w:highlight w:val="none"/>
        </w:rPr>
      </w:pPr>
      <w:r>
        <w:rPr>
          <w:rFonts w:hint="eastAsia" w:ascii="宋体" w:hAnsi="宋体"/>
          <w:b w:val="0"/>
          <w:color w:val="auto"/>
          <w:sz w:val="21"/>
          <w:szCs w:val="21"/>
          <w:highlight w:val="none"/>
        </w:rPr>
        <w:t xml:space="preserve">    19.3投标文件须由投标人在规定位置签字（或者电子签名）、盖章（具体以投标人须知前附表或投标文件格式规定为准），</w:t>
      </w:r>
      <w:r>
        <w:rPr>
          <w:rFonts w:hint="eastAsia" w:ascii="宋体" w:hAnsi="宋体"/>
          <w:bCs/>
          <w:color w:val="auto"/>
          <w:sz w:val="21"/>
          <w:szCs w:val="21"/>
          <w:highlight w:val="none"/>
        </w:rPr>
        <w:t>否则按无效投标处理</w:t>
      </w:r>
      <w:r>
        <w:rPr>
          <w:rFonts w:hint="eastAsia" w:ascii="宋体" w:hAnsi="宋体"/>
          <w:b w:val="0"/>
          <w:color w:val="auto"/>
          <w:sz w:val="21"/>
          <w:szCs w:val="21"/>
          <w:highlight w:val="none"/>
        </w:rPr>
        <w:t>。</w:t>
      </w:r>
    </w:p>
    <w:p w14:paraId="13F3FFC0">
      <w:pPr>
        <w:pStyle w:val="6"/>
        <w:keepNext w:val="0"/>
        <w:keepLines w:val="0"/>
        <w:numPr>
          <w:ilvl w:val="4"/>
          <w:numId w:val="4"/>
        </w:numPr>
        <w:spacing w:before="0" w:after="0" w:line="360" w:lineRule="auto"/>
        <w:ind w:firstLine="315"/>
        <w:rPr>
          <w:rFonts w:ascii="宋体" w:hAnsi="宋体"/>
          <w:b w:val="0"/>
          <w:color w:val="auto"/>
          <w:sz w:val="21"/>
          <w:szCs w:val="21"/>
          <w:highlight w:val="none"/>
        </w:rPr>
      </w:pPr>
      <w:r>
        <w:rPr>
          <w:rFonts w:hint="eastAsia" w:ascii="宋体" w:hAnsi="宋体"/>
          <w:b w:val="0"/>
          <w:color w:val="auto"/>
          <w:sz w:val="21"/>
          <w:szCs w:val="21"/>
          <w:highlight w:val="none"/>
        </w:rPr>
        <w:t xml:space="preserve"> 19.4投标文件中标注的投标人名称应与主体资格证明（如营业执照或者事业单位法人证书或者执业许可证或者登记证书等）及公章一致，并与广西政府采购云平台中获取招标文件的投标人名称一致，投标人为自然人的，标注的投标人名称应与身份证姓名及签名一致，</w:t>
      </w:r>
      <w:r>
        <w:rPr>
          <w:rFonts w:hint="eastAsia" w:ascii="宋体" w:hAnsi="宋体"/>
          <w:color w:val="auto"/>
          <w:sz w:val="21"/>
          <w:szCs w:val="21"/>
          <w:highlight w:val="none"/>
        </w:rPr>
        <w:t>否则按无效投标处理</w:t>
      </w:r>
      <w:r>
        <w:rPr>
          <w:rFonts w:hint="eastAsia" w:ascii="宋体" w:hAnsi="宋体"/>
          <w:b w:val="0"/>
          <w:color w:val="auto"/>
          <w:sz w:val="21"/>
          <w:szCs w:val="21"/>
          <w:highlight w:val="none"/>
        </w:rPr>
        <w:t>。</w:t>
      </w:r>
    </w:p>
    <w:p w14:paraId="771BD30E">
      <w:pPr>
        <w:pStyle w:val="6"/>
        <w:keepNext w:val="0"/>
        <w:keepLines w:val="0"/>
        <w:numPr>
          <w:ilvl w:val="4"/>
          <w:numId w:val="4"/>
        </w:numPr>
        <w:spacing w:before="0" w:after="0" w:line="360" w:lineRule="auto"/>
        <w:ind w:firstLine="315"/>
        <w:rPr>
          <w:rFonts w:ascii="宋体" w:hAnsi="宋体"/>
          <w:b w:val="0"/>
          <w:color w:val="auto"/>
          <w:sz w:val="21"/>
          <w:szCs w:val="21"/>
          <w:highlight w:val="none"/>
        </w:rPr>
      </w:pPr>
      <w:r>
        <w:rPr>
          <w:rFonts w:hint="eastAsia" w:ascii="宋体" w:hAnsi="宋体"/>
          <w:b w:val="0"/>
          <w:color w:val="auto"/>
          <w:sz w:val="21"/>
          <w:szCs w:val="21"/>
          <w:highlight w:val="none"/>
        </w:rPr>
        <w:t xml:space="preserve"> 19.5投标文件应尽量避免涂改、行间插字或者删除。如果出现上述情况，改动之处应由投标人的法定代表人或者其委托代理人签字（或者电子签名）或者加盖公章或者加盖电子签章。投标文件因字迹潦草或者表达不清所引起的后果由投标人承担。</w:t>
      </w:r>
    </w:p>
    <w:p w14:paraId="149F0702">
      <w:pPr>
        <w:spacing w:line="360" w:lineRule="auto"/>
        <w:ind w:firstLine="480"/>
        <w:rPr>
          <w:rFonts w:ascii="黑体" w:hAnsi="黑体" w:eastAsia="黑体"/>
          <w:color w:val="auto"/>
          <w:sz w:val="24"/>
          <w:highlight w:val="none"/>
        </w:rPr>
      </w:pPr>
      <w:r>
        <w:rPr>
          <w:rFonts w:hint="eastAsia" w:ascii="黑体" w:hAnsi="黑体" w:eastAsia="黑体"/>
          <w:color w:val="auto"/>
          <w:sz w:val="24"/>
          <w:highlight w:val="none"/>
        </w:rPr>
        <w:t>20.电子备份投标文件</w:t>
      </w:r>
    </w:p>
    <w:p w14:paraId="6F4AE946">
      <w:pPr>
        <w:spacing w:line="360" w:lineRule="auto"/>
        <w:ind w:firstLine="420"/>
        <w:rPr>
          <w:rFonts w:ascii="黑体" w:hAnsi="黑体" w:eastAsia="黑体"/>
          <w:color w:val="auto"/>
          <w:sz w:val="24"/>
          <w:highlight w:val="none"/>
        </w:rPr>
      </w:pPr>
      <w:r>
        <w:rPr>
          <w:rFonts w:hint="eastAsia"/>
          <w:color w:val="auto"/>
          <w:highlight w:val="none"/>
        </w:rPr>
        <w:t>电子备份投标文件是指通过在线编制生成且后缀名为“</w:t>
      </w:r>
      <w:r>
        <w:rPr>
          <w:color w:val="auto"/>
          <w:highlight w:val="none"/>
        </w:rPr>
        <w:t>bfbs</w:t>
      </w:r>
      <w:r>
        <w:rPr>
          <w:rFonts w:hint="eastAsia"/>
          <w:color w:val="auto"/>
          <w:highlight w:val="none"/>
        </w:rPr>
        <w:t>”的文件，是否接受电子备份投标文件</w:t>
      </w:r>
      <w:r>
        <w:rPr>
          <w:rFonts w:hint="eastAsia" w:hAnsi="宋体"/>
          <w:bCs/>
          <w:color w:val="auto"/>
          <w:szCs w:val="21"/>
          <w:highlight w:val="none"/>
        </w:rPr>
        <w:t>详见“投标人须知前附表”。</w:t>
      </w:r>
    </w:p>
    <w:p w14:paraId="7F4A1B9C">
      <w:pPr>
        <w:pStyle w:val="6"/>
        <w:keepNext w:val="0"/>
        <w:keepLines w:val="0"/>
        <w:numPr>
          <w:ilvl w:val="4"/>
          <w:numId w:val="4"/>
        </w:numPr>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21.投标文件的提交</w:t>
      </w:r>
    </w:p>
    <w:p w14:paraId="44CFCA5F">
      <w:pPr>
        <w:spacing w:line="360" w:lineRule="auto"/>
        <w:ind w:firstLine="420"/>
        <w:rPr>
          <w:rFonts w:hAnsi="宋体"/>
          <w:b/>
          <w:color w:val="auto"/>
          <w:highlight w:val="none"/>
        </w:rPr>
      </w:pPr>
      <w:r>
        <w:rPr>
          <w:rFonts w:hAnsi="宋体"/>
          <w:bCs/>
          <w:color w:val="auto"/>
          <w:szCs w:val="21"/>
          <w:highlight w:val="none"/>
        </w:rPr>
        <w:t>21.1</w:t>
      </w:r>
      <w:r>
        <w:rPr>
          <w:rFonts w:hint="eastAsia" w:hAnsi="宋体"/>
          <w:bCs/>
          <w:color w:val="auto"/>
          <w:szCs w:val="21"/>
          <w:highlight w:val="none"/>
        </w:rPr>
        <w:t>投标人必须在“投标人须知前附表”规定的</w:t>
      </w:r>
      <w:r>
        <w:rPr>
          <w:rFonts w:hint="eastAsia" w:ascii="宋体" w:hAnsi="宋体"/>
          <w:color w:val="auto"/>
          <w:szCs w:val="21"/>
          <w:highlight w:val="none"/>
        </w:rPr>
        <w:t>提交投标文件截止时间前将</w:t>
      </w:r>
      <w:r>
        <w:rPr>
          <w:rFonts w:hint="eastAsia" w:hAnsi="宋体"/>
          <w:bCs/>
          <w:color w:val="auto"/>
          <w:szCs w:val="21"/>
          <w:highlight w:val="none"/>
        </w:rPr>
        <w:t>电子投标文件提交至投标地点。电子投标文件应在制作完成后，在投标截止时间前通过有效数字证书（</w:t>
      </w:r>
      <w:r>
        <w:rPr>
          <w:rFonts w:hAnsi="宋体"/>
          <w:bCs/>
          <w:color w:val="auto"/>
          <w:szCs w:val="21"/>
          <w:highlight w:val="none"/>
        </w:rPr>
        <w:t>CA</w:t>
      </w:r>
      <w:r>
        <w:rPr>
          <w:rFonts w:hint="eastAsia" w:hAnsi="宋体"/>
          <w:bCs/>
          <w:color w:val="auto"/>
          <w:szCs w:val="21"/>
          <w:highlight w:val="none"/>
        </w:rPr>
        <w:t>认证锁）进行电子签章、加密，然后通过网络将加密的电子投标文件递交至</w:t>
      </w:r>
      <w:r>
        <w:rPr>
          <w:rFonts w:hint="eastAsia" w:ascii="宋体" w:hAnsi="宋体"/>
          <w:b/>
          <w:color w:val="auto"/>
          <w:szCs w:val="21"/>
          <w:highlight w:val="none"/>
        </w:rPr>
        <w:t>广西政府采购云平台</w:t>
      </w:r>
      <w:r>
        <w:rPr>
          <w:rFonts w:hint="eastAsia" w:hAnsi="宋体"/>
          <w:bCs/>
          <w:color w:val="auto"/>
          <w:szCs w:val="21"/>
          <w:highlight w:val="none"/>
        </w:rPr>
        <w:t>。</w:t>
      </w:r>
      <w:r>
        <w:rPr>
          <w:rFonts w:hAnsi="宋体"/>
          <w:bCs/>
          <w:color w:val="auto"/>
          <w:szCs w:val="21"/>
          <w:highlight w:val="none"/>
        </w:rPr>
        <w:t xml:space="preserve"> </w:t>
      </w:r>
      <w:r>
        <w:rPr>
          <w:rFonts w:hAnsi="宋体"/>
          <w:b/>
          <w:color w:val="auto"/>
          <w:highlight w:val="none"/>
        </w:rPr>
        <w:t xml:space="preserve"> </w:t>
      </w:r>
    </w:p>
    <w:p w14:paraId="77FC5C27">
      <w:pPr>
        <w:spacing w:line="360" w:lineRule="auto"/>
        <w:ind w:firstLine="422"/>
        <w:rPr>
          <w:rFonts w:ascii="宋体" w:hAnsi="宋体"/>
          <w:b/>
          <w:color w:val="auto"/>
          <w:szCs w:val="20"/>
          <w:highlight w:val="none"/>
        </w:rPr>
      </w:pPr>
      <w:r>
        <w:rPr>
          <w:rFonts w:hint="eastAsia" w:ascii="宋体" w:hAnsi="宋体"/>
          <w:b/>
          <w:color w:val="auto"/>
          <w:szCs w:val="21"/>
          <w:highlight w:val="none"/>
        </w:rPr>
        <w:t>21.2未在规定时间内提交或者未按照招标文件要求加密的电子投标文件，广西政府采购云平台将拒收。</w:t>
      </w:r>
    </w:p>
    <w:p w14:paraId="5221F2EE">
      <w:pPr>
        <w:pStyle w:val="6"/>
        <w:keepNext w:val="0"/>
        <w:keepLines w:val="0"/>
        <w:numPr>
          <w:ilvl w:val="4"/>
          <w:numId w:val="4"/>
        </w:numPr>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22. 投标文件的补充、修改、撤回与退回</w:t>
      </w:r>
    </w:p>
    <w:p w14:paraId="6FBF757F">
      <w:pPr>
        <w:spacing w:line="360" w:lineRule="auto"/>
        <w:ind w:firstLine="420"/>
        <w:jc w:val="left"/>
        <w:rPr>
          <w:rFonts w:ascii="宋体" w:hAnsi="宋体"/>
          <w:color w:val="auto"/>
          <w:szCs w:val="21"/>
          <w:highlight w:val="none"/>
        </w:rPr>
      </w:pPr>
      <w:r>
        <w:rPr>
          <w:rFonts w:hint="eastAsia" w:ascii="宋体" w:hAnsi="宋体" w:cs="宋体"/>
          <w:color w:val="auto"/>
          <w:szCs w:val="21"/>
          <w:highlight w:val="none"/>
        </w:rPr>
        <w:t>22.1</w:t>
      </w:r>
      <w:r>
        <w:rPr>
          <w:rFonts w:hint="eastAsia" w:ascii="宋体" w:hAnsi="宋体"/>
          <w:bCs/>
          <w:color w:val="auto"/>
          <w:szCs w:val="21"/>
          <w:highlight w:val="none"/>
        </w:rPr>
        <w:t>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广西政府采购云平台将予以拒收。</w:t>
      </w:r>
      <w:r>
        <w:rPr>
          <w:rFonts w:hint="eastAsia" w:ascii="宋体" w:hAnsi="宋体" w:cs="宋体"/>
          <w:color w:val="auto"/>
          <w:szCs w:val="21"/>
          <w:highlight w:val="none"/>
        </w:rPr>
        <w:t>（补充、修改或者撤回方式可</w:t>
      </w:r>
      <w:r>
        <w:rPr>
          <w:rFonts w:hint="eastAsia" w:ascii="宋体" w:hAnsi="宋体"/>
          <w:color w:val="auto"/>
          <w:szCs w:val="21"/>
          <w:highlight w:val="none"/>
        </w:rPr>
        <w:t>登录</w:t>
      </w:r>
      <w:r>
        <w:rPr>
          <w:rFonts w:hint="eastAsia" w:ascii="宋体" w:hAnsi="宋体" w:cs="宋体"/>
          <w:color w:val="auto"/>
          <w:szCs w:val="21"/>
          <w:highlight w:val="none"/>
        </w:rPr>
        <w:t>广西政府采购云平台，</w:t>
      </w:r>
      <w:r>
        <w:rPr>
          <w:rFonts w:hint="eastAsia" w:ascii="宋体" w:hAnsi="宋体"/>
          <w:color w:val="auto"/>
          <w:szCs w:val="21"/>
          <w:highlight w:val="none"/>
        </w:rPr>
        <w:t>依次进入“服务中心”中查看</w:t>
      </w:r>
      <w:r>
        <w:rPr>
          <w:rFonts w:hint="eastAsia" w:ascii="宋体" w:hAnsi="宋体" w:cs="宋体"/>
          <w:color w:val="auto"/>
          <w:szCs w:val="21"/>
          <w:highlight w:val="none"/>
        </w:rPr>
        <w:t xml:space="preserve"> “电子投标文件制作与投送教程”）</w:t>
      </w:r>
    </w:p>
    <w:p w14:paraId="6F8F7E50">
      <w:pPr>
        <w:pStyle w:val="283"/>
        <w:spacing w:before="0"/>
        <w:ind w:firstLine="420"/>
        <w:rPr>
          <w:rFonts w:ascii="宋体" w:hAnsi="宋体" w:cs="宋体"/>
          <w:color w:val="auto"/>
          <w:sz w:val="21"/>
          <w:szCs w:val="21"/>
          <w:highlight w:val="none"/>
        </w:rPr>
      </w:pPr>
      <w:r>
        <w:rPr>
          <w:rFonts w:hint="eastAsia" w:ascii="宋体" w:hAnsi="宋体" w:cs="宋体"/>
          <w:color w:val="auto"/>
          <w:sz w:val="21"/>
          <w:szCs w:val="21"/>
          <w:highlight w:val="none"/>
        </w:rPr>
        <w:t>22.2“广西政府采购云平台收到投标文件后向供应商发出确认回执通知。在投标截止时间前，除供应商补充、修改或者撤回投标文件外，任何单位和个人不得解密或提取投标文件。</w:t>
      </w:r>
    </w:p>
    <w:p w14:paraId="130BCDD2">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22.3在投标截止时间后，采购人和采购代理机构对已提交的投标文件概不退回。</w:t>
      </w:r>
    </w:p>
    <w:p w14:paraId="4E05EBC3">
      <w:pPr>
        <w:pStyle w:val="4"/>
        <w:keepNext w:val="0"/>
        <w:keepLines w:val="0"/>
        <w:jc w:val="center"/>
        <w:rPr>
          <w:color w:val="auto"/>
          <w:highlight w:val="none"/>
        </w:rPr>
      </w:pPr>
      <w:r>
        <w:rPr>
          <w:rFonts w:hint="eastAsia"/>
          <w:color w:val="auto"/>
          <w:highlight w:val="none"/>
        </w:rPr>
        <w:t>四、开    标</w:t>
      </w:r>
    </w:p>
    <w:p w14:paraId="1813C40D">
      <w:pPr>
        <w:pStyle w:val="6"/>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23.开标时间和地点</w:t>
      </w:r>
    </w:p>
    <w:p w14:paraId="14E61021">
      <w:pPr>
        <w:spacing w:line="360" w:lineRule="auto"/>
        <w:ind w:firstLine="420"/>
        <w:rPr>
          <w:rFonts w:hAnsi="宋体"/>
          <w:bCs/>
          <w:color w:val="auto"/>
          <w:highlight w:val="none"/>
        </w:rPr>
      </w:pPr>
      <w:r>
        <w:rPr>
          <w:rFonts w:hint="eastAsia" w:hAnsi="宋体"/>
          <w:bCs/>
          <w:color w:val="auto"/>
          <w:highlight w:val="none"/>
        </w:rPr>
        <w:t>开标时间及地点详见“投标人须知前附表”</w:t>
      </w:r>
    </w:p>
    <w:p w14:paraId="5C7CEA2F">
      <w:pPr>
        <w:pStyle w:val="6"/>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24.开标程序</w:t>
      </w:r>
    </w:p>
    <w:p w14:paraId="1063314D">
      <w:pPr>
        <w:pStyle w:val="7"/>
        <w:spacing w:line="360" w:lineRule="auto"/>
        <w:rPr>
          <w:color w:val="auto"/>
          <w:highlight w:val="none"/>
        </w:rPr>
      </w:pPr>
      <w:r>
        <w:rPr>
          <w:color w:val="auto"/>
          <w:highlight w:val="none"/>
        </w:rPr>
        <w:t>24.1</w:t>
      </w:r>
      <w:r>
        <w:rPr>
          <w:rFonts w:hint="eastAsia"/>
          <w:color w:val="auto"/>
          <w:highlight w:val="none"/>
        </w:rPr>
        <w:t>提交投标文件截止时间止，投标人不足</w:t>
      </w:r>
      <w:r>
        <w:rPr>
          <w:color w:val="auto"/>
          <w:highlight w:val="none"/>
        </w:rPr>
        <w:t>3</w:t>
      </w:r>
      <w:r>
        <w:rPr>
          <w:rFonts w:hint="eastAsia"/>
          <w:color w:val="auto"/>
          <w:highlight w:val="none"/>
        </w:rPr>
        <w:t>家的，不得开标。</w:t>
      </w:r>
    </w:p>
    <w:p w14:paraId="1ABD84C0">
      <w:pPr>
        <w:pStyle w:val="7"/>
        <w:spacing w:line="360" w:lineRule="auto"/>
        <w:rPr>
          <w:color w:val="auto"/>
          <w:highlight w:val="none"/>
        </w:rPr>
      </w:pPr>
      <w:r>
        <w:rPr>
          <w:color w:val="auto"/>
          <w:highlight w:val="none"/>
        </w:rPr>
        <w:t>24.2</w:t>
      </w:r>
      <w:r>
        <w:rPr>
          <w:rFonts w:hint="eastAsia"/>
          <w:color w:val="auto"/>
          <w:highlight w:val="none"/>
        </w:rPr>
        <w:t>采购代理机构将按照招标文件规定的时间通过广西政府采购云平台组织线上开标活动，所有供应商均应当准时在线参加，投标人因未在线参加开标而导致投标文件无法按时解密等一切后果由投标人自己承担。</w:t>
      </w:r>
    </w:p>
    <w:p w14:paraId="4BC50D3C">
      <w:pPr>
        <w:pStyle w:val="7"/>
        <w:spacing w:line="360" w:lineRule="auto"/>
        <w:rPr>
          <w:color w:val="auto"/>
          <w:highlight w:val="none"/>
        </w:rPr>
      </w:pPr>
      <w:r>
        <w:rPr>
          <w:color w:val="auto"/>
          <w:highlight w:val="none"/>
        </w:rPr>
        <w:t>24.3</w:t>
      </w:r>
      <w:r>
        <w:rPr>
          <w:rFonts w:hint="eastAsia"/>
          <w:color w:val="auto"/>
          <w:highlight w:val="none"/>
        </w:rPr>
        <w:t>开标程序</w:t>
      </w:r>
    </w:p>
    <w:p w14:paraId="54E53C14">
      <w:pPr>
        <w:pStyle w:val="7"/>
        <w:spacing w:line="360" w:lineRule="auto"/>
        <w:rPr>
          <w:color w:val="auto"/>
          <w:highlight w:val="none"/>
        </w:rPr>
      </w:pPr>
      <w:r>
        <w:rPr>
          <w:rFonts w:hint="eastAsia"/>
          <w:color w:val="auto"/>
          <w:highlight w:val="none"/>
        </w:rPr>
        <w:t>（</w:t>
      </w:r>
      <w:r>
        <w:rPr>
          <w:color w:val="auto"/>
          <w:highlight w:val="none"/>
        </w:rPr>
        <w:t>1</w:t>
      </w:r>
      <w:r>
        <w:rPr>
          <w:rFonts w:hint="eastAsia"/>
          <w:color w:val="auto"/>
          <w:highlight w:val="none"/>
        </w:rPr>
        <w:t>）解密电子投标文件。“广西政府采购云平台按开标时间自动提取所有投标文件。采购代理机构依托广西政府采购云平台向各投标人发出电子加密投标文件【开始解密】通知，由投标人按</w:t>
      </w:r>
      <w:r>
        <w:rPr>
          <w:rFonts w:hint="eastAsia" w:hAnsi="宋体"/>
          <w:bCs/>
          <w:color w:val="auto"/>
          <w:szCs w:val="21"/>
          <w:highlight w:val="none"/>
        </w:rPr>
        <w:t>“投标人须知前附表”</w:t>
      </w:r>
      <w:r>
        <w:rPr>
          <w:rFonts w:hint="eastAsia"/>
          <w:color w:val="auto"/>
          <w:highlight w:val="none"/>
        </w:rPr>
        <w:t>规定的时间内自行进行投标文件解密。投标人的法定代表人或其委托代理人须凭加密时所用的</w:t>
      </w:r>
      <w:r>
        <w:rPr>
          <w:color w:val="auto"/>
          <w:highlight w:val="none"/>
        </w:rPr>
        <w:t>CA</w:t>
      </w:r>
      <w:r>
        <w:rPr>
          <w:rFonts w:hint="eastAsia"/>
          <w:color w:val="auto"/>
          <w:highlight w:val="none"/>
        </w:rPr>
        <w:t>锁准时登录到广西政府采购云平台电子开标大厅签到并对电子投标文件解密。</w:t>
      </w:r>
      <w:r>
        <w:rPr>
          <w:rFonts w:hint="eastAsia"/>
          <w:b/>
          <w:color w:val="auto"/>
          <w:highlight w:val="none"/>
        </w:rPr>
        <w:t>投标人未在规定的时间内解密投标文件或者解密失败的，</w:t>
      </w:r>
      <w:r>
        <w:rPr>
          <w:rFonts w:hint="eastAsia" w:ascii="宋体" w:hAnsi="宋体"/>
          <w:b/>
          <w:color w:val="auto"/>
          <w:szCs w:val="21"/>
          <w:highlight w:val="none"/>
        </w:rPr>
        <w:t>投标人的投标文件作无效处理</w:t>
      </w:r>
      <w:r>
        <w:rPr>
          <w:rFonts w:hint="eastAsia"/>
          <w:b/>
          <w:color w:val="auto"/>
          <w:highlight w:val="none"/>
        </w:rPr>
        <w:t>。</w:t>
      </w:r>
    </w:p>
    <w:p w14:paraId="6C1EC150">
      <w:pPr>
        <w:pStyle w:val="7"/>
        <w:spacing w:line="360" w:lineRule="auto"/>
        <w:rPr>
          <w:color w:val="auto"/>
          <w:highlight w:val="none"/>
        </w:rPr>
      </w:pPr>
      <w:r>
        <w:rPr>
          <w:rFonts w:hint="eastAsia"/>
          <w:color w:val="auto"/>
          <w:highlight w:val="none"/>
        </w:rPr>
        <w:t>（</w:t>
      </w:r>
      <w:r>
        <w:rPr>
          <w:color w:val="auto"/>
          <w:highlight w:val="none"/>
        </w:rPr>
        <w:t>2</w:t>
      </w:r>
      <w:r>
        <w:rPr>
          <w:rFonts w:hint="eastAsia"/>
          <w:color w:val="auto"/>
          <w:highlight w:val="none"/>
        </w:rPr>
        <w:t>）电子唱标。投标文件解密结束，宣布的内容均在广西政府采购云平台远程开标大厅展示，具体详见</w:t>
      </w:r>
      <w:r>
        <w:rPr>
          <w:rFonts w:hint="eastAsia" w:hAnsi="宋体"/>
          <w:bCs/>
          <w:color w:val="auto"/>
          <w:highlight w:val="none"/>
        </w:rPr>
        <w:t>“投标人须知前附表”</w:t>
      </w:r>
      <w:r>
        <w:rPr>
          <w:rFonts w:hint="eastAsia"/>
          <w:color w:val="auto"/>
          <w:highlight w:val="none"/>
        </w:rPr>
        <w:t>；</w:t>
      </w:r>
    </w:p>
    <w:p w14:paraId="37853C03">
      <w:pPr>
        <w:pStyle w:val="7"/>
        <w:spacing w:line="360" w:lineRule="auto"/>
        <w:rPr>
          <w:color w:val="auto"/>
          <w:highlight w:val="none"/>
        </w:rPr>
      </w:pPr>
      <w:r>
        <w:rPr>
          <w:rFonts w:hint="eastAsia"/>
          <w:color w:val="auto"/>
          <w:highlight w:val="none"/>
        </w:rPr>
        <w:t>（</w:t>
      </w:r>
      <w:r>
        <w:rPr>
          <w:color w:val="auto"/>
          <w:highlight w:val="none"/>
        </w:rPr>
        <w:t>3</w:t>
      </w:r>
      <w:r>
        <w:rPr>
          <w:rFonts w:hint="eastAsia"/>
          <w:color w:val="auto"/>
          <w:highlight w:val="none"/>
        </w:rPr>
        <w:t>）开标过程由采购代理机构如实记录，并电子留痕，由参加电子开标的各投标人代表对电子开标记录在开标记录公布后</w:t>
      </w:r>
      <w:r>
        <w:rPr>
          <w:color w:val="auto"/>
          <w:highlight w:val="none"/>
        </w:rPr>
        <w:t>15</w:t>
      </w:r>
      <w:r>
        <w:rPr>
          <w:rFonts w:hint="eastAsia"/>
          <w:color w:val="auto"/>
          <w:highlight w:val="none"/>
        </w:rPr>
        <w:t>分钟内进行当场校核及勘误，并线上确认是否有异议，未确认的视同认可开标结果。</w:t>
      </w:r>
    </w:p>
    <w:p w14:paraId="0D015E1F">
      <w:pPr>
        <w:pStyle w:val="7"/>
        <w:spacing w:line="360" w:lineRule="auto"/>
        <w:rPr>
          <w:color w:val="auto"/>
          <w:highlight w:val="none"/>
        </w:rPr>
      </w:pPr>
      <w:r>
        <w:rPr>
          <w:rFonts w:hint="eastAsia"/>
          <w:color w:val="auto"/>
          <w:highlight w:val="none"/>
        </w:rPr>
        <w:t>（</w:t>
      </w:r>
      <w:r>
        <w:rPr>
          <w:color w:val="auto"/>
          <w:highlight w:val="none"/>
        </w:rPr>
        <w:t>4</w:t>
      </w:r>
      <w:r>
        <w:rPr>
          <w:rFonts w:hint="eastAsia"/>
          <w:color w:val="auto"/>
          <w:highlight w:val="none"/>
        </w:rPr>
        <w:t>）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14:paraId="7BEE0822">
      <w:pPr>
        <w:pStyle w:val="7"/>
        <w:spacing w:line="360" w:lineRule="auto"/>
        <w:rPr>
          <w:color w:val="auto"/>
          <w:szCs w:val="21"/>
          <w:highlight w:val="none"/>
        </w:rPr>
      </w:pPr>
      <w:r>
        <w:rPr>
          <w:rFonts w:hint="eastAsia"/>
          <w:color w:val="auto"/>
          <w:szCs w:val="21"/>
          <w:highlight w:val="none"/>
        </w:rPr>
        <w:t>（</w:t>
      </w:r>
      <w:r>
        <w:rPr>
          <w:color w:val="auto"/>
          <w:szCs w:val="21"/>
          <w:highlight w:val="none"/>
        </w:rPr>
        <w:t>5</w:t>
      </w:r>
      <w:r>
        <w:rPr>
          <w:rFonts w:hint="eastAsia"/>
          <w:color w:val="auto"/>
          <w:szCs w:val="21"/>
          <w:highlight w:val="none"/>
        </w:rPr>
        <w:t>）开标结束。</w:t>
      </w:r>
    </w:p>
    <w:p w14:paraId="138DB03B">
      <w:pPr>
        <w:pStyle w:val="25"/>
        <w:spacing w:line="360" w:lineRule="auto"/>
        <w:ind w:firstLine="420"/>
        <w:rPr>
          <w:rFonts w:hAnsi="宋体"/>
          <w:color w:val="auto"/>
          <w:sz w:val="21"/>
          <w:highlight w:val="none"/>
        </w:rPr>
      </w:pPr>
      <w:r>
        <w:rPr>
          <w:rFonts w:hint="eastAsia"/>
          <w:color w:val="auto"/>
          <w:sz w:val="21"/>
          <w:highlight w:val="none"/>
        </w:rPr>
        <w:t>特别说明：如遇广西政府采购云平台电子化开标或评审程序调整的，按调整后执行。</w:t>
      </w:r>
    </w:p>
    <w:p w14:paraId="16CCE2D7">
      <w:pPr>
        <w:pStyle w:val="25"/>
        <w:spacing w:line="360" w:lineRule="auto"/>
        <w:ind w:left="689" w:hanging="210"/>
        <w:rPr>
          <w:rFonts w:hAnsi="宋体"/>
          <w:color w:val="auto"/>
          <w:sz w:val="21"/>
          <w:highlight w:val="none"/>
        </w:rPr>
      </w:pPr>
    </w:p>
    <w:p w14:paraId="2AFB4CFB">
      <w:pPr>
        <w:pStyle w:val="4"/>
        <w:keepNext w:val="0"/>
        <w:keepLines w:val="0"/>
        <w:jc w:val="center"/>
        <w:rPr>
          <w:color w:val="auto"/>
          <w:highlight w:val="none"/>
        </w:rPr>
      </w:pPr>
      <w:r>
        <w:rPr>
          <w:rFonts w:hint="eastAsia"/>
          <w:color w:val="auto"/>
          <w:highlight w:val="none"/>
        </w:rPr>
        <w:t>五、资格审查</w:t>
      </w:r>
    </w:p>
    <w:p w14:paraId="0C625C82">
      <w:pPr>
        <w:pStyle w:val="6"/>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25.资格审查</w:t>
      </w:r>
    </w:p>
    <w:p w14:paraId="347DCB57">
      <w:pPr>
        <w:pStyle w:val="6"/>
        <w:keepNext w:val="0"/>
        <w:keepLines w:val="0"/>
        <w:spacing w:before="0" w:after="0" w:line="360" w:lineRule="auto"/>
        <w:ind w:firstLine="315"/>
        <w:rPr>
          <w:rFonts w:ascii="宋体" w:hAnsi="宋体"/>
          <w:b w:val="0"/>
          <w:color w:val="auto"/>
          <w:sz w:val="21"/>
          <w:szCs w:val="21"/>
          <w:highlight w:val="none"/>
        </w:rPr>
      </w:pPr>
      <w:r>
        <w:rPr>
          <w:rFonts w:hint="eastAsia" w:ascii="宋体" w:hAnsi="宋体"/>
          <w:b w:val="0"/>
          <w:color w:val="auto"/>
          <w:sz w:val="21"/>
          <w:szCs w:val="21"/>
          <w:highlight w:val="none"/>
        </w:rPr>
        <w:t xml:space="preserve"> 25.1</w:t>
      </w:r>
      <w:r>
        <w:rPr>
          <w:rFonts w:ascii="宋体" w:hAnsi="宋体"/>
          <w:b w:val="0"/>
          <w:color w:val="auto"/>
          <w:sz w:val="21"/>
          <w:szCs w:val="21"/>
          <w:highlight w:val="none"/>
        </w:rPr>
        <w:t>开标结束后，</w:t>
      </w:r>
      <w:r>
        <w:rPr>
          <w:rFonts w:hint="eastAsia" w:ascii="宋体" w:hAnsi="宋体"/>
          <w:b w:val="0"/>
          <w:color w:val="auto"/>
          <w:sz w:val="21"/>
          <w:szCs w:val="21"/>
          <w:highlight w:val="none"/>
        </w:rPr>
        <w:t>采购人或者采购代理机构通过电子开评标系统依据招标文件对电子投标文件进行线上资格审查</w:t>
      </w:r>
      <w:r>
        <w:rPr>
          <w:rFonts w:ascii="宋体" w:hAnsi="宋体"/>
          <w:b w:val="0"/>
          <w:color w:val="auto"/>
          <w:sz w:val="21"/>
          <w:szCs w:val="21"/>
          <w:highlight w:val="none"/>
        </w:rPr>
        <w:t>。</w:t>
      </w:r>
    </w:p>
    <w:p w14:paraId="024DA5DE">
      <w:pPr>
        <w:pStyle w:val="6"/>
        <w:keepNext w:val="0"/>
        <w:keepLines w:val="0"/>
        <w:spacing w:before="0" w:after="0" w:line="360" w:lineRule="auto"/>
        <w:ind w:firstLine="315"/>
        <w:rPr>
          <w:rFonts w:ascii="宋体" w:hAnsi="宋体"/>
          <w:b w:val="0"/>
          <w:color w:val="auto"/>
          <w:sz w:val="21"/>
          <w:szCs w:val="21"/>
          <w:highlight w:val="none"/>
        </w:rPr>
      </w:pPr>
      <w:r>
        <w:rPr>
          <w:rFonts w:hint="eastAsia" w:ascii="宋体" w:hAnsi="宋体"/>
          <w:b w:val="0"/>
          <w:color w:val="auto"/>
          <w:sz w:val="21"/>
          <w:szCs w:val="21"/>
          <w:highlight w:val="none"/>
        </w:rPr>
        <w:t xml:space="preserve"> 25.2资格审查标准为本招标文件中载明对投标人资格要求的条件。本项目资格审查采用合格制，凡符合招标文件规定的投标人资格要求的投标人均通过资格审查。</w:t>
      </w:r>
    </w:p>
    <w:p w14:paraId="1E93F370">
      <w:pPr>
        <w:pStyle w:val="6"/>
        <w:keepNext w:val="0"/>
        <w:keepLines w:val="0"/>
        <w:numPr>
          <w:ilvl w:val="0"/>
          <w:numId w:val="0"/>
        </w:numPr>
        <w:spacing w:before="0" w:after="0" w:line="360" w:lineRule="auto"/>
        <w:ind w:firstLine="422"/>
        <w:rPr>
          <w:rFonts w:ascii="宋体" w:hAnsi="宋体"/>
          <w:color w:val="auto"/>
          <w:sz w:val="21"/>
          <w:szCs w:val="21"/>
          <w:highlight w:val="none"/>
        </w:rPr>
      </w:pPr>
      <w:r>
        <w:rPr>
          <w:rFonts w:hint="eastAsia" w:ascii="宋体" w:hAnsi="宋体"/>
          <w:color w:val="auto"/>
          <w:sz w:val="21"/>
          <w:szCs w:val="21"/>
          <w:highlight w:val="none"/>
        </w:rPr>
        <w:t>25.3 投标人有下列情形之一的，资格审查不通过，作无效投标处理：</w:t>
      </w:r>
    </w:p>
    <w:p w14:paraId="6FCE9B0B">
      <w:pPr>
        <w:pStyle w:val="25"/>
        <w:spacing w:line="360" w:lineRule="auto"/>
        <w:ind w:firstLine="422"/>
        <w:rPr>
          <w:rFonts w:hAnsi="宋体"/>
          <w:b/>
          <w:color w:val="auto"/>
          <w:sz w:val="21"/>
          <w:highlight w:val="none"/>
        </w:rPr>
      </w:pPr>
      <w:r>
        <w:rPr>
          <w:rFonts w:hint="eastAsia" w:hAnsi="宋体"/>
          <w:b/>
          <w:color w:val="auto"/>
          <w:sz w:val="21"/>
          <w:highlight w:val="none"/>
        </w:rPr>
        <w:t>（1）不具备招标文件中规定的资格要求的；</w:t>
      </w:r>
    </w:p>
    <w:p w14:paraId="05EEC378">
      <w:pPr>
        <w:pStyle w:val="25"/>
        <w:spacing w:line="360" w:lineRule="auto"/>
        <w:ind w:firstLine="422"/>
        <w:rPr>
          <w:rFonts w:hAnsi="宋体"/>
          <w:b/>
          <w:color w:val="auto"/>
          <w:sz w:val="21"/>
          <w:highlight w:val="none"/>
        </w:rPr>
      </w:pPr>
      <w:r>
        <w:rPr>
          <w:rFonts w:hint="eastAsia" w:hAnsi="宋体"/>
          <w:b/>
          <w:color w:val="auto"/>
          <w:sz w:val="21"/>
          <w:highlight w:val="none"/>
        </w:rPr>
        <w:t>（2）在“信用中国”网站（https://www.creditchina.gov.cn）、中国政府采购网（https://www.ccgp.gov.cn）被列入失信被执行人、重大税收违法失信主体、政府采购严重违法失信行为记录名单及其他不符合《中华人民共和国政府采购法》第二十二条规定条件的；（注：其中信用查询规则见“投标人须知前附表”）</w:t>
      </w:r>
    </w:p>
    <w:p w14:paraId="3F646F0A">
      <w:pPr>
        <w:pStyle w:val="25"/>
        <w:spacing w:line="360" w:lineRule="auto"/>
        <w:ind w:firstLine="422"/>
        <w:rPr>
          <w:rFonts w:hAnsi="宋体"/>
          <w:b/>
          <w:color w:val="auto"/>
          <w:sz w:val="21"/>
          <w:highlight w:val="none"/>
        </w:rPr>
      </w:pPr>
      <w:r>
        <w:rPr>
          <w:rFonts w:hint="eastAsia" w:hAnsi="宋体"/>
          <w:b/>
          <w:color w:val="auto"/>
          <w:sz w:val="21"/>
          <w:highlight w:val="none"/>
        </w:rPr>
        <w:t>（3）同一合同项下的不同投标人，单位负责人为同一人或者存在直接控股、管理关系的；为本项目提供过整体设计、规范编制或者项目管理、监理、检测等服务的供应商，再参加该采购项目的其他采购活动的；</w:t>
      </w:r>
    </w:p>
    <w:p w14:paraId="47A14A02">
      <w:pPr>
        <w:pStyle w:val="25"/>
        <w:spacing w:line="360" w:lineRule="auto"/>
        <w:ind w:firstLine="422"/>
        <w:rPr>
          <w:rFonts w:hAnsi="宋体"/>
          <w:b/>
          <w:color w:val="auto"/>
          <w:sz w:val="21"/>
          <w:highlight w:val="none"/>
        </w:rPr>
      </w:pPr>
      <w:r>
        <w:rPr>
          <w:rFonts w:hint="eastAsia" w:hAnsi="宋体"/>
          <w:b/>
          <w:color w:val="auto"/>
          <w:sz w:val="21"/>
          <w:highlight w:val="none"/>
        </w:rPr>
        <w:t>（4）投标文件中的资格证明文件缺少任一项“投标人须知前附表”资格证明文件规定“必须提供”的文件资料的；</w:t>
      </w:r>
    </w:p>
    <w:p w14:paraId="3C3AB7A6">
      <w:pPr>
        <w:pStyle w:val="25"/>
        <w:spacing w:line="360" w:lineRule="auto"/>
        <w:ind w:firstLine="422"/>
        <w:rPr>
          <w:rFonts w:hAnsi="宋体"/>
          <w:b/>
          <w:color w:val="auto"/>
          <w:sz w:val="21"/>
          <w:highlight w:val="none"/>
        </w:rPr>
      </w:pPr>
      <w:r>
        <w:rPr>
          <w:rFonts w:hint="eastAsia" w:hAnsi="宋体"/>
          <w:b/>
          <w:color w:val="auto"/>
          <w:sz w:val="21"/>
          <w:highlight w:val="none"/>
        </w:rPr>
        <w:t>（5）投标文件中的资格证明文件出现任一项不符合“投标人须知前附表”资格证明文件规定“必须提供”的文件资料要求或者无效的。</w:t>
      </w:r>
    </w:p>
    <w:p w14:paraId="62A20078">
      <w:pPr>
        <w:pStyle w:val="6"/>
        <w:keepNext w:val="0"/>
        <w:keepLines w:val="0"/>
        <w:spacing w:before="0" w:after="0" w:line="360" w:lineRule="auto"/>
        <w:ind w:left="420"/>
        <w:rPr>
          <w:rFonts w:ascii="宋体" w:hAnsi="宋体"/>
          <w:b w:val="0"/>
          <w:color w:val="auto"/>
          <w:sz w:val="21"/>
          <w:szCs w:val="21"/>
          <w:highlight w:val="none"/>
        </w:rPr>
      </w:pPr>
      <w:r>
        <w:rPr>
          <w:rFonts w:hint="eastAsia" w:ascii="宋体" w:hAnsi="宋体"/>
          <w:color w:val="auto"/>
          <w:sz w:val="21"/>
          <w:szCs w:val="21"/>
          <w:highlight w:val="none"/>
        </w:rPr>
        <w:t>25.4</w:t>
      </w:r>
      <w:r>
        <w:rPr>
          <w:rFonts w:ascii="宋体" w:hAnsi="宋体"/>
          <w:color w:val="auto"/>
          <w:sz w:val="21"/>
          <w:szCs w:val="21"/>
          <w:highlight w:val="none"/>
        </w:rPr>
        <w:t>合格投标人不足3家的，不得评标。</w:t>
      </w:r>
    </w:p>
    <w:p w14:paraId="594C7C9E">
      <w:pPr>
        <w:pStyle w:val="25"/>
        <w:spacing w:line="360" w:lineRule="auto"/>
        <w:ind w:left="689" w:hanging="210"/>
        <w:rPr>
          <w:rFonts w:hAnsi="宋体"/>
          <w:color w:val="auto"/>
          <w:sz w:val="21"/>
          <w:highlight w:val="none"/>
        </w:rPr>
      </w:pPr>
    </w:p>
    <w:p w14:paraId="273175ED">
      <w:pPr>
        <w:pStyle w:val="4"/>
        <w:keepNext w:val="0"/>
        <w:keepLines w:val="0"/>
        <w:jc w:val="center"/>
        <w:rPr>
          <w:color w:val="auto"/>
          <w:highlight w:val="none"/>
        </w:rPr>
      </w:pPr>
      <w:r>
        <w:rPr>
          <w:rFonts w:hint="eastAsia"/>
          <w:color w:val="auto"/>
          <w:highlight w:val="none"/>
        </w:rPr>
        <w:t>六、评   标</w:t>
      </w:r>
    </w:p>
    <w:p w14:paraId="7C877758">
      <w:pPr>
        <w:pStyle w:val="6"/>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26.组建评标委员会</w:t>
      </w:r>
    </w:p>
    <w:p w14:paraId="2A51828D">
      <w:pPr>
        <w:pStyle w:val="25"/>
        <w:spacing w:line="360" w:lineRule="auto"/>
        <w:ind w:firstLine="420"/>
        <w:rPr>
          <w:rFonts w:hAnsi="宋体"/>
          <w:color w:val="auto"/>
          <w:sz w:val="21"/>
          <w:highlight w:val="none"/>
        </w:rPr>
      </w:pPr>
      <w:r>
        <w:rPr>
          <w:rFonts w:hint="eastAsia" w:hAnsi="宋体"/>
          <w:color w:val="auto"/>
          <w:sz w:val="21"/>
          <w:highlight w:val="none"/>
        </w:rPr>
        <w:t>26.1评标委员会由采购人代表和评审专家组成，具体人数详见“投标人须知前附表”，其中评审专家不得少于成员总数的三分之二。</w:t>
      </w:r>
    </w:p>
    <w:p w14:paraId="5EA3FF6F">
      <w:pPr>
        <w:pStyle w:val="25"/>
        <w:spacing w:line="360" w:lineRule="auto"/>
        <w:ind w:left="2" w:firstLine="420"/>
        <w:rPr>
          <w:rFonts w:hAnsi="宋体"/>
          <w:color w:val="auto"/>
          <w:sz w:val="21"/>
          <w:highlight w:val="none"/>
        </w:rPr>
      </w:pPr>
      <w:r>
        <w:rPr>
          <w:rFonts w:hint="eastAsia" w:hAnsi="宋体"/>
          <w:color w:val="auto"/>
          <w:sz w:val="21"/>
          <w:highlight w:val="none"/>
        </w:rPr>
        <w:t>26.2参加过采购项目前期咨询论证的专家，不得参加该采购项目的评审活动。</w:t>
      </w:r>
    </w:p>
    <w:p w14:paraId="28CAA3F3">
      <w:pPr>
        <w:pStyle w:val="25"/>
        <w:spacing w:line="360" w:lineRule="auto"/>
        <w:ind w:left="2" w:firstLine="420"/>
        <w:rPr>
          <w:rFonts w:hAnsi="宋体"/>
          <w:color w:val="auto"/>
          <w:sz w:val="21"/>
          <w:highlight w:val="none"/>
        </w:rPr>
      </w:pPr>
      <w:r>
        <w:rPr>
          <w:rFonts w:hint="eastAsia" w:hAnsi="宋体"/>
          <w:color w:val="auto"/>
          <w:sz w:val="21"/>
          <w:highlight w:val="none"/>
        </w:rPr>
        <w:t>26.3</w:t>
      </w:r>
      <w:r>
        <w:rPr>
          <w:rFonts w:hint="eastAsia" w:hAnsi="宋体"/>
          <w:bCs/>
          <w:color w:val="auto"/>
          <w:sz w:val="21"/>
          <w:highlight w:val="none"/>
        </w:rPr>
        <w:t>采购代理机构应当基于广西政府采购云平台抽（选）取评审专家。</w:t>
      </w:r>
    </w:p>
    <w:p w14:paraId="4928B8C7">
      <w:pPr>
        <w:pStyle w:val="6"/>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27.评标的依据</w:t>
      </w:r>
    </w:p>
    <w:p w14:paraId="315F053B">
      <w:pPr>
        <w:pStyle w:val="25"/>
        <w:spacing w:line="360" w:lineRule="auto"/>
        <w:ind w:firstLine="420"/>
        <w:rPr>
          <w:rFonts w:hAnsi="宋体"/>
          <w:color w:val="auto"/>
          <w:sz w:val="21"/>
          <w:highlight w:val="none"/>
        </w:rPr>
      </w:pPr>
      <w:r>
        <w:rPr>
          <w:rFonts w:hint="eastAsia" w:hAnsi="宋体"/>
          <w:color w:val="auto"/>
          <w:sz w:val="21"/>
          <w:highlight w:val="none"/>
        </w:rPr>
        <w:t>评标委员会以</w:t>
      </w:r>
      <w:r>
        <w:rPr>
          <w:rFonts w:hint="eastAsia" w:hAnsi="宋体" w:cs="宋体"/>
          <w:color w:val="auto"/>
          <w:sz w:val="21"/>
          <w:highlight w:val="none"/>
        </w:rPr>
        <w:t>“第四章 评标方法和评标标准”</w:t>
      </w:r>
      <w:r>
        <w:rPr>
          <w:rFonts w:hint="eastAsia" w:hAnsi="宋体"/>
          <w:color w:val="auto"/>
          <w:sz w:val="21"/>
          <w:highlight w:val="none"/>
        </w:rPr>
        <w:t>为依据对投标文件进行评审，</w:t>
      </w:r>
      <w:r>
        <w:rPr>
          <w:rFonts w:hAnsi="宋体"/>
          <w:color w:val="auto"/>
          <w:sz w:val="21"/>
          <w:highlight w:val="none"/>
        </w:rPr>
        <w:t>没有规定的方法、评审因素和标准，不作为评标依据。</w:t>
      </w:r>
    </w:p>
    <w:p w14:paraId="41CA8EE4">
      <w:pPr>
        <w:pStyle w:val="6"/>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28.评标原则</w:t>
      </w:r>
    </w:p>
    <w:p w14:paraId="1DB9F989">
      <w:pPr>
        <w:pStyle w:val="25"/>
        <w:spacing w:line="360" w:lineRule="auto"/>
        <w:ind w:firstLine="420"/>
        <w:rPr>
          <w:rFonts w:hAnsi="宋体"/>
          <w:color w:val="auto"/>
          <w:sz w:val="21"/>
          <w:highlight w:val="none"/>
        </w:rPr>
      </w:pPr>
      <w:r>
        <w:rPr>
          <w:rFonts w:hint="eastAsia" w:hAnsi="宋体"/>
          <w:color w:val="auto"/>
          <w:sz w:val="21"/>
          <w:highlight w:val="none"/>
        </w:rPr>
        <w:t>28.1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7FE82E65">
      <w:pPr>
        <w:pStyle w:val="25"/>
        <w:spacing w:line="360" w:lineRule="auto"/>
        <w:ind w:firstLine="420"/>
        <w:rPr>
          <w:rFonts w:hAnsi="宋体"/>
          <w:color w:val="auto"/>
          <w:sz w:val="21"/>
          <w:highlight w:val="none"/>
        </w:rPr>
      </w:pPr>
      <w:r>
        <w:rPr>
          <w:rFonts w:hint="eastAsia" w:hAnsi="宋体"/>
          <w:color w:val="auto"/>
          <w:sz w:val="21"/>
          <w:highlight w:val="none"/>
        </w:rPr>
        <w:t>28.2评委表决。评标委员会成员对需要共同认定的事项存在争议的，应当按照少数服从多数的原则作出结论。</w:t>
      </w:r>
    </w:p>
    <w:p w14:paraId="388736E1">
      <w:pPr>
        <w:pStyle w:val="25"/>
        <w:spacing w:line="360" w:lineRule="auto"/>
        <w:ind w:firstLine="420"/>
        <w:rPr>
          <w:rFonts w:hAnsi="宋体"/>
          <w:color w:val="auto"/>
          <w:sz w:val="21"/>
          <w:highlight w:val="none"/>
        </w:rPr>
      </w:pPr>
      <w:r>
        <w:rPr>
          <w:rFonts w:hint="eastAsia" w:hAnsi="宋体"/>
          <w:color w:val="auto"/>
          <w:sz w:val="21"/>
          <w:highlight w:val="none"/>
        </w:rPr>
        <w:t>28.</w:t>
      </w:r>
      <w:r>
        <w:rPr>
          <w:rFonts w:hAnsi="宋体"/>
          <w:color w:val="auto"/>
          <w:sz w:val="21"/>
          <w:highlight w:val="none"/>
        </w:rPr>
        <w:t>3</w:t>
      </w:r>
      <w:r>
        <w:rPr>
          <w:rFonts w:hint="eastAsia" w:hAnsi="宋体"/>
          <w:color w:val="auto"/>
          <w:sz w:val="21"/>
          <w:highlight w:val="none"/>
        </w:rPr>
        <w:t>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5CD65EED">
      <w:pPr>
        <w:pStyle w:val="25"/>
        <w:spacing w:line="360" w:lineRule="auto"/>
        <w:ind w:firstLine="420"/>
        <w:rPr>
          <w:rFonts w:hAnsi="宋体"/>
          <w:color w:val="auto"/>
          <w:sz w:val="21"/>
          <w:highlight w:val="none"/>
        </w:rPr>
      </w:pPr>
      <w:r>
        <w:rPr>
          <w:rFonts w:hint="eastAsia" w:hAnsi="宋体"/>
          <w:color w:val="auto"/>
          <w:sz w:val="21"/>
          <w:highlight w:val="none"/>
        </w:rPr>
        <w:t>2</w:t>
      </w:r>
      <w:r>
        <w:rPr>
          <w:rFonts w:hAnsi="宋体"/>
          <w:color w:val="auto"/>
          <w:sz w:val="21"/>
          <w:highlight w:val="none"/>
        </w:rPr>
        <w:t>8.4</w:t>
      </w:r>
      <w:r>
        <w:rPr>
          <w:rFonts w:hint="eastAsia" w:hAnsi="宋体"/>
          <w:color w:val="auto"/>
          <w:sz w:val="21"/>
          <w:highlight w:val="none"/>
        </w:rPr>
        <w:t>评标过程的监控。本项目电子评标过程实行网上留痕、全程录音、录像监控，</w:t>
      </w:r>
      <w:r>
        <w:rPr>
          <w:rFonts w:hint="eastAsia" w:hAnsi="宋体"/>
          <w:b/>
          <w:color w:val="auto"/>
          <w:sz w:val="21"/>
          <w:highlight w:val="none"/>
        </w:rPr>
        <w:t>投标人在评标过程中所进行的试图影响评标结果的不公正活动，可能导致其投标按无效处理。</w:t>
      </w:r>
    </w:p>
    <w:p w14:paraId="5F5D3EC0">
      <w:pPr>
        <w:pStyle w:val="6"/>
        <w:keepNext w:val="0"/>
        <w:keepLines w:val="0"/>
        <w:spacing w:before="0" w:after="0" w:line="360" w:lineRule="auto"/>
        <w:ind w:left="420"/>
        <w:rPr>
          <w:rFonts w:ascii="黑体" w:hAnsi="黑体" w:eastAsia="黑体"/>
          <w:color w:val="auto"/>
          <w:sz w:val="21"/>
          <w:szCs w:val="21"/>
          <w:highlight w:val="none"/>
        </w:rPr>
      </w:pPr>
      <w:r>
        <w:rPr>
          <w:rFonts w:hint="eastAsia" w:ascii="黑体" w:hAnsi="黑体" w:eastAsia="黑体"/>
          <w:color w:val="auto"/>
          <w:sz w:val="21"/>
          <w:szCs w:val="21"/>
          <w:highlight w:val="none"/>
        </w:rPr>
        <w:t>29.评标方法及中标候选人推荐</w:t>
      </w:r>
    </w:p>
    <w:p w14:paraId="7E88955E">
      <w:pPr>
        <w:pStyle w:val="25"/>
        <w:spacing w:line="360" w:lineRule="auto"/>
        <w:ind w:firstLine="420"/>
        <w:rPr>
          <w:rFonts w:hAnsi="宋体"/>
          <w:color w:val="auto"/>
          <w:sz w:val="21"/>
          <w:highlight w:val="none"/>
        </w:rPr>
      </w:pPr>
      <w:r>
        <w:rPr>
          <w:rFonts w:hint="eastAsia" w:hAnsi="宋体"/>
          <w:color w:val="auto"/>
          <w:sz w:val="21"/>
          <w:highlight w:val="none"/>
        </w:rPr>
        <w:t>2</w:t>
      </w:r>
      <w:r>
        <w:rPr>
          <w:rFonts w:hAnsi="宋体"/>
          <w:color w:val="auto"/>
          <w:sz w:val="21"/>
          <w:highlight w:val="none"/>
        </w:rPr>
        <w:t>9.1</w:t>
      </w:r>
      <w:r>
        <w:rPr>
          <w:rFonts w:hint="eastAsia" w:hAnsi="宋体"/>
          <w:color w:val="auto"/>
          <w:sz w:val="21"/>
          <w:highlight w:val="none"/>
        </w:rPr>
        <w:t>本项目的评标方法详见“投标人须知前附表”。</w:t>
      </w:r>
    </w:p>
    <w:p w14:paraId="4BDD9750">
      <w:pPr>
        <w:pStyle w:val="25"/>
        <w:spacing w:line="360" w:lineRule="auto"/>
        <w:ind w:firstLine="420"/>
        <w:rPr>
          <w:rFonts w:hAnsi="宋体"/>
          <w:color w:val="auto"/>
          <w:sz w:val="21"/>
          <w:highlight w:val="none"/>
        </w:rPr>
      </w:pPr>
      <w:r>
        <w:rPr>
          <w:rFonts w:hint="eastAsia" w:hAnsi="宋体"/>
          <w:color w:val="auto"/>
          <w:sz w:val="21"/>
          <w:highlight w:val="none"/>
        </w:rPr>
        <w:t>2</w:t>
      </w:r>
      <w:r>
        <w:rPr>
          <w:rFonts w:hAnsi="宋体"/>
          <w:color w:val="auto"/>
          <w:sz w:val="21"/>
          <w:highlight w:val="none"/>
        </w:rPr>
        <w:t>9.2</w:t>
      </w:r>
      <w:r>
        <w:rPr>
          <w:rFonts w:hAnsi="宋体" w:cs="宋体"/>
          <w:color w:val="auto"/>
          <w:sz w:val="21"/>
          <w:highlight w:val="none"/>
        </w:rPr>
        <w:t xml:space="preserve"> </w:t>
      </w:r>
      <w:r>
        <w:rPr>
          <w:rFonts w:hint="eastAsia" w:hAnsi="宋体" w:cs="宋体"/>
          <w:color w:val="auto"/>
          <w:sz w:val="21"/>
          <w:highlight w:val="none"/>
        </w:rPr>
        <w:t>商务/技术要求</w:t>
      </w:r>
      <w:r>
        <w:rPr>
          <w:rFonts w:hint="eastAsia" w:hAnsi="宋体"/>
          <w:color w:val="auto"/>
          <w:sz w:val="21"/>
          <w:highlight w:val="none"/>
        </w:rPr>
        <w:t>允许负偏离的条款数</w:t>
      </w:r>
      <w:r>
        <w:rPr>
          <w:rFonts w:hAnsi="宋体"/>
          <w:color w:val="auto"/>
          <w:sz w:val="21"/>
          <w:highlight w:val="none"/>
        </w:rPr>
        <w:t>详见</w:t>
      </w:r>
      <w:r>
        <w:rPr>
          <w:rFonts w:hint="eastAsia" w:hAnsi="宋体"/>
          <w:color w:val="auto"/>
          <w:sz w:val="21"/>
          <w:highlight w:val="none"/>
        </w:rPr>
        <w:t>“投标人须知前附表”。</w:t>
      </w:r>
    </w:p>
    <w:p w14:paraId="0F8771FD">
      <w:pPr>
        <w:pStyle w:val="25"/>
        <w:spacing w:line="360" w:lineRule="auto"/>
        <w:ind w:firstLine="420"/>
        <w:rPr>
          <w:rFonts w:hAnsi="宋体" w:cs="宋体"/>
          <w:color w:val="auto"/>
          <w:sz w:val="21"/>
          <w:highlight w:val="none"/>
        </w:rPr>
      </w:pPr>
      <w:r>
        <w:rPr>
          <w:rFonts w:hint="eastAsia" w:hAnsi="宋体"/>
          <w:color w:val="auto"/>
          <w:sz w:val="21"/>
          <w:highlight w:val="none"/>
        </w:rPr>
        <w:t>2</w:t>
      </w:r>
      <w:r>
        <w:rPr>
          <w:rFonts w:hAnsi="宋体"/>
          <w:color w:val="auto"/>
          <w:sz w:val="21"/>
          <w:highlight w:val="none"/>
        </w:rPr>
        <w:t>9.3</w:t>
      </w:r>
      <w:r>
        <w:rPr>
          <w:rFonts w:hAnsi="宋体" w:cs="宋体"/>
          <w:color w:val="auto"/>
          <w:sz w:val="21"/>
          <w:highlight w:val="none"/>
        </w:rPr>
        <w:t xml:space="preserve"> </w:t>
      </w:r>
      <w:r>
        <w:rPr>
          <w:rFonts w:hAnsi="宋体"/>
          <w:color w:val="auto"/>
          <w:sz w:val="21"/>
          <w:highlight w:val="none"/>
        </w:rPr>
        <w:t>中标候选人推荐数量详见</w:t>
      </w:r>
      <w:r>
        <w:rPr>
          <w:rFonts w:hint="eastAsia" w:hAnsi="宋体"/>
          <w:color w:val="auto"/>
          <w:sz w:val="21"/>
          <w:highlight w:val="none"/>
        </w:rPr>
        <w:t>“投标人须知前附表”。</w:t>
      </w:r>
    </w:p>
    <w:p w14:paraId="604F13A9">
      <w:pPr>
        <w:spacing w:line="360" w:lineRule="auto"/>
        <w:ind w:firstLine="420"/>
        <w:rPr>
          <w:rFonts w:hAnsi="宋体"/>
          <w:color w:val="auto"/>
          <w:szCs w:val="21"/>
          <w:highlight w:val="none"/>
        </w:rPr>
      </w:pPr>
      <w:r>
        <w:rPr>
          <w:rFonts w:hint="eastAsia" w:hAnsi="宋体"/>
          <w:color w:val="auto"/>
          <w:szCs w:val="21"/>
          <w:highlight w:val="none"/>
        </w:rPr>
        <w:t>29.</w:t>
      </w:r>
      <w:r>
        <w:rPr>
          <w:rFonts w:hAnsi="宋体"/>
          <w:color w:val="auto"/>
          <w:szCs w:val="21"/>
          <w:highlight w:val="none"/>
        </w:rPr>
        <w:t>4</w:t>
      </w:r>
      <w:r>
        <w:rPr>
          <w:rFonts w:hint="eastAsia" w:hAnsi="宋体"/>
          <w:color w:val="auto"/>
          <w:szCs w:val="21"/>
          <w:highlight w:val="none"/>
        </w:rPr>
        <w:t xml:space="preserve"> 电子交易活动的中止。采购过程中出现以下情形，导致电子交易平台无法正常运行，或者无法保证电子交易的公平、公正和安全时，采购代理机构可以中止电子交易活动：</w:t>
      </w:r>
    </w:p>
    <w:p w14:paraId="49842D2B">
      <w:pPr>
        <w:spacing w:line="360" w:lineRule="auto"/>
        <w:ind w:firstLine="420"/>
        <w:rPr>
          <w:rFonts w:hAnsi="宋体"/>
          <w:color w:val="auto"/>
          <w:szCs w:val="21"/>
          <w:highlight w:val="none"/>
        </w:rPr>
      </w:pPr>
      <w:r>
        <w:rPr>
          <w:rFonts w:hint="eastAsia" w:hAnsi="宋体"/>
          <w:color w:val="auto"/>
          <w:szCs w:val="21"/>
          <w:highlight w:val="none"/>
        </w:rPr>
        <w:t xml:space="preserve">（1）电子交易平台发生故障而无法登录访问的； </w:t>
      </w:r>
    </w:p>
    <w:p w14:paraId="7E58F35B">
      <w:pPr>
        <w:spacing w:line="360" w:lineRule="auto"/>
        <w:ind w:firstLine="420"/>
        <w:rPr>
          <w:rFonts w:hAnsi="宋体"/>
          <w:color w:val="auto"/>
          <w:szCs w:val="21"/>
          <w:highlight w:val="none"/>
        </w:rPr>
      </w:pPr>
      <w:r>
        <w:rPr>
          <w:rFonts w:hint="eastAsia" w:hAnsi="宋体"/>
          <w:color w:val="auto"/>
          <w:szCs w:val="21"/>
          <w:highlight w:val="none"/>
        </w:rPr>
        <w:t>（2）电子交易平台应用或数据库出现错误，不能进行正常操作的；</w:t>
      </w:r>
    </w:p>
    <w:p w14:paraId="3F65951A">
      <w:pPr>
        <w:spacing w:line="360" w:lineRule="auto"/>
        <w:ind w:firstLine="420"/>
        <w:rPr>
          <w:rFonts w:hAnsi="宋体"/>
          <w:color w:val="auto"/>
          <w:szCs w:val="21"/>
          <w:highlight w:val="none"/>
        </w:rPr>
      </w:pPr>
      <w:r>
        <w:rPr>
          <w:rFonts w:hint="eastAsia" w:hAnsi="宋体"/>
          <w:color w:val="auto"/>
          <w:szCs w:val="21"/>
          <w:highlight w:val="none"/>
        </w:rPr>
        <w:t>（3）电子交易平台发现严重安全漏洞，有潜在泄密危险的；</w:t>
      </w:r>
    </w:p>
    <w:p w14:paraId="088D823F">
      <w:pPr>
        <w:spacing w:line="360" w:lineRule="auto"/>
        <w:ind w:firstLine="420"/>
        <w:rPr>
          <w:rFonts w:hAnsi="宋体"/>
          <w:color w:val="auto"/>
          <w:szCs w:val="21"/>
          <w:highlight w:val="none"/>
        </w:rPr>
      </w:pPr>
      <w:r>
        <w:rPr>
          <w:rFonts w:hint="eastAsia" w:hAnsi="宋体"/>
          <w:color w:val="auto"/>
          <w:szCs w:val="21"/>
          <w:highlight w:val="none"/>
        </w:rPr>
        <w:t xml:space="preserve">（4）病毒发作导致不能进行正常操作的； </w:t>
      </w:r>
    </w:p>
    <w:p w14:paraId="5203C947">
      <w:pPr>
        <w:spacing w:line="360" w:lineRule="auto"/>
        <w:ind w:firstLine="420"/>
        <w:rPr>
          <w:rFonts w:hAnsi="宋体"/>
          <w:color w:val="auto"/>
          <w:szCs w:val="21"/>
          <w:highlight w:val="none"/>
        </w:rPr>
      </w:pPr>
      <w:r>
        <w:rPr>
          <w:rFonts w:hint="eastAsia" w:hAnsi="宋体"/>
          <w:color w:val="auto"/>
          <w:szCs w:val="21"/>
          <w:highlight w:val="none"/>
        </w:rPr>
        <w:t>（5）其他无法保证电子交易的公平、公正和安全的情况。</w:t>
      </w:r>
    </w:p>
    <w:p w14:paraId="756A37E2">
      <w:pPr>
        <w:spacing w:line="360" w:lineRule="auto"/>
        <w:ind w:firstLine="420"/>
        <w:rPr>
          <w:rFonts w:hAnsi="宋体"/>
          <w:color w:val="auto"/>
          <w:szCs w:val="21"/>
          <w:highlight w:val="none"/>
        </w:rPr>
      </w:pPr>
      <w:r>
        <w:rPr>
          <w:rFonts w:hint="eastAsia" w:hAnsi="宋体"/>
          <w:color w:val="auto"/>
          <w:szCs w:val="21"/>
          <w:highlight w:val="none"/>
        </w:rPr>
        <w:t>出现以上情形，不影响采购公平、公正性的，采购代理机构可以待上述情形消除后继续组织电子交易活动；影响或可能影响采购公平、公正性的，经采购代理机构确认、报采购人同意后，终止电子采购活动，应当重新采购。采购代理机构必须对原有的资料及信息作出妥善保密处理，并报财政部门备案。</w:t>
      </w:r>
    </w:p>
    <w:p w14:paraId="3D7D81AD">
      <w:pPr>
        <w:spacing w:line="360" w:lineRule="auto"/>
        <w:ind w:firstLine="420"/>
        <w:rPr>
          <w:rFonts w:ascii="宋体" w:hAnsi="宋体"/>
          <w:color w:val="auto"/>
          <w:szCs w:val="21"/>
          <w:highlight w:val="none"/>
        </w:rPr>
      </w:pPr>
      <w:r>
        <w:rPr>
          <w:rFonts w:hint="eastAsia" w:ascii="宋体" w:hAnsi="宋体"/>
          <w:color w:val="auto"/>
          <w:szCs w:val="21"/>
          <w:highlight w:val="none"/>
        </w:rPr>
        <w:t>29.5出现下列情形之一的，应予废标：</w:t>
      </w:r>
    </w:p>
    <w:p w14:paraId="32C35C7D">
      <w:pPr>
        <w:spacing w:line="360" w:lineRule="auto"/>
        <w:ind w:firstLine="420"/>
        <w:rPr>
          <w:rFonts w:ascii="宋体" w:hAnsi="宋体"/>
          <w:color w:val="auto"/>
          <w:szCs w:val="21"/>
          <w:highlight w:val="none"/>
        </w:rPr>
      </w:pPr>
      <w:r>
        <w:rPr>
          <w:rFonts w:hint="eastAsia" w:ascii="宋体" w:hAnsi="宋体"/>
          <w:color w:val="auto"/>
          <w:szCs w:val="21"/>
          <w:highlight w:val="none"/>
        </w:rPr>
        <w:t>（1）符合专业条件的供应商或者对招标文件作实质响应的供应商不足三家的；</w:t>
      </w:r>
    </w:p>
    <w:p w14:paraId="21BBF865">
      <w:pPr>
        <w:spacing w:line="360" w:lineRule="auto"/>
        <w:ind w:firstLine="420"/>
        <w:rPr>
          <w:rFonts w:ascii="宋体" w:hAnsi="宋体"/>
          <w:color w:val="auto"/>
          <w:szCs w:val="21"/>
          <w:highlight w:val="none"/>
        </w:rPr>
      </w:pPr>
      <w:r>
        <w:rPr>
          <w:rFonts w:hint="eastAsia" w:ascii="宋体" w:hAnsi="宋体"/>
          <w:color w:val="auto"/>
          <w:szCs w:val="21"/>
          <w:highlight w:val="none"/>
        </w:rPr>
        <w:t>（2）出现影响采购公正的违法、违规行为的；</w:t>
      </w:r>
    </w:p>
    <w:p w14:paraId="3FB99083">
      <w:pPr>
        <w:spacing w:line="360" w:lineRule="auto"/>
        <w:ind w:firstLine="420"/>
        <w:rPr>
          <w:rFonts w:ascii="宋体" w:hAnsi="宋体"/>
          <w:color w:val="auto"/>
          <w:szCs w:val="21"/>
          <w:highlight w:val="none"/>
        </w:rPr>
      </w:pPr>
      <w:r>
        <w:rPr>
          <w:rFonts w:hint="eastAsia" w:ascii="宋体" w:hAnsi="宋体"/>
          <w:color w:val="auto"/>
          <w:szCs w:val="21"/>
          <w:highlight w:val="none"/>
        </w:rPr>
        <w:t>（3）投标人的报价均超过了采购预算，采购人不能支付的；</w:t>
      </w:r>
    </w:p>
    <w:p w14:paraId="0547459B">
      <w:pPr>
        <w:spacing w:line="360" w:lineRule="auto"/>
        <w:ind w:firstLine="420"/>
        <w:rPr>
          <w:rFonts w:ascii="宋体" w:hAnsi="宋体"/>
          <w:color w:val="auto"/>
          <w:szCs w:val="21"/>
          <w:highlight w:val="none"/>
        </w:rPr>
      </w:pPr>
      <w:r>
        <w:rPr>
          <w:rFonts w:hint="eastAsia" w:ascii="宋体" w:hAnsi="宋体"/>
          <w:color w:val="auto"/>
          <w:szCs w:val="21"/>
          <w:highlight w:val="none"/>
        </w:rPr>
        <w:t>（4）因重大变故，采购任务取消的。</w:t>
      </w:r>
    </w:p>
    <w:p w14:paraId="599CD648">
      <w:pPr>
        <w:spacing w:line="360" w:lineRule="auto"/>
        <w:ind w:firstLine="420"/>
        <w:rPr>
          <w:rFonts w:ascii="宋体" w:hAnsi="宋体"/>
          <w:color w:val="auto"/>
          <w:szCs w:val="21"/>
          <w:highlight w:val="none"/>
        </w:rPr>
      </w:pPr>
      <w:r>
        <w:rPr>
          <w:rFonts w:hint="eastAsia" w:ascii="宋体" w:hAnsi="宋体"/>
          <w:color w:val="auto"/>
          <w:szCs w:val="21"/>
          <w:highlight w:val="none"/>
        </w:rPr>
        <w:t>废标后，采购人应当将废标理由通知所有投标人。</w:t>
      </w:r>
    </w:p>
    <w:p w14:paraId="4F7FCA41">
      <w:pPr>
        <w:pStyle w:val="25"/>
        <w:spacing w:line="360" w:lineRule="auto"/>
        <w:rPr>
          <w:rFonts w:hAnsi="宋体"/>
          <w:color w:val="auto"/>
          <w:sz w:val="21"/>
          <w:highlight w:val="none"/>
        </w:rPr>
      </w:pPr>
    </w:p>
    <w:p w14:paraId="68EB4E15">
      <w:pPr>
        <w:pStyle w:val="4"/>
        <w:keepNext w:val="0"/>
        <w:keepLines w:val="0"/>
        <w:jc w:val="center"/>
        <w:rPr>
          <w:color w:val="auto"/>
          <w:highlight w:val="none"/>
        </w:rPr>
      </w:pPr>
      <w:r>
        <w:rPr>
          <w:rFonts w:hint="eastAsia"/>
          <w:color w:val="auto"/>
          <w:highlight w:val="none"/>
        </w:rPr>
        <w:t>七、中标和合同</w:t>
      </w:r>
    </w:p>
    <w:p w14:paraId="54A7826A">
      <w:pPr>
        <w:pStyle w:val="6"/>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30</w:t>
      </w:r>
      <w:r>
        <w:rPr>
          <w:rFonts w:ascii="黑体" w:hAnsi="黑体" w:eastAsia="黑体"/>
          <w:color w:val="auto"/>
          <w:sz w:val="24"/>
          <w:highlight w:val="none"/>
        </w:rPr>
        <w:t xml:space="preserve"> </w:t>
      </w:r>
      <w:r>
        <w:rPr>
          <w:rFonts w:hint="eastAsia" w:ascii="黑体" w:hAnsi="黑体" w:eastAsia="黑体"/>
          <w:color w:val="auto"/>
          <w:sz w:val="24"/>
          <w:highlight w:val="none"/>
        </w:rPr>
        <w:t>.确定中标人</w:t>
      </w:r>
    </w:p>
    <w:p w14:paraId="7A822FF7">
      <w:pPr>
        <w:pStyle w:val="6"/>
        <w:keepNext w:val="0"/>
        <w:keepLines w:val="0"/>
        <w:spacing w:before="0" w:after="0" w:line="360" w:lineRule="auto"/>
        <w:ind w:firstLine="420"/>
        <w:rPr>
          <w:rFonts w:ascii="宋体" w:hAnsi="宋体"/>
          <w:b w:val="0"/>
          <w:color w:val="auto"/>
          <w:sz w:val="21"/>
          <w:szCs w:val="21"/>
          <w:highlight w:val="none"/>
        </w:rPr>
      </w:pPr>
      <w:r>
        <w:rPr>
          <w:rFonts w:ascii="宋体" w:hAnsi="宋体"/>
          <w:b w:val="0"/>
          <w:color w:val="auto"/>
          <w:sz w:val="21"/>
          <w:szCs w:val="21"/>
          <w:highlight w:val="none"/>
        </w:rPr>
        <w:t>30.1</w:t>
      </w:r>
      <w:r>
        <w:rPr>
          <w:rFonts w:hint="eastAsia" w:ascii="宋体" w:hAnsi="宋体"/>
          <w:b w:val="0"/>
          <w:color w:val="auto"/>
          <w:sz w:val="21"/>
          <w:szCs w:val="21"/>
          <w:highlight w:val="none"/>
        </w:rPr>
        <w:t>采购代理机构在评标结束之日起2个工作日内将评标报告送采购人，采购人在收到评标报告之日起5个工作日内，在评标报告确定的中标候选人名单中按顺序确定中标人。中标候选人并列的，按照“投标人须知前附表”规定的方式确定中标人。采购人也可以事先授权评标委员会直接确定中标人。</w:t>
      </w:r>
    </w:p>
    <w:p w14:paraId="78BAB92F">
      <w:pPr>
        <w:spacing w:line="360" w:lineRule="auto"/>
        <w:ind w:firstLine="420"/>
        <w:rPr>
          <w:rFonts w:ascii="宋体" w:hAnsi="宋体" w:cs="Courier New"/>
          <w:color w:val="auto"/>
          <w:szCs w:val="21"/>
          <w:highlight w:val="none"/>
        </w:rPr>
      </w:pPr>
      <w:r>
        <w:rPr>
          <w:rFonts w:ascii="宋体" w:hAnsi="宋体" w:cs="Courier New"/>
          <w:color w:val="auto"/>
          <w:szCs w:val="21"/>
          <w:highlight w:val="none"/>
        </w:rPr>
        <w:t>30.2</w:t>
      </w:r>
      <w:r>
        <w:rPr>
          <w:rFonts w:hint="eastAsia" w:ascii="宋体" w:hAnsi="宋体" w:cs="Courier New"/>
          <w:color w:val="auto"/>
          <w:szCs w:val="21"/>
          <w:highlight w:val="none"/>
        </w:rPr>
        <w:t>采购人在收到评标报告5个工作日内未按评标报告推荐的中标候选人顺序确定中标人，又不能说明合法理由的，视同按评标报告推荐的顺序确定排名第一的中标候选人为中标人。</w:t>
      </w:r>
    </w:p>
    <w:p w14:paraId="6B6227B0">
      <w:pPr>
        <w:pStyle w:val="6"/>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31. 结果公告</w:t>
      </w:r>
    </w:p>
    <w:p w14:paraId="7DF7B0E6">
      <w:pPr>
        <w:pStyle w:val="6"/>
        <w:keepNext w:val="0"/>
        <w:keepLines w:val="0"/>
        <w:spacing w:before="0" w:after="0" w:line="360" w:lineRule="auto"/>
        <w:ind w:firstLine="420"/>
        <w:rPr>
          <w:rFonts w:ascii="宋体" w:hAnsi="宋体"/>
          <w:b w:val="0"/>
          <w:color w:val="auto"/>
          <w:sz w:val="21"/>
          <w:szCs w:val="21"/>
          <w:highlight w:val="none"/>
        </w:rPr>
      </w:pPr>
      <w:r>
        <w:rPr>
          <w:rFonts w:hint="eastAsia" w:ascii="宋体" w:hAnsi="宋体"/>
          <w:b w:val="0"/>
          <w:color w:val="auto"/>
          <w:sz w:val="21"/>
          <w:szCs w:val="21"/>
          <w:highlight w:val="none"/>
        </w:rPr>
        <w:t>3</w:t>
      </w:r>
      <w:r>
        <w:rPr>
          <w:rFonts w:ascii="宋体" w:hAnsi="宋体"/>
          <w:b w:val="0"/>
          <w:color w:val="auto"/>
          <w:sz w:val="21"/>
          <w:szCs w:val="21"/>
          <w:highlight w:val="none"/>
        </w:rPr>
        <w:t>1.1</w:t>
      </w:r>
      <w:r>
        <w:rPr>
          <w:rFonts w:hint="eastAsia" w:ascii="宋体" w:hAnsi="宋体"/>
          <w:b w:val="0"/>
          <w:color w:val="auto"/>
          <w:sz w:val="21"/>
          <w:szCs w:val="21"/>
          <w:highlight w:val="none"/>
        </w:rPr>
        <w:t>采购人或者采购代理机构应当自中标人确定之日起2个工作日内，在省级以上财政部门指定的媒体上公告中标结果，招标文件应当随中标结果同时公告。采购人或者采购代理发出中标通知书前，应当对中标人信用进行查询，对列入失信被执行人、重大税收违法失信主体、政府采购严重违法失信行为记录名单及其他不符合《中华人民共和国政府采购法》第二十二条规定条件的投标人，取消其中标资格，并确定排名第二的中标候选人为中标人。排名第二的中标候选人因前款规定的同样原因被取消中标资格的，采购人可以确定排名第三的中标候选人为中标人，以此类推。</w:t>
      </w:r>
    </w:p>
    <w:p w14:paraId="4820C54D">
      <w:pPr>
        <w:spacing w:line="360" w:lineRule="auto"/>
        <w:ind w:firstLine="420"/>
        <w:rPr>
          <w:rFonts w:ascii="宋体" w:hAnsi="宋体"/>
          <w:color w:val="auto"/>
          <w:szCs w:val="21"/>
          <w:highlight w:val="none"/>
        </w:rPr>
      </w:pPr>
      <w:r>
        <w:rPr>
          <w:rFonts w:hint="eastAsia" w:ascii="宋体" w:hAnsi="宋体"/>
          <w:color w:val="auto"/>
          <w:szCs w:val="21"/>
          <w:highlight w:val="none"/>
        </w:rPr>
        <w:t>以上信息查询记录及相关证据与招标文件一并保存。</w:t>
      </w:r>
    </w:p>
    <w:p w14:paraId="095F30FB">
      <w:pPr>
        <w:pStyle w:val="6"/>
        <w:keepNext w:val="0"/>
        <w:keepLines w:val="0"/>
        <w:spacing w:before="0" w:after="0" w:line="360" w:lineRule="auto"/>
        <w:ind w:firstLine="420"/>
        <w:rPr>
          <w:rFonts w:ascii="宋体" w:hAnsi="宋体"/>
          <w:b w:val="0"/>
          <w:color w:val="auto"/>
          <w:sz w:val="21"/>
          <w:szCs w:val="21"/>
          <w:highlight w:val="none"/>
        </w:rPr>
      </w:pPr>
      <w:r>
        <w:rPr>
          <w:rFonts w:hint="eastAsia" w:ascii="宋体" w:hAnsi="宋体"/>
          <w:b w:val="0"/>
          <w:color w:val="auto"/>
          <w:sz w:val="21"/>
          <w:szCs w:val="21"/>
          <w:highlight w:val="none"/>
        </w:rPr>
        <w:t>31.2中标人享受《政府采购促进中小企业发展管理办法》（财库〔2020〕46号）规定的中小企业扶持政策的，采购人、采购代理机构应当随中标结果公开中标人的《中小企业声明函》。</w:t>
      </w:r>
    </w:p>
    <w:p w14:paraId="40C39AF3">
      <w:pPr>
        <w:pStyle w:val="6"/>
        <w:keepNext w:val="0"/>
        <w:keepLines w:val="0"/>
        <w:spacing w:before="0" w:after="0" w:line="360" w:lineRule="auto"/>
        <w:ind w:firstLine="420"/>
        <w:rPr>
          <w:color w:val="auto"/>
          <w:highlight w:val="none"/>
        </w:rPr>
      </w:pPr>
      <w:r>
        <w:rPr>
          <w:rFonts w:hint="eastAsia" w:ascii="宋体" w:hAnsi="宋体"/>
          <w:b w:val="0"/>
          <w:color w:val="auto"/>
          <w:sz w:val="21"/>
          <w:szCs w:val="21"/>
          <w:highlight w:val="none"/>
        </w:rPr>
        <w:t>3</w:t>
      </w:r>
      <w:r>
        <w:rPr>
          <w:rFonts w:ascii="宋体" w:hAnsi="宋体"/>
          <w:b w:val="0"/>
          <w:color w:val="auto"/>
          <w:sz w:val="21"/>
          <w:szCs w:val="21"/>
          <w:highlight w:val="none"/>
        </w:rPr>
        <w:t>1.3</w:t>
      </w:r>
      <w:r>
        <w:rPr>
          <w:rFonts w:hint="eastAsia" w:ascii="宋体" w:hAnsi="宋体"/>
          <w:b w:val="0"/>
          <w:color w:val="auto"/>
          <w:sz w:val="21"/>
          <w:szCs w:val="21"/>
          <w:highlight w:val="none"/>
        </w:rPr>
        <w:t>采购人、采购代理机构应当随中标结果公开中标供应商的《关于符合本国产品标准的声明函》或有关证明文件。</w:t>
      </w:r>
    </w:p>
    <w:p w14:paraId="4489C359">
      <w:pPr>
        <w:pStyle w:val="6"/>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32.发出中标通知书</w:t>
      </w:r>
    </w:p>
    <w:p w14:paraId="459FBE28">
      <w:pPr>
        <w:pStyle w:val="6"/>
        <w:keepNext w:val="0"/>
        <w:keepLines w:val="0"/>
        <w:spacing w:before="0" w:after="0" w:line="360" w:lineRule="auto"/>
        <w:rPr>
          <w:rFonts w:ascii="宋体" w:hAnsi="宋体"/>
          <w:b w:val="0"/>
          <w:color w:val="auto"/>
          <w:sz w:val="21"/>
          <w:szCs w:val="21"/>
          <w:highlight w:val="none"/>
        </w:rPr>
      </w:pPr>
      <w:r>
        <w:rPr>
          <w:rFonts w:hint="eastAsia" w:ascii="宋体" w:hAnsi="宋体"/>
          <w:b w:val="0"/>
          <w:color w:val="auto"/>
          <w:sz w:val="21"/>
          <w:szCs w:val="21"/>
          <w:highlight w:val="none"/>
        </w:rPr>
        <w:t xml:space="preserve"> </w:t>
      </w:r>
      <w:r>
        <w:rPr>
          <w:rFonts w:ascii="宋体" w:hAnsi="宋体"/>
          <w:b w:val="0"/>
          <w:color w:val="auto"/>
          <w:sz w:val="21"/>
          <w:szCs w:val="21"/>
          <w:highlight w:val="none"/>
        </w:rPr>
        <w:t xml:space="preserve">   </w:t>
      </w:r>
      <w:r>
        <w:rPr>
          <w:rFonts w:hint="eastAsia" w:ascii="宋体" w:hAnsi="宋体"/>
          <w:b w:val="0"/>
          <w:color w:val="auto"/>
          <w:sz w:val="21"/>
          <w:szCs w:val="21"/>
          <w:highlight w:val="none"/>
        </w:rPr>
        <w:t>在发布中标公告的同时，采购代理机构向中标人通过广西政府采购云平台发出电子中标通知书。对未通过资格审查的投标人，应当告知其未通过的原因；采用综合评分办法评审的，还应当告知未中标人本人的评审得分与排序。</w:t>
      </w:r>
    </w:p>
    <w:p w14:paraId="6483A753">
      <w:pPr>
        <w:pStyle w:val="6"/>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33. 无义务解释未中标原因</w:t>
      </w:r>
    </w:p>
    <w:p w14:paraId="60FDE2B6">
      <w:pPr>
        <w:pStyle w:val="6"/>
        <w:keepNext w:val="0"/>
        <w:keepLines w:val="0"/>
        <w:spacing w:before="0" w:after="0" w:line="360" w:lineRule="auto"/>
        <w:ind w:left="420"/>
        <w:rPr>
          <w:rFonts w:ascii="宋体" w:hAnsi="宋体"/>
          <w:b w:val="0"/>
          <w:color w:val="auto"/>
          <w:sz w:val="21"/>
          <w:szCs w:val="21"/>
          <w:highlight w:val="none"/>
        </w:rPr>
      </w:pPr>
      <w:r>
        <w:rPr>
          <w:rFonts w:hint="eastAsia" w:ascii="宋体" w:hAnsi="宋体"/>
          <w:b w:val="0"/>
          <w:color w:val="auto"/>
          <w:sz w:val="21"/>
          <w:szCs w:val="21"/>
          <w:highlight w:val="none"/>
        </w:rPr>
        <w:t>采购代理机构无义务向未中标的投标人解释未中标原因。</w:t>
      </w:r>
    </w:p>
    <w:p w14:paraId="15E23192">
      <w:pPr>
        <w:pStyle w:val="6"/>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34.合同授予标准</w:t>
      </w:r>
    </w:p>
    <w:p w14:paraId="24A4EC22">
      <w:pPr>
        <w:spacing w:line="360" w:lineRule="auto"/>
        <w:ind w:firstLine="420"/>
        <w:rPr>
          <w:rFonts w:ascii="宋体" w:hAnsi="宋体"/>
          <w:color w:val="auto"/>
          <w:szCs w:val="21"/>
          <w:highlight w:val="none"/>
        </w:rPr>
      </w:pPr>
      <w:r>
        <w:rPr>
          <w:rFonts w:hint="eastAsia" w:ascii="宋体" w:hAnsi="宋体" w:cs="Courier New"/>
          <w:color w:val="auto"/>
          <w:szCs w:val="21"/>
          <w:highlight w:val="none"/>
        </w:rPr>
        <w:t>合同将授予被确定实质上响应招标文件要求，具备履行合同能力的中标人。</w:t>
      </w:r>
    </w:p>
    <w:p w14:paraId="35C7A330">
      <w:pPr>
        <w:pStyle w:val="6"/>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35.履约保证金</w:t>
      </w:r>
    </w:p>
    <w:p w14:paraId="38A83DBD">
      <w:pPr>
        <w:pStyle w:val="6"/>
        <w:keepNext w:val="0"/>
        <w:keepLines w:val="0"/>
        <w:spacing w:before="0" w:after="0" w:line="360" w:lineRule="auto"/>
        <w:ind w:firstLine="315"/>
        <w:rPr>
          <w:rFonts w:ascii="宋体" w:hAnsi="宋体"/>
          <w:b w:val="0"/>
          <w:color w:val="auto"/>
          <w:sz w:val="21"/>
          <w:szCs w:val="21"/>
          <w:highlight w:val="none"/>
        </w:rPr>
      </w:pPr>
      <w:r>
        <w:rPr>
          <w:rFonts w:ascii="宋体" w:hAnsi="宋体"/>
          <w:b w:val="0"/>
          <w:color w:val="auto"/>
          <w:sz w:val="21"/>
          <w:szCs w:val="21"/>
          <w:highlight w:val="none"/>
        </w:rPr>
        <w:t xml:space="preserve"> </w:t>
      </w:r>
      <w:r>
        <w:rPr>
          <w:rFonts w:hint="eastAsia" w:ascii="宋体" w:hAnsi="宋体"/>
          <w:b w:val="0"/>
          <w:color w:val="auto"/>
          <w:sz w:val="21"/>
          <w:szCs w:val="21"/>
          <w:highlight w:val="none"/>
        </w:rPr>
        <w:t>3</w:t>
      </w:r>
      <w:r>
        <w:rPr>
          <w:rFonts w:ascii="宋体" w:hAnsi="宋体"/>
          <w:b w:val="0"/>
          <w:color w:val="auto"/>
          <w:sz w:val="21"/>
          <w:szCs w:val="21"/>
          <w:highlight w:val="none"/>
        </w:rPr>
        <w:t>5</w:t>
      </w:r>
      <w:r>
        <w:rPr>
          <w:rFonts w:hint="eastAsia" w:ascii="宋体" w:hAnsi="宋体"/>
          <w:b w:val="0"/>
          <w:color w:val="auto"/>
          <w:sz w:val="21"/>
          <w:szCs w:val="21"/>
          <w:highlight w:val="none"/>
        </w:rPr>
        <w:t>.1 履约保证金的金额、提交方式、缴纳期限、退付的时间和条件详见 “投标人须知前附表”。中标人未按规定提交履约保证金的，视为拒绝与采购人签订合同。</w:t>
      </w:r>
    </w:p>
    <w:p w14:paraId="5219AD70">
      <w:pPr>
        <w:pStyle w:val="6"/>
        <w:keepNext w:val="0"/>
        <w:keepLines w:val="0"/>
        <w:spacing w:before="0" w:after="0" w:line="360" w:lineRule="auto"/>
        <w:ind w:firstLine="316"/>
        <w:rPr>
          <w:rFonts w:ascii="宋体" w:hAnsi="宋体"/>
          <w:color w:val="auto"/>
          <w:sz w:val="21"/>
          <w:szCs w:val="21"/>
          <w:highlight w:val="none"/>
        </w:rPr>
      </w:pPr>
      <w:r>
        <w:rPr>
          <w:rFonts w:hint="eastAsia" w:ascii="宋体" w:hAnsi="宋体"/>
          <w:color w:val="auto"/>
          <w:sz w:val="21"/>
          <w:szCs w:val="21"/>
          <w:highlight w:val="none"/>
        </w:rPr>
        <w:t xml:space="preserve"> </w:t>
      </w:r>
      <w:r>
        <w:rPr>
          <w:rFonts w:hint="eastAsia" w:ascii="宋体" w:hAnsi="宋体"/>
          <w:b w:val="0"/>
          <w:bCs/>
          <w:color w:val="auto"/>
          <w:sz w:val="21"/>
          <w:szCs w:val="21"/>
          <w:highlight w:val="none"/>
        </w:rPr>
        <w:t>35.2在履约保证金退还日期前，若中标人的开户名称、开户银行、账号有变动的，请以书面形式通知履约保证金收取单位，否则由此产生的后果由中标人自行承担。</w:t>
      </w:r>
    </w:p>
    <w:p w14:paraId="0B2A8A05">
      <w:pPr>
        <w:pStyle w:val="6"/>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36.签订合同</w:t>
      </w:r>
    </w:p>
    <w:p w14:paraId="3964E67F">
      <w:pPr>
        <w:pStyle w:val="6"/>
        <w:keepNext w:val="0"/>
        <w:keepLines w:val="0"/>
        <w:spacing w:before="0" w:after="0" w:line="360" w:lineRule="auto"/>
        <w:ind w:firstLine="315"/>
        <w:rPr>
          <w:rFonts w:ascii="宋体" w:hAnsi="宋体"/>
          <w:b w:val="0"/>
          <w:color w:val="auto"/>
          <w:sz w:val="21"/>
          <w:szCs w:val="21"/>
          <w:highlight w:val="none"/>
        </w:rPr>
      </w:pPr>
      <w:r>
        <w:rPr>
          <w:rFonts w:hint="eastAsia" w:ascii="宋体" w:hAnsi="宋体"/>
          <w:b w:val="0"/>
          <w:color w:val="auto"/>
          <w:sz w:val="21"/>
          <w:szCs w:val="21"/>
          <w:highlight w:val="none"/>
        </w:rPr>
        <w:t xml:space="preserve"> </w:t>
      </w:r>
      <w:r>
        <w:rPr>
          <w:rFonts w:hint="eastAsia" w:ascii="宋体" w:hAnsi="宋体"/>
          <w:color w:val="auto"/>
          <w:sz w:val="21"/>
          <w:szCs w:val="21"/>
          <w:highlight w:val="none"/>
        </w:rPr>
        <w:t>36.1签订电子采购合同：中标人领取电子中标通知书后，在</w:t>
      </w:r>
      <w:r>
        <w:rPr>
          <w:rFonts w:hint="eastAsia" w:ascii="宋体" w:hAnsi="宋体"/>
          <w:color w:val="auto"/>
          <w:sz w:val="21"/>
          <w:szCs w:val="21"/>
          <w:highlight w:val="none"/>
          <w:lang w:val="zh-CN"/>
        </w:rPr>
        <w:t>规定的日期、时间、地点，由法定代表人或其授权代表与采购人代表签订电子采购合同。如中标人为联合体的，由联合体成员各方法定代表人或其授权代表与采购人代表签订合同。</w:t>
      </w:r>
    </w:p>
    <w:p w14:paraId="0509B13C">
      <w:pPr>
        <w:pStyle w:val="6"/>
        <w:keepNext w:val="0"/>
        <w:keepLines w:val="0"/>
        <w:spacing w:before="0" w:after="0" w:line="360" w:lineRule="auto"/>
        <w:ind w:firstLine="315"/>
        <w:rPr>
          <w:rFonts w:ascii="宋体" w:hAnsi="宋体"/>
          <w:b w:val="0"/>
          <w:color w:val="auto"/>
          <w:sz w:val="21"/>
          <w:szCs w:val="21"/>
          <w:highlight w:val="none"/>
        </w:rPr>
      </w:pPr>
      <w:r>
        <w:rPr>
          <w:rFonts w:hint="eastAsia" w:ascii="宋体" w:hAnsi="宋体"/>
          <w:b w:val="0"/>
          <w:color w:val="auto"/>
          <w:sz w:val="21"/>
          <w:szCs w:val="21"/>
          <w:highlight w:val="none"/>
        </w:rPr>
        <w:t xml:space="preserve"> 线下签订纸质合同：投标人领取中标通知书后，按“投标人须知前附表”规定向采购人出示相关证明材料，经采购人核验合格后方可签订合同。</w:t>
      </w:r>
    </w:p>
    <w:p w14:paraId="08EEED3F">
      <w:pPr>
        <w:pStyle w:val="6"/>
        <w:keepNext w:val="0"/>
        <w:keepLines w:val="0"/>
        <w:numPr>
          <w:ilvl w:val="0"/>
          <w:numId w:val="0"/>
        </w:numPr>
        <w:spacing w:before="0" w:after="0" w:line="360" w:lineRule="auto"/>
        <w:ind w:firstLine="420"/>
        <w:rPr>
          <w:rFonts w:ascii="宋体" w:hAnsi="宋体"/>
          <w:b w:val="0"/>
          <w:color w:val="auto"/>
          <w:sz w:val="21"/>
          <w:szCs w:val="21"/>
          <w:highlight w:val="none"/>
        </w:rPr>
      </w:pPr>
      <w:r>
        <w:rPr>
          <w:rFonts w:hint="eastAsia" w:ascii="宋体" w:hAnsi="宋体"/>
          <w:b w:val="0"/>
          <w:color w:val="auto"/>
          <w:sz w:val="21"/>
          <w:szCs w:val="21"/>
          <w:highlight w:val="none"/>
        </w:rPr>
        <w:t>36.2签订合同时间：按中标通知书规定的时间与采购人签订合同。</w:t>
      </w:r>
    </w:p>
    <w:p w14:paraId="66DD2CA6">
      <w:pPr>
        <w:pStyle w:val="6"/>
        <w:keepNext w:val="0"/>
        <w:keepLines w:val="0"/>
        <w:spacing w:before="0" w:after="0" w:line="360" w:lineRule="auto"/>
        <w:rPr>
          <w:rFonts w:ascii="宋体" w:hAnsi="宋体"/>
          <w:b w:val="0"/>
          <w:color w:val="auto"/>
          <w:sz w:val="21"/>
          <w:szCs w:val="21"/>
          <w:highlight w:val="none"/>
        </w:rPr>
      </w:pPr>
      <w:r>
        <w:rPr>
          <w:rFonts w:hint="eastAsia" w:ascii="宋体" w:hAnsi="宋体"/>
          <w:b w:val="0"/>
          <w:color w:val="auto"/>
          <w:sz w:val="21"/>
          <w:szCs w:val="21"/>
          <w:highlight w:val="none"/>
        </w:rPr>
        <w:t xml:space="preserve">    36.</w:t>
      </w:r>
      <w:r>
        <w:rPr>
          <w:rFonts w:ascii="宋体" w:hAnsi="宋体"/>
          <w:b w:val="0"/>
          <w:color w:val="auto"/>
          <w:sz w:val="21"/>
          <w:szCs w:val="21"/>
          <w:highlight w:val="none"/>
        </w:rPr>
        <w:t>3</w:t>
      </w:r>
      <w:r>
        <w:rPr>
          <w:rFonts w:hint="eastAsia" w:ascii="宋体" w:hAnsi="宋体"/>
          <w:b w:val="0"/>
          <w:color w:val="auto"/>
          <w:sz w:val="21"/>
          <w:szCs w:val="21"/>
          <w:highlight w:val="none"/>
        </w:rPr>
        <w:t>中标人拒绝签订政府采购合同（包括但不限于放弃中标、因不可抗力不能履行合同而放弃签订合同），采购人可以按照评审报告推荐的中标候选人名单排序，确定下一候选人为中标人，也可以重新开展政府采购活动。如采购人无正当理由拒签合同的，给中标人造成损失的，中标人可追究采购人承担相应的法律责任。</w:t>
      </w:r>
    </w:p>
    <w:p w14:paraId="2D8C1036">
      <w:pPr>
        <w:spacing w:line="360" w:lineRule="auto"/>
        <w:ind w:firstLine="420"/>
        <w:rPr>
          <w:rFonts w:ascii="宋体" w:hAnsi="宋体"/>
          <w:color w:val="auto"/>
          <w:szCs w:val="21"/>
          <w:highlight w:val="none"/>
        </w:rPr>
      </w:pPr>
      <w:r>
        <w:rPr>
          <w:rFonts w:hint="eastAsia" w:ascii="宋体" w:hAnsi="宋体"/>
          <w:color w:val="auto"/>
          <w:szCs w:val="21"/>
          <w:highlight w:val="none"/>
        </w:rPr>
        <w:t>36.4政府采购合同是政府采购项目验收的依据，中标人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49FE495A">
      <w:pPr>
        <w:spacing w:line="360" w:lineRule="auto"/>
        <w:ind w:firstLine="420"/>
        <w:rPr>
          <w:rFonts w:ascii="宋体" w:hAnsi="宋体"/>
          <w:color w:val="auto"/>
          <w:szCs w:val="21"/>
          <w:highlight w:val="none"/>
        </w:rPr>
      </w:pPr>
      <w:r>
        <w:rPr>
          <w:rFonts w:hint="eastAsia" w:ascii="宋体" w:hAnsi="宋体"/>
          <w:color w:val="auto"/>
          <w:szCs w:val="21"/>
          <w:highlight w:val="none"/>
        </w:rPr>
        <w:t>36.5采购人或中标人不得单方面向合同另一方提出任何招标文件没有约定的条件或不合理的要求，作为签订合同的条件；也不得协商另行订立背离招标文件和合同实质性内容的协议。</w:t>
      </w:r>
    </w:p>
    <w:p w14:paraId="24A08C95">
      <w:pPr>
        <w:spacing w:line="360" w:lineRule="auto"/>
        <w:ind w:firstLine="420"/>
        <w:rPr>
          <w:rFonts w:ascii="宋体" w:hAnsi="宋体"/>
          <w:color w:val="auto"/>
          <w:szCs w:val="21"/>
          <w:highlight w:val="none"/>
        </w:rPr>
      </w:pPr>
      <w:r>
        <w:rPr>
          <w:rFonts w:hint="eastAsia" w:ascii="宋体" w:hAnsi="宋体"/>
          <w:color w:val="auto"/>
          <w:szCs w:val="21"/>
          <w:highlight w:val="none"/>
        </w:rPr>
        <w:t>36.6</w:t>
      </w:r>
      <w:r>
        <w:rPr>
          <w:rFonts w:hint="eastAsia" w:ascii="宋体" w:hAnsi="宋体" w:cs="仿宋_GB2312"/>
          <w:color w:val="auto"/>
          <w:szCs w:val="21"/>
          <w:highlight w:val="none"/>
        </w:rPr>
        <w:t>如签订合同并生效后，供应商无故拒绝或延期，除按照合同条款处理外，将承担相应的法律责任。</w:t>
      </w:r>
    </w:p>
    <w:p w14:paraId="24FF6F5A">
      <w:pPr>
        <w:spacing w:line="360" w:lineRule="auto"/>
        <w:ind w:firstLine="420"/>
        <w:rPr>
          <w:rFonts w:ascii="宋体" w:hAnsi="宋体"/>
          <w:color w:val="auto"/>
          <w:szCs w:val="21"/>
          <w:highlight w:val="none"/>
        </w:rPr>
      </w:pPr>
      <w:r>
        <w:rPr>
          <w:rFonts w:hint="eastAsia" w:ascii="宋体" w:hAnsi="宋体"/>
          <w:color w:val="auto"/>
          <w:szCs w:val="21"/>
          <w:highlight w:val="none"/>
        </w:rPr>
        <w:t>36.7</w:t>
      </w:r>
      <w:r>
        <w:rPr>
          <w:rFonts w:hint="eastAsia" w:ascii="宋体" w:hAnsi="宋体" w:cs="宋体"/>
          <w:color w:val="auto"/>
          <w:szCs w:val="21"/>
          <w:highlight w:val="none"/>
        </w:rPr>
        <w:t>政府采购合同履行中，采购人需追加与合同标的相同的货物、工程或者服务的，在不改变合同其他条款的前提下，可以与供应商协商签订补充合同，但所有补充合同的采购金额不得超过原合同采购金额的10%。</w:t>
      </w:r>
    </w:p>
    <w:p w14:paraId="43917AD0">
      <w:pPr>
        <w:pStyle w:val="6"/>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37.政府采购合同公告</w:t>
      </w:r>
    </w:p>
    <w:p w14:paraId="62902069">
      <w:pPr>
        <w:pStyle w:val="25"/>
        <w:spacing w:line="360" w:lineRule="auto"/>
        <w:ind w:firstLine="420"/>
        <w:rPr>
          <w:rFonts w:hAnsi="宋体"/>
          <w:color w:val="auto"/>
          <w:sz w:val="21"/>
          <w:highlight w:val="none"/>
        </w:rPr>
      </w:pPr>
      <w:r>
        <w:rPr>
          <w:rFonts w:hint="eastAsia" w:hAnsi="宋体"/>
          <w:color w:val="auto"/>
          <w:sz w:val="21"/>
          <w:highlight w:val="none"/>
        </w:rPr>
        <w:t>采购人或者受托采购代理机构应当自政府采购合同签订之日起2个工作日内，将政府采购合同在省级以上人民政府财政部门指定的媒体上公告，</w:t>
      </w:r>
      <w:r>
        <w:rPr>
          <w:rFonts w:hAnsi="宋体"/>
          <w:color w:val="auto"/>
          <w:sz w:val="21"/>
          <w:highlight w:val="none"/>
        </w:rPr>
        <w:t>但政府采购合同中涉及国家秘密、商业秘密的内容除外。</w:t>
      </w:r>
    </w:p>
    <w:p w14:paraId="65893C64">
      <w:pPr>
        <w:pStyle w:val="6"/>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3</w:t>
      </w:r>
      <w:r>
        <w:rPr>
          <w:rFonts w:ascii="黑体" w:hAnsi="黑体" w:eastAsia="黑体"/>
          <w:color w:val="auto"/>
          <w:sz w:val="24"/>
          <w:highlight w:val="none"/>
        </w:rPr>
        <w:t>8.</w:t>
      </w:r>
      <w:r>
        <w:rPr>
          <w:rFonts w:hint="eastAsia" w:ascii="黑体" w:hAnsi="黑体" w:eastAsia="黑体"/>
          <w:color w:val="auto"/>
          <w:sz w:val="24"/>
          <w:highlight w:val="none"/>
        </w:rPr>
        <w:t xml:space="preserve"> 询问、质疑和投诉</w:t>
      </w:r>
    </w:p>
    <w:p w14:paraId="4CF9F3FA">
      <w:pPr>
        <w:pStyle w:val="7"/>
        <w:spacing w:line="360" w:lineRule="auto"/>
        <w:rPr>
          <w:rFonts w:ascii="宋体" w:hAnsi="宋体"/>
          <w:color w:val="auto"/>
          <w:szCs w:val="21"/>
          <w:highlight w:val="none"/>
        </w:rPr>
      </w:pPr>
      <w:r>
        <w:rPr>
          <w:rFonts w:ascii="宋体" w:hAnsi="宋体"/>
          <w:color w:val="auto"/>
          <w:szCs w:val="21"/>
          <w:highlight w:val="none"/>
        </w:rPr>
        <w:t>38.1</w:t>
      </w:r>
      <w:r>
        <w:rPr>
          <w:rFonts w:hint="eastAsia" w:ascii="宋体" w:hAnsi="宋体"/>
          <w:color w:val="auto"/>
          <w:szCs w:val="21"/>
          <w:highlight w:val="none"/>
        </w:rPr>
        <w:t>供应商对政府采购活动事项有疑问的，可以向采购人提出询问，采购人或者采购代理机构应当在3个工作日内对供应商依法提出的询问作出答复，但答复的内容不得涉及商业秘密。</w:t>
      </w:r>
    </w:p>
    <w:p w14:paraId="28F40664">
      <w:pPr>
        <w:pStyle w:val="6"/>
        <w:keepNext w:val="0"/>
        <w:keepLines w:val="0"/>
        <w:spacing w:before="0" w:after="0" w:line="360" w:lineRule="auto"/>
        <w:ind w:firstLine="315"/>
        <w:rPr>
          <w:rFonts w:ascii="宋体" w:hAnsi="宋体"/>
          <w:b w:val="0"/>
          <w:color w:val="auto"/>
          <w:sz w:val="21"/>
          <w:szCs w:val="21"/>
          <w:highlight w:val="none"/>
        </w:rPr>
      </w:pPr>
      <w:r>
        <w:rPr>
          <w:rFonts w:hint="eastAsia" w:ascii="宋体" w:hAnsi="宋体"/>
          <w:b w:val="0"/>
          <w:color w:val="auto"/>
          <w:sz w:val="21"/>
          <w:szCs w:val="21"/>
          <w:highlight w:val="none"/>
        </w:rPr>
        <w:t xml:space="preserve"> </w:t>
      </w:r>
      <w:r>
        <w:rPr>
          <w:rFonts w:ascii="宋体" w:hAnsi="宋体"/>
          <w:b w:val="0"/>
          <w:color w:val="auto"/>
          <w:sz w:val="21"/>
          <w:szCs w:val="21"/>
          <w:highlight w:val="none"/>
        </w:rPr>
        <w:t>38</w:t>
      </w:r>
      <w:r>
        <w:rPr>
          <w:rFonts w:hint="eastAsia" w:ascii="宋体" w:hAnsi="宋体"/>
          <w:b w:val="0"/>
          <w:color w:val="auto"/>
          <w:sz w:val="21"/>
          <w:szCs w:val="21"/>
          <w:highlight w:val="none"/>
        </w:rPr>
        <w:t>.</w:t>
      </w:r>
      <w:r>
        <w:rPr>
          <w:rFonts w:ascii="宋体" w:hAnsi="宋体"/>
          <w:b w:val="0"/>
          <w:color w:val="auto"/>
          <w:sz w:val="21"/>
          <w:szCs w:val="21"/>
          <w:highlight w:val="none"/>
        </w:rPr>
        <w:t>2</w:t>
      </w:r>
      <w:r>
        <w:rPr>
          <w:rFonts w:hint="eastAsia" w:ascii="宋体" w:hAnsi="宋体"/>
          <w:b w:val="0"/>
          <w:color w:val="auto"/>
          <w:sz w:val="21"/>
          <w:szCs w:val="21"/>
          <w:highlight w:val="none"/>
        </w:rPr>
        <w:t xml:space="preserve">供应商认为招标文件、采购过程或者中标结果使自己的合法权益受到损害的，必须在知道或者应知其权益受到损害之日起7个工作日内，以书面形式向采购人、采购代理机构提出质疑。采购人、采购代理机构接收质疑函的方式、联系部门、联系电话和通讯地址等信息详见“投标人须知前附表”。具体质疑起算时间如下： </w:t>
      </w:r>
    </w:p>
    <w:p w14:paraId="2E306F99">
      <w:pPr>
        <w:pStyle w:val="25"/>
        <w:spacing w:line="360" w:lineRule="auto"/>
        <w:ind w:firstLine="420"/>
        <w:rPr>
          <w:rFonts w:hAnsi="宋体"/>
          <w:color w:val="auto"/>
          <w:sz w:val="21"/>
          <w:highlight w:val="none"/>
        </w:rPr>
      </w:pPr>
      <w:r>
        <w:rPr>
          <w:rFonts w:hAnsi="宋体"/>
          <w:color w:val="auto"/>
          <w:sz w:val="21"/>
          <w:highlight w:val="none"/>
        </w:rPr>
        <w:t>（</w:t>
      </w:r>
      <w:r>
        <w:rPr>
          <w:rFonts w:hint="eastAsia" w:hAnsi="宋体"/>
          <w:color w:val="auto"/>
          <w:sz w:val="21"/>
          <w:highlight w:val="none"/>
        </w:rPr>
        <w:t>1</w:t>
      </w:r>
      <w:r>
        <w:rPr>
          <w:rFonts w:hAnsi="宋体"/>
          <w:color w:val="auto"/>
          <w:sz w:val="21"/>
          <w:highlight w:val="none"/>
        </w:rPr>
        <w:t>）对可以质疑的</w:t>
      </w:r>
      <w:r>
        <w:rPr>
          <w:rFonts w:hint="eastAsia" w:hAnsi="宋体"/>
          <w:color w:val="auto"/>
          <w:sz w:val="21"/>
          <w:highlight w:val="none"/>
        </w:rPr>
        <w:t>招标</w:t>
      </w:r>
      <w:r>
        <w:rPr>
          <w:rFonts w:hAnsi="宋体"/>
          <w:color w:val="auto"/>
          <w:sz w:val="21"/>
          <w:highlight w:val="none"/>
        </w:rPr>
        <w:t>文件提出质疑的，为收到</w:t>
      </w:r>
      <w:r>
        <w:rPr>
          <w:rFonts w:hint="eastAsia" w:hAnsi="宋体"/>
          <w:color w:val="auto"/>
          <w:sz w:val="21"/>
          <w:highlight w:val="none"/>
        </w:rPr>
        <w:t>招标</w:t>
      </w:r>
      <w:r>
        <w:rPr>
          <w:rFonts w:hAnsi="宋体"/>
          <w:color w:val="auto"/>
          <w:sz w:val="21"/>
          <w:highlight w:val="none"/>
        </w:rPr>
        <w:t>文件之日</w:t>
      </w:r>
      <w:r>
        <w:rPr>
          <w:rFonts w:hint="eastAsia" w:hAnsi="宋体"/>
          <w:color w:val="auto"/>
          <w:sz w:val="21"/>
          <w:highlight w:val="none"/>
        </w:rPr>
        <w:t>或者招标文件公告期限届满之日</w:t>
      </w:r>
      <w:r>
        <w:rPr>
          <w:rFonts w:hAnsi="宋体"/>
          <w:color w:val="auto"/>
          <w:sz w:val="21"/>
          <w:highlight w:val="none"/>
        </w:rPr>
        <w:t>；</w:t>
      </w:r>
    </w:p>
    <w:p w14:paraId="28F39467">
      <w:pPr>
        <w:pStyle w:val="25"/>
        <w:spacing w:line="360" w:lineRule="auto"/>
        <w:ind w:firstLine="420"/>
        <w:rPr>
          <w:rFonts w:hAnsi="宋体"/>
          <w:color w:val="auto"/>
          <w:sz w:val="21"/>
          <w:highlight w:val="none"/>
        </w:rPr>
      </w:pPr>
      <w:r>
        <w:rPr>
          <w:rFonts w:hAnsi="宋体"/>
          <w:color w:val="auto"/>
          <w:sz w:val="21"/>
          <w:highlight w:val="none"/>
        </w:rPr>
        <w:t>（</w:t>
      </w:r>
      <w:r>
        <w:rPr>
          <w:rFonts w:hint="eastAsia" w:hAnsi="宋体"/>
          <w:color w:val="auto"/>
          <w:sz w:val="21"/>
          <w:highlight w:val="none"/>
        </w:rPr>
        <w:t>2</w:t>
      </w:r>
      <w:r>
        <w:rPr>
          <w:rFonts w:hAnsi="宋体"/>
          <w:color w:val="auto"/>
          <w:sz w:val="21"/>
          <w:highlight w:val="none"/>
        </w:rPr>
        <w:t>）对</w:t>
      </w:r>
      <w:r>
        <w:rPr>
          <w:rFonts w:hint="eastAsia" w:hAnsi="宋体"/>
          <w:color w:val="auto"/>
          <w:sz w:val="21"/>
          <w:highlight w:val="none"/>
        </w:rPr>
        <w:t>采购</w:t>
      </w:r>
      <w:r>
        <w:rPr>
          <w:rFonts w:hAnsi="宋体"/>
          <w:color w:val="auto"/>
          <w:sz w:val="21"/>
          <w:highlight w:val="none"/>
        </w:rPr>
        <w:t>过程提出质疑的，为各采购程序环节结束之日；</w:t>
      </w:r>
    </w:p>
    <w:p w14:paraId="35150D11">
      <w:pPr>
        <w:pStyle w:val="25"/>
        <w:spacing w:line="360" w:lineRule="auto"/>
        <w:ind w:firstLine="420"/>
        <w:rPr>
          <w:rFonts w:hAnsi="宋体"/>
          <w:bCs/>
          <w:color w:val="auto"/>
          <w:sz w:val="21"/>
          <w:highlight w:val="none"/>
        </w:rPr>
      </w:pPr>
      <w:r>
        <w:rPr>
          <w:rFonts w:hAnsi="宋体"/>
          <w:color w:val="auto"/>
          <w:sz w:val="21"/>
          <w:highlight w:val="none"/>
        </w:rPr>
        <w:t>（</w:t>
      </w:r>
      <w:r>
        <w:rPr>
          <w:rFonts w:hint="eastAsia" w:hAnsi="宋体"/>
          <w:color w:val="auto"/>
          <w:sz w:val="21"/>
          <w:highlight w:val="none"/>
        </w:rPr>
        <w:t>3</w:t>
      </w:r>
      <w:r>
        <w:rPr>
          <w:rFonts w:hAnsi="宋体"/>
          <w:color w:val="auto"/>
          <w:sz w:val="21"/>
          <w:highlight w:val="none"/>
        </w:rPr>
        <w:t>）对中标结果提出质疑的，为中标结果公告期限届满之日。</w:t>
      </w:r>
    </w:p>
    <w:p w14:paraId="05BD9781">
      <w:pPr>
        <w:pStyle w:val="6"/>
        <w:keepNext w:val="0"/>
        <w:keepLines w:val="0"/>
        <w:spacing w:before="0" w:after="0" w:line="360" w:lineRule="auto"/>
        <w:ind w:firstLine="315"/>
        <w:rPr>
          <w:rFonts w:ascii="宋体" w:hAnsi="宋体"/>
          <w:b w:val="0"/>
          <w:color w:val="auto"/>
          <w:sz w:val="21"/>
          <w:szCs w:val="21"/>
          <w:highlight w:val="none"/>
        </w:rPr>
      </w:pPr>
      <w:r>
        <w:rPr>
          <w:rFonts w:ascii="宋体" w:hAnsi="宋体"/>
          <w:b w:val="0"/>
          <w:color w:val="auto"/>
          <w:sz w:val="21"/>
          <w:szCs w:val="21"/>
          <w:highlight w:val="none"/>
        </w:rPr>
        <w:t>38</w:t>
      </w:r>
      <w:r>
        <w:rPr>
          <w:rFonts w:hint="eastAsia" w:ascii="宋体" w:hAnsi="宋体"/>
          <w:b w:val="0"/>
          <w:color w:val="auto"/>
          <w:sz w:val="21"/>
          <w:szCs w:val="21"/>
          <w:highlight w:val="none"/>
        </w:rPr>
        <w:t>.</w:t>
      </w:r>
      <w:r>
        <w:rPr>
          <w:rFonts w:ascii="宋体" w:hAnsi="宋体"/>
          <w:b w:val="0"/>
          <w:color w:val="auto"/>
          <w:sz w:val="21"/>
          <w:szCs w:val="21"/>
          <w:highlight w:val="none"/>
        </w:rPr>
        <w:t>3</w:t>
      </w:r>
      <w:r>
        <w:rPr>
          <w:rFonts w:hint="eastAsia" w:ascii="宋体" w:hAnsi="宋体"/>
          <w:b w:val="0"/>
          <w:color w:val="auto"/>
          <w:sz w:val="21"/>
          <w:szCs w:val="21"/>
          <w:highlight w:val="none"/>
        </w:rPr>
        <w:t xml:space="preserve"> </w:t>
      </w:r>
      <w:r>
        <w:rPr>
          <w:rFonts w:hAnsi="宋体"/>
          <w:b w:val="0"/>
          <w:bCs/>
          <w:color w:val="auto"/>
          <w:sz w:val="21"/>
          <w:highlight w:val="none"/>
        </w:rPr>
        <w:t>供应商提出质疑应当提交质疑函和必要的证明材料</w:t>
      </w:r>
      <w:r>
        <w:rPr>
          <w:rFonts w:hint="eastAsia" w:hAnsi="宋体"/>
          <w:b w:val="0"/>
          <w:bCs/>
          <w:color w:val="auto"/>
          <w:sz w:val="21"/>
          <w:highlight w:val="none"/>
        </w:rPr>
        <w:t>，</w:t>
      </w:r>
      <w:r>
        <w:rPr>
          <w:rFonts w:hAnsi="宋体"/>
          <w:b w:val="0"/>
          <w:bCs/>
          <w:color w:val="auto"/>
          <w:sz w:val="21"/>
          <w:highlight w:val="none"/>
        </w:rPr>
        <w:t>针对同一采购程序环节的质疑</w:t>
      </w:r>
      <w:r>
        <w:rPr>
          <w:rFonts w:hint="eastAsia" w:hAnsi="宋体"/>
          <w:b w:val="0"/>
          <w:bCs/>
          <w:color w:val="auto"/>
          <w:sz w:val="21"/>
          <w:highlight w:val="none"/>
        </w:rPr>
        <w:t>必须</w:t>
      </w:r>
      <w:r>
        <w:rPr>
          <w:rFonts w:hAnsi="宋体"/>
          <w:b w:val="0"/>
          <w:bCs/>
          <w:color w:val="auto"/>
          <w:sz w:val="21"/>
          <w:highlight w:val="none"/>
        </w:rPr>
        <w:t>在法定质疑期内一次性提出。质疑函应当包括下列内容</w:t>
      </w:r>
      <w:r>
        <w:rPr>
          <w:rFonts w:hint="eastAsia" w:hAnsi="宋体"/>
          <w:b w:val="0"/>
          <w:bCs/>
          <w:color w:val="auto"/>
          <w:sz w:val="21"/>
          <w:highlight w:val="none"/>
        </w:rPr>
        <w:t>（质疑函格式后附）</w:t>
      </w:r>
      <w:r>
        <w:rPr>
          <w:rFonts w:hAnsi="宋体"/>
          <w:b w:val="0"/>
          <w:bCs/>
          <w:color w:val="auto"/>
          <w:sz w:val="21"/>
          <w:highlight w:val="none"/>
        </w:rPr>
        <w:t>：</w:t>
      </w:r>
    </w:p>
    <w:p w14:paraId="51AC84C6">
      <w:pPr>
        <w:pStyle w:val="25"/>
        <w:spacing w:line="360" w:lineRule="auto"/>
        <w:ind w:firstLine="420"/>
        <w:rPr>
          <w:rFonts w:hAnsi="宋体"/>
          <w:bCs/>
          <w:color w:val="auto"/>
          <w:sz w:val="21"/>
          <w:highlight w:val="none"/>
        </w:rPr>
      </w:pPr>
      <w:r>
        <w:rPr>
          <w:rFonts w:hAnsi="宋体"/>
          <w:bCs/>
          <w:color w:val="auto"/>
          <w:sz w:val="21"/>
          <w:highlight w:val="none"/>
        </w:rPr>
        <w:t>（</w:t>
      </w:r>
      <w:r>
        <w:rPr>
          <w:rFonts w:hint="eastAsia" w:hAnsi="宋体"/>
          <w:bCs/>
          <w:color w:val="auto"/>
          <w:sz w:val="21"/>
          <w:highlight w:val="none"/>
        </w:rPr>
        <w:t>1</w:t>
      </w:r>
      <w:r>
        <w:rPr>
          <w:rFonts w:hAnsi="宋体"/>
          <w:bCs/>
          <w:color w:val="auto"/>
          <w:sz w:val="21"/>
          <w:highlight w:val="none"/>
        </w:rPr>
        <w:t>）供应商的姓名或者名称、地址、邮编、联系人及联系电话；</w:t>
      </w:r>
    </w:p>
    <w:p w14:paraId="0BC19750">
      <w:pPr>
        <w:pStyle w:val="25"/>
        <w:spacing w:line="360" w:lineRule="auto"/>
        <w:ind w:firstLine="420"/>
        <w:rPr>
          <w:rFonts w:hAnsi="宋体"/>
          <w:bCs/>
          <w:color w:val="auto"/>
          <w:sz w:val="21"/>
          <w:highlight w:val="none"/>
        </w:rPr>
      </w:pPr>
      <w:r>
        <w:rPr>
          <w:rFonts w:hAnsi="宋体"/>
          <w:bCs/>
          <w:color w:val="auto"/>
          <w:sz w:val="21"/>
          <w:highlight w:val="none"/>
        </w:rPr>
        <w:t>（</w:t>
      </w:r>
      <w:r>
        <w:rPr>
          <w:rFonts w:hint="eastAsia" w:hAnsi="宋体"/>
          <w:bCs/>
          <w:color w:val="auto"/>
          <w:sz w:val="21"/>
          <w:highlight w:val="none"/>
        </w:rPr>
        <w:t>2</w:t>
      </w:r>
      <w:r>
        <w:rPr>
          <w:rFonts w:hAnsi="宋体"/>
          <w:bCs/>
          <w:color w:val="auto"/>
          <w:sz w:val="21"/>
          <w:highlight w:val="none"/>
        </w:rPr>
        <w:t>）质疑项目的名称、编号；</w:t>
      </w:r>
    </w:p>
    <w:p w14:paraId="07F5E36E">
      <w:pPr>
        <w:pStyle w:val="25"/>
        <w:spacing w:line="360" w:lineRule="auto"/>
        <w:ind w:firstLine="420"/>
        <w:rPr>
          <w:rFonts w:hAnsi="宋体"/>
          <w:bCs/>
          <w:color w:val="auto"/>
          <w:sz w:val="21"/>
          <w:highlight w:val="none"/>
        </w:rPr>
      </w:pPr>
      <w:r>
        <w:rPr>
          <w:rFonts w:hAnsi="宋体"/>
          <w:bCs/>
          <w:color w:val="auto"/>
          <w:sz w:val="21"/>
          <w:highlight w:val="none"/>
        </w:rPr>
        <w:t>（</w:t>
      </w:r>
      <w:r>
        <w:rPr>
          <w:rFonts w:hint="eastAsia" w:hAnsi="宋体"/>
          <w:bCs/>
          <w:color w:val="auto"/>
          <w:sz w:val="21"/>
          <w:highlight w:val="none"/>
        </w:rPr>
        <w:t>3</w:t>
      </w:r>
      <w:r>
        <w:rPr>
          <w:rFonts w:hAnsi="宋体"/>
          <w:bCs/>
          <w:color w:val="auto"/>
          <w:sz w:val="21"/>
          <w:highlight w:val="none"/>
        </w:rPr>
        <w:t>）具体、明确的质疑事项和与质疑事项相关的请求；</w:t>
      </w:r>
    </w:p>
    <w:p w14:paraId="45E8407E">
      <w:pPr>
        <w:pStyle w:val="25"/>
        <w:spacing w:line="360" w:lineRule="auto"/>
        <w:ind w:firstLine="420"/>
        <w:rPr>
          <w:rFonts w:hAnsi="宋体"/>
          <w:bCs/>
          <w:color w:val="auto"/>
          <w:sz w:val="21"/>
          <w:highlight w:val="none"/>
        </w:rPr>
      </w:pPr>
      <w:r>
        <w:rPr>
          <w:rFonts w:hAnsi="宋体"/>
          <w:bCs/>
          <w:color w:val="auto"/>
          <w:sz w:val="21"/>
          <w:highlight w:val="none"/>
        </w:rPr>
        <w:t>（</w:t>
      </w:r>
      <w:r>
        <w:rPr>
          <w:rFonts w:hint="eastAsia" w:hAnsi="宋体"/>
          <w:bCs/>
          <w:color w:val="auto"/>
          <w:sz w:val="21"/>
          <w:highlight w:val="none"/>
        </w:rPr>
        <w:t>4</w:t>
      </w:r>
      <w:r>
        <w:rPr>
          <w:rFonts w:hAnsi="宋体"/>
          <w:bCs/>
          <w:color w:val="auto"/>
          <w:sz w:val="21"/>
          <w:highlight w:val="none"/>
        </w:rPr>
        <w:t>）事实依据；</w:t>
      </w:r>
    </w:p>
    <w:p w14:paraId="118EB9CE">
      <w:pPr>
        <w:pStyle w:val="25"/>
        <w:spacing w:line="360" w:lineRule="auto"/>
        <w:ind w:firstLine="420"/>
        <w:rPr>
          <w:rFonts w:hAnsi="宋体"/>
          <w:bCs/>
          <w:color w:val="auto"/>
          <w:sz w:val="21"/>
          <w:highlight w:val="none"/>
        </w:rPr>
      </w:pPr>
      <w:r>
        <w:rPr>
          <w:rFonts w:hAnsi="宋体"/>
          <w:bCs/>
          <w:color w:val="auto"/>
          <w:sz w:val="21"/>
          <w:highlight w:val="none"/>
        </w:rPr>
        <w:t>（</w:t>
      </w:r>
      <w:r>
        <w:rPr>
          <w:rFonts w:hint="eastAsia" w:hAnsi="宋体"/>
          <w:bCs/>
          <w:color w:val="auto"/>
          <w:sz w:val="21"/>
          <w:highlight w:val="none"/>
        </w:rPr>
        <w:t>5</w:t>
      </w:r>
      <w:r>
        <w:rPr>
          <w:rFonts w:hAnsi="宋体"/>
          <w:bCs/>
          <w:color w:val="auto"/>
          <w:sz w:val="21"/>
          <w:highlight w:val="none"/>
        </w:rPr>
        <w:t>）必要的法律依据；</w:t>
      </w:r>
    </w:p>
    <w:p w14:paraId="0FBB3407">
      <w:pPr>
        <w:pStyle w:val="25"/>
        <w:spacing w:line="360" w:lineRule="auto"/>
        <w:ind w:firstLine="420"/>
        <w:rPr>
          <w:rFonts w:hAnsi="宋体"/>
          <w:bCs/>
          <w:color w:val="auto"/>
          <w:sz w:val="21"/>
          <w:highlight w:val="none"/>
        </w:rPr>
      </w:pPr>
      <w:r>
        <w:rPr>
          <w:rFonts w:hAnsi="宋体"/>
          <w:bCs/>
          <w:color w:val="auto"/>
          <w:sz w:val="21"/>
          <w:highlight w:val="none"/>
        </w:rPr>
        <w:t>（</w:t>
      </w:r>
      <w:r>
        <w:rPr>
          <w:rFonts w:hint="eastAsia" w:hAnsi="宋体"/>
          <w:bCs/>
          <w:color w:val="auto"/>
          <w:sz w:val="21"/>
          <w:highlight w:val="none"/>
        </w:rPr>
        <w:t>6</w:t>
      </w:r>
      <w:r>
        <w:rPr>
          <w:rFonts w:hAnsi="宋体"/>
          <w:bCs/>
          <w:color w:val="auto"/>
          <w:sz w:val="21"/>
          <w:highlight w:val="none"/>
        </w:rPr>
        <w:t>）提出质疑的日期。</w:t>
      </w:r>
    </w:p>
    <w:p w14:paraId="199DBB73">
      <w:pPr>
        <w:pStyle w:val="25"/>
        <w:spacing w:line="360" w:lineRule="auto"/>
        <w:ind w:firstLine="420"/>
        <w:rPr>
          <w:rFonts w:hAnsi="宋体"/>
          <w:bCs/>
          <w:color w:val="auto"/>
          <w:sz w:val="21"/>
          <w:highlight w:val="none"/>
        </w:rPr>
      </w:pPr>
      <w:r>
        <w:rPr>
          <w:rFonts w:hAnsi="宋体"/>
          <w:bCs/>
          <w:color w:val="auto"/>
          <w:sz w:val="21"/>
          <w:highlight w:val="none"/>
        </w:rPr>
        <w:t>供应商为自然人的，应当由本人签字；供应商为法人或者其他组织的，应当由法定代表人、主要负责人，或者其委托代理人签字或者盖章，并加盖公章</w:t>
      </w:r>
      <w:r>
        <w:rPr>
          <w:rFonts w:hint="eastAsia" w:hAnsi="宋体"/>
          <w:bCs/>
          <w:color w:val="auto"/>
          <w:sz w:val="21"/>
          <w:highlight w:val="none"/>
        </w:rPr>
        <w:t>。</w:t>
      </w:r>
    </w:p>
    <w:p w14:paraId="1C5B81E0">
      <w:pPr>
        <w:pStyle w:val="6"/>
        <w:keepNext w:val="0"/>
        <w:keepLines w:val="0"/>
        <w:spacing w:before="0" w:after="0" w:line="360" w:lineRule="auto"/>
        <w:ind w:firstLine="420"/>
        <w:rPr>
          <w:rFonts w:ascii="宋体" w:hAnsi="宋体"/>
          <w:b w:val="0"/>
          <w:bCs/>
          <w:color w:val="auto"/>
          <w:sz w:val="21"/>
          <w:szCs w:val="21"/>
          <w:highlight w:val="none"/>
        </w:rPr>
      </w:pPr>
      <w:r>
        <w:rPr>
          <w:rFonts w:ascii="宋体" w:hAnsi="宋体"/>
          <w:b w:val="0"/>
          <w:color w:val="auto"/>
          <w:sz w:val="21"/>
          <w:szCs w:val="21"/>
          <w:highlight w:val="none"/>
        </w:rPr>
        <w:t>3</w:t>
      </w:r>
      <w:r>
        <w:rPr>
          <w:rFonts w:ascii="宋体" w:hAnsi="宋体"/>
          <w:b w:val="0"/>
          <w:bCs/>
          <w:color w:val="auto"/>
          <w:sz w:val="21"/>
          <w:szCs w:val="21"/>
          <w:highlight w:val="none"/>
        </w:rPr>
        <w:t>8.4</w:t>
      </w:r>
      <w:r>
        <w:rPr>
          <w:rFonts w:hint="eastAsia" w:ascii="宋体" w:hAnsi="宋体"/>
          <w:b w:val="0"/>
          <w:bCs/>
          <w:color w:val="auto"/>
          <w:sz w:val="21"/>
          <w:szCs w:val="21"/>
          <w:highlight w:val="none"/>
        </w:rPr>
        <w:t>采购人、采购代理机构认为供应商质疑不成立，或者成立但未对中标结果构成影响的，继续开展采购活动；认为供应商质疑成立且影响或者可能影响中标结果的，按照下列情况处理：</w:t>
      </w:r>
    </w:p>
    <w:p w14:paraId="1AAB5064">
      <w:pPr>
        <w:pStyle w:val="25"/>
        <w:spacing w:line="360" w:lineRule="auto"/>
        <w:rPr>
          <w:rFonts w:hAnsi="宋体"/>
          <w:bCs/>
          <w:color w:val="auto"/>
          <w:sz w:val="21"/>
          <w:highlight w:val="none"/>
        </w:rPr>
      </w:pPr>
      <w:r>
        <w:rPr>
          <w:rFonts w:hint="eastAsia" w:hAnsi="宋体"/>
          <w:bCs/>
          <w:color w:val="auto"/>
          <w:sz w:val="21"/>
          <w:highlight w:val="none"/>
        </w:rPr>
        <w:t>　　（一）对招标文件提出的质疑，依法通过澄清或者修改可以继续开展采购活动的，澄清或者修改招标文件后继续开展采购活动；否则应当修改招标文件后重新开展采购活动。</w:t>
      </w:r>
    </w:p>
    <w:p w14:paraId="61AE06CD">
      <w:pPr>
        <w:pStyle w:val="25"/>
        <w:spacing w:line="360" w:lineRule="auto"/>
        <w:rPr>
          <w:rFonts w:hAnsi="宋体"/>
          <w:bCs/>
          <w:color w:val="auto"/>
          <w:sz w:val="21"/>
          <w:highlight w:val="none"/>
        </w:rPr>
      </w:pPr>
      <w:r>
        <w:rPr>
          <w:rFonts w:hint="eastAsia" w:hAnsi="宋体"/>
          <w:bCs/>
          <w:color w:val="auto"/>
          <w:sz w:val="21"/>
          <w:highlight w:val="none"/>
        </w:rPr>
        <w:t>　　（二）对采购过程、中标结果提出的质疑，合格供应商符合法定数量时，可以从合格的中标候选人中另行确定中标人的，应当依法另行确定中标人；否则应当重新开展采购活动。</w:t>
      </w:r>
    </w:p>
    <w:p w14:paraId="2CD0812A">
      <w:pPr>
        <w:pStyle w:val="25"/>
        <w:spacing w:line="360" w:lineRule="auto"/>
        <w:ind w:firstLine="420"/>
        <w:rPr>
          <w:rFonts w:hAnsi="宋体"/>
          <w:bCs/>
          <w:color w:val="auto"/>
          <w:sz w:val="21"/>
          <w:highlight w:val="none"/>
        </w:rPr>
      </w:pPr>
      <w:r>
        <w:rPr>
          <w:rFonts w:hint="eastAsia" w:hAnsi="宋体"/>
          <w:bCs/>
          <w:color w:val="auto"/>
          <w:sz w:val="21"/>
          <w:highlight w:val="none"/>
        </w:rPr>
        <w:t>质疑答复导致中标结果改变的，采购人或者采购代理机构应当将有关情况书面报告本级财政部门。</w:t>
      </w:r>
    </w:p>
    <w:p w14:paraId="115D28D9">
      <w:pPr>
        <w:pStyle w:val="25"/>
        <w:spacing w:line="360" w:lineRule="auto"/>
        <w:ind w:firstLine="420"/>
        <w:rPr>
          <w:rFonts w:hAnsi="宋体"/>
          <w:color w:val="auto"/>
          <w:sz w:val="21"/>
          <w:highlight w:val="none"/>
        </w:rPr>
      </w:pPr>
      <w:r>
        <w:rPr>
          <w:rFonts w:hAnsi="宋体"/>
          <w:color w:val="auto"/>
          <w:sz w:val="21"/>
          <w:highlight w:val="none"/>
        </w:rPr>
        <w:t>38</w:t>
      </w:r>
      <w:r>
        <w:rPr>
          <w:rFonts w:hint="eastAsia" w:hAnsi="宋体"/>
          <w:color w:val="auto"/>
          <w:sz w:val="21"/>
          <w:highlight w:val="none"/>
        </w:rPr>
        <w:t>.</w:t>
      </w:r>
      <w:r>
        <w:rPr>
          <w:rFonts w:hAnsi="宋体"/>
          <w:color w:val="auto"/>
          <w:sz w:val="21"/>
          <w:highlight w:val="none"/>
        </w:rPr>
        <w:t>5</w:t>
      </w:r>
      <w:r>
        <w:rPr>
          <w:rFonts w:hint="eastAsia" w:hAnsi="宋体"/>
          <w:color w:val="auto"/>
          <w:sz w:val="21"/>
          <w:highlight w:val="none"/>
        </w:rPr>
        <w:t>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42239B63">
      <w:pPr>
        <w:pStyle w:val="4"/>
        <w:keepNext w:val="0"/>
        <w:keepLines w:val="0"/>
        <w:jc w:val="center"/>
        <w:rPr>
          <w:color w:val="auto"/>
          <w:highlight w:val="none"/>
        </w:rPr>
      </w:pPr>
      <w:r>
        <w:rPr>
          <w:rFonts w:hint="eastAsia"/>
          <w:color w:val="auto"/>
          <w:highlight w:val="none"/>
        </w:rPr>
        <w:t>八、其他事项</w:t>
      </w:r>
    </w:p>
    <w:p w14:paraId="78C21970">
      <w:pPr>
        <w:pStyle w:val="6"/>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3</w:t>
      </w:r>
      <w:r>
        <w:rPr>
          <w:rFonts w:ascii="黑体" w:hAnsi="黑体" w:eastAsia="黑体"/>
          <w:color w:val="auto"/>
          <w:sz w:val="24"/>
          <w:highlight w:val="none"/>
        </w:rPr>
        <w:t>9</w:t>
      </w:r>
      <w:r>
        <w:rPr>
          <w:rFonts w:hint="eastAsia" w:ascii="黑体" w:hAnsi="黑体" w:eastAsia="黑体"/>
          <w:color w:val="auto"/>
          <w:sz w:val="24"/>
          <w:highlight w:val="none"/>
        </w:rPr>
        <w:t>.代理服务费</w:t>
      </w:r>
    </w:p>
    <w:p w14:paraId="708B2063">
      <w:pPr>
        <w:pStyle w:val="6"/>
        <w:keepNext w:val="0"/>
        <w:keepLines w:val="0"/>
        <w:spacing w:before="0" w:after="0" w:line="360" w:lineRule="auto"/>
        <w:ind w:firstLine="420"/>
        <w:rPr>
          <w:rFonts w:ascii="宋体" w:hAnsi="宋体"/>
          <w:b w:val="0"/>
          <w:color w:val="auto"/>
          <w:sz w:val="21"/>
          <w:szCs w:val="21"/>
          <w:highlight w:val="none"/>
        </w:rPr>
      </w:pPr>
      <w:r>
        <w:rPr>
          <w:rFonts w:hint="eastAsia" w:ascii="宋体" w:hAnsi="宋体"/>
          <w:b w:val="0"/>
          <w:color w:val="auto"/>
          <w:sz w:val="21"/>
          <w:szCs w:val="21"/>
          <w:highlight w:val="none"/>
        </w:rPr>
        <w:t>3</w:t>
      </w:r>
      <w:r>
        <w:rPr>
          <w:rFonts w:ascii="宋体" w:hAnsi="宋体"/>
          <w:b w:val="0"/>
          <w:color w:val="auto"/>
          <w:sz w:val="21"/>
          <w:szCs w:val="21"/>
          <w:highlight w:val="none"/>
        </w:rPr>
        <w:t>9</w:t>
      </w:r>
      <w:r>
        <w:rPr>
          <w:rFonts w:hint="eastAsia" w:ascii="宋体" w:hAnsi="宋体"/>
          <w:b w:val="0"/>
          <w:color w:val="auto"/>
          <w:sz w:val="21"/>
          <w:szCs w:val="21"/>
          <w:highlight w:val="none"/>
        </w:rPr>
        <w:t>.1代理服务费收取标准及缴费账户详见“投标人须知前附表”，投标人为联合体的，可以由联合体中的一方或者多方共同交纳代理服务费。</w:t>
      </w:r>
    </w:p>
    <w:p w14:paraId="32E54DA4">
      <w:pPr>
        <w:pStyle w:val="6"/>
        <w:keepNext w:val="0"/>
        <w:keepLines w:val="0"/>
        <w:spacing w:before="0" w:after="0" w:line="360" w:lineRule="auto"/>
        <w:ind w:left="420"/>
        <w:rPr>
          <w:rFonts w:ascii="宋体" w:hAnsi="宋体"/>
          <w:b w:val="0"/>
          <w:color w:val="auto"/>
          <w:sz w:val="21"/>
          <w:szCs w:val="21"/>
          <w:highlight w:val="none"/>
        </w:rPr>
      </w:pPr>
      <w:r>
        <w:rPr>
          <w:rFonts w:hint="eastAsia" w:ascii="宋体" w:hAnsi="宋体"/>
          <w:b w:val="0"/>
          <w:color w:val="auto"/>
          <w:sz w:val="21"/>
          <w:szCs w:val="21"/>
          <w:highlight w:val="none"/>
        </w:rPr>
        <w:t>3</w:t>
      </w:r>
      <w:r>
        <w:rPr>
          <w:rFonts w:ascii="宋体" w:hAnsi="宋体"/>
          <w:b w:val="0"/>
          <w:color w:val="auto"/>
          <w:sz w:val="21"/>
          <w:szCs w:val="21"/>
          <w:highlight w:val="none"/>
        </w:rPr>
        <w:t>9</w:t>
      </w:r>
      <w:r>
        <w:rPr>
          <w:rFonts w:hint="eastAsia" w:ascii="宋体" w:hAnsi="宋体"/>
          <w:b w:val="0"/>
          <w:color w:val="auto"/>
          <w:sz w:val="21"/>
          <w:szCs w:val="21"/>
          <w:highlight w:val="none"/>
        </w:rPr>
        <w:t>.2代理服务收费标准：</w:t>
      </w:r>
    </w:p>
    <w:p w14:paraId="6929C548">
      <w:pPr>
        <w:spacing w:line="360" w:lineRule="auto"/>
        <w:rPr>
          <w:rFonts w:ascii="宋体" w:hAnsi="宋体"/>
          <w:color w:val="auto"/>
          <w:szCs w:val="21"/>
          <w:highlight w:val="none"/>
        </w:rPr>
      </w:pPr>
    </w:p>
    <w:tbl>
      <w:tblPr>
        <w:tblStyle w:val="50"/>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gridCol w:w="1687"/>
        <w:gridCol w:w="1659"/>
      </w:tblGrid>
      <w:tr w14:paraId="492AB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5EB144AF">
            <w:pPr>
              <w:spacing w:line="360" w:lineRule="auto"/>
              <w:rPr>
                <w:rFonts w:ascii="宋体" w:hAnsi="宋体"/>
                <w:color w:val="auto"/>
                <w:szCs w:val="21"/>
                <w:highlight w:val="none"/>
              </w:rPr>
            </w:pPr>
            <w:r>
              <w:rPr>
                <w:rFonts w:hint="eastAsia" w:ascii="宋体" w:hAnsi="宋体"/>
                <w:color w:val="auto"/>
                <w:szCs w:val="21"/>
                <w:highlight w:val="none"/>
              </w:rPr>
              <w:t xml:space="preserve">               费率</w:t>
            </w:r>
          </w:p>
          <w:p w14:paraId="67D1A2B8">
            <w:pPr>
              <w:spacing w:line="360" w:lineRule="auto"/>
              <w:rPr>
                <w:rFonts w:ascii="宋体" w:hAnsi="宋体"/>
                <w:color w:val="auto"/>
                <w:szCs w:val="21"/>
                <w:highlight w:val="none"/>
              </w:rPr>
            </w:pPr>
            <w:r>
              <w:rPr>
                <w:rFonts w:hint="eastAsia" w:ascii="宋体" w:hAnsi="宋体"/>
                <w:color w:val="auto"/>
                <w:szCs w:val="21"/>
                <w:highlight w:val="none"/>
              </w:rPr>
              <w:t>预算金额</w:t>
            </w:r>
          </w:p>
        </w:tc>
        <w:tc>
          <w:tcPr>
            <w:tcW w:w="1659" w:type="dxa"/>
            <w:tcBorders>
              <w:top w:val="single" w:color="auto" w:sz="4" w:space="0"/>
              <w:left w:val="single" w:color="auto" w:sz="4" w:space="0"/>
              <w:bottom w:val="single" w:color="auto" w:sz="4" w:space="0"/>
              <w:right w:val="single" w:color="auto" w:sz="4" w:space="0"/>
            </w:tcBorders>
            <w:vAlign w:val="center"/>
          </w:tcPr>
          <w:p w14:paraId="73397322">
            <w:pPr>
              <w:spacing w:line="360" w:lineRule="auto"/>
              <w:ind w:firstLine="105"/>
              <w:jc w:val="center"/>
              <w:rPr>
                <w:rFonts w:ascii="宋体" w:hAnsi="宋体"/>
                <w:color w:val="auto"/>
                <w:szCs w:val="21"/>
                <w:highlight w:val="none"/>
              </w:rPr>
            </w:pPr>
            <w:r>
              <w:rPr>
                <w:rFonts w:hint="eastAsia" w:ascii="宋体" w:hAnsi="宋体"/>
                <w:color w:val="auto"/>
                <w:szCs w:val="21"/>
                <w:highlight w:val="none"/>
              </w:rPr>
              <w:t>货物招标</w:t>
            </w:r>
          </w:p>
        </w:tc>
        <w:tc>
          <w:tcPr>
            <w:tcW w:w="1687" w:type="dxa"/>
            <w:tcBorders>
              <w:top w:val="single" w:color="auto" w:sz="4" w:space="0"/>
              <w:left w:val="single" w:color="auto" w:sz="4" w:space="0"/>
              <w:bottom w:val="single" w:color="auto" w:sz="4" w:space="0"/>
              <w:right w:val="single" w:color="auto" w:sz="4" w:space="0"/>
            </w:tcBorders>
            <w:vAlign w:val="center"/>
          </w:tcPr>
          <w:p w14:paraId="4AF6357A">
            <w:pPr>
              <w:spacing w:line="360" w:lineRule="auto"/>
              <w:jc w:val="center"/>
              <w:rPr>
                <w:rFonts w:ascii="宋体" w:hAnsi="宋体"/>
                <w:color w:val="auto"/>
                <w:szCs w:val="21"/>
                <w:highlight w:val="none"/>
              </w:rPr>
            </w:pPr>
            <w:r>
              <w:rPr>
                <w:rFonts w:hint="eastAsia" w:ascii="宋体" w:hAnsi="宋体"/>
                <w:color w:val="auto"/>
                <w:szCs w:val="21"/>
                <w:highlight w:val="none"/>
              </w:rPr>
              <w:t>服务招标</w:t>
            </w:r>
          </w:p>
        </w:tc>
        <w:tc>
          <w:tcPr>
            <w:tcW w:w="1659" w:type="dxa"/>
            <w:tcBorders>
              <w:top w:val="single" w:color="auto" w:sz="4" w:space="0"/>
              <w:left w:val="single" w:color="auto" w:sz="4" w:space="0"/>
              <w:bottom w:val="single" w:color="auto" w:sz="4" w:space="0"/>
              <w:right w:val="single" w:color="auto" w:sz="4" w:space="0"/>
            </w:tcBorders>
            <w:vAlign w:val="center"/>
          </w:tcPr>
          <w:p w14:paraId="59220554">
            <w:pPr>
              <w:spacing w:line="360" w:lineRule="auto"/>
              <w:jc w:val="center"/>
              <w:rPr>
                <w:rFonts w:ascii="宋体" w:hAnsi="宋体"/>
                <w:color w:val="auto"/>
                <w:szCs w:val="21"/>
                <w:highlight w:val="none"/>
              </w:rPr>
            </w:pPr>
            <w:r>
              <w:rPr>
                <w:rFonts w:hint="eastAsia" w:ascii="宋体" w:hAnsi="宋体"/>
                <w:color w:val="auto"/>
                <w:szCs w:val="21"/>
                <w:highlight w:val="none"/>
              </w:rPr>
              <w:t>工程招标</w:t>
            </w:r>
          </w:p>
        </w:tc>
      </w:tr>
      <w:tr w14:paraId="6DB1E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396CBAE7">
            <w:pPr>
              <w:spacing w:line="360" w:lineRule="auto"/>
              <w:rPr>
                <w:rFonts w:ascii="宋体" w:hAnsi="宋体"/>
                <w:color w:val="auto"/>
                <w:szCs w:val="21"/>
                <w:highlight w:val="none"/>
              </w:rPr>
            </w:pPr>
            <w:r>
              <w:rPr>
                <w:rFonts w:hint="eastAsia" w:ascii="宋体" w:hAnsi="宋体"/>
                <w:color w:val="auto"/>
                <w:szCs w:val="21"/>
                <w:highlight w:val="none"/>
              </w:rPr>
              <w:t>100万元以下</w:t>
            </w:r>
          </w:p>
        </w:tc>
        <w:tc>
          <w:tcPr>
            <w:tcW w:w="1659" w:type="dxa"/>
            <w:tcBorders>
              <w:top w:val="single" w:color="auto" w:sz="4" w:space="0"/>
              <w:left w:val="single" w:color="auto" w:sz="4" w:space="0"/>
              <w:bottom w:val="single" w:color="auto" w:sz="4" w:space="0"/>
              <w:right w:val="single" w:color="auto" w:sz="4" w:space="0"/>
            </w:tcBorders>
          </w:tcPr>
          <w:p w14:paraId="2D6FB6D1">
            <w:pPr>
              <w:spacing w:line="360" w:lineRule="auto"/>
              <w:rPr>
                <w:rFonts w:ascii="宋体" w:hAnsi="宋体"/>
                <w:color w:val="auto"/>
                <w:szCs w:val="21"/>
                <w:highlight w:val="none"/>
              </w:rPr>
            </w:pPr>
            <w:r>
              <w:rPr>
                <w:rFonts w:hint="eastAsia" w:ascii="宋体" w:hAnsi="宋体" w:cs="宋体"/>
                <w:color w:val="auto"/>
                <w:szCs w:val="21"/>
                <w:highlight w:val="none"/>
              </w:rPr>
              <w:t xml:space="preserve">  1.5%                </w:t>
            </w:r>
          </w:p>
        </w:tc>
        <w:tc>
          <w:tcPr>
            <w:tcW w:w="1687" w:type="dxa"/>
            <w:tcBorders>
              <w:top w:val="single" w:color="auto" w:sz="4" w:space="0"/>
              <w:left w:val="single" w:color="auto" w:sz="4" w:space="0"/>
              <w:bottom w:val="single" w:color="auto" w:sz="4" w:space="0"/>
              <w:right w:val="single" w:color="auto" w:sz="4" w:space="0"/>
            </w:tcBorders>
          </w:tcPr>
          <w:p w14:paraId="634F95B8">
            <w:pPr>
              <w:spacing w:line="360" w:lineRule="auto"/>
              <w:ind w:firstLine="210"/>
              <w:rPr>
                <w:rFonts w:ascii="宋体" w:hAnsi="宋体"/>
                <w:color w:val="auto"/>
                <w:szCs w:val="21"/>
                <w:highlight w:val="none"/>
              </w:rPr>
            </w:pPr>
            <w:r>
              <w:rPr>
                <w:rFonts w:hint="eastAsia" w:ascii="宋体" w:hAnsi="宋体" w:cs="宋体"/>
                <w:color w:val="auto"/>
                <w:szCs w:val="21"/>
                <w:highlight w:val="none"/>
              </w:rPr>
              <w:t>1.5%</w:t>
            </w:r>
          </w:p>
        </w:tc>
        <w:tc>
          <w:tcPr>
            <w:tcW w:w="1659" w:type="dxa"/>
            <w:tcBorders>
              <w:top w:val="single" w:color="auto" w:sz="4" w:space="0"/>
              <w:left w:val="single" w:color="auto" w:sz="4" w:space="0"/>
              <w:bottom w:val="single" w:color="auto" w:sz="4" w:space="0"/>
              <w:right w:val="single" w:color="auto" w:sz="4" w:space="0"/>
            </w:tcBorders>
          </w:tcPr>
          <w:p w14:paraId="605B7141">
            <w:pPr>
              <w:spacing w:line="360" w:lineRule="auto"/>
              <w:ind w:firstLine="210"/>
              <w:rPr>
                <w:rFonts w:ascii="宋体" w:hAnsi="宋体"/>
                <w:color w:val="auto"/>
                <w:szCs w:val="21"/>
                <w:highlight w:val="none"/>
              </w:rPr>
            </w:pPr>
            <w:r>
              <w:rPr>
                <w:rFonts w:hint="eastAsia" w:ascii="宋体" w:hAnsi="宋体" w:cs="宋体"/>
                <w:color w:val="auto"/>
                <w:szCs w:val="21"/>
                <w:highlight w:val="none"/>
              </w:rPr>
              <w:t xml:space="preserve">1.0% </w:t>
            </w:r>
          </w:p>
        </w:tc>
      </w:tr>
      <w:tr w14:paraId="35945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7C4B0860">
            <w:pPr>
              <w:spacing w:line="360" w:lineRule="auto"/>
              <w:rPr>
                <w:rFonts w:ascii="宋体" w:hAnsi="宋体"/>
                <w:color w:val="auto"/>
                <w:szCs w:val="21"/>
                <w:highlight w:val="none"/>
              </w:rPr>
            </w:pPr>
            <w:r>
              <w:rPr>
                <w:rFonts w:hint="eastAsia" w:ascii="宋体" w:hAnsi="宋体"/>
                <w:color w:val="auto"/>
                <w:szCs w:val="21"/>
                <w:highlight w:val="none"/>
              </w:rPr>
              <w:t>100万元～500万元</w:t>
            </w:r>
          </w:p>
        </w:tc>
        <w:tc>
          <w:tcPr>
            <w:tcW w:w="1659" w:type="dxa"/>
            <w:tcBorders>
              <w:top w:val="single" w:color="auto" w:sz="4" w:space="0"/>
              <w:left w:val="single" w:color="auto" w:sz="4" w:space="0"/>
              <w:bottom w:val="single" w:color="auto" w:sz="4" w:space="0"/>
              <w:right w:val="single" w:color="auto" w:sz="4" w:space="0"/>
            </w:tcBorders>
          </w:tcPr>
          <w:p w14:paraId="084F2F23">
            <w:pPr>
              <w:spacing w:line="360" w:lineRule="auto"/>
              <w:ind w:firstLine="210"/>
              <w:rPr>
                <w:rFonts w:ascii="宋体" w:hAnsi="宋体"/>
                <w:color w:val="auto"/>
                <w:szCs w:val="21"/>
                <w:highlight w:val="none"/>
              </w:rPr>
            </w:pPr>
            <w:r>
              <w:rPr>
                <w:rFonts w:hint="eastAsia" w:ascii="宋体" w:hAnsi="宋体" w:cs="宋体"/>
                <w:color w:val="auto"/>
                <w:szCs w:val="21"/>
                <w:highlight w:val="none"/>
              </w:rPr>
              <w:t xml:space="preserve">1.1%                 </w:t>
            </w:r>
          </w:p>
        </w:tc>
        <w:tc>
          <w:tcPr>
            <w:tcW w:w="1687" w:type="dxa"/>
            <w:tcBorders>
              <w:top w:val="single" w:color="auto" w:sz="4" w:space="0"/>
              <w:left w:val="single" w:color="auto" w:sz="4" w:space="0"/>
              <w:bottom w:val="single" w:color="auto" w:sz="4" w:space="0"/>
              <w:right w:val="single" w:color="auto" w:sz="4" w:space="0"/>
            </w:tcBorders>
          </w:tcPr>
          <w:p w14:paraId="595D94F3">
            <w:pPr>
              <w:spacing w:line="360" w:lineRule="auto"/>
              <w:ind w:firstLine="210"/>
              <w:rPr>
                <w:rFonts w:ascii="宋体" w:hAnsi="宋体"/>
                <w:color w:val="auto"/>
                <w:szCs w:val="21"/>
                <w:highlight w:val="none"/>
              </w:rPr>
            </w:pPr>
            <w:r>
              <w:rPr>
                <w:rFonts w:hint="eastAsia" w:ascii="宋体" w:hAnsi="宋体" w:cs="宋体"/>
                <w:color w:val="auto"/>
                <w:szCs w:val="21"/>
                <w:highlight w:val="none"/>
              </w:rPr>
              <w:t>0.8%</w:t>
            </w:r>
          </w:p>
        </w:tc>
        <w:tc>
          <w:tcPr>
            <w:tcW w:w="1659" w:type="dxa"/>
            <w:tcBorders>
              <w:top w:val="single" w:color="auto" w:sz="4" w:space="0"/>
              <w:left w:val="single" w:color="auto" w:sz="4" w:space="0"/>
              <w:bottom w:val="single" w:color="auto" w:sz="4" w:space="0"/>
              <w:right w:val="single" w:color="auto" w:sz="4" w:space="0"/>
            </w:tcBorders>
          </w:tcPr>
          <w:p w14:paraId="49039333">
            <w:pPr>
              <w:spacing w:line="360" w:lineRule="auto"/>
              <w:ind w:firstLine="210"/>
              <w:rPr>
                <w:rFonts w:ascii="宋体" w:hAnsi="宋体"/>
                <w:color w:val="auto"/>
                <w:szCs w:val="21"/>
                <w:highlight w:val="none"/>
              </w:rPr>
            </w:pPr>
            <w:r>
              <w:rPr>
                <w:rFonts w:hint="eastAsia" w:ascii="宋体" w:hAnsi="宋体" w:cs="宋体"/>
                <w:color w:val="auto"/>
                <w:szCs w:val="21"/>
                <w:highlight w:val="none"/>
              </w:rPr>
              <w:t xml:space="preserve">0.7% </w:t>
            </w:r>
          </w:p>
        </w:tc>
      </w:tr>
      <w:tr w14:paraId="7A696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205F34AB">
            <w:pPr>
              <w:spacing w:line="360" w:lineRule="auto"/>
              <w:rPr>
                <w:rFonts w:ascii="宋体" w:hAnsi="宋体"/>
                <w:color w:val="auto"/>
                <w:szCs w:val="21"/>
                <w:highlight w:val="none"/>
              </w:rPr>
            </w:pPr>
            <w:r>
              <w:rPr>
                <w:rFonts w:hint="eastAsia" w:ascii="宋体" w:hAnsi="宋体"/>
                <w:color w:val="auto"/>
                <w:szCs w:val="21"/>
                <w:highlight w:val="none"/>
              </w:rPr>
              <w:t>500万元～1000万元</w:t>
            </w:r>
          </w:p>
        </w:tc>
        <w:tc>
          <w:tcPr>
            <w:tcW w:w="1659" w:type="dxa"/>
            <w:tcBorders>
              <w:top w:val="single" w:color="auto" w:sz="4" w:space="0"/>
              <w:left w:val="single" w:color="auto" w:sz="4" w:space="0"/>
              <w:bottom w:val="single" w:color="auto" w:sz="4" w:space="0"/>
              <w:right w:val="single" w:color="auto" w:sz="4" w:space="0"/>
            </w:tcBorders>
          </w:tcPr>
          <w:p w14:paraId="08FDEF69">
            <w:pPr>
              <w:spacing w:line="360" w:lineRule="auto"/>
              <w:rPr>
                <w:rFonts w:ascii="宋体" w:hAnsi="宋体"/>
                <w:color w:val="auto"/>
                <w:szCs w:val="21"/>
                <w:highlight w:val="none"/>
              </w:rPr>
            </w:pPr>
            <w:r>
              <w:rPr>
                <w:rFonts w:hint="eastAsia" w:ascii="宋体" w:hAnsi="宋体" w:cs="宋体"/>
                <w:color w:val="auto"/>
                <w:szCs w:val="21"/>
                <w:highlight w:val="none"/>
              </w:rPr>
              <w:t xml:space="preserve">  0.8%                </w:t>
            </w:r>
          </w:p>
        </w:tc>
        <w:tc>
          <w:tcPr>
            <w:tcW w:w="1687" w:type="dxa"/>
            <w:tcBorders>
              <w:top w:val="single" w:color="auto" w:sz="4" w:space="0"/>
              <w:left w:val="single" w:color="auto" w:sz="4" w:space="0"/>
              <w:bottom w:val="single" w:color="auto" w:sz="4" w:space="0"/>
              <w:right w:val="single" w:color="auto" w:sz="4" w:space="0"/>
            </w:tcBorders>
          </w:tcPr>
          <w:p w14:paraId="5FB74CC1">
            <w:pPr>
              <w:spacing w:line="360" w:lineRule="auto"/>
              <w:ind w:firstLine="210"/>
              <w:rPr>
                <w:rFonts w:ascii="宋体" w:hAnsi="宋体"/>
                <w:color w:val="auto"/>
                <w:szCs w:val="21"/>
                <w:highlight w:val="none"/>
              </w:rPr>
            </w:pPr>
            <w:r>
              <w:rPr>
                <w:rFonts w:hint="eastAsia" w:ascii="宋体" w:hAnsi="宋体" w:cs="宋体"/>
                <w:color w:val="auto"/>
                <w:szCs w:val="21"/>
                <w:highlight w:val="none"/>
              </w:rPr>
              <w:t>0.45%</w:t>
            </w:r>
          </w:p>
        </w:tc>
        <w:tc>
          <w:tcPr>
            <w:tcW w:w="1659" w:type="dxa"/>
            <w:tcBorders>
              <w:top w:val="single" w:color="auto" w:sz="4" w:space="0"/>
              <w:left w:val="single" w:color="auto" w:sz="4" w:space="0"/>
              <w:bottom w:val="single" w:color="auto" w:sz="4" w:space="0"/>
              <w:right w:val="single" w:color="auto" w:sz="4" w:space="0"/>
            </w:tcBorders>
          </w:tcPr>
          <w:p w14:paraId="26F29C13">
            <w:pPr>
              <w:spacing w:line="360" w:lineRule="auto"/>
              <w:ind w:firstLine="210"/>
              <w:rPr>
                <w:rFonts w:ascii="宋体" w:hAnsi="宋体"/>
                <w:color w:val="auto"/>
                <w:szCs w:val="21"/>
                <w:highlight w:val="none"/>
              </w:rPr>
            </w:pPr>
            <w:r>
              <w:rPr>
                <w:rFonts w:hint="eastAsia" w:ascii="宋体" w:hAnsi="宋体" w:cs="宋体"/>
                <w:color w:val="auto"/>
                <w:szCs w:val="21"/>
                <w:highlight w:val="none"/>
              </w:rPr>
              <w:t>0.55%</w:t>
            </w:r>
          </w:p>
        </w:tc>
      </w:tr>
      <w:tr w14:paraId="779A1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2F575B20">
            <w:pPr>
              <w:spacing w:line="360" w:lineRule="auto"/>
              <w:rPr>
                <w:rFonts w:ascii="宋体" w:hAnsi="宋体"/>
                <w:color w:val="auto"/>
                <w:szCs w:val="21"/>
                <w:highlight w:val="none"/>
              </w:rPr>
            </w:pPr>
            <w:r>
              <w:rPr>
                <w:rFonts w:hint="eastAsia" w:ascii="宋体" w:hAnsi="宋体"/>
                <w:color w:val="auto"/>
                <w:szCs w:val="21"/>
                <w:highlight w:val="none"/>
              </w:rPr>
              <w:t>1000万元～5000万元</w:t>
            </w:r>
          </w:p>
        </w:tc>
        <w:tc>
          <w:tcPr>
            <w:tcW w:w="1659" w:type="dxa"/>
            <w:tcBorders>
              <w:top w:val="single" w:color="auto" w:sz="4" w:space="0"/>
              <w:left w:val="single" w:color="auto" w:sz="4" w:space="0"/>
              <w:bottom w:val="single" w:color="auto" w:sz="4" w:space="0"/>
              <w:right w:val="single" w:color="auto" w:sz="4" w:space="0"/>
            </w:tcBorders>
          </w:tcPr>
          <w:p w14:paraId="0B37BF36">
            <w:pPr>
              <w:spacing w:line="360" w:lineRule="auto"/>
              <w:ind w:firstLine="210"/>
              <w:rPr>
                <w:rFonts w:ascii="宋体" w:hAnsi="宋体"/>
                <w:color w:val="auto"/>
                <w:szCs w:val="21"/>
                <w:highlight w:val="none"/>
              </w:rPr>
            </w:pPr>
            <w:r>
              <w:rPr>
                <w:rFonts w:hint="eastAsia" w:ascii="宋体" w:hAnsi="宋体" w:cs="宋体"/>
                <w:color w:val="auto"/>
                <w:szCs w:val="21"/>
                <w:highlight w:val="none"/>
              </w:rPr>
              <w:t xml:space="preserve">0.5%                </w:t>
            </w:r>
          </w:p>
        </w:tc>
        <w:tc>
          <w:tcPr>
            <w:tcW w:w="1687" w:type="dxa"/>
            <w:tcBorders>
              <w:top w:val="single" w:color="auto" w:sz="4" w:space="0"/>
              <w:left w:val="single" w:color="auto" w:sz="4" w:space="0"/>
              <w:bottom w:val="single" w:color="auto" w:sz="4" w:space="0"/>
              <w:right w:val="single" w:color="auto" w:sz="4" w:space="0"/>
            </w:tcBorders>
          </w:tcPr>
          <w:p w14:paraId="29E19815">
            <w:pPr>
              <w:spacing w:line="360" w:lineRule="auto"/>
              <w:ind w:firstLine="210"/>
              <w:rPr>
                <w:rFonts w:ascii="宋体" w:hAnsi="宋体"/>
                <w:color w:val="auto"/>
                <w:szCs w:val="21"/>
                <w:highlight w:val="none"/>
              </w:rPr>
            </w:pPr>
            <w:r>
              <w:rPr>
                <w:rFonts w:hint="eastAsia" w:ascii="宋体" w:hAnsi="宋体" w:cs="宋体"/>
                <w:color w:val="auto"/>
                <w:szCs w:val="21"/>
                <w:highlight w:val="none"/>
              </w:rPr>
              <w:t>0.25%</w:t>
            </w:r>
          </w:p>
        </w:tc>
        <w:tc>
          <w:tcPr>
            <w:tcW w:w="1659" w:type="dxa"/>
            <w:tcBorders>
              <w:top w:val="single" w:color="auto" w:sz="4" w:space="0"/>
              <w:left w:val="single" w:color="auto" w:sz="4" w:space="0"/>
              <w:bottom w:val="single" w:color="auto" w:sz="4" w:space="0"/>
              <w:right w:val="single" w:color="auto" w:sz="4" w:space="0"/>
            </w:tcBorders>
          </w:tcPr>
          <w:p w14:paraId="56A3BD41">
            <w:pPr>
              <w:spacing w:line="360" w:lineRule="auto"/>
              <w:ind w:firstLine="210"/>
              <w:rPr>
                <w:rFonts w:ascii="宋体" w:hAnsi="宋体"/>
                <w:color w:val="auto"/>
                <w:szCs w:val="21"/>
                <w:highlight w:val="none"/>
              </w:rPr>
            </w:pPr>
            <w:r>
              <w:rPr>
                <w:rFonts w:hint="eastAsia" w:ascii="宋体" w:hAnsi="宋体" w:cs="宋体"/>
                <w:color w:val="auto"/>
                <w:szCs w:val="21"/>
                <w:highlight w:val="none"/>
              </w:rPr>
              <w:t xml:space="preserve">0.35% </w:t>
            </w:r>
          </w:p>
        </w:tc>
      </w:tr>
      <w:tr w14:paraId="4779C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222C970E">
            <w:pPr>
              <w:spacing w:line="360" w:lineRule="auto"/>
              <w:rPr>
                <w:rFonts w:ascii="宋体" w:hAnsi="宋体"/>
                <w:color w:val="auto"/>
                <w:szCs w:val="21"/>
                <w:highlight w:val="none"/>
              </w:rPr>
            </w:pPr>
            <w:r>
              <w:rPr>
                <w:rFonts w:hint="eastAsia" w:ascii="宋体" w:hAnsi="宋体"/>
                <w:color w:val="auto"/>
                <w:szCs w:val="21"/>
                <w:highlight w:val="none"/>
              </w:rPr>
              <w:t>5000万元～1亿元</w:t>
            </w:r>
          </w:p>
        </w:tc>
        <w:tc>
          <w:tcPr>
            <w:tcW w:w="1659" w:type="dxa"/>
            <w:tcBorders>
              <w:top w:val="single" w:color="auto" w:sz="4" w:space="0"/>
              <w:left w:val="single" w:color="auto" w:sz="4" w:space="0"/>
              <w:bottom w:val="single" w:color="auto" w:sz="4" w:space="0"/>
              <w:right w:val="single" w:color="auto" w:sz="4" w:space="0"/>
            </w:tcBorders>
          </w:tcPr>
          <w:p w14:paraId="66568D15">
            <w:pPr>
              <w:spacing w:line="360" w:lineRule="auto"/>
              <w:ind w:firstLine="210"/>
              <w:rPr>
                <w:rFonts w:ascii="宋体" w:hAnsi="宋体"/>
                <w:color w:val="auto"/>
                <w:szCs w:val="21"/>
                <w:highlight w:val="none"/>
              </w:rPr>
            </w:pPr>
            <w:r>
              <w:rPr>
                <w:rFonts w:hint="eastAsia" w:ascii="宋体" w:hAnsi="宋体" w:cs="宋体"/>
                <w:color w:val="auto"/>
                <w:szCs w:val="21"/>
                <w:highlight w:val="none"/>
              </w:rPr>
              <w:t xml:space="preserve">0.25%                 </w:t>
            </w:r>
          </w:p>
        </w:tc>
        <w:tc>
          <w:tcPr>
            <w:tcW w:w="1687" w:type="dxa"/>
            <w:tcBorders>
              <w:top w:val="single" w:color="auto" w:sz="4" w:space="0"/>
              <w:left w:val="single" w:color="auto" w:sz="4" w:space="0"/>
              <w:bottom w:val="single" w:color="auto" w:sz="4" w:space="0"/>
              <w:right w:val="single" w:color="auto" w:sz="4" w:space="0"/>
            </w:tcBorders>
          </w:tcPr>
          <w:p w14:paraId="1FE96D01">
            <w:pPr>
              <w:spacing w:line="360" w:lineRule="auto"/>
              <w:ind w:firstLine="210"/>
              <w:rPr>
                <w:rFonts w:ascii="宋体" w:hAnsi="宋体"/>
                <w:color w:val="auto"/>
                <w:szCs w:val="21"/>
                <w:highlight w:val="none"/>
              </w:rPr>
            </w:pPr>
            <w:r>
              <w:rPr>
                <w:rFonts w:hint="eastAsia" w:ascii="宋体" w:hAnsi="宋体" w:cs="宋体"/>
                <w:color w:val="auto"/>
                <w:szCs w:val="21"/>
                <w:highlight w:val="none"/>
              </w:rPr>
              <w:t>0.1%</w:t>
            </w:r>
          </w:p>
        </w:tc>
        <w:tc>
          <w:tcPr>
            <w:tcW w:w="1659" w:type="dxa"/>
            <w:tcBorders>
              <w:top w:val="single" w:color="auto" w:sz="4" w:space="0"/>
              <w:left w:val="single" w:color="auto" w:sz="4" w:space="0"/>
              <w:bottom w:val="single" w:color="auto" w:sz="4" w:space="0"/>
              <w:right w:val="single" w:color="auto" w:sz="4" w:space="0"/>
            </w:tcBorders>
          </w:tcPr>
          <w:p w14:paraId="6CEB2CC0">
            <w:pPr>
              <w:spacing w:line="360" w:lineRule="auto"/>
              <w:ind w:firstLine="210"/>
              <w:rPr>
                <w:rFonts w:ascii="宋体" w:hAnsi="宋体"/>
                <w:color w:val="auto"/>
                <w:szCs w:val="21"/>
                <w:highlight w:val="none"/>
              </w:rPr>
            </w:pPr>
            <w:r>
              <w:rPr>
                <w:rFonts w:hint="eastAsia" w:ascii="宋体" w:hAnsi="宋体" w:cs="宋体"/>
                <w:color w:val="auto"/>
                <w:szCs w:val="21"/>
                <w:highlight w:val="none"/>
              </w:rPr>
              <w:t>0.2%</w:t>
            </w:r>
          </w:p>
        </w:tc>
      </w:tr>
      <w:tr w14:paraId="6E39E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01F9C977">
            <w:pPr>
              <w:spacing w:line="360" w:lineRule="auto"/>
              <w:rPr>
                <w:rFonts w:ascii="宋体" w:hAnsi="宋体"/>
                <w:color w:val="auto"/>
                <w:szCs w:val="21"/>
                <w:highlight w:val="none"/>
              </w:rPr>
            </w:pPr>
            <w:r>
              <w:rPr>
                <w:rFonts w:hint="eastAsia" w:ascii="宋体" w:hAnsi="宋体"/>
                <w:color w:val="auto"/>
                <w:szCs w:val="21"/>
                <w:highlight w:val="none"/>
              </w:rPr>
              <w:t>1亿元～5亿元</w:t>
            </w:r>
          </w:p>
        </w:tc>
        <w:tc>
          <w:tcPr>
            <w:tcW w:w="1659" w:type="dxa"/>
            <w:tcBorders>
              <w:top w:val="single" w:color="auto" w:sz="4" w:space="0"/>
              <w:left w:val="single" w:color="auto" w:sz="4" w:space="0"/>
              <w:bottom w:val="single" w:color="auto" w:sz="4" w:space="0"/>
              <w:right w:val="single" w:color="auto" w:sz="4" w:space="0"/>
            </w:tcBorders>
          </w:tcPr>
          <w:p w14:paraId="6E58FD3D">
            <w:pPr>
              <w:spacing w:line="360" w:lineRule="auto"/>
              <w:ind w:firstLine="210"/>
              <w:rPr>
                <w:rFonts w:ascii="宋体" w:hAnsi="宋体"/>
                <w:color w:val="auto"/>
                <w:szCs w:val="21"/>
                <w:highlight w:val="none"/>
              </w:rPr>
            </w:pPr>
            <w:r>
              <w:rPr>
                <w:rFonts w:hint="eastAsia" w:ascii="宋体" w:hAnsi="宋体"/>
                <w:color w:val="auto"/>
                <w:szCs w:val="21"/>
                <w:highlight w:val="none"/>
              </w:rPr>
              <w:t>0.05%</w:t>
            </w:r>
          </w:p>
        </w:tc>
        <w:tc>
          <w:tcPr>
            <w:tcW w:w="1687" w:type="dxa"/>
            <w:tcBorders>
              <w:top w:val="single" w:color="auto" w:sz="4" w:space="0"/>
              <w:left w:val="single" w:color="auto" w:sz="4" w:space="0"/>
              <w:bottom w:val="single" w:color="auto" w:sz="4" w:space="0"/>
              <w:right w:val="single" w:color="auto" w:sz="4" w:space="0"/>
            </w:tcBorders>
          </w:tcPr>
          <w:p w14:paraId="25B5A7AB">
            <w:pPr>
              <w:spacing w:line="360" w:lineRule="auto"/>
              <w:rPr>
                <w:rFonts w:ascii="宋体" w:hAnsi="宋体"/>
                <w:color w:val="auto"/>
                <w:szCs w:val="21"/>
                <w:highlight w:val="none"/>
              </w:rPr>
            </w:pPr>
            <w:r>
              <w:rPr>
                <w:rFonts w:hint="eastAsia" w:ascii="宋体" w:hAnsi="宋体"/>
                <w:color w:val="auto"/>
                <w:szCs w:val="21"/>
                <w:highlight w:val="none"/>
              </w:rPr>
              <w:t xml:space="preserve">  0.05%</w:t>
            </w:r>
          </w:p>
        </w:tc>
        <w:tc>
          <w:tcPr>
            <w:tcW w:w="1659" w:type="dxa"/>
            <w:tcBorders>
              <w:top w:val="single" w:color="auto" w:sz="4" w:space="0"/>
              <w:left w:val="single" w:color="auto" w:sz="4" w:space="0"/>
              <w:bottom w:val="single" w:color="auto" w:sz="4" w:space="0"/>
              <w:right w:val="single" w:color="auto" w:sz="4" w:space="0"/>
            </w:tcBorders>
          </w:tcPr>
          <w:p w14:paraId="2AD20A7B">
            <w:pPr>
              <w:spacing w:line="360" w:lineRule="auto"/>
              <w:rPr>
                <w:rFonts w:ascii="宋体" w:hAnsi="宋体"/>
                <w:color w:val="auto"/>
                <w:szCs w:val="21"/>
                <w:highlight w:val="none"/>
              </w:rPr>
            </w:pPr>
            <w:r>
              <w:rPr>
                <w:rFonts w:hint="eastAsia" w:ascii="宋体" w:hAnsi="宋体"/>
                <w:color w:val="auto"/>
                <w:szCs w:val="21"/>
                <w:highlight w:val="none"/>
              </w:rPr>
              <w:t xml:space="preserve">  0.05%</w:t>
            </w:r>
          </w:p>
        </w:tc>
      </w:tr>
      <w:tr w14:paraId="2CF82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1DEFC104">
            <w:pPr>
              <w:spacing w:line="360" w:lineRule="auto"/>
              <w:rPr>
                <w:rFonts w:ascii="宋体" w:hAnsi="宋体"/>
                <w:color w:val="auto"/>
                <w:szCs w:val="21"/>
                <w:highlight w:val="none"/>
              </w:rPr>
            </w:pPr>
            <w:r>
              <w:rPr>
                <w:rFonts w:hint="eastAsia" w:ascii="宋体" w:hAnsi="宋体"/>
                <w:color w:val="auto"/>
                <w:szCs w:val="21"/>
                <w:highlight w:val="none"/>
              </w:rPr>
              <w:t>5亿元～10亿元</w:t>
            </w:r>
          </w:p>
        </w:tc>
        <w:tc>
          <w:tcPr>
            <w:tcW w:w="1659" w:type="dxa"/>
            <w:tcBorders>
              <w:top w:val="single" w:color="auto" w:sz="4" w:space="0"/>
              <w:left w:val="single" w:color="auto" w:sz="4" w:space="0"/>
              <w:bottom w:val="single" w:color="auto" w:sz="4" w:space="0"/>
              <w:right w:val="single" w:color="auto" w:sz="4" w:space="0"/>
            </w:tcBorders>
          </w:tcPr>
          <w:p w14:paraId="75FC176A">
            <w:pPr>
              <w:spacing w:line="360" w:lineRule="auto"/>
              <w:ind w:firstLine="105"/>
              <w:rPr>
                <w:rFonts w:ascii="宋体" w:hAnsi="宋体"/>
                <w:color w:val="auto"/>
                <w:szCs w:val="21"/>
                <w:highlight w:val="none"/>
              </w:rPr>
            </w:pPr>
            <w:r>
              <w:rPr>
                <w:rFonts w:hint="eastAsia" w:ascii="宋体" w:hAnsi="宋体"/>
                <w:color w:val="auto"/>
                <w:szCs w:val="21"/>
                <w:highlight w:val="none"/>
              </w:rPr>
              <w:t>0.035%</w:t>
            </w:r>
          </w:p>
        </w:tc>
        <w:tc>
          <w:tcPr>
            <w:tcW w:w="1687" w:type="dxa"/>
            <w:tcBorders>
              <w:top w:val="single" w:color="auto" w:sz="4" w:space="0"/>
              <w:left w:val="single" w:color="auto" w:sz="4" w:space="0"/>
              <w:bottom w:val="single" w:color="auto" w:sz="4" w:space="0"/>
              <w:right w:val="single" w:color="auto" w:sz="4" w:space="0"/>
            </w:tcBorders>
          </w:tcPr>
          <w:p w14:paraId="77878012">
            <w:pPr>
              <w:spacing w:line="360" w:lineRule="auto"/>
              <w:rPr>
                <w:rFonts w:ascii="宋体" w:hAnsi="宋体"/>
                <w:color w:val="auto"/>
                <w:szCs w:val="21"/>
                <w:highlight w:val="none"/>
              </w:rPr>
            </w:pPr>
            <w:r>
              <w:rPr>
                <w:rFonts w:hint="eastAsia" w:ascii="宋体" w:hAnsi="宋体"/>
                <w:color w:val="auto"/>
                <w:szCs w:val="21"/>
                <w:highlight w:val="none"/>
              </w:rPr>
              <w:t xml:space="preserve">  0.035%</w:t>
            </w:r>
          </w:p>
        </w:tc>
        <w:tc>
          <w:tcPr>
            <w:tcW w:w="1659" w:type="dxa"/>
            <w:tcBorders>
              <w:top w:val="single" w:color="auto" w:sz="4" w:space="0"/>
              <w:left w:val="single" w:color="auto" w:sz="4" w:space="0"/>
              <w:bottom w:val="single" w:color="auto" w:sz="4" w:space="0"/>
              <w:right w:val="single" w:color="auto" w:sz="4" w:space="0"/>
            </w:tcBorders>
          </w:tcPr>
          <w:p w14:paraId="60DA96B6">
            <w:pPr>
              <w:spacing w:line="360" w:lineRule="auto"/>
              <w:ind w:firstLine="105"/>
              <w:rPr>
                <w:rFonts w:ascii="宋体" w:hAnsi="宋体"/>
                <w:color w:val="auto"/>
                <w:szCs w:val="21"/>
                <w:highlight w:val="none"/>
              </w:rPr>
            </w:pPr>
            <w:r>
              <w:rPr>
                <w:rFonts w:hint="eastAsia" w:ascii="宋体" w:hAnsi="宋体"/>
                <w:color w:val="auto"/>
                <w:szCs w:val="21"/>
                <w:highlight w:val="none"/>
              </w:rPr>
              <w:t>0.035%</w:t>
            </w:r>
          </w:p>
        </w:tc>
      </w:tr>
      <w:tr w14:paraId="0EEDA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5885B6D4">
            <w:pPr>
              <w:spacing w:line="360" w:lineRule="auto"/>
              <w:rPr>
                <w:rFonts w:ascii="宋体" w:hAnsi="宋体"/>
                <w:color w:val="auto"/>
                <w:szCs w:val="21"/>
                <w:highlight w:val="none"/>
              </w:rPr>
            </w:pPr>
            <w:r>
              <w:rPr>
                <w:rFonts w:hint="eastAsia" w:ascii="宋体" w:hAnsi="宋体"/>
                <w:color w:val="auto"/>
                <w:szCs w:val="21"/>
                <w:highlight w:val="none"/>
              </w:rPr>
              <w:t>10亿元～50亿元</w:t>
            </w:r>
          </w:p>
        </w:tc>
        <w:tc>
          <w:tcPr>
            <w:tcW w:w="1659" w:type="dxa"/>
            <w:tcBorders>
              <w:top w:val="single" w:color="auto" w:sz="4" w:space="0"/>
              <w:left w:val="single" w:color="auto" w:sz="4" w:space="0"/>
              <w:bottom w:val="single" w:color="auto" w:sz="4" w:space="0"/>
              <w:right w:val="single" w:color="auto" w:sz="4" w:space="0"/>
            </w:tcBorders>
          </w:tcPr>
          <w:p w14:paraId="752799AD">
            <w:pPr>
              <w:spacing w:line="360" w:lineRule="auto"/>
              <w:ind w:firstLine="105"/>
              <w:rPr>
                <w:rFonts w:ascii="宋体" w:hAnsi="宋体"/>
                <w:color w:val="auto"/>
                <w:szCs w:val="21"/>
                <w:highlight w:val="none"/>
              </w:rPr>
            </w:pPr>
            <w:r>
              <w:rPr>
                <w:rFonts w:hint="eastAsia" w:ascii="宋体" w:hAnsi="宋体"/>
                <w:color w:val="auto"/>
                <w:szCs w:val="21"/>
                <w:highlight w:val="none"/>
              </w:rPr>
              <w:t>0.008%</w:t>
            </w:r>
          </w:p>
        </w:tc>
        <w:tc>
          <w:tcPr>
            <w:tcW w:w="1687" w:type="dxa"/>
            <w:tcBorders>
              <w:top w:val="single" w:color="auto" w:sz="4" w:space="0"/>
              <w:left w:val="single" w:color="auto" w:sz="4" w:space="0"/>
              <w:bottom w:val="single" w:color="auto" w:sz="4" w:space="0"/>
              <w:right w:val="single" w:color="auto" w:sz="4" w:space="0"/>
            </w:tcBorders>
          </w:tcPr>
          <w:p w14:paraId="25DB8D8C">
            <w:pPr>
              <w:spacing w:line="360" w:lineRule="auto"/>
              <w:ind w:firstLine="210"/>
              <w:rPr>
                <w:rFonts w:ascii="宋体" w:hAnsi="宋体"/>
                <w:color w:val="auto"/>
                <w:szCs w:val="21"/>
                <w:highlight w:val="none"/>
              </w:rPr>
            </w:pPr>
            <w:r>
              <w:rPr>
                <w:rFonts w:hint="eastAsia" w:ascii="宋体" w:hAnsi="宋体"/>
                <w:color w:val="auto"/>
                <w:szCs w:val="21"/>
                <w:highlight w:val="none"/>
              </w:rPr>
              <w:t>0.008%</w:t>
            </w:r>
          </w:p>
        </w:tc>
        <w:tc>
          <w:tcPr>
            <w:tcW w:w="1659" w:type="dxa"/>
            <w:tcBorders>
              <w:top w:val="single" w:color="auto" w:sz="4" w:space="0"/>
              <w:left w:val="single" w:color="auto" w:sz="4" w:space="0"/>
              <w:bottom w:val="single" w:color="auto" w:sz="4" w:space="0"/>
              <w:right w:val="single" w:color="auto" w:sz="4" w:space="0"/>
            </w:tcBorders>
          </w:tcPr>
          <w:p w14:paraId="0B98C0F2">
            <w:pPr>
              <w:spacing w:line="360" w:lineRule="auto"/>
              <w:ind w:firstLine="105"/>
              <w:rPr>
                <w:rFonts w:ascii="宋体" w:hAnsi="宋体"/>
                <w:color w:val="auto"/>
                <w:szCs w:val="21"/>
                <w:highlight w:val="none"/>
              </w:rPr>
            </w:pPr>
            <w:r>
              <w:rPr>
                <w:rFonts w:hint="eastAsia" w:ascii="宋体" w:hAnsi="宋体"/>
                <w:color w:val="auto"/>
                <w:szCs w:val="21"/>
                <w:highlight w:val="none"/>
              </w:rPr>
              <w:t>0.008%</w:t>
            </w:r>
          </w:p>
        </w:tc>
      </w:tr>
      <w:tr w14:paraId="2E28E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5C7ABE99">
            <w:pPr>
              <w:spacing w:line="360" w:lineRule="auto"/>
              <w:rPr>
                <w:rFonts w:ascii="宋体" w:hAnsi="宋体"/>
                <w:color w:val="auto"/>
                <w:szCs w:val="21"/>
                <w:highlight w:val="none"/>
              </w:rPr>
            </w:pPr>
            <w:r>
              <w:rPr>
                <w:rFonts w:hint="eastAsia" w:ascii="宋体" w:hAnsi="宋体"/>
                <w:color w:val="auto"/>
                <w:szCs w:val="21"/>
                <w:highlight w:val="none"/>
              </w:rPr>
              <w:t>50亿元～100亿元</w:t>
            </w:r>
          </w:p>
        </w:tc>
        <w:tc>
          <w:tcPr>
            <w:tcW w:w="1659" w:type="dxa"/>
            <w:tcBorders>
              <w:top w:val="single" w:color="auto" w:sz="4" w:space="0"/>
              <w:left w:val="single" w:color="auto" w:sz="4" w:space="0"/>
              <w:bottom w:val="single" w:color="auto" w:sz="4" w:space="0"/>
              <w:right w:val="single" w:color="auto" w:sz="4" w:space="0"/>
            </w:tcBorders>
          </w:tcPr>
          <w:p w14:paraId="5007A193">
            <w:pPr>
              <w:spacing w:line="360" w:lineRule="auto"/>
              <w:rPr>
                <w:rFonts w:ascii="宋体" w:hAnsi="宋体"/>
                <w:color w:val="auto"/>
                <w:szCs w:val="21"/>
                <w:highlight w:val="none"/>
              </w:rPr>
            </w:pPr>
            <w:r>
              <w:rPr>
                <w:rFonts w:hint="eastAsia" w:ascii="宋体" w:hAnsi="宋体"/>
                <w:color w:val="auto"/>
                <w:szCs w:val="21"/>
                <w:highlight w:val="none"/>
              </w:rPr>
              <w:t xml:space="preserve"> 0.006%</w:t>
            </w:r>
          </w:p>
        </w:tc>
        <w:tc>
          <w:tcPr>
            <w:tcW w:w="1687" w:type="dxa"/>
            <w:tcBorders>
              <w:top w:val="single" w:color="auto" w:sz="4" w:space="0"/>
              <w:left w:val="single" w:color="auto" w:sz="4" w:space="0"/>
              <w:bottom w:val="single" w:color="auto" w:sz="4" w:space="0"/>
              <w:right w:val="single" w:color="auto" w:sz="4" w:space="0"/>
            </w:tcBorders>
          </w:tcPr>
          <w:p w14:paraId="74B8A57B">
            <w:pPr>
              <w:spacing w:line="360" w:lineRule="auto"/>
              <w:ind w:firstLine="210"/>
              <w:rPr>
                <w:rFonts w:ascii="宋体" w:hAnsi="宋体"/>
                <w:color w:val="auto"/>
                <w:szCs w:val="21"/>
                <w:highlight w:val="none"/>
              </w:rPr>
            </w:pPr>
            <w:r>
              <w:rPr>
                <w:rFonts w:hint="eastAsia" w:ascii="宋体" w:hAnsi="宋体"/>
                <w:color w:val="auto"/>
                <w:szCs w:val="21"/>
                <w:highlight w:val="none"/>
              </w:rPr>
              <w:t>0.006%</w:t>
            </w:r>
          </w:p>
        </w:tc>
        <w:tc>
          <w:tcPr>
            <w:tcW w:w="1659" w:type="dxa"/>
            <w:tcBorders>
              <w:top w:val="single" w:color="auto" w:sz="4" w:space="0"/>
              <w:left w:val="single" w:color="auto" w:sz="4" w:space="0"/>
              <w:bottom w:val="single" w:color="auto" w:sz="4" w:space="0"/>
              <w:right w:val="single" w:color="auto" w:sz="4" w:space="0"/>
            </w:tcBorders>
          </w:tcPr>
          <w:p w14:paraId="6D5171EF">
            <w:pPr>
              <w:spacing w:line="360" w:lineRule="auto"/>
              <w:ind w:firstLine="105"/>
              <w:rPr>
                <w:rFonts w:ascii="宋体" w:hAnsi="宋体"/>
                <w:color w:val="auto"/>
                <w:szCs w:val="21"/>
                <w:highlight w:val="none"/>
              </w:rPr>
            </w:pPr>
            <w:r>
              <w:rPr>
                <w:rFonts w:hint="eastAsia" w:ascii="宋体" w:hAnsi="宋体"/>
                <w:color w:val="auto"/>
                <w:szCs w:val="21"/>
                <w:highlight w:val="none"/>
              </w:rPr>
              <w:t>0.006%</w:t>
            </w:r>
          </w:p>
        </w:tc>
      </w:tr>
      <w:tr w14:paraId="483C4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664FEFAB">
            <w:pPr>
              <w:spacing w:line="360" w:lineRule="auto"/>
              <w:rPr>
                <w:rFonts w:ascii="宋体" w:hAnsi="宋体"/>
                <w:color w:val="auto"/>
                <w:szCs w:val="21"/>
                <w:highlight w:val="none"/>
              </w:rPr>
            </w:pPr>
            <w:r>
              <w:rPr>
                <w:rFonts w:hint="eastAsia" w:ascii="宋体" w:hAnsi="宋体"/>
                <w:color w:val="auto"/>
                <w:szCs w:val="21"/>
                <w:highlight w:val="none"/>
              </w:rPr>
              <w:t>100亿元以上</w:t>
            </w:r>
          </w:p>
        </w:tc>
        <w:tc>
          <w:tcPr>
            <w:tcW w:w="1659" w:type="dxa"/>
            <w:tcBorders>
              <w:top w:val="single" w:color="auto" w:sz="4" w:space="0"/>
              <w:left w:val="single" w:color="auto" w:sz="4" w:space="0"/>
              <w:bottom w:val="single" w:color="auto" w:sz="4" w:space="0"/>
              <w:right w:val="single" w:color="auto" w:sz="4" w:space="0"/>
            </w:tcBorders>
          </w:tcPr>
          <w:p w14:paraId="337AEDD0">
            <w:pPr>
              <w:spacing w:line="360" w:lineRule="auto"/>
              <w:rPr>
                <w:rFonts w:ascii="宋体" w:hAnsi="宋体"/>
                <w:color w:val="auto"/>
                <w:szCs w:val="21"/>
                <w:highlight w:val="none"/>
              </w:rPr>
            </w:pPr>
            <w:r>
              <w:rPr>
                <w:rFonts w:hint="eastAsia" w:ascii="宋体" w:hAnsi="宋体"/>
                <w:color w:val="auto"/>
                <w:szCs w:val="21"/>
                <w:highlight w:val="none"/>
              </w:rPr>
              <w:t xml:space="preserve"> 0.004%</w:t>
            </w:r>
          </w:p>
        </w:tc>
        <w:tc>
          <w:tcPr>
            <w:tcW w:w="1687" w:type="dxa"/>
            <w:tcBorders>
              <w:top w:val="single" w:color="auto" w:sz="4" w:space="0"/>
              <w:left w:val="single" w:color="auto" w:sz="4" w:space="0"/>
              <w:bottom w:val="single" w:color="auto" w:sz="4" w:space="0"/>
              <w:right w:val="single" w:color="auto" w:sz="4" w:space="0"/>
            </w:tcBorders>
          </w:tcPr>
          <w:p w14:paraId="236678EC">
            <w:pPr>
              <w:spacing w:line="360" w:lineRule="auto"/>
              <w:ind w:firstLine="210"/>
              <w:rPr>
                <w:rFonts w:ascii="宋体" w:hAnsi="宋体"/>
                <w:color w:val="auto"/>
                <w:szCs w:val="21"/>
                <w:highlight w:val="none"/>
              </w:rPr>
            </w:pPr>
            <w:r>
              <w:rPr>
                <w:rFonts w:hint="eastAsia" w:ascii="宋体" w:hAnsi="宋体"/>
                <w:color w:val="auto"/>
                <w:szCs w:val="21"/>
                <w:highlight w:val="none"/>
              </w:rPr>
              <w:t>0.004%</w:t>
            </w:r>
          </w:p>
        </w:tc>
        <w:tc>
          <w:tcPr>
            <w:tcW w:w="1659" w:type="dxa"/>
            <w:tcBorders>
              <w:top w:val="single" w:color="auto" w:sz="4" w:space="0"/>
              <w:left w:val="single" w:color="auto" w:sz="4" w:space="0"/>
              <w:bottom w:val="single" w:color="auto" w:sz="4" w:space="0"/>
              <w:right w:val="single" w:color="auto" w:sz="4" w:space="0"/>
            </w:tcBorders>
          </w:tcPr>
          <w:p w14:paraId="6D3AAEF0">
            <w:pPr>
              <w:spacing w:line="360" w:lineRule="auto"/>
              <w:ind w:firstLine="105"/>
              <w:rPr>
                <w:rFonts w:ascii="宋体" w:hAnsi="宋体"/>
                <w:color w:val="auto"/>
                <w:szCs w:val="21"/>
                <w:highlight w:val="none"/>
              </w:rPr>
            </w:pPr>
            <w:r>
              <w:rPr>
                <w:rFonts w:hint="eastAsia" w:ascii="宋体" w:hAnsi="宋体"/>
                <w:color w:val="auto"/>
                <w:szCs w:val="21"/>
                <w:highlight w:val="none"/>
              </w:rPr>
              <w:t>0.004%</w:t>
            </w:r>
          </w:p>
        </w:tc>
      </w:tr>
    </w:tbl>
    <w:p w14:paraId="598F147D">
      <w:pPr>
        <w:spacing w:line="360" w:lineRule="auto"/>
        <w:ind w:firstLine="420"/>
        <w:rPr>
          <w:rFonts w:ascii="宋体" w:hAnsi="宋体" w:cs="宋体"/>
          <w:color w:val="auto"/>
          <w:szCs w:val="21"/>
          <w:highlight w:val="none"/>
        </w:rPr>
      </w:pPr>
      <w:r>
        <w:rPr>
          <w:rFonts w:hint="eastAsia" w:ascii="宋体" w:hAnsi="宋体"/>
          <w:color w:val="auto"/>
          <w:szCs w:val="21"/>
          <w:highlight w:val="none"/>
        </w:rPr>
        <w:t>注：</w:t>
      </w:r>
      <w:r>
        <w:rPr>
          <w:rFonts w:ascii="宋体" w:hAnsi="宋体" w:cs="宋体"/>
          <w:color w:val="auto"/>
          <w:szCs w:val="21"/>
          <w:highlight w:val="none"/>
        </w:rPr>
        <w:t xml:space="preserve"> </w:t>
      </w:r>
    </w:p>
    <w:p w14:paraId="0F93D4BA">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按本表费率计算的收费为</w:t>
      </w:r>
      <w:r>
        <w:rPr>
          <w:rFonts w:hint="eastAsia" w:ascii="宋体" w:hAnsi="宋体" w:cs="宋体"/>
          <w:color w:val="auto"/>
          <w:szCs w:val="21"/>
          <w:highlight w:val="none"/>
        </w:rPr>
        <w:t>采购</w:t>
      </w:r>
      <w:r>
        <w:rPr>
          <w:rFonts w:ascii="宋体" w:hAnsi="宋体" w:cs="宋体"/>
          <w:color w:val="auto"/>
          <w:szCs w:val="21"/>
          <w:highlight w:val="none"/>
        </w:rPr>
        <w:t>代理的收费基准价格</w:t>
      </w:r>
      <w:r>
        <w:rPr>
          <w:rFonts w:hint="eastAsia" w:ascii="宋体" w:hAnsi="宋体" w:cs="宋体"/>
          <w:color w:val="auto"/>
          <w:szCs w:val="21"/>
          <w:highlight w:val="none"/>
        </w:rPr>
        <w:t>；</w:t>
      </w:r>
    </w:p>
    <w:p w14:paraId="4A5F15CE">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（2）采购</w:t>
      </w:r>
      <w:r>
        <w:rPr>
          <w:rFonts w:ascii="宋体" w:hAnsi="宋体" w:cs="宋体"/>
          <w:color w:val="auto"/>
          <w:szCs w:val="21"/>
          <w:highlight w:val="none"/>
        </w:rPr>
        <w:t>代理收费按差额定率累进法计算。</w:t>
      </w:r>
    </w:p>
    <w:p w14:paraId="1F90E02D">
      <w:pPr>
        <w:spacing w:line="360" w:lineRule="auto"/>
        <w:ind w:firstLine="420"/>
        <w:rPr>
          <w:rFonts w:ascii="宋体" w:hAnsi="宋体" w:cs="宋体"/>
          <w:color w:val="auto"/>
          <w:szCs w:val="21"/>
          <w:highlight w:val="none"/>
        </w:rPr>
      </w:pPr>
      <w:r>
        <w:rPr>
          <w:rFonts w:ascii="宋体" w:hAnsi="宋体" w:cs="宋体"/>
          <w:color w:val="auto"/>
          <w:szCs w:val="21"/>
          <w:highlight w:val="none"/>
        </w:rPr>
        <w:t>例如：某</w:t>
      </w:r>
      <w:r>
        <w:rPr>
          <w:rFonts w:hint="eastAsia" w:ascii="宋体" w:hAnsi="宋体" w:cs="宋体"/>
          <w:color w:val="auto"/>
          <w:szCs w:val="21"/>
          <w:highlight w:val="none"/>
        </w:rPr>
        <w:t>货物采购</w:t>
      </w:r>
      <w:r>
        <w:rPr>
          <w:rFonts w:ascii="宋体" w:hAnsi="宋体" w:cs="宋体"/>
          <w:color w:val="auto"/>
          <w:szCs w:val="21"/>
          <w:highlight w:val="none"/>
        </w:rPr>
        <w:t>代理业务</w:t>
      </w:r>
      <w:r>
        <w:rPr>
          <w:rFonts w:hint="eastAsia" w:ascii="宋体" w:hAnsi="宋体" w:cs="宋体"/>
          <w:color w:val="auto"/>
          <w:szCs w:val="21"/>
          <w:highlight w:val="none"/>
        </w:rPr>
        <w:t>预算</w:t>
      </w:r>
      <w:r>
        <w:rPr>
          <w:rFonts w:ascii="宋体" w:hAnsi="宋体" w:cs="宋体"/>
          <w:color w:val="auto"/>
          <w:szCs w:val="21"/>
          <w:highlight w:val="none"/>
        </w:rPr>
        <w:t>金额</w:t>
      </w:r>
      <w:r>
        <w:rPr>
          <w:rFonts w:hint="eastAsia" w:ascii="宋体" w:hAnsi="宋体" w:cs="宋体"/>
          <w:color w:val="auto"/>
          <w:szCs w:val="21"/>
          <w:highlight w:val="none"/>
        </w:rPr>
        <w:t>或者暂定价</w:t>
      </w:r>
      <w:r>
        <w:rPr>
          <w:rFonts w:ascii="宋体" w:hAnsi="宋体" w:cs="宋体"/>
          <w:color w:val="auto"/>
          <w:szCs w:val="21"/>
          <w:highlight w:val="none"/>
        </w:rPr>
        <w:t>为200万元，计算</w:t>
      </w:r>
      <w:r>
        <w:rPr>
          <w:rFonts w:hint="eastAsia" w:ascii="宋体" w:hAnsi="宋体" w:cs="宋体"/>
          <w:color w:val="auto"/>
          <w:szCs w:val="21"/>
          <w:highlight w:val="none"/>
        </w:rPr>
        <w:t>采购</w:t>
      </w:r>
      <w:r>
        <w:rPr>
          <w:rFonts w:ascii="宋体" w:hAnsi="宋体" w:cs="宋体"/>
          <w:color w:val="auto"/>
          <w:szCs w:val="21"/>
          <w:highlight w:val="none"/>
        </w:rPr>
        <w:t>代理收费额如下：</w:t>
      </w:r>
    </w:p>
    <w:p w14:paraId="6C756143">
      <w:pPr>
        <w:spacing w:line="360" w:lineRule="auto"/>
        <w:ind w:firstLine="420"/>
        <w:rPr>
          <w:rFonts w:ascii="宋体" w:hAnsi="宋体" w:cs="宋体"/>
          <w:color w:val="auto"/>
          <w:szCs w:val="21"/>
          <w:highlight w:val="none"/>
        </w:rPr>
      </w:pPr>
      <w:r>
        <w:rPr>
          <w:rFonts w:ascii="宋体" w:hAnsi="宋体" w:cs="宋体"/>
          <w:color w:val="auto"/>
          <w:szCs w:val="21"/>
          <w:highlight w:val="none"/>
        </w:rPr>
        <w:t>100 万元×l.5 ％＝ 1.5 万元</w:t>
      </w:r>
    </w:p>
    <w:p w14:paraId="0CFA2380">
      <w:pPr>
        <w:spacing w:line="360" w:lineRule="auto"/>
        <w:ind w:firstLine="420"/>
        <w:rPr>
          <w:rFonts w:ascii="宋体" w:hAnsi="宋体" w:cs="宋体"/>
          <w:color w:val="auto"/>
          <w:szCs w:val="21"/>
          <w:highlight w:val="none"/>
        </w:rPr>
      </w:pPr>
      <w:r>
        <w:rPr>
          <w:rFonts w:ascii="宋体" w:hAnsi="宋体" w:cs="宋体"/>
          <w:color w:val="auto"/>
          <w:szCs w:val="21"/>
          <w:highlight w:val="none"/>
        </w:rPr>
        <w:t>（ 200 － 100 ）万元 ×1.1％＝1.1万元</w:t>
      </w:r>
    </w:p>
    <w:p w14:paraId="10B45362">
      <w:pPr>
        <w:pStyle w:val="25"/>
        <w:spacing w:line="360" w:lineRule="auto"/>
        <w:ind w:firstLine="420"/>
        <w:rPr>
          <w:rFonts w:hAnsi="宋体" w:cs="宋体"/>
          <w:color w:val="auto"/>
          <w:sz w:val="21"/>
          <w:highlight w:val="none"/>
        </w:rPr>
      </w:pPr>
      <w:r>
        <w:rPr>
          <w:rFonts w:hAnsi="宋体" w:cs="宋体"/>
          <w:color w:val="auto"/>
          <w:sz w:val="21"/>
          <w:highlight w:val="none"/>
        </w:rPr>
        <w:t>合计收费＝ 1.5</w:t>
      </w:r>
      <w:r>
        <w:rPr>
          <w:rFonts w:hint="eastAsia" w:hAnsi="宋体" w:cs="宋体"/>
          <w:color w:val="auto"/>
          <w:sz w:val="21"/>
          <w:highlight w:val="none"/>
        </w:rPr>
        <w:t>+</w:t>
      </w:r>
      <w:r>
        <w:rPr>
          <w:rFonts w:hAnsi="宋体" w:cs="宋体"/>
          <w:color w:val="auto"/>
          <w:sz w:val="21"/>
          <w:highlight w:val="none"/>
        </w:rPr>
        <w:t>1.1＝ 2.6 （万元）</w:t>
      </w:r>
    </w:p>
    <w:p w14:paraId="06C4E088">
      <w:pPr>
        <w:pStyle w:val="6"/>
        <w:keepNext w:val="0"/>
        <w:keepLines w:val="0"/>
        <w:spacing w:before="0" w:after="0" w:line="360" w:lineRule="auto"/>
        <w:rPr>
          <w:rFonts w:ascii="黑体" w:hAnsi="黑体" w:eastAsia="黑体"/>
          <w:color w:val="auto"/>
          <w:sz w:val="24"/>
          <w:highlight w:val="none"/>
        </w:rPr>
      </w:pPr>
      <w:r>
        <w:rPr>
          <w:rFonts w:ascii="黑体" w:hAnsi="黑体" w:eastAsia="黑体"/>
          <w:color w:val="auto"/>
          <w:sz w:val="24"/>
          <w:highlight w:val="none"/>
        </w:rPr>
        <w:t>40. 需要补充的其他内容</w:t>
      </w:r>
    </w:p>
    <w:p w14:paraId="53C2F45B">
      <w:pPr>
        <w:pStyle w:val="25"/>
        <w:spacing w:line="360" w:lineRule="auto"/>
        <w:ind w:firstLine="420"/>
        <w:contextualSpacing/>
        <w:rPr>
          <w:rFonts w:hAnsi="宋体" w:cs="宋体"/>
          <w:color w:val="auto"/>
          <w:sz w:val="21"/>
          <w:highlight w:val="none"/>
        </w:rPr>
      </w:pPr>
      <w:r>
        <w:rPr>
          <w:rFonts w:hint="eastAsia" w:hAnsi="宋体" w:cs="宋体"/>
          <w:color w:val="auto"/>
          <w:sz w:val="21"/>
          <w:highlight w:val="none"/>
        </w:rPr>
        <w:t>40.1本招标文件解释规则详见“投标人须知前附表”。</w:t>
      </w:r>
    </w:p>
    <w:p w14:paraId="46B3E1F0">
      <w:pPr>
        <w:pStyle w:val="25"/>
        <w:spacing w:line="360" w:lineRule="auto"/>
        <w:ind w:firstLine="420"/>
        <w:contextualSpacing/>
        <w:rPr>
          <w:rFonts w:hAnsi="宋体" w:cs="宋体"/>
          <w:color w:val="auto"/>
          <w:sz w:val="21"/>
          <w:highlight w:val="none"/>
        </w:rPr>
      </w:pPr>
      <w:r>
        <w:rPr>
          <w:rFonts w:hint="eastAsia" w:hAnsi="宋体" w:cs="宋体"/>
          <w:color w:val="auto"/>
          <w:sz w:val="21"/>
          <w:highlight w:val="none"/>
        </w:rPr>
        <w:t>40.2 其他事项详见“投标人须知前附表”。</w:t>
      </w:r>
    </w:p>
    <w:p w14:paraId="0DF57BF7">
      <w:pPr>
        <w:pStyle w:val="25"/>
        <w:spacing w:line="360" w:lineRule="auto"/>
        <w:ind w:firstLine="420"/>
        <w:contextualSpacing/>
        <w:rPr>
          <w:rFonts w:hAnsi="宋体" w:cs="宋体"/>
          <w:color w:val="auto"/>
          <w:sz w:val="21"/>
          <w:highlight w:val="none"/>
        </w:rPr>
      </w:pPr>
      <w:r>
        <w:rPr>
          <w:rFonts w:hint="eastAsia" w:hAnsi="宋体" w:cs="宋体"/>
          <w:color w:val="auto"/>
          <w:sz w:val="21"/>
          <w:highlight w:val="none"/>
        </w:rPr>
        <w:t>40.3本招标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招标文件规定的中小企业扶持政策：</w:t>
      </w:r>
    </w:p>
    <w:p w14:paraId="472C043F">
      <w:pPr>
        <w:pStyle w:val="25"/>
        <w:spacing w:line="360" w:lineRule="auto"/>
        <w:ind w:firstLine="420"/>
        <w:contextualSpacing/>
        <w:rPr>
          <w:rFonts w:hAnsi="宋体" w:cs="宋体"/>
          <w:color w:val="auto"/>
          <w:sz w:val="21"/>
          <w:highlight w:val="none"/>
        </w:rPr>
      </w:pPr>
      <w:r>
        <w:rPr>
          <w:rFonts w:hint="eastAsia" w:hAnsi="宋体" w:cs="宋体"/>
          <w:color w:val="auto"/>
          <w:sz w:val="21"/>
          <w:highlight w:val="none"/>
        </w:rPr>
        <w:t>（1）在货物采购项目中，货物由中小企业制造，即货物由中小企业生产且使用该中小企业商号或者注册商标，不对其中涉及的工程承建商和服务的承接商作出要求；</w:t>
      </w:r>
    </w:p>
    <w:p w14:paraId="5A761E72">
      <w:pPr>
        <w:pStyle w:val="25"/>
        <w:spacing w:line="360" w:lineRule="auto"/>
        <w:ind w:firstLine="420"/>
        <w:contextualSpacing/>
        <w:rPr>
          <w:rFonts w:hAnsi="宋体" w:cs="宋体"/>
          <w:color w:val="auto"/>
          <w:sz w:val="21"/>
          <w:highlight w:val="none"/>
        </w:rPr>
      </w:pPr>
      <w:r>
        <w:rPr>
          <w:rFonts w:hint="eastAsia" w:hAnsi="宋体" w:cs="宋体"/>
          <w:color w:val="auto"/>
          <w:sz w:val="21"/>
          <w:highlight w:val="none"/>
        </w:rPr>
        <w:t>（2）在工程采购项目中，工程由中小企业承建，即工程施工单位为中小企业，不对其中涉及的货物的制造商和服务的承接商作出要求；</w:t>
      </w:r>
    </w:p>
    <w:p w14:paraId="6A7175FE">
      <w:pPr>
        <w:pStyle w:val="25"/>
        <w:spacing w:line="360" w:lineRule="auto"/>
        <w:ind w:firstLine="420"/>
        <w:contextualSpacing/>
        <w:rPr>
          <w:rFonts w:hAnsi="宋体" w:cs="宋体"/>
          <w:color w:val="auto"/>
          <w:sz w:val="21"/>
          <w:highlight w:val="none"/>
        </w:rPr>
      </w:pPr>
      <w:r>
        <w:rPr>
          <w:rFonts w:hint="eastAsia" w:hAnsi="宋体" w:cs="宋体"/>
          <w:color w:val="auto"/>
          <w:sz w:val="21"/>
          <w:highlight w:val="none"/>
        </w:rPr>
        <w:t>（3）在服务采购项目中，服务由中小企业承接，即提供服务的人员为中小企业依照《中华人民共和国劳动合同法》订立劳动合同的从业人员，不对其中涉及的货物的制造商和工程承建商作出要求。</w:t>
      </w:r>
    </w:p>
    <w:p w14:paraId="22837417">
      <w:pPr>
        <w:pStyle w:val="25"/>
        <w:spacing w:line="360" w:lineRule="auto"/>
        <w:ind w:firstLine="420"/>
        <w:contextualSpacing/>
        <w:rPr>
          <w:rFonts w:hAnsi="宋体" w:cs="宋体"/>
          <w:color w:val="auto"/>
          <w:sz w:val="21"/>
          <w:highlight w:val="none"/>
        </w:rPr>
      </w:pPr>
      <w:r>
        <w:rPr>
          <w:rFonts w:hint="eastAsia" w:hAnsi="宋体" w:cs="宋体"/>
          <w:color w:val="auto"/>
          <w:sz w:val="21"/>
          <w:highlight w:val="none"/>
        </w:rPr>
        <w:t>在货物采购项目中，供应商提供的货物既有中小企业制造货物，也有大型企业制造货物的，不享受本招标文件规定的中小企业扶持政策。以联合体形式参加政府采购活动，联合体各方均为中小企业的，联合体视同中小企业。其中，联合体各方均为小微企业的，联合体视同小微企业。</w:t>
      </w:r>
    </w:p>
    <w:p w14:paraId="11EC81A8">
      <w:pPr>
        <w:pStyle w:val="25"/>
        <w:spacing w:line="360" w:lineRule="auto"/>
        <w:ind w:firstLine="420"/>
        <w:contextualSpacing/>
        <w:rPr>
          <w:rFonts w:hAnsi="宋体" w:cs="宋体"/>
          <w:color w:val="auto"/>
          <w:sz w:val="21"/>
          <w:highlight w:val="none"/>
        </w:rPr>
      </w:pPr>
      <w:r>
        <w:rPr>
          <w:rFonts w:hint="eastAsia" w:hAnsi="宋体" w:cs="宋体"/>
          <w:color w:val="auto"/>
          <w:sz w:val="21"/>
          <w:highlight w:val="none"/>
        </w:rPr>
        <w:t>依据本招标文件规定享受扶持政策获得政府采购合同的，小微企业不得将合同分包给大中型企业，中型企业不得将合同分包给大型企业。</w:t>
      </w:r>
    </w:p>
    <w:p w14:paraId="281EE6A8">
      <w:pPr>
        <w:pStyle w:val="19"/>
        <w:ind w:left="479" w:hanging="240"/>
        <w:rPr>
          <w:rFonts w:hAnsi="宋体"/>
          <w:color w:val="auto"/>
          <w:highlight w:val="none"/>
        </w:rPr>
      </w:pPr>
    </w:p>
    <w:p w14:paraId="66D76EBA">
      <w:pPr>
        <w:pStyle w:val="25"/>
        <w:spacing w:before="120" w:after="120"/>
        <w:rPr>
          <w:rFonts w:hAnsi="宋体"/>
          <w:color w:val="auto"/>
          <w:highlight w:val="none"/>
        </w:rPr>
      </w:pPr>
    </w:p>
    <w:p w14:paraId="6EEB3572">
      <w:pPr>
        <w:pStyle w:val="25"/>
        <w:spacing w:before="120" w:after="120"/>
        <w:rPr>
          <w:rFonts w:hAnsi="宋体"/>
          <w:color w:val="auto"/>
          <w:highlight w:val="none"/>
        </w:rPr>
      </w:pPr>
    </w:p>
    <w:p w14:paraId="6A84DF26">
      <w:pPr>
        <w:rPr>
          <w:rFonts w:hAnsi="宋体"/>
          <w:color w:val="auto"/>
          <w:highlight w:val="none"/>
        </w:rPr>
      </w:pPr>
      <w:r>
        <w:rPr>
          <w:rFonts w:hint="eastAsia" w:hAnsi="宋体"/>
          <w:color w:val="auto"/>
          <w:highlight w:val="none"/>
        </w:rPr>
        <w:br w:type="page" w:clear="all"/>
      </w:r>
    </w:p>
    <w:p w14:paraId="17C7F2CF">
      <w:pPr>
        <w:pStyle w:val="2"/>
        <w:jc w:val="center"/>
        <w:rPr>
          <w:color w:val="auto"/>
          <w:highlight w:val="none"/>
        </w:rPr>
      </w:pPr>
      <w:bookmarkStart w:id="3" w:name="_Toc13922"/>
      <w:r>
        <w:rPr>
          <w:rFonts w:hint="eastAsia"/>
          <w:color w:val="auto"/>
          <w:highlight w:val="none"/>
        </w:rPr>
        <w:t>第四章 评标方法及评标标准</w:t>
      </w:r>
      <w:bookmarkEnd w:id="3"/>
    </w:p>
    <w:p w14:paraId="744AFAC4">
      <w:pPr>
        <w:pStyle w:val="4"/>
        <w:keepNext w:val="0"/>
        <w:keepLines w:val="0"/>
        <w:jc w:val="center"/>
        <w:rPr>
          <w:color w:val="auto"/>
          <w:sz w:val="30"/>
          <w:szCs w:val="30"/>
          <w:highlight w:val="none"/>
        </w:rPr>
      </w:pPr>
      <w:r>
        <w:rPr>
          <w:rFonts w:hint="eastAsia"/>
          <w:color w:val="auto"/>
          <w:sz w:val="30"/>
          <w:szCs w:val="30"/>
          <w:highlight w:val="none"/>
        </w:rPr>
        <w:t>一、评标方法</w:t>
      </w:r>
    </w:p>
    <w:p w14:paraId="0B4DAB2D">
      <w:pPr>
        <w:pStyle w:val="25"/>
        <w:spacing w:line="360" w:lineRule="auto"/>
        <w:ind w:firstLine="420"/>
        <w:rPr>
          <w:rFonts w:hAnsi="宋体"/>
          <w:color w:val="auto"/>
          <w:sz w:val="21"/>
          <w:highlight w:val="none"/>
        </w:rPr>
      </w:pPr>
      <w:r>
        <w:rPr>
          <w:rFonts w:hint="eastAsia" w:hAnsi="宋体"/>
          <w:color w:val="auto"/>
          <w:sz w:val="21"/>
          <w:highlight w:val="none"/>
        </w:rPr>
        <w:t>综合评分法，是指投标文件满足招标文件全部实质性要求，且按照评审因素的量化指标评审得分最高的投标人为中标候选人的评标方法。</w:t>
      </w:r>
    </w:p>
    <w:p w14:paraId="6F3DB5D9">
      <w:pPr>
        <w:pStyle w:val="4"/>
        <w:keepNext w:val="0"/>
        <w:keepLines w:val="0"/>
        <w:jc w:val="center"/>
        <w:rPr>
          <w:color w:val="auto"/>
          <w:sz w:val="30"/>
          <w:szCs w:val="30"/>
          <w:highlight w:val="none"/>
        </w:rPr>
      </w:pPr>
      <w:r>
        <w:rPr>
          <w:rFonts w:hint="eastAsia"/>
          <w:color w:val="auto"/>
          <w:sz w:val="30"/>
          <w:szCs w:val="30"/>
          <w:highlight w:val="none"/>
        </w:rPr>
        <w:t>二、评标程序</w:t>
      </w:r>
    </w:p>
    <w:p w14:paraId="3365C223">
      <w:pPr>
        <w:pStyle w:val="6"/>
        <w:keepNext w:val="0"/>
        <w:keepLines w:val="0"/>
        <w:spacing w:before="0" w:after="0" w:line="360" w:lineRule="auto"/>
        <w:ind w:left="420"/>
        <w:rPr>
          <w:rFonts w:ascii="宋体" w:hAnsi="宋体"/>
          <w:color w:val="auto"/>
          <w:sz w:val="21"/>
          <w:szCs w:val="21"/>
          <w:highlight w:val="none"/>
        </w:rPr>
      </w:pPr>
      <w:r>
        <w:rPr>
          <w:rFonts w:hint="eastAsia" w:ascii="宋体" w:hAnsi="宋体"/>
          <w:color w:val="auto"/>
          <w:sz w:val="21"/>
          <w:szCs w:val="21"/>
          <w:highlight w:val="none"/>
        </w:rPr>
        <w:t>1.符合性审查</w:t>
      </w:r>
    </w:p>
    <w:p w14:paraId="63B5C881">
      <w:pPr>
        <w:pStyle w:val="25"/>
        <w:spacing w:line="360" w:lineRule="auto"/>
        <w:ind w:left="1" w:firstLine="420"/>
        <w:rPr>
          <w:rFonts w:hAnsi="宋体"/>
          <w:b/>
          <w:color w:val="auto"/>
          <w:sz w:val="21"/>
          <w:highlight w:val="none"/>
        </w:rPr>
      </w:pPr>
      <w:r>
        <w:rPr>
          <w:rFonts w:hint="eastAsia" w:hAnsi="宋体"/>
          <w:b/>
          <w:color w:val="auto"/>
          <w:sz w:val="21"/>
          <w:highlight w:val="none"/>
        </w:rPr>
        <w:t>评标委员会应当对符合资格的投标人的投标文件进行投标报价、商务、技术等实质性内容符合性审查，以确定其是否满足招标文件的实质性要求。</w:t>
      </w:r>
    </w:p>
    <w:p w14:paraId="37953C9F">
      <w:pPr>
        <w:pStyle w:val="6"/>
        <w:keepNext w:val="0"/>
        <w:keepLines w:val="0"/>
        <w:spacing w:before="0" w:after="0" w:line="360" w:lineRule="auto"/>
        <w:ind w:left="420"/>
        <w:rPr>
          <w:rFonts w:ascii="宋体" w:hAnsi="宋体"/>
          <w:color w:val="auto"/>
          <w:sz w:val="21"/>
          <w:szCs w:val="21"/>
          <w:highlight w:val="none"/>
        </w:rPr>
      </w:pPr>
      <w:r>
        <w:rPr>
          <w:rFonts w:hint="eastAsia" w:ascii="宋体" w:hAnsi="宋体"/>
          <w:color w:val="auto"/>
          <w:sz w:val="21"/>
          <w:szCs w:val="21"/>
          <w:highlight w:val="none"/>
        </w:rPr>
        <w:t>2</w:t>
      </w:r>
      <w:r>
        <w:rPr>
          <w:rFonts w:ascii="宋体" w:hAnsi="宋体"/>
          <w:color w:val="auto"/>
          <w:sz w:val="21"/>
          <w:szCs w:val="21"/>
          <w:highlight w:val="none"/>
        </w:rPr>
        <w:t>.</w:t>
      </w:r>
      <w:r>
        <w:rPr>
          <w:rFonts w:hint="eastAsia" w:ascii="宋体" w:hAnsi="宋体"/>
          <w:color w:val="auto"/>
          <w:sz w:val="21"/>
          <w:szCs w:val="21"/>
          <w:highlight w:val="none"/>
        </w:rPr>
        <w:t>符合性审查不通过而导致投标无效的情形</w:t>
      </w:r>
    </w:p>
    <w:p w14:paraId="3E938DF6">
      <w:pPr>
        <w:spacing w:line="360" w:lineRule="auto"/>
        <w:ind w:firstLine="422"/>
        <w:rPr>
          <w:rFonts w:ascii="宋体" w:hAnsi="宋体"/>
          <w:b/>
          <w:color w:val="auto"/>
          <w:szCs w:val="21"/>
          <w:highlight w:val="none"/>
        </w:rPr>
      </w:pPr>
      <w:r>
        <w:rPr>
          <w:rFonts w:hint="eastAsia" w:ascii="宋体" w:hAnsi="宋体"/>
          <w:b/>
          <w:color w:val="auto"/>
          <w:szCs w:val="21"/>
          <w:highlight w:val="none"/>
        </w:rPr>
        <w:t>投标人的投标文件中存在对招标文件的任何实质性要求和条件的负偏离，将被视为投标无效。</w:t>
      </w:r>
    </w:p>
    <w:p w14:paraId="4FAF11DF">
      <w:pPr>
        <w:pStyle w:val="6"/>
        <w:keepNext w:val="0"/>
        <w:keepLines w:val="0"/>
        <w:spacing w:before="0" w:after="0" w:line="360" w:lineRule="auto"/>
        <w:ind w:left="420"/>
        <w:rPr>
          <w:rFonts w:ascii="宋体" w:hAnsi="宋体"/>
          <w:color w:val="auto"/>
          <w:sz w:val="21"/>
          <w:szCs w:val="21"/>
          <w:highlight w:val="none"/>
        </w:rPr>
      </w:pPr>
      <w:r>
        <w:rPr>
          <w:rFonts w:hint="eastAsia" w:ascii="宋体" w:hAnsi="宋体"/>
          <w:color w:val="auto"/>
          <w:sz w:val="21"/>
          <w:szCs w:val="21"/>
          <w:highlight w:val="none"/>
        </w:rPr>
        <w:t>2.1在报价评审时，如发现下列情形之一的，将被视为投标无效：</w:t>
      </w:r>
    </w:p>
    <w:p w14:paraId="150AC1BB">
      <w:pPr>
        <w:pStyle w:val="7"/>
        <w:numPr>
          <w:ilvl w:val="0"/>
          <w:numId w:val="5"/>
        </w:numPr>
        <w:spacing w:line="360" w:lineRule="auto"/>
        <w:ind w:firstLine="422"/>
        <w:rPr>
          <w:rFonts w:ascii="宋体" w:hAnsi="宋体"/>
          <w:b/>
          <w:color w:val="auto"/>
          <w:szCs w:val="21"/>
          <w:highlight w:val="none"/>
        </w:rPr>
      </w:pPr>
      <w:r>
        <w:rPr>
          <w:rFonts w:hint="eastAsia" w:ascii="宋体" w:hAnsi="宋体"/>
          <w:b/>
          <w:color w:val="auto"/>
          <w:spacing w:val="-6"/>
          <w:szCs w:val="21"/>
          <w:highlight w:val="none"/>
        </w:rPr>
        <w:t>报价文件</w:t>
      </w:r>
      <w:r>
        <w:rPr>
          <w:rFonts w:hint="eastAsia" w:ascii="宋体" w:hAnsi="宋体"/>
          <w:b/>
          <w:color w:val="auto"/>
          <w:szCs w:val="21"/>
          <w:highlight w:val="none"/>
        </w:rPr>
        <w:t>未提供“投标人须知前附表”第13条“报价文件”规定中“必须提供”的文件资料的；</w:t>
      </w:r>
    </w:p>
    <w:p w14:paraId="7DAFA7EF">
      <w:pPr>
        <w:pStyle w:val="7"/>
        <w:numPr>
          <w:ilvl w:val="0"/>
          <w:numId w:val="5"/>
        </w:numPr>
        <w:spacing w:line="360" w:lineRule="auto"/>
        <w:ind w:firstLine="422"/>
        <w:rPr>
          <w:rFonts w:ascii="宋体" w:hAnsi="宋体"/>
          <w:b/>
          <w:color w:val="auto"/>
          <w:szCs w:val="21"/>
          <w:highlight w:val="none"/>
        </w:rPr>
      </w:pPr>
      <w:r>
        <w:rPr>
          <w:rFonts w:hint="eastAsia" w:ascii="宋体" w:hAnsi="宋体"/>
          <w:b/>
          <w:color w:val="auto"/>
          <w:szCs w:val="21"/>
          <w:highlight w:val="none"/>
        </w:rPr>
        <w:t>未采用人民币报价或者未按照招标文件标明的币种报价的；</w:t>
      </w:r>
    </w:p>
    <w:p w14:paraId="18CFF7CC">
      <w:pPr>
        <w:pStyle w:val="7"/>
        <w:numPr>
          <w:ilvl w:val="0"/>
          <w:numId w:val="5"/>
        </w:numPr>
        <w:spacing w:line="360" w:lineRule="auto"/>
        <w:ind w:firstLine="422"/>
        <w:rPr>
          <w:rFonts w:ascii="宋体" w:hAnsi="宋体"/>
          <w:b/>
          <w:color w:val="auto"/>
          <w:szCs w:val="21"/>
          <w:highlight w:val="none"/>
        </w:rPr>
      </w:pPr>
      <w:r>
        <w:rPr>
          <w:rFonts w:hint="eastAsia" w:ascii="宋体" w:hAnsi="宋体"/>
          <w:b/>
          <w:color w:val="auto"/>
          <w:szCs w:val="21"/>
          <w:highlight w:val="none"/>
        </w:rPr>
        <w:t>各分标报价超出招标文件相应分标规定最高限价，或者超出相应分标采购预算金额的；</w:t>
      </w:r>
    </w:p>
    <w:p w14:paraId="0C889426">
      <w:pPr>
        <w:pStyle w:val="7"/>
        <w:numPr>
          <w:ilvl w:val="0"/>
          <w:numId w:val="5"/>
        </w:numPr>
        <w:spacing w:line="360" w:lineRule="auto"/>
        <w:ind w:firstLine="422"/>
        <w:rPr>
          <w:rFonts w:ascii="宋体" w:hAnsi="宋体"/>
          <w:b/>
          <w:color w:val="auto"/>
          <w:szCs w:val="21"/>
          <w:highlight w:val="none"/>
        </w:rPr>
      </w:pPr>
      <w:r>
        <w:rPr>
          <w:rFonts w:hint="eastAsia" w:ascii="宋体" w:hAnsi="宋体"/>
          <w:b/>
          <w:color w:val="auto"/>
          <w:szCs w:val="21"/>
          <w:highlight w:val="none"/>
        </w:rPr>
        <w:t>投标人未就所投分标进行报价或者存在漏项报价；投标人未就所投分标的单项内容作唯一报价；投标人未就所投分标的全部内容作完整唯一总价报价；存在有选择、有条件报价的（招标文件允许有备选方案或者其他约定的除外）；</w:t>
      </w:r>
    </w:p>
    <w:p w14:paraId="66EBE32B">
      <w:pPr>
        <w:pStyle w:val="7"/>
        <w:numPr>
          <w:ilvl w:val="0"/>
          <w:numId w:val="5"/>
        </w:numPr>
        <w:spacing w:line="360" w:lineRule="auto"/>
        <w:ind w:firstLine="422"/>
        <w:rPr>
          <w:rFonts w:ascii="宋体" w:hAnsi="宋体"/>
          <w:b/>
          <w:color w:val="auto"/>
          <w:szCs w:val="21"/>
          <w:highlight w:val="none"/>
        </w:rPr>
      </w:pPr>
      <w:r>
        <w:rPr>
          <w:rFonts w:hint="eastAsia" w:ascii="宋体" w:hAnsi="宋体"/>
          <w:b/>
          <w:color w:val="auto"/>
          <w:szCs w:val="21"/>
          <w:highlight w:val="none"/>
        </w:rPr>
        <w:t>修正后的报价，投标人不确认的；</w:t>
      </w:r>
    </w:p>
    <w:p w14:paraId="208AC4E9">
      <w:pPr>
        <w:pStyle w:val="7"/>
        <w:numPr>
          <w:ilvl w:val="0"/>
          <w:numId w:val="5"/>
        </w:numPr>
        <w:spacing w:line="360" w:lineRule="auto"/>
        <w:ind w:firstLine="422"/>
        <w:rPr>
          <w:rFonts w:ascii="宋体" w:hAnsi="宋体"/>
          <w:b/>
          <w:color w:val="auto"/>
          <w:szCs w:val="21"/>
          <w:highlight w:val="none"/>
        </w:rPr>
      </w:pPr>
      <w:r>
        <w:rPr>
          <w:rFonts w:hint="eastAsia" w:ascii="宋体" w:hAnsi="宋体"/>
          <w:b/>
          <w:color w:val="auto"/>
          <w:szCs w:val="21"/>
          <w:highlight w:val="none"/>
        </w:rPr>
        <w:t>投标人属于本章第</w:t>
      </w:r>
      <w:r>
        <w:rPr>
          <w:rFonts w:ascii="宋体" w:hAnsi="宋体"/>
          <w:b/>
          <w:color w:val="auto"/>
          <w:szCs w:val="21"/>
          <w:highlight w:val="none"/>
        </w:rPr>
        <w:t>5.1</w:t>
      </w:r>
      <w:r>
        <w:rPr>
          <w:rFonts w:hint="eastAsia" w:ascii="宋体" w:hAnsi="宋体"/>
          <w:b/>
          <w:color w:val="auto"/>
          <w:szCs w:val="21"/>
          <w:highlight w:val="none"/>
        </w:rPr>
        <w:t>条（2）或者第5</w:t>
      </w:r>
      <w:r>
        <w:rPr>
          <w:rFonts w:ascii="宋体" w:hAnsi="宋体"/>
          <w:b/>
          <w:color w:val="auto"/>
          <w:szCs w:val="21"/>
          <w:highlight w:val="none"/>
        </w:rPr>
        <w:t>.2条</w:t>
      </w:r>
      <w:r>
        <w:rPr>
          <w:rFonts w:hint="eastAsia" w:ascii="宋体" w:hAnsi="宋体"/>
          <w:b/>
          <w:color w:val="auto"/>
          <w:szCs w:val="21"/>
          <w:highlight w:val="none"/>
        </w:rPr>
        <w:t>（2）项情形的；</w:t>
      </w:r>
    </w:p>
    <w:p w14:paraId="6433ABF5">
      <w:pPr>
        <w:pStyle w:val="7"/>
        <w:numPr>
          <w:ilvl w:val="0"/>
          <w:numId w:val="5"/>
        </w:numPr>
        <w:spacing w:line="360" w:lineRule="auto"/>
        <w:ind w:firstLine="422"/>
        <w:rPr>
          <w:rFonts w:ascii="宋体" w:hAnsi="宋体"/>
          <w:b/>
          <w:color w:val="auto"/>
          <w:szCs w:val="21"/>
          <w:highlight w:val="none"/>
        </w:rPr>
      </w:pPr>
      <w:r>
        <w:rPr>
          <w:rFonts w:hint="eastAsia" w:ascii="宋体" w:hAnsi="宋体"/>
          <w:b/>
          <w:color w:val="auto"/>
          <w:spacing w:val="-6"/>
          <w:szCs w:val="21"/>
          <w:highlight w:val="none"/>
        </w:rPr>
        <w:t>报价文件</w:t>
      </w:r>
      <w:r>
        <w:rPr>
          <w:rFonts w:hint="eastAsia" w:ascii="宋体" w:hAnsi="宋体"/>
          <w:b/>
          <w:color w:val="auto"/>
          <w:szCs w:val="21"/>
          <w:highlight w:val="none"/>
        </w:rPr>
        <w:t>响应的标的数量及单位与招标文件要求实质性不一致的。</w:t>
      </w:r>
    </w:p>
    <w:p w14:paraId="3F7ECC97">
      <w:pPr>
        <w:pStyle w:val="6"/>
        <w:keepNext w:val="0"/>
        <w:keepLines w:val="0"/>
        <w:spacing w:before="0" w:after="0" w:line="360" w:lineRule="auto"/>
        <w:ind w:left="420"/>
        <w:rPr>
          <w:rFonts w:ascii="宋体" w:hAnsi="宋体"/>
          <w:color w:val="auto"/>
          <w:sz w:val="21"/>
          <w:szCs w:val="21"/>
          <w:highlight w:val="none"/>
        </w:rPr>
      </w:pPr>
      <w:r>
        <w:rPr>
          <w:rFonts w:hint="eastAsia" w:ascii="宋体" w:hAnsi="宋体"/>
          <w:color w:val="auto"/>
          <w:sz w:val="21"/>
          <w:szCs w:val="21"/>
          <w:highlight w:val="none"/>
        </w:rPr>
        <w:t>2.2在商务及技术评审时，如发现下列情形之一的，将被视为投标无效：</w:t>
      </w:r>
    </w:p>
    <w:p w14:paraId="20386D03">
      <w:pPr>
        <w:numPr>
          <w:ilvl w:val="0"/>
          <w:numId w:val="6"/>
        </w:numPr>
        <w:spacing w:line="360" w:lineRule="auto"/>
        <w:ind w:firstLine="422"/>
        <w:rPr>
          <w:rFonts w:ascii="宋体" w:hAnsi="宋体"/>
          <w:b/>
          <w:color w:val="auto"/>
          <w:szCs w:val="21"/>
          <w:highlight w:val="none"/>
        </w:rPr>
      </w:pPr>
      <w:r>
        <w:rPr>
          <w:rFonts w:hint="eastAsia" w:ascii="宋体" w:hAnsi="宋体"/>
          <w:b/>
          <w:color w:val="auto"/>
          <w:szCs w:val="21"/>
          <w:highlight w:val="none"/>
        </w:rPr>
        <w:t>投标文件未按招标文件要求签署、盖章的；</w:t>
      </w:r>
    </w:p>
    <w:p w14:paraId="67896866">
      <w:pPr>
        <w:numPr>
          <w:ilvl w:val="0"/>
          <w:numId w:val="6"/>
        </w:numPr>
        <w:spacing w:line="360" w:lineRule="auto"/>
        <w:ind w:firstLine="422"/>
        <w:rPr>
          <w:rFonts w:ascii="宋体" w:hAnsi="宋体"/>
          <w:b/>
          <w:color w:val="auto"/>
          <w:szCs w:val="21"/>
          <w:highlight w:val="none"/>
        </w:rPr>
      </w:pPr>
      <w:r>
        <w:rPr>
          <w:rFonts w:hint="eastAsia" w:ascii="宋体" w:hAnsi="宋体"/>
          <w:b/>
          <w:color w:val="auto"/>
          <w:szCs w:val="21"/>
          <w:highlight w:val="none"/>
        </w:rPr>
        <w:t>委托代理人未能出具有效身份证或者出具的身份证与授权委托书中的信息不符的；</w:t>
      </w:r>
    </w:p>
    <w:p w14:paraId="63C100A5">
      <w:pPr>
        <w:numPr>
          <w:ilvl w:val="0"/>
          <w:numId w:val="6"/>
        </w:numPr>
        <w:spacing w:line="360" w:lineRule="auto"/>
        <w:ind w:firstLine="422"/>
        <w:rPr>
          <w:rFonts w:ascii="宋体" w:hAnsi="宋体"/>
          <w:b/>
          <w:color w:val="auto"/>
          <w:szCs w:val="21"/>
          <w:highlight w:val="none"/>
        </w:rPr>
      </w:pPr>
      <w:r>
        <w:rPr>
          <w:rFonts w:hint="eastAsia" w:ascii="宋体" w:hAnsi="宋体"/>
          <w:b/>
          <w:color w:val="auto"/>
          <w:szCs w:val="21"/>
          <w:highlight w:val="none"/>
        </w:rPr>
        <w:t>为无效投标保证金的或者未按照招标文件的规定提交投标保证金的；</w:t>
      </w:r>
    </w:p>
    <w:p w14:paraId="22A02DD6">
      <w:pPr>
        <w:numPr>
          <w:ilvl w:val="0"/>
          <w:numId w:val="6"/>
        </w:numPr>
        <w:spacing w:line="360" w:lineRule="auto"/>
        <w:ind w:firstLine="422"/>
        <w:rPr>
          <w:rFonts w:ascii="宋体" w:hAnsi="宋体"/>
          <w:b/>
          <w:color w:val="auto"/>
          <w:szCs w:val="21"/>
          <w:highlight w:val="none"/>
        </w:rPr>
      </w:pPr>
      <w:r>
        <w:rPr>
          <w:rFonts w:hint="eastAsia" w:ascii="宋体" w:hAnsi="宋体"/>
          <w:b/>
          <w:color w:val="auto"/>
          <w:szCs w:val="21"/>
          <w:highlight w:val="none"/>
        </w:rPr>
        <w:t>投标文件未提供“投标人须知前附表”第13条“商务及技术文件”规定中“必须提供”或者“委托时必须提供”的文件资料的；</w:t>
      </w:r>
    </w:p>
    <w:p w14:paraId="236CD338">
      <w:pPr>
        <w:numPr>
          <w:ilvl w:val="0"/>
          <w:numId w:val="6"/>
        </w:numPr>
        <w:spacing w:line="360" w:lineRule="auto"/>
        <w:ind w:firstLine="422"/>
        <w:rPr>
          <w:rFonts w:ascii="宋体" w:hAnsi="宋体"/>
          <w:b/>
          <w:color w:val="auto"/>
          <w:szCs w:val="21"/>
          <w:highlight w:val="none"/>
        </w:rPr>
      </w:pPr>
      <w:r>
        <w:rPr>
          <w:rFonts w:hint="eastAsia" w:ascii="宋体" w:hAnsi="宋体"/>
          <w:b/>
          <w:color w:val="auto"/>
          <w:szCs w:val="21"/>
          <w:highlight w:val="none"/>
        </w:rPr>
        <w:t>允许负偏离的条款数超过“投标人须知前附表”规定项数的；</w:t>
      </w:r>
    </w:p>
    <w:p w14:paraId="66169AF0">
      <w:pPr>
        <w:numPr>
          <w:ilvl w:val="0"/>
          <w:numId w:val="6"/>
        </w:numPr>
        <w:spacing w:line="360" w:lineRule="auto"/>
        <w:ind w:firstLine="422"/>
        <w:rPr>
          <w:rFonts w:ascii="宋体" w:hAnsi="宋体"/>
          <w:b/>
          <w:color w:val="auto"/>
          <w:szCs w:val="21"/>
          <w:highlight w:val="none"/>
        </w:rPr>
      </w:pPr>
      <w:r>
        <w:rPr>
          <w:rFonts w:hint="eastAsia" w:ascii="宋体" w:hAnsi="宋体"/>
          <w:b/>
          <w:color w:val="auto"/>
          <w:szCs w:val="21"/>
          <w:highlight w:val="none"/>
        </w:rPr>
        <w:t>投标文件的实质性内容未使用中文表述、使用计量单位不符合招标文件要求的；</w:t>
      </w:r>
    </w:p>
    <w:p w14:paraId="1CB6B963">
      <w:pPr>
        <w:numPr>
          <w:ilvl w:val="0"/>
          <w:numId w:val="6"/>
        </w:numPr>
        <w:spacing w:line="360" w:lineRule="auto"/>
        <w:ind w:firstLine="422"/>
        <w:rPr>
          <w:rFonts w:ascii="宋体" w:hAnsi="宋体"/>
          <w:b/>
          <w:color w:val="auto"/>
          <w:szCs w:val="21"/>
          <w:highlight w:val="none"/>
        </w:rPr>
      </w:pPr>
      <w:r>
        <w:rPr>
          <w:rFonts w:hint="eastAsia" w:ascii="宋体" w:hAnsi="宋体"/>
          <w:b/>
          <w:color w:val="auto"/>
          <w:szCs w:val="21"/>
          <w:highlight w:val="none"/>
        </w:rPr>
        <w:t>投标文件中的文件资料因填写不齐全或者内容虚假或者出现其他情形而导致被评标委员会认定无效的；</w:t>
      </w:r>
    </w:p>
    <w:p w14:paraId="7CDF4DFC">
      <w:pPr>
        <w:numPr>
          <w:ilvl w:val="0"/>
          <w:numId w:val="6"/>
        </w:numPr>
        <w:spacing w:line="360" w:lineRule="auto"/>
        <w:ind w:firstLine="422"/>
        <w:rPr>
          <w:rFonts w:ascii="宋体" w:hAnsi="宋体"/>
          <w:b/>
          <w:color w:val="auto"/>
          <w:szCs w:val="21"/>
          <w:highlight w:val="none"/>
        </w:rPr>
      </w:pPr>
      <w:r>
        <w:rPr>
          <w:rFonts w:hint="eastAsia" w:ascii="宋体" w:hAnsi="宋体"/>
          <w:b/>
          <w:color w:val="auto"/>
          <w:szCs w:val="21"/>
          <w:highlight w:val="none"/>
        </w:rPr>
        <w:t>投标文件含有采购人不能接受的附加条件的；</w:t>
      </w:r>
    </w:p>
    <w:p w14:paraId="5BBE1E5F">
      <w:pPr>
        <w:numPr>
          <w:ilvl w:val="0"/>
          <w:numId w:val="6"/>
        </w:numPr>
        <w:spacing w:line="360" w:lineRule="auto"/>
        <w:ind w:firstLine="422"/>
        <w:rPr>
          <w:rFonts w:ascii="宋体" w:hAnsi="宋体"/>
          <w:b/>
          <w:color w:val="auto"/>
          <w:szCs w:val="21"/>
          <w:highlight w:val="none"/>
        </w:rPr>
      </w:pPr>
      <w:r>
        <w:rPr>
          <w:rFonts w:hint="eastAsia" w:ascii="宋体" w:hAnsi="宋体"/>
          <w:b/>
          <w:color w:val="auto"/>
          <w:szCs w:val="21"/>
          <w:highlight w:val="none"/>
        </w:rPr>
        <w:t>属于投标人须知正文第</w:t>
      </w:r>
      <w:r>
        <w:rPr>
          <w:rFonts w:ascii="宋体" w:hAnsi="宋体"/>
          <w:b/>
          <w:color w:val="auto"/>
          <w:szCs w:val="21"/>
          <w:highlight w:val="none"/>
        </w:rPr>
        <w:t>9.2</w:t>
      </w:r>
      <w:r>
        <w:rPr>
          <w:rFonts w:hint="eastAsia" w:ascii="宋体" w:hAnsi="宋体"/>
          <w:b/>
          <w:color w:val="auto"/>
          <w:szCs w:val="21"/>
          <w:highlight w:val="none"/>
        </w:rPr>
        <w:t>条情形的；</w:t>
      </w:r>
    </w:p>
    <w:p w14:paraId="7A562FC3">
      <w:pPr>
        <w:numPr>
          <w:ilvl w:val="0"/>
          <w:numId w:val="6"/>
        </w:numPr>
        <w:spacing w:line="360" w:lineRule="auto"/>
        <w:ind w:firstLine="422"/>
        <w:rPr>
          <w:rFonts w:ascii="宋体" w:hAnsi="宋体"/>
          <w:b/>
          <w:color w:val="auto"/>
          <w:szCs w:val="21"/>
          <w:highlight w:val="none"/>
        </w:rPr>
      </w:pPr>
      <w:r>
        <w:rPr>
          <w:rFonts w:hint="eastAsia" w:ascii="宋体" w:hAnsi="宋体"/>
          <w:b/>
          <w:color w:val="auto"/>
          <w:szCs w:val="21"/>
          <w:highlight w:val="none"/>
        </w:rPr>
        <w:t>投标文件标注的项目名称或者项目编号与招标文件标注的项目名称或者项目编号不一致的；</w:t>
      </w:r>
    </w:p>
    <w:p w14:paraId="78885943">
      <w:pPr>
        <w:numPr>
          <w:ilvl w:val="0"/>
          <w:numId w:val="6"/>
        </w:numPr>
        <w:spacing w:line="360" w:lineRule="auto"/>
        <w:ind w:firstLine="422"/>
        <w:rPr>
          <w:rFonts w:ascii="宋体" w:hAnsi="宋体"/>
          <w:b/>
          <w:color w:val="auto"/>
          <w:szCs w:val="21"/>
          <w:highlight w:val="none"/>
        </w:rPr>
      </w:pPr>
      <w:r>
        <w:rPr>
          <w:rFonts w:hint="eastAsia" w:ascii="宋体" w:hAnsi="宋体"/>
          <w:b/>
          <w:color w:val="auto"/>
          <w:szCs w:val="21"/>
          <w:highlight w:val="none"/>
        </w:rPr>
        <w:t>投标文件中承诺的投标有效期低于招标文件要求的期限的；</w:t>
      </w:r>
    </w:p>
    <w:p w14:paraId="5A3DF8D5">
      <w:pPr>
        <w:numPr>
          <w:ilvl w:val="0"/>
          <w:numId w:val="6"/>
        </w:numPr>
        <w:spacing w:line="360" w:lineRule="auto"/>
        <w:ind w:firstLine="422"/>
        <w:rPr>
          <w:rFonts w:ascii="宋体" w:hAnsi="宋体"/>
          <w:b/>
          <w:color w:val="auto"/>
          <w:szCs w:val="21"/>
          <w:highlight w:val="none"/>
        </w:rPr>
      </w:pPr>
      <w:r>
        <w:rPr>
          <w:rFonts w:hint="eastAsia" w:ascii="宋体" w:hAnsi="宋体"/>
          <w:b/>
          <w:color w:val="auto"/>
          <w:szCs w:val="21"/>
          <w:highlight w:val="none"/>
        </w:rPr>
        <w:t>招标文件明确不允许分包，投标文件拟分包的；</w:t>
      </w:r>
    </w:p>
    <w:p w14:paraId="05E36554">
      <w:pPr>
        <w:pStyle w:val="20"/>
        <w:numPr>
          <w:ilvl w:val="0"/>
          <w:numId w:val="6"/>
        </w:numPr>
        <w:spacing w:line="360" w:lineRule="auto"/>
        <w:ind w:firstLine="413"/>
        <w:rPr>
          <w:rFonts w:ascii="宋体" w:hAnsi="宋体" w:eastAsia="宋体"/>
          <w:b/>
          <w:color w:val="auto"/>
          <w:sz w:val="21"/>
          <w:szCs w:val="21"/>
          <w:highlight w:val="none"/>
        </w:rPr>
      </w:pPr>
      <w:r>
        <w:rPr>
          <w:rFonts w:hint="eastAsia" w:ascii="宋体" w:hAnsi="宋体" w:eastAsia="宋体"/>
          <w:b/>
          <w:color w:val="auto"/>
          <w:sz w:val="21"/>
          <w:szCs w:val="21"/>
          <w:highlight w:val="none"/>
        </w:rPr>
        <w:t>虚假投标，或者出现其他情形而导致被评标委员会认定无效的；</w:t>
      </w:r>
    </w:p>
    <w:p w14:paraId="4A625D51">
      <w:pPr>
        <w:pStyle w:val="20"/>
        <w:numPr>
          <w:ilvl w:val="0"/>
          <w:numId w:val="6"/>
        </w:numPr>
        <w:spacing w:line="360" w:lineRule="auto"/>
        <w:ind w:firstLine="413"/>
        <w:rPr>
          <w:rFonts w:ascii="宋体" w:hAnsi="宋体" w:eastAsia="宋体"/>
          <w:b/>
          <w:color w:val="auto"/>
          <w:sz w:val="21"/>
          <w:szCs w:val="21"/>
          <w:highlight w:val="none"/>
        </w:rPr>
      </w:pPr>
      <w:r>
        <w:rPr>
          <w:rFonts w:hint="eastAsia" w:ascii="宋体" w:hAnsi="宋体" w:eastAsia="宋体"/>
          <w:b/>
          <w:color w:val="auto"/>
          <w:sz w:val="21"/>
          <w:szCs w:val="21"/>
          <w:highlight w:val="none"/>
        </w:rPr>
        <w:t>招标文件未载明允许提供备选（替代）投标方案或明确不允许提供备选（替代）投标方案时，投标人提供了备选（替代）投标方案的；</w:t>
      </w:r>
    </w:p>
    <w:p w14:paraId="039C8629">
      <w:pPr>
        <w:pStyle w:val="20"/>
        <w:numPr>
          <w:ilvl w:val="0"/>
          <w:numId w:val="6"/>
        </w:numPr>
        <w:spacing w:line="360" w:lineRule="auto"/>
        <w:ind w:firstLine="413"/>
        <w:rPr>
          <w:rFonts w:ascii="宋体" w:hAnsi="宋体" w:eastAsia="宋体"/>
          <w:b/>
          <w:color w:val="auto"/>
          <w:sz w:val="21"/>
          <w:szCs w:val="21"/>
          <w:highlight w:val="none"/>
        </w:rPr>
      </w:pPr>
      <w:r>
        <w:rPr>
          <w:rFonts w:hint="eastAsia" w:ascii="宋体" w:hAnsi="宋体" w:eastAsia="宋体"/>
          <w:b/>
          <w:color w:val="auto"/>
          <w:sz w:val="21"/>
          <w:szCs w:val="21"/>
          <w:highlight w:val="none"/>
        </w:rPr>
        <w:t>未响应招标文件实质性要求的。</w:t>
      </w:r>
    </w:p>
    <w:p w14:paraId="4AB87B67">
      <w:pPr>
        <w:numPr>
          <w:ilvl w:val="0"/>
          <w:numId w:val="6"/>
        </w:numPr>
        <w:spacing w:line="360" w:lineRule="auto"/>
        <w:ind w:firstLine="422"/>
        <w:rPr>
          <w:rFonts w:ascii="宋体" w:hAnsi="宋体"/>
          <w:b/>
          <w:color w:val="auto"/>
          <w:szCs w:val="21"/>
          <w:highlight w:val="none"/>
        </w:rPr>
      </w:pPr>
      <w:r>
        <w:rPr>
          <w:rFonts w:hint="eastAsia" w:ascii="宋体" w:hAnsi="宋体"/>
          <w:b/>
          <w:color w:val="auto"/>
          <w:szCs w:val="21"/>
          <w:highlight w:val="none"/>
        </w:rPr>
        <w:t>法律、法规和招标文件规定的其他无效情形。</w:t>
      </w:r>
    </w:p>
    <w:p w14:paraId="64C87ECD">
      <w:pPr>
        <w:pStyle w:val="6"/>
        <w:keepNext w:val="0"/>
        <w:keepLines w:val="0"/>
        <w:spacing w:before="0" w:after="0" w:line="360" w:lineRule="auto"/>
        <w:ind w:left="420"/>
        <w:rPr>
          <w:rFonts w:ascii="宋体" w:hAnsi="宋体"/>
          <w:color w:val="auto"/>
          <w:sz w:val="21"/>
          <w:szCs w:val="21"/>
          <w:highlight w:val="none"/>
        </w:rPr>
      </w:pPr>
      <w:r>
        <w:rPr>
          <w:rFonts w:hint="eastAsia" w:ascii="宋体" w:hAnsi="宋体"/>
          <w:color w:val="auto"/>
          <w:sz w:val="21"/>
          <w:szCs w:val="21"/>
          <w:highlight w:val="none"/>
        </w:rPr>
        <w:t>3</w:t>
      </w:r>
      <w:r>
        <w:rPr>
          <w:rFonts w:ascii="宋体" w:hAnsi="宋体"/>
          <w:color w:val="auto"/>
          <w:sz w:val="21"/>
          <w:szCs w:val="21"/>
          <w:highlight w:val="none"/>
        </w:rPr>
        <w:t>.</w:t>
      </w:r>
      <w:r>
        <w:rPr>
          <w:rFonts w:hint="eastAsia" w:ascii="宋体" w:hAnsi="宋体"/>
          <w:color w:val="auto"/>
          <w:sz w:val="21"/>
          <w:szCs w:val="21"/>
          <w:highlight w:val="none"/>
        </w:rPr>
        <w:t>澄清补正</w:t>
      </w:r>
    </w:p>
    <w:p w14:paraId="14F99B02">
      <w:pPr>
        <w:spacing w:line="360" w:lineRule="auto"/>
        <w:ind w:firstLine="420"/>
        <w:rPr>
          <w:rFonts w:ascii="宋体" w:hAnsi="宋体" w:cs="Courier New"/>
          <w:b/>
          <w:color w:val="auto"/>
          <w:szCs w:val="21"/>
          <w:highlight w:val="none"/>
        </w:rPr>
      </w:pPr>
      <w:r>
        <w:rPr>
          <w:rFonts w:hint="eastAsia" w:ascii="宋体" w:hAnsi="宋体" w:cs="Courier New"/>
          <w:color w:val="auto"/>
          <w:szCs w:val="21"/>
          <w:highlight w:val="none"/>
        </w:rPr>
        <w:t>对投标文件中含义不明确、同类问题表述不一致或者有明显文字和计算错误的内容，评标委员会应在广西政府采购云平台发布电子澄清函，要求投标人在规定时间内作出必要的澄清、说明或者补正。投标人在广西政府采购云平台接收到电子澄清函后根据澄清函内容上传PDF格式回函，电子澄清答复函使用CA证书加盖投标人电子签章后在线上传至评标委员会。投标人的澄清、说明或者补正不得超出投标文件的范围或者改变投标文件的实质性内容。</w:t>
      </w:r>
    </w:p>
    <w:p w14:paraId="7A3AB731">
      <w:pPr>
        <w:spacing w:line="360" w:lineRule="auto"/>
        <w:ind w:firstLine="420"/>
        <w:rPr>
          <w:rFonts w:ascii="宋体" w:hAnsi="宋体" w:cs="Courier New"/>
          <w:color w:val="auto"/>
          <w:szCs w:val="21"/>
          <w:highlight w:val="none"/>
        </w:rPr>
      </w:pPr>
      <w:r>
        <w:rPr>
          <w:rFonts w:hint="eastAsia" w:ascii="宋体" w:hAnsi="宋体" w:cs="Courier New"/>
          <w:color w:val="auto"/>
          <w:szCs w:val="21"/>
          <w:highlight w:val="none"/>
        </w:rPr>
        <w:t>异常情况处理：如遇无法正常使用线上发送澄清函的情况，将启动书面形式办理。启动书面形式办理的情况下，评标委员会以书面形式要求投标人在规定时间内作出必要的澄清、说明或者补正。投标人的澄清、说明或者补正必须采用书面形式，并加盖公章，或者由法定代表人或者其授权的代表签字。</w:t>
      </w:r>
    </w:p>
    <w:p w14:paraId="3583AF23">
      <w:pPr>
        <w:spacing w:line="360" w:lineRule="auto"/>
        <w:ind w:firstLine="420"/>
        <w:rPr>
          <w:rFonts w:ascii="宋体" w:hAnsi="宋体" w:cs="Courier New"/>
          <w:color w:val="auto"/>
          <w:szCs w:val="21"/>
          <w:highlight w:val="none"/>
        </w:rPr>
      </w:pPr>
      <w:r>
        <w:rPr>
          <w:rFonts w:hint="eastAsia" w:ascii="宋体" w:hAnsi="宋体" w:cs="Courier New"/>
          <w:color w:val="auto"/>
          <w:szCs w:val="21"/>
          <w:highlight w:val="none"/>
        </w:rPr>
        <w:t>未按评标委员会的要求作出明确澄清、说明或者更正的投标人的投标文件将按照有利于采购人的原则由评标委员会进行判定。</w:t>
      </w:r>
    </w:p>
    <w:p w14:paraId="65D77EF8">
      <w:pPr>
        <w:pStyle w:val="6"/>
        <w:keepNext w:val="0"/>
        <w:keepLines w:val="0"/>
        <w:spacing w:before="0" w:after="0" w:line="360" w:lineRule="auto"/>
        <w:ind w:left="420"/>
        <w:rPr>
          <w:rFonts w:ascii="宋体" w:hAnsi="宋体"/>
          <w:color w:val="auto"/>
          <w:sz w:val="21"/>
          <w:szCs w:val="21"/>
          <w:highlight w:val="none"/>
        </w:rPr>
      </w:pPr>
      <w:r>
        <w:rPr>
          <w:rFonts w:ascii="宋体" w:hAnsi="宋体"/>
          <w:color w:val="auto"/>
          <w:sz w:val="21"/>
          <w:szCs w:val="21"/>
          <w:highlight w:val="none"/>
        </w:rPr>
        <w:t>4.</w:t>
      </w:r>
      <w:r>
        <w:rPr>
          <w:rFonts w:hint="eastAsia" w:ascii="宋体" w:hAnsi="宋体"/>
          <w:color w:val="auto"/>
          <w:sz w:val="21"/>
          <w:szCs w:val="21"/>
          <w:highlight w:val="none"/>
        </w:rPr>
        <w:t>投标文件修正</w:t>
      </w:r>
    </w:p>
    <w:p w14:paraId="659C2FFC">
      <w:pPr>
        <w:pStyle w:val="6"/>
        <w:keepNext w:val="0"/>
        <w:keepLines w:val="0"/>
        <w:spacing w:before="0" w:after="0" w:line="360" w:lineRule="auto"/>
        <w:ind w:left="420"/>
        <w:rPr>
          <w:rFonts w:ascii="宋体" w:hAnsi="宋体"/>
          <w:b w:val="0"/>
          <w:color w:val="auto"/>
          <w:sz w:val="21"/>
          <w:szCs w:val="21"/>
          <w:highlight w:val="none"/>
        </w:rPr>
      </w:pPr>
      <w:r>
        <w:rPr>
          <w:rFonts w:ascii="宋体" w:hAnsi="宋体"/>
          <w:b w:val="0"/>
          <w:color w:val="auto"/>
          <w:sz w:val="21"/>
          <w:szCs w:val="21"/>
          <w:highlight w:val="none"/>
        </w:rPr>
        <w:t>4</w:t>
      </w:r>
      <w:r>
        <w:rPr>
          <w:rFonts w:hint="eastAsia" w:ascii="宋体" w:hAnsi="宋体"/>
          <w:b w:val="0"/>
          <w:color w:val="auto"/>
          <w:sz w:val="21"/>
          <w:szCs w:val="21"/>
          <w:highlight w:val="none"/>
        </w:rPr>
        <w:t>.1投标文件报价出现前后不一致的，</w:t>
      </w:r>
      <w:r>
        <w:rPr>
          <w:rFonts w:hint="eastAsia" w:hAnsi="宋体"/>
          <w:color w:val="auto"/>
          <w:sz w:val="21"/>
          <w:highlight w:val="none"/>
        </w:rPr>
        <w:t>除“投标人须知前附表”另有规定的情形，</w:t>
      </w:r>
      <w:r>
        <w:rPr>
          <w:rFonts w:hint="eastAsia" w:ascii="宋体" w:hAnsi="宋体"/>
          <w:b w:val="0"/>
          <w:color w:val="auto"/>
          <w:sz w:val="21"/>
          <w:szCs w:val="21"/>
          <w:highlight w:val="none"/>
        </w:rPr>
        <w:t xml:space="preserve">按照下列规定修正： </w:t>
      </w:r>
    </w:p>
    <w:p w14:paraId="33195383">
      <w:pPr>
        <w:pStyle w:val="25"/>
        <w:spacing w:line="360" w:lineRule="auto"/>
        <w:ind w:firstLine="420"/>
        <w:rPr>
          <w:rFonts w:hAnsi="宋体"/>
          <w:color w:val="auto"/>
          <w:sz w:val="21"/>
          <w:highlight w:val="none"/>
        </w:rPr>
      </w:pPr>
      <w:r>
        <w:rPr>
          <w:rFonts w:hint="eastAsia" w:hAnsi="宋体"/>
          <w:color w:val="auto"/>
          <w:sz w:val="21"/>
          <w:highlight w:val="none"/>
        </w:rPr>
        <w:t>（1）投标文件中开标一览表（报价表）内容与投标文件中相应内容不一致的，以开标一览表（报价表）为准；</w:t>
      </w:r>
    </w:p>
    <w:p w14:paraId="57D06274">
      <w:pPr>
        <w:pStyle w:val="25"/>
        <w:spacing w:line="360" w:lineRule="auto"/>
        <w:ind w:firstLine="420"/>
        <w:rPr>
          <w:rFonts w:hAnsi="宋体"/>
          <w:color w:val="auto"/>
          <w:sz w:val="21"/>
          <w:highlight w:val="none"/>
        </w:rPr>
      </w:pPr>
      <w:r>
        <w:rPr>
          <w:rFonts w:hint="eastAsia" w:hAnsi="宋体"/>
          <w:color w:val="auto"/>
          <w:sz w:val="21"/>
          <w:highlight w:val="none"/>
        </w:rPr>
        <w:t>（2）大写金额和小写金额不一致的，以大写金额为准；</w:t>
      </w:r>
    </w:p>
    <w:p w14:paraId="6CD831FF">
      <w:pPr>
        <w:pStyle w:val="25"/>
        <w:spacing w:line="360" w:lineRule="auto"/>
        <w:ind w:firstLine="420"/>
        <w:rPr>
          <w:rFonts w:hAnsi="宋体"/>
          <w:color w:val="auto"/>
          <w:sz w:val="21"/>
          <w:highlight w:val="none"/>
        </w:rPr>
      </w:pPr>
      <w:r>
        <w:rPr>
          <w:rFonts w:hint="eastAsia" w:hAnsi="宋体"/>
          <w:color w:val="auto"/>
          <w:sz w:val="21"/>
          <w:highlight w:val="none"/>
        </w:rPr>
        <w:t>（3）单价金额小数点或者百分比有明显错位的，以开标一览表的总价为准，并修改单价；</w:t>
      </w:r>
    </w:p>
    <w:p w14:paraId="2D268F7D">
      <w:pPr>
        <w:pStyle w:val="25"/>
        <w:spacing w:line="360" w:lineRule="auto"/>
        <w:ind w:firstLine="420"/>
        <w:rPr>
          <w:rFonts w:hAnsi="宋体"/>
          <w:color w:val="auto"/>
          <w:sz w:val="21"/>
          <w:highlight w:val="none"/>
        </w:rPr>
      </w:pPr>
      <w:r>
        <w:rPr>
          <w:rFonts w:hint="eastAsia" w:hAnsi="宋体"/>
          <w:color w:val="auto"/>
          <w:sz w:val="21"/>
          <w:highlight w:val="none"/>
        </w:rPr>
        <w:t>（4）总价金额与按单价汇总金额不一致的，以单价金额计算结果为准。</w:t>
      </w:r>
    </w:p>
    <w:p w14:paraId="0A556553">
      <w:pPr>
        <w:pStyle w:val="25"/>
        <w:spacing w:line="360" w:lineRule="auto"/>
        <w:ind w:firstLine="420"/>
        <w:rPr>
          <w:rFonts w:hAnsi="宋体"/>
          <w:color w:val="auto"/>
          <w:sz w:val="21"/>
          <w:highlight w:val="none"/>
        </w:rPr>
      </w:pPr>
      <w:r>
        <w:rPr>
          <w:rFonts w:hint="eastAsia" w:hAnsi="宋体"/>
          <w:color w:val="auto"/>
          <w:sz w:val="21"/>
          <w:highlight w:val="none"/>
        </w:rPr>
        <w:t>同时出现两种以上不一致的，按照以上（1）-（4）规定的顺序修正。修正后的报价经投标人确认后产生约束力，投标人不确认的，</w:t>
      </w:r>
      <w:r>
        <w:rPr>
          <w:rFonts w:hint="eastAsia" w:hAnsi="宋体"/>
          <w:b/>
          <w:color w:val="auto"/>
          <w:sz w:val="21"/>
          <w:highlight w:val="none"/>
        </w:rPr>
        <w:t>其投标无效</w:t>
      </w:r>
      <w:r>
        <w:rPr>
          <w:rFonts w:hint="eastAsia" w:hAnsi="宋体"/>
          <w:color w:val="auto"/>
          <w:sz w:val="21"/>
          <w:highlight w:val="none"/>
        </w:rPr>
        <w:t>。</w:t>
      </w:r>
    </w:p>
    <w:p w14:paraId="10FBFD47">
      <w:pPr>
        <w:pStyle w:val="6"/>
        <w:keepNext w:val="0"/>
        <w:keepLines w:val="0"/>
        <w:spacing w:before="0" w:after="0" w:line="360" w:lineRule="auto"/>
        <w:rPr>
          <w:rFonts w:ascii="宋体" w:hAnsi="宋体"/>
          <w:b w:val="0"/>
          <w:color w:val="auto"/>
          <w:sz w:val="21"/>
          <w:szCs w:val="21"/>
          <w:highlight w:val="none"/>
        </w:rPr>
      </w:pPr>
      <w:r>
        <w:rPr>
          <w:rFonts w:ascii="宋体" w:hAnsi="宋体"/>
          <w:b w:val="0"/>
          <w:color w:val="auto"/>
          <w:sz w:val="21"/>
          <w:szCs w:val="21"/>
          <w:highlight w:val="none"/>
        </w:rPr>
        <w:t xml:space="preserve">    4</w:t>
      </w:r>
      <w:r>
        <w:rPr>
          <w:rFonts w:hint="eastAsia" w:ascii="宋体" w:hAnsi="宋体"/>
          <w:b w:val="0"/>
          <w:color w:val="auto"/>
          <w:sz w:val="21"/>
          <w:szCs w:val="21"/>
          <w:highlight w:val="none"/>
        </w:rPr>
        <w:t>.2经投标人确认修正后的报价若超过采购预算金额或者最高限价或者最高单价限价，</w:t>
      </w:r>
      <w:r>
        <w:rPr>
          <w:rFonts w:hint="eastAsia" w:ascii="宋体" w:hAnsi="宋体"/>
          <w:color w:val="auto"/>
          <w:sz w:val="21"/>
          <w:szCs w:val="21"/>
          <w:highlight w:val="none"/>
        </w:rPr>
        <w:t>投标人的投标文件作无效投标处理</w:t>
      </w:r>
      <w:r>
        <w:rPr>
          <w:rFonts w:hint="eastAsia" w:ascii="宋体" w:hAnsi="宋体"/>
          <w:b w:val="0"/>
          <w:color w:val="auto"/>
          <w:sz w:val="21"/>
          <w:szCs w:val="21"/>
          <w:highlight w:val="none"/>
        </w:rPr>
        <w:t>。</w:t>
      </w:r>
    </w:p>
    <w:p w14:paraId="2F7CB50E">
      <w:pPr>
        <w:spacing w:line="360" w:lineRule="auto"/>
        <w:ind w:firstLine="420"/>
        <w:rPr>
          <w:rFonts w:ascii="宋体" w:hAnsi="宋体"/>
          <w:color w:val="auto"/>
          <w:szCs w:val="21"/>
          <w:highlight w:val="none"/>
        </w:rPr>
      </w:pPr>
      <w:r>
        <w:rPr>
          <w:rFonts w:ascii="宋体" w:hAnsi="宋体"/>
          <w:color w:val="auto"/>
          <w:szCs w:val="21"/>
          <w:highlight w:val="none"/>
        </w:rPr>
        <w:t>4</w:t>
      </w:r>
      <w:r>
        <w:rPr>
          <w:rFonts w:hint="eastAsia" w:ascii="宋体" w:hAnsi="宋体"/>
          <w:color w:val="auto"/>
          <w:szCs w:val="21"/>
          <w:highlight w:val="none"/>
        </w:rPr>
        <w:t>.3经投标人确认修正后的报价作为签订合同的依据，并以此报价计算价格分。</w:t>
      </w:r>
    </w:p>
    <w:p w14:paraId="12704FB1">
      <w:pPr>
        <w:pStyle w:val="6"/>
        <w:keepNext w:val="0"/>
        <w:keepLines w:val="0"/>
        <w:spacing w:before="0" w:after="0" w:line="360" w:lineRule="auto"/>
        <w:ind w:left="420"/>
        <w:rPr>
          <w:rFonts w:ascii="宋体" w:hAnsi="宋体"/>
          <w:color w:val="auto"/>
          <w:sz w:val="21"/>
          <w:szCs w:val="21"/>
          <w:highlight w:val="none"/>
        </w:rPr>
      </w:pPr>
      <w:r>
        <w:rPr>
          <w:rFonts w:ascii="宋体" w:hAnsi="宋体"/>
          <w:color w:val="auto"/>
          <w:sz w:val="21"/>
          <w:szCs w:val="21"/>
          <w:highlight w:val="none"/>
        </w:rPr>
        <w:t>5.</w:t>
      </w:r>
      <w:r>
        <w:rPr>
          <w:rFonts w:hint="eastAsia" w:ascii="宋体" w:hAnsi="宋体"/>
          <w:color w:val="auto"/>
          <w:sz w:val="21"/>
          <w:szCs w:val="21"/>
          <w:highlight w:val="none"/>
        </w:rPr>
        <w:t>比较与评价</w:t>
      </w:r>
    </w:p>
    <w:p w14:paraId="74BD32CA">
      <w:pPr>
        <w:spacing w:line="360" w:lineRule="auto"/>
        <w:ind w:firstLine="420"/>
        <w:rPr>
          <w:rFonts w:ascii="宋体" w:hAnsi="宋体"/>
          <w:color w:val="auto"/>
          <w:szCs w:val="21"/>
          <w:highlight w:val="none"/>
        </w:rPr>
      </w:pPr>
      <w:r>
        <w:rPr>
          <w:rFonts w:hint="eastAsia" w:ascii="宋体" w:hAnsi="宋体"/>
          <w:color w:val="auto"/>
          <w:szCs w:val="21"/>
          <w:highlight w:val="none"/>
        </w:rPr>
        <w:t>5.1采用综合评分法的</w:t>
      </w:r>
    </w:p>
    <w:p w14:paraId="0E8B9F53">
      <w:pPr>
        <w:spacing w:line="360" w:lineRule="auto"/>
        <w:ind w:firstLine="420"/>
        <w:rPr>
          <w:rFonts w:ascii="宋体" w:hAnsi="宋体"/>
          <w:color w:val="auto"/>
          <w:szCs w:val="21"/>
          <w:highlight w:val="none"/>
        </w:rPr>
      </w:pPr>
      <w:r>
        <w:rPr>
          <w:rFonts w:hint="eastAsia" w:ascii="宋体" w:hAnsi="宋体"/>
          <w:color w:val="auto"/>
          <w:szCs w:val="21"/>
          <w:highlight w:val="none"/>
        </w:rPr>
        <w:t>（1）评标委员会按照招标文件中规定的评标方法及评标标准，对符合性审查合格的投标文件进行商务和技术评估，综合比较与评价。</w:t>
      </w:r>
    </w:p>
    <w:p w14:paraId="62B3EF7A">
      <w:pPr>
        <w:spacing w:line="360" w:lineRule="auto"/>
        <w:ind w:firstLine="420"/>
        <w:rPr>
          <w:rFonts w:ascii="宋体" w:hAnsi="宋体"/>
          <w:color w:val="auto"/>
          <w:szCs w:val="21"/>
          <w:highlight w:val="none"/>
        </w:rPr>
      </w:pPr>
      <w:r>
        <w:rPr>
          <w:rFonts w:hint="eastAsia" w:ascii="宋体" w:hAnsi="宋体"/>
          <w:color w:val="auto"/>
          <w:szCs w:val="21"/>
          <w:highlight w:val="none"/>
        </w:rPr>
        <w:t>（2）评标委员会独立对每个投标人的投标文件进行评价，并汇总每个投标人的得分。</w:t>
      </w:r>
    </w:p>
    <w:p w14:paraId="14BA82E9">
      <w:pPr>
        <w:spacing w:line="360" w:lineRule="auto"/>
        <w:ind w:firstLine="420"/>
        <w:rPr>
          <w:rFonts w:ascii="宋体" w:hAnsi="宋体"/>
          <w:color w:val="auto"/>
          <w:szCs w:val="21"/>
          <w:highlight w:val="none"/>
        </w:rPr>
      </w:pPr>
      <w:r>
        <w:rPr>
          <w:rFonts w:hint="eastAsia" w:ascii="宋体" w:hAnsi="宋体"/>
          <w:color w:val="auto"/>
          <w:szCs w:val="21"/>
          <w:highlight w:val="none"/>
        </w:rPr>
        <w:t>1）评标委员会在评审中发现下列情形之一的，应当启动异常低价投标审查程序：</w:t>
      </w:r>
    </w:p>
    <w:p w14:paraId="2CDCB506">
      <w:pPr>
        <w:spacing w:line="360" w:lineRule="auto"/>
        <w:ind w:firstLine="420"/>
        <w:rPr>
          <w:rFonts w:ascii="宋体" w:hAnsi="宋体"/>
          <w:color w:val="auto"/>
          <w:szCs w:val="21"/>
          <w:highlight w:val="none"/>
        </w:rPr>
      </w:pPr>
      <w:r>
        <w:rPr>
          <w:rFonts w:hint="eastAsia" w:ascii="宋体" w:hAnsi="宋体"/>
          <w:color w:val="auto"/>
          <w:szCs w:val="21"/>
          <w:highlight w:val="none"/>
        </w:rPr>
        <w:t>①投标报价低于全部通过符合性审查供应商投标报价平均值</w:t>
      </w:r>
      <w:r>
        <w:rPr>
          <w:rFonts w:ascii="宋体" w:hAnsi="宋体"/>
          <w:color w:val="auto"/>
          <w:szCs w:val="21"/>
          <w:highlight w:val="none"/>
          <w:u w:val="single"/>
        </w:rPr>
        <w:t xml:space="preserve"> </w:t>
      </w:r>
      <w:r>
        <w:rPr>
          <w:rFonts w:hint="eastAsia" w:ascii="宋体" w:hAnsi="宋体"/>
          <w:color w:val="auto"/>
          <w:szCs w:val="21"/>
          <w:highlight w:val="none"/>
          <w:u w:val="single"/>
        </w:rPr>
        <w:t>65%</w:t>
      </w:r>
      <w:r>
        <w:rPr>
          <w:rFonts w:ascii="宋体" w:hAnsi="宋体"/>
          <w:color w:val="auto"/>
          <w:szCs w:val="21"/>
          <w:highlight w:val="none"/>
          <w:u w:val="single"/>
        </w:rPr>
        <w:t xml:space="preserve">  </w:t>
      </w:r>
      <w:r>
        <w:rPr>
          <w:rFonts w:hint="eastAsia" w:ascii="宋体" w:hAnsi="宋体"/>
          <w:color w:val="auto"/>
          <w:szCs w:val="21"/>
          <w:highlight w:val="none"/>
        </w:rPr>
        <w:t>的，即投标报价＜全部通过符合性审查供应商投标报价平均值×</w:t>
      </w:r>
      <w:r>
        <w:rPr>
          <w:rFonts w:ascii="宋体" w:hAnsi="宋体"/>
          <w:color w:val="auto"/>
          <w:szCs w:val="21"/>
          <w:highlight w:val="none"/>
          <w:u w:val="single"/>
        </w:rPr>
        <w:t xml:space="preserve">  </w:t>
      </w:r>
      <w:r>
        <w:rPr>
          <w:rFonts w:hint="eastAsia" w:ascii="宋体" w:hAnsi="宋体"/>
          <w:color w:val="auto"/>
          <w:szCs w:val="21"/>
          <w:highlight w:val="none"/>
          <w:u w:val="single"/>
        </w:rPr>
        <w:t>65%</w:t>
      </w:r>
      <w:r>
        <w:rPr>
          <w:rFonts w:ascii="宋体" w:hAnsi="宋体"/>
          <w:color w:val="auto"/>
          <w:szCs w:val="21"/>
          <w:highlight w:val="none"/>
          <w:u w:val="single"/>
        </w:rPr>
        <w:t xml:space="preserve">  </w:t>
      </w:r>
      <w:r>
        <w:rPr>
          <w:rFonts w:hint="eastAsia" w:ascii="宋体" w:hAnsi="宋体"/>
          <w:color w:val="auto"/>
          <w:szCs w:val="21"/>
          <w:highlight w:val="none"/>
        </w:rPr>
        <w:t>；</w:t>
      </w:r>
      <w:r>
        <w:rPr>
          <w:rFonts w:ascii="宋体" w:hAnsi="宋体"/>
          <w:i/>
          <w:color w:val="auto"/>
          <w:szCs w:val="21"/>
          <w:highlight w:val="none"/>
        </w:rPr>
        <w:t>（范围为</w:t>
      </w:r>
      <w:r>
        <w:rPr>
          <w:rFonts w:hint="eastAsia" w:ascii="宋体" w:hAnsi="宋体"/>
          <w:i/>
          <w:color w:val="auto"/>
          <w:szCs w:val="21"/>
          <w:highlight w:val="none"/>
        </w:rPr>
        <w:t>5</w:t>
      </w:r>
      <w:r>
        <w:rPr>
          <w:rFonts w:ascii="宋体" w:hAnsi="宋体"/>
          <w:i/>
          <w:color w:val="auto"/>
          <w:szCs w:val="21"/>
          <w:highlight w:val="none"/>
        </w:rPr>
        <w:t>0%-65%）</w:t>
      </w:r>
    </w:p>
    <w:p w14:paraId="3FAADD67">
      <w:pPr>
        <w:spacing w:line="360" w:lineRule="auto"/>
        <w:ind w:firstLine="420"/>
        <w:rPr>
          <w:rFonts w:ascii="宋体" w:hAnsi="宋体"/>
          <w:color w:val="auto"/>
          <w:szCs w:val="21"/>
          <w:highlight w:val="none"/>
        </w:rPr>
      </w:pPr>
      <w:r>
        <w:rPr>
          <w:rFonts w:hint="eastAsia" w:ascii="宋体" w:hAnsi="宋体"/>
          <w:color w:val="auto"/>
          <w:szCs w:val="21"/>
          <w:highlight w:val="none"/>
        </w:rPr>
        <w:t>②投标报价低于通过符合性审查的次低报价供应商投标报价</w:t>
      </w:r>
      <w:r>
        <w:rPr>
          <w:rFonts w:ascii="宋体" w:hAnsi="宋体"/>
          <w:color w:val="auto"/>
          <w:szCs w:val="21"/>
          <w:highlight w:val="none"/>
          <w:u w:val="single"/>
        </w:rPr>
        <w:t xml:space="preserve"> </w:t>
      </w:r>
      <w:r>
        <w:rPr>
          <w:rFonts w:hint="eastAsia" w:ascii="宋体" w:hAnsi="宋体"/>
          <w:color w:val="auto"/>
          <w:szCs w:val="21"/>
          <w:highlight w:val="none"/>
          <w:u w:val="single"/>
        </w:rPr>
        <w:t>65%</w:t>
      </w:r>
      <w:r>
        <w:rPr>
          <w:rFonts w:ascii="宋体" w:hAnsi="宋体"/>
          <w:color w:val="auto"/>
          <w:szCs w:val="21"/>
          <w:highlight w:val="none"/>
          <w:u w:val="single"/>
        </w:rPr>
        <w:t xml:space="preserve">  </w:t>
      </w:r>
      <w:r>
        <w:rPr>
          <w:rFonts w:hint="eastAsia" w:ascii="宋体" w:hAnsi="宋体"/>
          <w:color w:val="auto"/>
          <w:szCs w:val="21"/>
          <w:highlight w:val="none"/>
        </w:rPr>
        <w:t>的，即投标报价＜通过符合性审查的次低报价供应商投标报价×</w:t>
      </w:r>
      <w:r>
        <w:rPr>
          <w:rFonts w:ascii="宋体" w:hAnsi="宋体"/>
          <w:color w:val="auto"/>
          <w:szCs w:val="21"/>
          <w:highlight w:val="none"/>
          <w:u w:val="single"/>
        </w:rPr>
        <w:t xml:space="preserve">  </w:t>
      </w:r>
      <w:r>
        <w:rPr>
          <w:rFonts w:hint="eastAsia" w:ascii="宋体" w:hAnsi="宋体"/>
          <w:color w:val="auto"/>
          <w:szCs w:val="21"/>
          <w:highlight w:val="none"/>
          <w:u w:val="single"/>
        </w:rPr>
        <w:t>65%</w:t>
      </w:r>
      <w:r>
        <w:rPr>
          <w:rFonts w:ascii="宋体" w:hAnsi="宋体"/>
          <w:color w:val="auto"/>
          <w:szCs w:val="21"/>
          <w:highlight w:val="none"/>
          <w:u w:val="single"/>
        </w:rPr>
        <w:t xml:space="preserve"> </w:t>
      </w:r>
      <w:r>
        <w:rPr>
          <w:rFonts w:hint="eastAsia" w:ascii="宋体" w:hAnsi="宋体"/>
          <w:color w:val="auto"/>
          <w:szCs w:val="21"/>
          <w:highlight w:val="none"/>
        </w:rPr>
        <w:t>；</w:t>
      </w:r>
      <w:r>
        <w:rPr>
          <w:rFonts w:ascii="宋体" w:hAnsi="宋体"/>
          <w:i/>
          <w:color w:val="auto"/>
          <w:szCs w:val="21"/>
          <w:highlight w:val="none"/>
        </w:rPr>
        <w:t>（范围为</w:t>
      </w:r>
      <w:r>
        <w:rPr>
          <w:rFonts w:hint="eastAsia" w:ascii="宋体" w:hAnsi="宋体"/>
          <w:i/>
          <w:color w:val="auto"/>
          <w:szCs w:val="21"/>
          <w:highlight w:val="none"/>
        </w:rPr>
        <w:t>5</w:t>
      </w:r>
      <w:r>
        <w:rPr>
          <w:rFonts w:ascii="宋体" w:hAnsi="宋体"/>
          <w:i/>
          <w:color w:val="auto"/>
          <w:szCs w:val="21"/>
          <w:highlight w:val="none"/>
        </w:rPr>
        <w:t>0%-65%）</w:t>
      </w:r>
    </w:p>
    <w:p w14:paraId="2FF1AEBD">
      <w:pPr>
        <w:spacing w:line="360" w:lineRule="auto"/>
        <w:ind w:firstLine="420"/>
        <w:rPr>
          <w:rFonts w:ascii="宋体" w:hAnsi="宋体"/>
          <w:color w:val="auto"/>
          <w:szCs w:val="21"/>
          <w:highlight w:val="none"/>
        </w:rPr>
      </w:pPr>
      <w:r>
        <w:rPr>
          <w:rFonts w:hint="eastAsia" w:ascii="宋体" w:hAnsi="宋体"/>
          <w:color w:val="auto"/>
          <w:szCs w:val="21"/>
          <w:highlight w:val="none"/>
        </w:rPr>
        <w:t>③投标报价低于采购项目最高限价</w:t>
      </w:r>
      <w:r>
        <w:rPr>
          <w:rFonts w:ascii="宋体" w:hAnsi="宋体"/>
          <w:color w:val="auto"/>
          <w:szCs w:val="21"/>
          <w:highlight w:val="none"/>
          <w:u w:val="single"/>
        </w:rPr>
        <w:t xml:space="preserve">  </w:t>
      </w:r>
      <w:r>
        <w:rPr>
          <w:rFonts w:hint="eastAsia" w:ascii="宋体" w:hAnsi="宋体"/>
          <w:color w:val="auto"/>
          <w:szCs w:val="21"/>
          <w:highlight w:val="none"/>
          <w:u w:val="single"/>
        </w:rPr>
        <w:t>65%</w:t>
      </w:r>
      <w:r>
        <w:rPr>
          <w:rFonts w:ascii="宋体" w:hAnsi="宋体"/>
          <w:color w:val="auto"/>
          <w:szCs w:val="21"/>
          <w:highlight w:val="none"/>
          <w:u w:val="single"/>
        </w:rPr>
        <w:t xml:space="preserve"> </w:t>
      </w:r>
      <w:r>
        <w:rPr>
          <w:rFonts w:hint="eastAsia" w:ascii="宋体" w:hAnsi="宋体"/>
          <w:color w:val="auto"/>
          <w:szCs w:val="21"/>
          <w:highlight w:val="none"/>
        </w:rPr>
        <w:t>的，即投标报价＜采购项目最高限价×</w:t>
      </w:r>
      <w:r>
        <w:rPr>
          <w:rFonts w:ascii="宋体" w:hAnsi="宋体"/>
          <w:color w:val="auto"/>
          <w:szCs w:val="21"/>
          <w:highlight w:val="none"/>
          <w:u w:val="single"/>
        </w:rPr>
        <w:t xml:space="preserve"> </w:t>
      </w:r>
      <w:r>
        <w:rPr>
          <w:rFonts w:hint="eastAsia" w:ascii="宋体" w:hAnsi="宋体"/>
          <w:color w:val="auto"/>
          <w:szCs w:val="21"/>
          <w:highlight w:val="none"/>
          <w:u w:val="single"/>
        </w:rPr>
        <w:t>65%</w:t>
      </w:r>
      <w:r>
        <w:rPr>
          <w:rFonts w:ascii="宋体" w:hAnsi="宋体"/>
          <w:color w:val="auto"/>
          <w:szCs w:val="21"/>
          <w:highlight w:val="none"/>
          <w:u w:val="single"/>
        </w:rPr>
        <w:t xml:space="preserve">  </w:t>
      </w:r>
      <w:r>
        <w:rPr>
          <w:rFonts w:hint="eastAsia" w:ascii="宋体" w:hAnsi="宋体"/>
          <w:color w:val="auto"/>
          <w:szCs w:val="21"/>
          <w:highlight w:val="none"/>
        </w:rPr>
        <w:t>；</w:t>
      </w:r>
      <w:r>
        <w:rPr>
          <w:rFonts w:ascii="宋体" w:hAnsi="宋体"/>
          <w:i/>
          <w:color w:val="auto"/>
          <w:szCs w:val="21"/>
          <w:highlight w:val="none"/>
        </w:rPr>
        <w:t>（范围为45%-65%）</w:t>
      </w:r>
    </w:p>
    <w:p w14:paraId="1045F979">
      <w:pPr>
        <w:spacing w:line="360" w:lineRule="auto"/>
        <w:ind w:firstLine="420"/>
        <w:rPr>
          <w:rFonts w:ascii="宋体" w:hAnsi="宋体"/>
          <w:color w:val="auto"/>
          <w:szCs w:val="21"/>
          <w:highlight w:val="none"/>
        </w:rPr>
      </w:pPr>
      <w:r>
        <w:rPr>
          <w:rFonts w:hint="eastAsia" w:ascii="宋体" w:hAnsi="宋体"/>
          <w:color w:val="auto"/>
          <w:szCs w:val="21"/>
          <w:highlight w:val="none"/>
        </w:rPr>
        <w:t>④评标委员会基于专业判断，认为供应商报价过低，有可能影响产品质量或者不能诚信履约的其他情形。</w:t>
      </w:r>
    </w:p>
    <w:p w14:paraId="12A6527A">
      <w:pPr>
        <w:spacing w:line="360" w:lineRule="auto"/>
        <w:ind w:firstLine="420"/>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评标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③项情形，供应商已随投标文件一并提交相关书面说明及必要的证明材料的，可不再重复提交。</w:t>
      </w:r>
    </w:p>
    <w:p w14:paraId="6C032367">
      <w:pPr>
        <w:spacing w:line="360" w:lineRule="auto"/>
        <w:ind w:firstLine="420"/>
        <w:rPr>
          <w:rFonts w:ascii="宋体" w:hAnsi="宋体"/>
          <w:color w:val="auto"/>
          <w:szCs w:val="21"/>
          <w:highlight w:val="none"/>
        </w:rPr>
      </w:pPr>
      <w:r>
        <w:rPr>
          <w:rFonts w:hint="eastAsia" w:ascii="宋体" w:hAnsi="宋体"/>
          <w:color w:val="auto"/>
          <w:szCs w:val="21"/>
          <w:highlight w:val="none"/>
        </w:rPr>
        <w:t>评标委员会依据专业经验，参考同类项目中标（成交）价格、类似产品市场价格水平、行业人工费用标准、国家有关部门指导行业协会发布的行业平均成本等情况，对报价合理性进行判断。</w:t>
      </w:r>
      <w:r>
        <w:rPr>
          <w:rFonts w:hint="eastAsia" w:ascii="宋体" w:hAnsi="宋体"/>
          <w:b/>
          <w:color w:val="auto"/>
          <w:szCs w:val="21"/>
          <w:highlight w:val="none"/>
        </w:rPr>
        <w:t>投标供应商不能提供书面说明、证明材料，或者提供的书面说明、证明材料不能证明其报价合理性的，评标委员会应当将其作为无效投标处理。</w:t>
      </w:r>
    </w:p>
    <w:p w14:paraId="787EC48B">
      <w:pPr>
        <w:spacing w:line="360" w:lineRule="auto"/>
        <w:ind w:firstLine="420"/>
        <w:rPr>
          <w:rFonts w:ascii="宋体" w:hAnsi="宋体"/>
          <w:color w:val="auto"/>
          <w:szCs w:val="21"/>
          <w:highlight w:val="none"/>
        </w:rPr>
      </w:pPr>
      <w:r>
        <w:rPr>
          <w:rFonts w:hint="eastAsia" w:ascii="宋体" w:hAnsi="宋体"/>
          <w:color w:val="auto"/>
          <w:szCs w:val="21"/>
          <w:highlight w:val="none"/>
        </w:rPr>
        <w:t>采购人、采购代理机构应当为评标委员会在评审现场及时获取同类项目中标（成交）价格、类似产品市场价格水平、行业人工费用标准、国家有关部门指导行业协会发布的行业平均成本等相关信息资料提供便利。评标委员会借助互联网等渠道查询相关信息的，应当严格遵守评审工作纪律，不得实施影响评审公正的行为。</w:t>
      </w:r>
    </w:p>
    <w:p w14:paraId="35031EED">
      <w:pPr>
        <w:spacing w:line="360" w:lineRule="auto"/>
        <w:ind w:firstLine="420"/>
        <w:rPr>
          <w:rFonts w:ascii="宋体" w:hAnsi="宋体"/>
          <w:color w:val="auto"/>
          <w:szCs w:val="21"/>
          <w:highlight w:val="none"/>
        </w:rPr>
      </w:pPr>
      <w:r>
        <w:rPr>
          <w:rFonts w:hint="eastAsia" w:ascii="宋体" w:hAnsi="宋体"/>
          <w:color w:val="auto"/>
          <w:szCs w:val="21"/>
          <w:highlight w:val="none"/>
        </w:rPr>
        <w:t>异常低价投标审查的启动原因、审查意见和审查结果应当在评审报告中记录，并随供应商提供的相关书面说明及证明材料，以及评标委员会有关互联网浏览、查询历史一并归档。</w:t>
      </w:r>
    </w:p>
    <w:p w14:paraId="64586B8B">
      <w:pPr>
        <w:spacing w:line="360" w:lineRule="auto"/>
        <w:ind w:firstLine="420"/>
        <w:rPr>
          <w:rFonts w:ascii="宋体" w:hAnsi="宋体"/>
          <w:color w:val="auto"/>
          <w:szCs w:val="21"/>
          <w:highlight w:val="none"/>
        </w:rPr>
      </w:pPr>
      <w:r>
        <w:rPr>
          <w:rFonts w:hint="eastAsia" w:ascii="宋体" w:hAnsi="宋体"/>
          <w:color w:val="auto"/>
          <w:szCs w:val="21"/>
          <w:highlight w:val="none"/>
        </w:rPr>
        <w:t>（3）评标委员会按照招标文件中规定的评标方法和标准计算各投标人的报价得分。在计算过程中，不得去掉最高报价或者最低报价。</w:t>
      </w:r>
    </w:p>
    <w:p w14:paraId="30FB6AE6">
      <w:pPr>
        <w:spacing w:line="360" w:lineRule="auto"/>
        <w:ind w:firstLine="420"/>
        <w:rPr>
          <w:rFonts w:ascii="宋体" w:hAnsi="宋体"/>
          <w:color w:val="auto"/>
          <w:szCs w:val="21"/>
          <w:highlight w:val="none"/>
        </w:rPr>
      </w:pPr>
      <w:r>
        <w:rPr>
          <w:rFonts w:hint="eastAsia" w:ascii="宋体" w:hAnsi="宋体"/>
          <w:color w:val="auto"/>
          <w:szCs w:val="21"/>
          <w:highlight w:val="none"/>
        </w:rPr>
        <w:t>（4）各投标人的得分为所有评委的有效评分的算术平均数。</w:t>
      </w:r>
    </w:p>
    <w:p w14:paraId="2AB2A4B7">
      <w:pPr>
        <w:spacing w:line="360" w:lineRule="auto"/>
        <w:ind w:firstLine="420"/>
        <w:rPr>
          <w:rFonts w:ascii="宋体" w:hAnsi="宋体"/>
          <w:color w:val="auto"/>
          <w:szCs w:val="21"/>
          <w:highlight w:val="none"/>
        </w:rPr>
      </w:pPr>
      <w:r>
        <w:rPr>
          <w:rFonts w:hint="eastAsia" w:ascii="宋体" w:hAnsi="宋体"/>
          <w:color w:val="auto"/>
          <w:szCs w:val="21"/>
          <w:highlight w:val="none"/>
        </w:rPr>
        <w:t>（5）评标委员会按照招标文件中的规定推荐中标候选人。</w:t>
      </w:r>
    </w:p>
    <w:p w14:paraId="71CC507E">
      <w:pPr>
        <w:spacing w:line="360" w:lineRule="auto"/>
        <w:ind w:firstLine="420"/>
        <w:rPr>
          <w:rFonts w:ascii="宋体" w:hAnsi="宋体"/>
          <w:color w:val="auto"/>
          <w:szCs w:val="21"/>
          <w:highlight w:val="none"/>
        </w:rPr>
      </w:pPr>
      <w:r>
        <w:rPr>
          <w:rFonts w:hint="eastAsia" w:ascii="宋体" w:hAnsi="宋体"/>
          <w:color w:val="auto"/>
          <w:szCs w:val="21"/>
          <w:highlight w:val="none"/>
        </w:rPr>
        <w:t>（6）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成员应当在评标报告上签署不同意见及理由，否则视为同意评标报告。</w:t>
      </w:r>
    </w:p>
    <w:p w14:paraId="222BDC1D">
      <w:pPr>
        <w:spacing w:line="360" w:lineRule="auto"/>
        <w:ind w:firstLine="424"/>
        <w:jc w:val="center"/>
        <w:rPr>
          <w:color w:val="auto"/>
          <w:highlight w:val="none"/>
        </w:rPr>
      </w:pPr>
      <w:r>
        <w:rPr>
          <w:rFonts w:ascii="宋体" w:hAnsi="宋体"/>
          <w:color w:val="auto"/>
          <w:szCs w:val="21"/>
          <w:highlight w:val="none"/>
        </w:rPr>
        <w:br w:type="page" w:clear="all"/>
      </w:r>
      <w:r>
        <w:rPr>
          <w:rFonts w:ascii="宋体" w:hAnsi="宋体" w:cs="宋体"/>
          <w:b/>
          <w:bCs/>
          <w:color w:val="auto"/>
          <w:sz w:val="32"/>
          <w:szCs w:val="32"/>
          <w:highlight w:val="none"/>
        </w:rPr>
        <w:t>三</w:t>
      </w:r>
      <w:r>
        <w:rPr>
          <w:rFonts w:hint="eastAsia" w:ascii="宋体" w:hAnsi="宋体" w:cs="宋体"/>
          <w:b/>
          <w:bCs/>
          <w:color w:val="auto"/>
          <w:sz w:val="32"/>
          <w:szCs w:val="32"/>
          <w:highlight w:val="none"/>
        </w:rPr>
        <w:t>、评标标准</w:t>
      </w:r>
    </w:p>
    <w:p w14:paraId="35D52D2D">
      <w:pPr>
        <w:pStyle w:val="4"/>
        <w:keepNext w:val="0"/>
        <w:keepLines w:val="0"/>
        <w:jc w:val="center"/>
        <w:rPr>
          <w:rFonts w:hint="eastAsia"/>
          <w:color w:val="auto"/>
          <w:highlight w:val="none"/>
        </w:rPr>
      </w:pPr>
      <w:r>
        <w:rPr>
          <w:rFonts w:hint="eastAsia"/>
          <w:color w:val="auto"/>
          <w:highlight w:val="none"/>
        </w:rPr>
        <w:t>综合评分法</w:t>
      </w:r>
    </w:p>
    <w:p w14:paraId="7F20F640">
      <w:pPr>
        <w:rPr>
          <w:rFonts w:hint="eastAsia"/>
          <w:color w:val="auto"/>
          <w:highlight w:val="none"/>
        </w:rPr>
      </w:pPr>
    </w:p>
    <w:tbl>
      <w:tblPr>
        <w:tblStyle w:val="50"/>
        <w:tblW w:w="96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0"/>
        <w:gridCol w:w="1280"/>
        <w:gridCol w:w="709"/>
        <w:gridCol w:w="1559"/>
        <w:gridCol w:w="5410"/>
      </w:tblGrid>
      <w:tr w14:paraId="0A5C5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730" w:type="dxa"/>
            <w:vAlign w:val="center"/>
          </w:tcPr>
          <w:p w14:paraId="4C5EEC3A">
            <w:pPr>
              <w:adjustRightInd w:val="0"/>
              <w:spacing w:line="410" w:lineRule="exact"/>
              <w:jc w:val="center"/>
              <w:textAlignment w:val="baseline"/>
              <w:rPr>
                <w:rFonts w:hint="eastAsia" w:ascii="宋体" w:hAnsi="宋体" w:cs="宋体"/>
                <w:b/>
                <w:color w:val="auto"/>
                <w:szCs w:val="21"/>
                <w:highlight w:val="none"/>
              </w:rPr>
            </w:pPr>
            <w:r>
              <w:rPr>
                <w:rFonts w:hint="eastAsia" w:ascii="宋体" w:hAnsi="宋体" w:cs="宋体"/>
                <w:b/>
                <w:color w:val="auto"/>
                <w:szCs w:val="21"/>
                <w:highlight w:val="none"/>
              </w:rPr>
              <w:t>序号</w:t>
            </w:r>
          </w:p>
        </w:tc>
        <w:tc>
          <w:tcPr>
            <w:tcW w:w="1280" w:type="dxa"/>
            <w:vAlign w:val="center"/>
          </w:tcPr>
          <w:p w14:paraId="70993D8A">
            <w:pPr>
              <w:adjustRightInd w:val="0"/>
              <w:spacing w:line="410" w:lineRule="exact"/>
              <w:jc w:val="center"/>
              <w:textAlignment w:val="baseline"/>
              <w:rPr>
                <w:rFonts w:hint="eastAsia" w:ascii="宋体" w:hAnsi="宋体" w:cs="宋体"/>
                <w:color w:val="auto"/>
                <w:szCs w:val="21"/>
                <w:highlight w:val="none"/>
              </w:rPr>
            </w:pPr>
            <w:r>
              <w:rPr>
                <w:rFonts w:hint="eastAsia" w:ascii="宋体" w:hAnsi="宋体" w:cs="宋体"/>
                <w:b/>
                <w:color w:val="auto"/>
                <w:szCs w:val="21"/>
                <w:highlight w:val="none"/>
              </w:rPr>
              <w:t>评审因素</w:t>
            </w:r>
          </w:p>
        </w:tc>
        <w:tc>
          <w:tcPr>
            <w:tcW w:w="709" w:type="dxa"/>
            <w:vAlign w:val="center"/>
          </w:tcPr>
          <w:p w14:paraId="41DADA7B">
            <w:pPr>
              <w:adjustRightInd w:val="0"/>
              <w:spacing w:line="410" w:lineRule="exact"/>
              <w:jc w:val="center"/>
              <w:textAlignment w:val="baseline"/>
              <w:rPr>
                <w:rFonts w:hint="eastAsia" w:ascii="宋体" w:hAnsi="宋体" w:cs="宋体"/>
                <w:b/>
                <w:color w:val="auto"/>
                <w:szCs w:val="21"/>
                <w:highlight w:val="none"/>
              </w:rPr>
            </w:pPr>
            <w:r>
              <w:rPr>
                <w:rFonts w:hint="eastAsia" w:ascii="宋体" w:hAnsi="宋体" w:cs="宋体"/>
                <w:b/>
                <w:color w:val="auto"/>
                <w:szCs w:val="21"/>
                <w:highlight w:val="none"/>
              </w:rPr>
              <w:t>分值</w:t>
            </w:r>
          </w:p>
        </w:tc>
        <w:tc>
          <w:tcPr>
            <w:tcW w:w="6969" w:type="dxa"/>
            <w:gridSpan w:val="2"/>
            <w:vAlign w:val="center"/>
          </w:tcPr>
          <w:p w14:paraId="03FC8A90">
            <w:pPr>
              <w:adjustRightInd w:val="0"/>
              <w:spacing w:line="410" w:lineRule="exact"/>
              <w:jc w:val="center"/>
              <w:textAlignment w:val="baseline"/>
              <w:rPr>
                <w:rFonts w:hint="eastAsia" w:ascii="宋体" w:hAnsi="宋体" w:cs="宋体"/>
                <w:b/>
                <w:color w:val="auto"/>
                <w:szCs w:val="21"/>
                <w:highlight w:val="none"/>
              </w:rPr>
            </w:pPr>
            <w:r>
              <w:rPr>
                <w:rFonts w:hint="eastAsia" w:ascii="宋体" w:hAnsi="宋体" w:cs="宋体"/>
                <w:b/>
                <w:color w:val="auto"/>
                <w:szCs w:val="21"/>
                <w:highlight w:val="none"/>
              </w:rPr>
              <w:t>评标标准</w:t>
            </w:r>
          </w:p>
        </w:tc>
      </w:tr>
      <w:tr w14:paraId="6580E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30" w:type="dxa"/>
            <w:vAlign w:val="center"/>
          </w:tcPr>
          <w:p w14:paraId="145C32B1">
            <w:pPr>
              <w:adjustRightInd w:val="0"/>
              <w:spacing w:line="360" w:lineRule="auto"/>
              <w:jc w:val="center"/>
              <w:textAlignment w:val="baseline"/>
              <w:rPr>
                <w:rFonts w:hint="eastAsia" w:ascii="宋体" w:hAnsi="宋体" w:cs="宋体"/>
                <w:b/>
                <w:color w:val="auto"/>
                <w:szCs w:val="21"/>
                <w:highlight w:val="none"/>
              </w:rPr>
            </w:pPr>
            <w:r>
              <w:rPr>
                <w:rFonts w:hint="eastAsia" w:ascii="宋体" w:hAnsi="宋体" w:cs="宋体"/>
                <w:b/>
                <w:color w:val="auto"/>
                <w:szCs w:val="21"/>
                <w:highlight w:val="none"/>
              </w:rPr>
              <w:t>1</w:t>
            </w:r>
          </w:p>
        </w:tc>
        <w:tc>
          <w:tcPr>
            <w:tcW w:w="1280" w:type="dxa"/>
            <w:vAlign w:val="center"/>
          </w:tcPr>
          <w:p w14:paraId="61AB065C">
            <w:pPr>
              <w:spacing w:line="360" w:lineRule="auto"/>
              <w:jc w:val="center"/>
              <w:rPr>
                <w:rFonts w:ascii="宋体" w:hAnsi="宋体"/>
                <w:b/>
                <w:color w:val="auto"/>
                <w:szCs w:val="21"/>
                <w:highlight w:val="none"/>
              </w:rPr>
            </w:pPr>
            <w:r>
              <w:rPr>
                <w:rFonts w:hint="eastAsia" w:ascii="宋体" w:hAnsi="宋体"/>
                <w:b/>
                <w:color w:val="auto"/>
                <w:szCs w:val="21"/>
                <w:highlight w:val="none"/>
              </w:rPr>
              <w:t>价格分</w:t>
            </w:r>
          </w:p>
          <w:p w14:paraId="30115B9C">
            <w:pPr>
              <w:adjustRightInd w:val="0"/>
              <w:spacing w:line="360" w:lineRule="auto"/>
              <w:jc w:val="center"/>
              <w:textAlignment w:val="baseline"/>
              <w:rPr>
                <w:rFonts w:hint="eastAsia" w:ascii="宋体" w:hAnsi="宋体" w:cs="宋体"/>
                <w:b/>
                <w:color w:val="auto"/>
                <w:szCs w:val="21"/>
                <w:highlight w:val="none"/>
              </w:rPr>
            </w:pPr>
            <w:r>
              <w:rPr>
                <w:rFonts w:hint="eastAsia" w:ascii="宋体" w:hAnsi="宋体"/>
                <w:b/>
                <w:bCs/>
                <w:color w:val="auto"/>
                <w:szCs w:val="21"/>
                <w:highlight w:val="none"/>
              </w:rPr>
              <w:t>（满分30分）</w:t>
            </w:r>
          </w:p>
        </w:tc>
        <w:tc>
          <w:tcPr>
            <w:tcW w:w="709" w:type="dxa"/>
            <w:vAlign w:val="center"/>
          </w:tcPr>
          <w:p w14:paraId="24F44910">
            <w:pPr>
              <w:adjustRightInd w:val="0"/>
              <w:spacing w:line="360" w:lineRule="auto"/>
              <w:jc w:val="center"/>
              <w:textAlignment w:val="baseline"/>
              <w:rPr>
                <w:rFonts w:hint="eastAsia" w:ascii="宋体" w:hAnsi="宋体" w:cs="宋体"/>
                <w:b/>
                <w:color w:val="auto"/>
                <w:szCs w:val="21"/>
                <w:highlight w:val="none"/>
              </w:rPr>
            </w:pPr>
            <w:r>
              <w:rPr>
                <w:rFonts w:hint="eastAsia" w:ascii="宋体" w:hAnsi="宋体"/>
                <w:b/>
                <w:color w:val="auto"/>
                <w:szCs w:val="21"/>
                <w:highlight w:val="none"/>
              </w:rPr>
              <w:t>投标报价</w:t>
            </w:r>
          </w:p>
        </w:tc>
        <w:tc>
          <w:tcPr>
            <w:tcW w:w="6969" w:type="dxa"/>
            <w:gridSpan w:val="2"/>
            <w:vAlign w:val="center"/>
          </w:tcPr>
          <w:p w14:paraId="06E4E75E">
            <w:pPr>
              <w:spacing w:line="360" w:lineRule="auto"/>
              <w:ind w:firstLine="233"/>
              <w:rPr>
                <w:rFonts w:ascii="宋体" w:hAnsi="宋体"/>
                <w:bCs/>
                <w:color w:val="auto"/>
                <w:szCs w:val="21"/>
                <w:highlight w:val="none"/>
              </w:rPr>
            </w:pPr>
            <w:r>
              <w:rPr>
                <w:rFonts w:hint="eastAsia" w:ascii="宋体" w:hAnsi="宋体"/>
                <w:bCs/>
                <w:color w:val="auto"/>
                <w:szCs w:val="21"/>
                <w:highlight w:val="none"/>
              </w:rPr>
              <w:t>（1）评标报价为投标人的投标报价进行政策性扣除后的价格，评标报价只是作为评标时使用。最终中标人的中标金额等于投标报价。</w:t>
            </w:r>
          </w:p>
          <w:p w14:paraId="168CBF0B">
            <w:pPr>
              <w:spacing w:line="360" w:lineRule="auto"/>
              <w:ind w:firstLine="233"/>
              <w:rPr>
                <w:rFonts w:ascii="宋体" w:hAnsi="宋体"/>
                <w:bCs/>
                <w:color w:val="auto"/>
                <w:szCs w:val="21"/>
                <w:highlight w:val="none"/>
              </w:rPr>
            </w:pPr>
            <w:r>
              <w:rPr>
                <w:rFonts w:hint="eastAsia" w:ascii="宋体" w:hAnsi="宋体"/>
                <w:bCs/>
                <w:color w:val="auto"/>
                <w:szCs w:val="21"/>
                <w:highlight w:val="none"/>
              </w:rPr>
              <w:t>（2）政策性扣除计算方法。</w:t>
            </w:r>
          </w:p>
          <w:p w14:paraId="00A85465">
            <w:pPr>
              <w:spacing w:line="360" w:lineRule="auto"/>
              <w:ind w:firstLine="420" w:firstLineChars="200"/>
              <w:rPr>
                <w:rFonts w:ascii="宋体" w:hAnsi="宋体"/>
                <w:bCs/>
                <w:color w:val="auto"/>
                <w:szCs w:val="21"/>
                <w:highlight w:val="none"/>
              </w:rPr>
            </w:pPr>
            <w:r>
              <w:rPr>
                <w:rFonts w:hint="eastAsia" w:ascii="宋体" w:hAnsi="宋体" w:eastAsia="宋体" w:cs="Times New Roman"/>
                <w:bCs/>
                <w:color w:val="auto"/>
                <w:sz w:val="21"/>
                <w:szCs w:val="21"/>
                <w:highlight w:val="none"/>
                <w:lang w:val="en-US" w:eastAsia="zh-CN" w:bidi="ar-SA"/>
              </w:rPr>
              <w:t>本</w:t>
            </w:r>
            <w:r>
              <w:rPr>
                <w:rFonts w:hint="eastAsia" w:ascii="宋体" w:hAnsi="宋体" w:cs="Times New Roman"/>
                <w:bCs/>
                <w:color w:val="auto"/>
                <w:sz w:val="21"/>
                <w:szCs w:val="21"/>
                <w:highlight w:val="none"/>
                <w:lang w:val="en-US" w:eastAsia="zh-CN" w:bidi="ar-SA"/>
              </w:rPr>
              <w:t>项目</w:t>
            </w:r>
            <w:r>
              <w:rPr>
                <w:rFonts w:hint="eastAsia" w:ascii="宋体" w:hAnsi="宋体" w:eastAsia="宋体" w:cs="Times New Roman"/>
                <w:bCs/>
                <w:color w:val="auto"/>
                <w:sz w:val="21"/>
                <w:szCs w:val="21"/>
                <w:highlight w:val="none"/>
                <w:lang w:val="en-US" w:eastAsia="zh-CN" w:bidi="ar-SA"/>
              </w:rPr>
              <w:t>专门面向中小</w:t>
            </w:r>
            <w:r>
              <w:rPr>
                <w:rFonts w:hint="eastAsia" w:ascii="宋体" w:hAnsi="宋体" w:cs="Times New Roman"/>
                <w:bCs/>
                <w:color w:val="auto"/>
                <w:sz w:val="21"/>
                <w:szCs w:val="21"/>
                <w:highlight w:val="none"/>
                <w:lang w:val="en-US" w:eastAsia="zh-CN" w:bidi="ar-SA"/>
              </w:rPr>
              <w:t>微</w:t>
            </w:r>
            <w:r>
              <w:rPr>
                <w:rFonts w:hint="eastAsia" w:ascii="宋体" w:hAnsi="宋体" w:eastAsia="宋体" w:cs="Times New Roman"/>
                <w:bCs/>
                <w:color w:val="auto"/>
                <w:sz w:val="21"/>
                <w:szCs w:val="21"/>
                <w:highlight w:val="none"/>
                <w:lang w:val="en-US" w:eastAsia="zh-CN" w:bidi="ar-SA"/>
              </w:rPr>
              <w:t>企业采购，即提供的货物全部由符合政策要求的中小</w:t>
            </w:r>
            <w:r>
              <w:rPr>
                <w:rFonts w:hint="eastAsia" w:ascii="宋体" w:hAnsi="宋体" w:cs="Times New Roman"/>
                <w:bCs/>
                <w:color w:val="auto"/>
                <w:sz w:val="21"/>
                <w:szCs w:val="21"/>
                <w:highlight w:val="none"/>
                <w:lang w:val="en-US" w:eastAsia="zh-CN" w:bidi="ar-SA"/>
              </w:rPr>
              <w:t>微</w:t>
            </w:r>
            <w:r>
              <w:rPr>
                <w:rFonts w:hint="eastAsia" w:ascii="宋体" w:hAnsi="宋体" w:eastAsia="宋体" w:cs="Times New Roman"/>
                <w:bCs/>
                <w:color w:val="auto"/>
                <w:sz w:val="21"/>
                <w:szCs w:val="21"/>
                <w:highlight w:val="none"/>
                <w:lang w:val="en-US" w:eastAsia="zh-CN" w:bidi="ar-SA"/>
              </w:rPr>
              <w:t>企业制造，不再给予小微企业报价折扣或加分；在采购活动中，监狱企业、残疾人福利性单位视同小型、微型企业。</w:t>
            </w:r>
          </w:p>
          <w:p w14:paraId="36353A9D">
            <w:pPr>
              <w:spacing w:line="360" w:lineRule="auto"/>
              <w:ind w:firstLine="443"/>
              <w:rPr>
                <w:rFonts w:ascii="宋体" w:hAnsi="宋体"/>
                <w:bCs/>
                <w:color w:val="auto"/>
                <w:szCs w:val="21"/>
                <w:highlight w:val="none"/>
              </w:rPr>
            </w:pPr>
            <w:r>
              <w:rPr>
                <w:rFonts w:hint="eastAsia" w:ascii="宋体" w:hAnsi="宋体"/>
                <w:bCs/>
                <w:color w:val="auto"/>
                <w:szCs w:val="21"/>
                <w:highlight w:val="none"/>
              </w:rPr>
              <w:t>根据《国务院办公厅关于在政府采购中实施本国产品标准及相关政策的通知》，投标人在其投标文件中提供《关于符合本国产品标准的声明函》，且政府采购活动中既有本国产品又有非本国产品参与竞争的，依法对本国产品给予价格评审优惠，对本国产品的报价给予20%的价格扣除。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加评审。即评审价=投标报价-本国产品折扣，除上述情况外，评审价=投标报价。</w:t>
            </w:r>
          </w:p>
          <w:p w14:paraId="5DB70157">
            <w:pPr>
              <w:spacing w:line="360" w:lineRule="auto"/>
              <w:ind w:firstLine="233"/>
              <w:rPr>
                <w:rFonts w:ascii="宋体" w:hAnsi="宋体"/>
                <w:bCs/>
                <w:color w:val="auto"/>
                <w:szCs w:val="21"/>
                <w:highlight w:val="none"/>
              </w:rPr>
            </w:pPr>
            <w:r>
              <w:rPr>
                <w:rFonts w:hint="eastAsia" w:ascii="宋体" w:hAnsi="宋体"/>
                <w:bCs/>
                <w:color w:val="auto"/>
                <w:szCs w:val="21"/>
                <w:highlight w:val="none"/>
              </w:rPr>
              <w:t>（3）满足招标文件要求且评标报价最低的评标报价为评标基准价，其价格分为满分。</w:t>
            </w:r>
          </w:p>
          <w:p w14:paraId="23113091">
            <w:pPr>
              <w:spacing w:line="360" w:lineRule="auto"/>
              <w:ind w:firstLine="233"/>
              <w:rPr>
                <w:rFonts w:hint="eastAsia" w:hAnsi="宋体" w:cs="宋体"/>
                <w:bCs/>
                <w:color w:val="auto"/>
                <w:kern w:val="2"/>
                <w:highlight w:val="none"/>
              </w:rPr>
            </w:pPr>
            <w:r>
              <w:rPr>
                <w:rFonts w:hint="eastAsia" w:ascii="宋体" w:hAnsi="宋体"/>
                <w:bCs/>
                <w:color w:val="auto"/>
                <w:szCs w:val="21"/>
                <w:highlight w:val="none"/>
              </w:rPr>
              <w:t>（4）价格分计算公式：价格分=（评标基准价／评标报价）×30分</w:t>
            </w:r>
          </w:p>
        </w:tc>
      </w:tr>
      <w:tr w14:paraId="45C92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6" w:hRule="atLeast"/>
          <w:jc w:val="center"/>
        </w:trPr>
        <w:tc>
          <w:tcPr>
            <w:tcW w:w="730" w:type="dxa"/>
            <w:vMerge w:val="restart"/>
            <w:vAlign w:val="center"/>
          </w:tcPr>
          <w:p w14:paraId="1C8C67B2">
            <w:pPr>
              <w:adjustRightInd w:val="0"/>
              <w:spacing w:line="360" w:lineRule="auto"/>
              <w:jc w:val="center"/>
              <w:textAlignment w:val="baseline"/>
              <w:rPr>
                <w:rFonts w:hint="eastAsia" w:ascii="宋体" w:hAnsi="宋体" w:cs="宋体"/>
                <w:b/>
                <w:color w:val="auto"/>
                <w:szCs w:val="21"/>
                <w:highlight w:val="none"/>
              </w:rPr>
            </w:pPr>
            <w:r>
              <w:rPr>
                <w:rFonts w:hint="eastAsia" w:ascii="宋体" w:hAnsi="宋体" w:cs="宋体"/>
                <w:b/>
                <w:color w:val="auto"/>
                <w:szCs w:val="21"/>
                <w:highlight w:val="none"/>
              </w:rPr>
              <w:t>2</w:t>
            </w:r>
          </w:p>
        </w:tc>
        <w:tc>
          <w:tcPr>
            <w:tcW w:w="1280" w:type="dxa"/>
            <w:vMerge w:val="restart"/>
            <w:vAlign w:val="center"/>
          </w:tcPr>
          <w:p w14:paraId="5172D39B">
            <w:pPr>
              <w:adjustRightInd w:val="0"/>
              <w:spacing w:line="360" w:lineRule="auto"/>
              <w:jc w:val="center"/>
              <w:textAlignment w:val="baseline"/>
              <w:rPr>
                <w:rFonts w:hint="eastAsia" w:ascii="宋体" w:hAnsi="宋体" w:cs="宋体"/>
                <w:b/>
                <w:color w:val="auto"/>
                <w:szCs w:val="21"/>
                <w:highlight w:val="none"/>
              </w:rPr>
            </w:pPr>
            <w:r>
              <w:rPr>
                <w:rFonts w:hint="eastAsia" w:ascii="宋体" w:hAnsi="宋体" w:cs="宋体"/>
                <w:b/>
                <w:color w:val="auto"/>
                <w:szCs w:val="21"/>
                <w:highlight w:val="none"/>
              </w:rPr>
              <w:t>技术水平</w:t>
            </w:r>
          </w:p>
        </w:tc>
        <w:tc>
          <w:tcPr>
            <w:tcW w:w="709" w:type="dxa"/>
            <w:vMerge w:val="restart"/>
            <w:vAlign w:val="center"/>
          </w:tcPr>
          <w:p w14:paraId="3D2CC723">
            <w:pPr>
              <w:adjustRightInd w:val="0"/>
              <w:spacing w:line="360" w:lineRule="auto"/>
              <w:jc w:val="center"/>
              <w:textAlignment w:val="baseline"/>
              <w:rPr>
                <w:rFonts w:hint="eastAsia" w:ascii="宋体" w:hAnsi="宋体" w:cs="宋体"/>
                <w:b/>
                <w:color w:val="auto"/>
                <w:szCs w:val="21"/>
                <w:highlight w:val="none"/>
              </w:rPr>
            </w:pPr>
            <w:r>
              <w:rPr>
                <w:rFonts w:hint="eastAsia" w:ascii="宋体" w:hAnsi="宋体" w:cs="宋体"/>
                <w:b/>
                <w:color w:val="auto"/>
                <w:szCs w:val="21"/>
                <w:highlight w:val="none"/>
              </w:rPr>
              <w:t>47分</w:t>
            </w:r>
          </w:p>
        </w:tc>
        <w:tc>
          <w:tcPr>
            <w:tcW w:w="1559" w:type="dxa"/>
            <w:vAlign w:val="center"/>
          </w:tcPr>
          <w:p w14:paraId="79E05DC8">
            <w:pPr>
              <w:spacing w:line="420" w:lineRule="exact"/>
              <w:jc w:val="center"/>
              <w:rPr>
                <w:rFonts w:hint="eastAsia" w:ascii="宋体" w:hAnsi="宋体" w:cs="宋体"/>
                <w:bCs/>
                <w:color w:val="auto"/>
                <w:szCs w:val="21"/>
                <w:highlight w:val="none"/>
              </w:rPr>
            </w:pPr>
            <w:r>
              <w:rPr>
                <w:rFonts w:hint="eastAsia" w:ascii="宋体" w:hAnsi="宋体" w:cs="宋体"/>
                <w:b/>
                <w:color w:val="auto"/>
                <w:highlight w:val="none"/>
              </w:rPr>
              <w:t>产品技术分（</w:t>
            </w:r>
            <w:r>
              <w:rPr>
                <w:rFonts w:hint="eastAsia" w:ascii="宋体" w:hAnsi="宋体" w:cs="宋体"/>
                <w:b/>
                <w:bCs/>
                <w:color w:val="auto"/>
                <w:highlight w:val="none"/>
              </w:rPr>
              <w:t>满分</w:t>
            </w:r>
            <w:r>
              <w:rPr>
                <w:rFonts w:hint="eastAsia" w:ascii="宋体" w:hAnsi="宋体" w:cs="宋体"/>
                <w:b/>
                <w:bCs/>
                <w:color w:val="auto"/>
                <w:highlight w:val="none"/>
                <w:lang w:val="en-US" w:eastAsia="zh-CN"/>
              </w:rPr>
              <w:t>15</w:t>
            </w:r>
            <w:r>
              <w:rPr>
                <w:rFonts w:hint="eastAsia" w:ascii="宋体" w:hAnsi="宋体" w:cs="宋体"/>
                <w:b/>
                <w:bCs/>
                <w:color w:val="auto"/>
                <w:highlight w:val="none"/>
              </w:rPr>
              <w:t>分）</w:t>
            </w:r>
          </w:p>
        </w:tc>
        <w:tc>
          <w:tcPr>
            <w:tcW w:w="5410" w:type="dxa"/>
            <w:vAlign w:val="center"/>
          </w:tcPr>
          <w:p w14:paraId="704297DF">
            <w:pPr>
              <w:pStyle w:val="25"/>
              <w:spacing w:line="440" w:lineRule="atLeast"/>
              <w:ind w:firstLine="420" w:firstLineChars="200"/>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完全满足招标文件要求的得15分，本项目采购需求中未标注“▲”号的技术参数出现负偏离的，每一项扣减5分，扣完为止。</w:t>
            </w:r>
          </w:p>
          <w:p w14:paraId="51A99B81">
            <w:pPr>
              <w:pStyle w:val="25"/>
              <w:spacing w:line="440" w:lineRule="atLeast"/>
              <w:ind w:firstLine="420" w:firstLineChars="200"/>
              <w:rPr>
                <w:rFonts w:hint="default"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如产品彩页、截图、产品说明书等证明材料与响应参数不一致的，以产品彩页、截图、产品说明书等证明材料为准。</w:t>
            </w:r>
          </w:p>
        </w:tc>
      </w:tr>
      <w:tr w14:paraId="606D0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30" w:type="dxa"/>
            <w:vMerge w:val="continue"/>
            <w:vAlign w:val="center"/>
          </w:tcPr>
          <w:p w14:paraId="51C069F5">
            <w:pPr>
              <w:adjustRightInd w:val="0"/>
              <w:spacing w:line="360" w:lineRule="auto"/>
              <w:jc w:val="center"/>
              <w:textAlignment w:val="baseline"/>
              <w:rPr>
                <w:rFonts w:hint="eastAsia" w:ascii="宋体" w:hAnsi="宋体" w:cs="宋体"/>
                <w:b/>
                <w:color w:val="auto"/>
                <w:szCs w:val="21"/>
                <w:highlight w:val="none"/>
              </w:rPr>
            </w:pPr>
          </w:p>
        </w:tc>
        <w:tc>
          <w:tcPr>
            <w:tcW w:w="1280" w:type="dxa"/>
            <w:vMerge w:val="continue"/>
            <w:vAlign w:val="center"/>
          </w:tcPr>
          <w:p w14:paraId="5DADB252">
            <w:pPr>
              <w:adjustRightInd w:val="0"/>
              <w:spacing w:line="360" w:lineRule="auto"/>
              <w:jc w:val="center"/>
              <w:textAlignment w:val="baseline"/>
              <w:rPr>
                <w:rFonts w:hint="eastAsia" w:ascii="宋体" w:hAnsi="宋体" w:cs="宋体"/>
                <w:b/>
                <w:color w:val="auto"/>
                <w:szCs w:val="21"/>
                <w:highlight w:val="none"/>
              </w:rPr>
            </w:pPr>
          </w:p>
        </w:tc>
        <w:tc>
          <w:tcPr>
            <w:tcW w:w="709" w:type="dxa"/>
            <w:vMerge w:val="continue"/>
            <w:vAlign w:val="center"/>
          </w:tcPr>
          <w:p w14:paraId="6B9ED737">
            <w:pPr>
              <w:adjustRightInd w:val="0"/>
              <w:spacing w:line="360" w:lineRule="auto"/>
              <w:jc w:val="center"/>
              <w:textAlignment w:val="baseline"/>
              <w:rPr>
                <w:rFonts w:hint="eastAsia" w:ascii="宋体" w:hAnsi="宋体" w:cs="宋体"/>
                <w:b/>
                <w:color w:val="auto"/>
                <w:szCs w:val="21"/>
                <w:highlight w:val="none"/>
              </w:rPr>
            </w:pPr>
          </w:p>
        </w:tc>
        <w:tc>
          <w:tcPr>
            <w:tcW w:w="1559" w:type="dxa"/>
            <w:vAlign w:val="center"/>
          </w:tcPr>
          <w:p w14:paraId="47B35A9B">
            <w:pPr>
              <w:spacing w:line="360" w:lineRule="auto"/>
              <w:jc w:val="center"/>
              <w:rPr>
                <w:rFonts w:hint="eastAsia" w:ascii="宋体" w:hAnsi="宋体" w:cs="宋体"/>
                <w:bCs/>
                <w:color w:val="auto"/>
                <w:szCs w:val="21"/>
                <w:highlight w:val="none"/>
              </w:rPr>
            </w:pPr>
            <w:r>
              <w:rPr>
                <w:rFonts w:hint="eastAsia" w:ascii="宋体" w:hAnsi="宋体" w:cs="宋体"/>
                <w:b/>
                <w:bCs/>
                <w:color w:val="auto"/>
                <w:szCs w:val="21"/>
                <w:highlight w:val="none"/>
              </w:rPr>
              <w:t>项目实施方案分（满分1</w:t>
            </w:r>
            <w:r>
              <w:rPr>
                <w:rFonts w:hint="eastAsia" w:ascii="宋体" w:hAnsi="宋体" w:cs="宋体"/>
                <w:b/>
                <w:bCs/>
                <w:color w:val="auto"/>
                <w:szCs w:val="21"/>
                <w:highlight w:val="none"/>
                <w:lang w:val="en-US" w:eastAsia="zh-CN"/>
              </w:rPr>
              <w:t>6</w:t>
            </w:r>
            <w:r>
              <w:rPr>
                <w:rFonts w:hint="eastAsia" w:ascii="宋体" w:hAnsi="宋体" w:cs="宋体"/>
                <w:b/>
                <w:bCs/>
                <w:color w:val="auto"/>
                <w:szCs w:val="21"/>
                <w:highlight w:val="none"/>
              </w:rPr>
              <w:t>分）</w:t>
            </w:r>
          </w:p>
        </w:tc>
        <w:tc>
          <w:tcPr>
            <w:tcW w:w="5410" w:type="dxa"/>
            <w:vAlign w:val="center"/>
          </w:tcPr>
          <w:p w14:paraId="2EC821B3">
            <w:pPr>
              <w:pStyle w:val="25"/>
              <w:spacing w:line="440" w:lineRule="atLeast"/>
              <w:ind w:firstLine="420" w:firstLineChars="200"/>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一档（5分）：项目实施方案涵盖货物配送、安装、调试等内容；保证项目实施的技术力量和人力资源安排基本满足要求，提供有技术服务内容和措施，但描述不够清晰；</w:t>
            </w:r>
          </w:p>
          <w:p w14:paraId="4EC1A55F">
            <w:pPr>
              <w:pStyle w:val="25"/>
              <w:spacing w:line="440" w:lineRule="atLeast"/>
              <w:ind w:firstLine="420" w:firstLineChars="200"/>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二档（10分）：项目实施方案详细，对货物的配送、安装、调试等各阶段有合理的进度计划及工期进度保证措施；保证项目实施的技术力量和人力资源安排满足项目实施要求，提供的技术服务服务内容和措施完善；</w:t>
            </w:r>
          </w:p>
          <w:p w14:paraId="29290396">
            <w:pPr>
              <w:pStyle w:val="25"/>
              <w:spacing w:line="440" w:lineRule="atLeast"/>
              <w:ind w:firstLine="420" w:firstLineChars="200"/>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三档（16分）：项目实施方案清晰完整，对货物的配送、安装、调试等各阶段有科学合理的进度计划及工期进度保证措施；保证项目实施的技术力量和人力资源安排充足，提供的技术服务内容和措施完善，安装质量保证措施切实可行。</w:t>
            </w:r>
          </w:p>
          <w:p w14:paraId="51A36496">
            <w:pPr>
              <w:pStyle w:val="25"/>
              <w:spacing w:line="440" w:lineRule="atLeast"/>
              <w:ind w:firstLine="420" w:firstLineChars="200"/>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注：未满足一档要求的不得分。</w:t>
            </w:r>
          </w:p>
        </w:tc>
      </w:tr>
      <w:tr w14:paraId="4FF23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30" w:type="dxa"/>
            <w:vMerge w:val="continue"/>
            <w:vAlign w:val="center"/>
          </w:tcPr>
          <w:p w14:paraId="27331026">
            <w:pPr>
              <w:adjustRightInd w:val="0"/>
              <w:spacing w:line="360" w:lineRule="auto"/>
              <w:jc w:val="center"/>
              <w:textAlignment w:val="baseline"/>
              <w:rPr>
                <w:rFonts w:hint="eastAsia" w:ascii="宋体" w:hAnsi="宋体" w:cs="宋体"/>
                <w:b/>
                <w:color w:val="auto"/>
                <w:szCs w:val="21"/>
                <w:highlight w:val="none"/>
              </w:rPr>
            </w:pPr>
          </w:p>
        </w:tc>
        <w:tc>
          <w:tcPr>
            <w:tcW w:w="1280" w:type="dxa"/>
            <w:vMerge w:val="continue"/>
            <w:vAlign w:val="center"/>
          </w:tcPr>
          <w:p w14:paraId="38A682E2">
            <w:pPr>
              <w:adjustRightInd w:val="0"/>
              <w:spacing w:line="360" w:lineRule="auto"/>
              <w:jc w:val="center"/>
              <w:textAlignment w:val="baseline"/>
              <w:rPr>
                <w:rFonts w:hint="eastAsia" w:ascii="宋体" w:hAnsi="宋体" w:cs="宋体"/>
                <w:b/>
                <w:color w:val="auto"/>
                <w:szCs w:val="21"/>
                <w:highlight w:val="none"/>
              </w:rPr>
            </w:pPr>
          </w:p>
        </w:tc>
        <w:tc>
          <w:tcPr>
            <w:tcW w:w="709" w:type="dxa"/>
            <w:vMerge w:val="continue"/>
            <w:vAlign w:val="center"/>
          </w:tcPr>
          <w:p w14:paraId="4B7A049E">
            <w:pPr>
              <w:adjustRightInd w:val="0"/>
              <w:spacing w:line="360" w:lineRule="auto"/>
              <w:jc w:val="center"/>
              <w:textAlignment w:val="baseline"/>
              <w:rPr>
                <w:rFonts w:hint="eastAsia" w:ascii="宋体" w:hAnsi="宋体" w:cs="宋体"/>
                <w:b/>
                <w:color w:val="auto"/>
                <w:szCs w:val="21"/>
                <w:highlight w:val="none"/>
              </w:rPr>
            </w:pPr>
          </w:p>
        </w:tc>
        <w:tc>
          <w:tcPr>
            <w:tcW w:w="1559" w:type="dxa"/>
            <w:vAlign w:val="center"/>
          </w:tcPr>
          <w:p w14:paraId="09880ED7">
            <w:pPr>
              <w:spacing w:line="360" w:lineRule="auto"/>
              <w:jc w:val="center"/>
              <w:rPr>
                <w:rFonts w:hint="eastAsia" w:ascii="宋体" w:hAnsi="宋体" w:cs="宋体"/>
                <w:b/>
                <w:bCs/>
                <w:color w:val="auto"/>
                <w:szCs w:val="21"/>
                <w:highlight w:val="none"/>
              </w:rPr>
            </w:pPr>
            <w:r>
              <w:rPr>
                <w:rFonts w:hint="eastAsia" w:ascii="宋体" w:hAnsi="宋体" w:cs="宋体"/>
                <w:b/>
                <w:color w:val="auto"/>
                <w:szCs w:val="21"/>
                <w:highlight w:val="none"/>
              </w:rPr>
              <w:t>培训方案</w:t>
            </w:r>
            <w:r>
              <w:rPr>
                <w:rFonts w:hint="eastAsia" w:ascii="宋体" w:hAnsi="宋体" w:cs="宋体"/>
                <w:b/>
                <w:color w:val="auto"/>
                <w:szCs w:val="21"/>
                <w:highlight w:val="none"/>
                <w:lang w:val="en-US" w:eastAsia="zh-CN"/>
              </w:rPr>
              <w:t>分</w:t>
            </w:r>
            <w:r>
              <w:rPr>
                <w:rFonts w:hint="eastAsia" w:ascii="宋体" w:hAnsi="宋体" w:cs="宋体"/>
                <w:b/>
                <w:color w:val="auto"/>
                <w:szCs w:val="21"/>
                <w:highlight w:val="none"/>
              </w:rPr>
              <w:t>（满分1</w:t>
            </w:r>
            <w:r>
              <w:rPr>
                <w:rFonts w:hint="eastAsia" w:ascii="宋体" w:hAnsi="宋体" w:cs="宋体"/>
                <w:b/>
                <w:color w:val="auto"/>
                <w:szCs w:val="21"/>
                <w:highlight w:val="none"/>
                <w:lang w:val="en-US" w:eastAsia="zh-CN"/>
              </w:rPr>
              <w:t>6</w:t>
            </w:r>
            <w:r>
              <w:rPr>
                <w:rFonts w:hint="eastAsia" w:ascii="宋体" w:hAnsi="宋体" w:cs="宋体"/>
                <w:b/>
                <w:color w:val="auto"/>
                <w:szCs w:val="21"/>
                <w:highlight w:val="none"/>
              </w:rPr>
              <w:t>分）</w:t>
            </w:r>
          </w:p>
        </w:tc>
        <w:tc>
          <w:tcPr>
            <w:tcW w:w="5410" w:type="dxa"/>
            <w:vAlign w:val="center"/>
          </w:tcPr>
          <w:p w14:paraId="48DA849F">
            <w:pPr>
              <w:pStyle w:val="25"/>
              <w:spacing w:line="440" w:lineRule="atLeast"/>
              <w:ind w:firstLine="420" w:firstLineChars="200"/>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一档（5分）：设备使用培训方案包含招标文件要求的设备使用培训内容，满足需求。</w:t>
            </w:r>
          </w:p>
          <w:p w14:paraId="6E64B006">
            <w:pPr>
              <w:pStyle w:val="25"/>
              <w:spacing w:line="440" w:lineRule="atLeast"/>
              <w:ind w:firstLine="420" w:firstLineChars="200"/>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二档（10分）：在满足一档的基础上，设备使用培训方案全面、有详细的培训计划，有培训方法、培训时间</w:t>
            </w:r>
            <w:r>
              <w:rPr>
                <w:rFonts w:hint="eastAsia" w:hAnsi="宋体" w:cs="宋体"/>
                <w:bCs/>
                <w:color w:val="auto"/>
                <w:sz w:val="21"/>
                <w:szCs w:val="21"/>
                <w:highlight w:val="none"/>
                <w:lang w:val="en-US" w:eastAsia="zh-CN" w:bidi="ar-SA"/>
              </w:rPr>
              <w:t>，</w:t>
            </w:r>
            <w:r>
              <w:rPr>
                <w:rFonts w:hint="eastAsia" w:ascii="宋体" w:hAnsi="宋体" w:eastAsia="宋体" w:cs="宋体"/>
                <w:bCs/>
                <w:color w:val="auto"/>
                <w:sz w:val="21"/>
                <w:szCs w:val="21"/>
                <w:highlight w:val="none"/>
                <w:lang w:val="en-US" w:eastAsia="zh-CN" w:bidi="ar-SA"/>
              </w:rPr>
              <w:t>有培训的专业人员，能满足需求。</w:t>
            </w:r>
          </w:p>
          <w:p w14:paraId="1046B2C0">
            <w:pPr>
              <w:pStyle w:val="25"/>
              <w:spacing w:line="440" w:lineRule="atLeast"/>
              <w:ind w:firstLine="420" w:firstLineChars="200"/>
              <w:rPr>
                <w:color w:val="auto"/>
                <w:highlight w:val="none"/>
              </w:rPr>
            </w:pPr>
            <w:r>
              <w:rPr>
                <w:rFonts w:hint="eastAsia" w:ascii="宋体" w:hAnsi="宋体" w:eastAsia="宋体" w:cs="宋体"/>
                <w:bCs/>
                <w:color w:val="auto"/>
                <w:sz w:val="21"/>
                <w:szCs w:val="21"/>
                <w:highlight w:val="none"/>
                <w:lang w:val="en-US" w:eastAsia="zh-CN" w:bidi="ar-SA"/>
              </w:rPr>
              <w:t>三档（16分）：设备使用培训方案全面、有详细的培训计划，培训时间安排、培训的专业人员、设备调试技术指导、培训方法、培训时间、培训地点安排，具有有针对性的培训计划等内容，完全满足需求。</w:t>
            </w:r>
          </w:p>
          <w:p w14:paraId="09C96A45">
            <w:pPr>
              <w:pStyle w:val="25"/>
              <w:spacing w:line="440" w:lineRule="atLeast"/>
              <w:ind w:firstLine="420" w:firstLineChars="200"/>
              <w:rPr>
                <w:rFonts w:hint="eastAsia" w:ascii="宋体" w:hAnsi="宋体"/>
                <w:color w:val="auto"/>
                <w:szCs w:val="21"/>
                <w:highlight w:val="none"/>
              </w:rPr>
            </w:pPr>
            <w:r>
              <w:rPr>
                <w:rFonts w:hint="eastAsia" w:ascii="宋体" w:hAnsi="宋体" w:eastAsia="宋体" w:cs="宋体"/>
                <w:bCs/>
                <w:color w:val="auto"/>
                <w:sz w:val="21"/>
                <w:szCs w:val="21"/>
                <w:highlight w:val="none"/>
                <w:lang w:val="en-US" w:eastAsia="zh-CN" w:bidi="ar-SA"/>
              </w:rPr>
              <w:t>注：未满足一档要求的不得分。</w:t>
            </w:r>
          </w:p>
        </w:tc>
      </w:tr>
      <w:tr w14:paraId="0B40D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0" w:type="dxa"/>
            <w:vAlign w:val="center"/>
          </w:tcPr>
          <w:p w14:paraId="50C230D8">
            <w:pPr>
              <w:adjustRightInd w:val="0"/>
              <w:spacing w:line="360" w:lineRule="auto"/>
              <w:jc w:val="center"/>
              <w:textAlignment w:val="baseline"/>
              <w:rPr>
                <w:rFonts w:hint="eastAsia" w:ascii="宋体" w:hAnsi="宋体" w:cs="宋体"/>
                <w:b/>
                <w:color w:val="auto"/>
                <w:szCs w:val="21"/>
                <w:highlight w:val="none"/>
              </w:rPr>
            </w:pPr>
            <w:r>
              <w:rPr>
                <w:rFonts w:hint="eastAsia" w:ascii="宋体" w:hAnsi="宋体" w:cs="宋体"/>
                <w:b/>
                <w:color w:val="auto"/>
                <w:szCs w:val="21"/>
                <w:highlight w:val="none"/>
              </w:rPr>
              <w:t>3</w:t>
            </w:r>
          </w:p>
        </w:tc>
        <w:tc>
          <w:tcPr>
            <w:tcW w:w="1280" w:type="dxa"/>
            <w:vAlign w:val="center"/>
          </w:tcPr>
          <w:p w14:paraId="44D8B4AC">
            <w:pPr>
              <w:adjustRightInd w:val="0"/>
              <w:spacing w:line="360" w:lineRule="auto"/>
              <w:jc w:val="center"/>
              <w:textAlignment w:val="baseline"/>
              <w:rPr>
                <w:rFonts w:hint="eastAsia" w:ascii="宋体" w:hAnsi="宋体" w:cs="宋体"/>
                <w:b/>
                <w:color w:val="auto"/>
                <w:szCs w:val="21"/>
                <w:highlight w:val="none"/>
              </w:rPr>
            </w:pPr>
            <w:r>
              <w:rPr>
                <w:rFonts w:hint="eastAsia" w:ascii="宋体" w:hAnsi="宋体" w:cs="宋体"/>
                <w:b/>
                <w:color w:val="auto"/>
                <w:szCs w:val="21"/>
                <w:highlight w:val="none"/>
              </w:rPr>
              <w:t>售后服务</w:t>
            </w:r>
          </w:p>
        </w:tc>
        <w:tc>
          <w:tcPr>
            <w:tcW w:w="709" w:type="dxa"/>
            <w:vAlign w:val="center"/>
          </w:tcPr>
          <w:p w14:paraId="4897FB08">
            <w:pPr>
              <w:adjustRightInd w:val="0"/>
              <w:spacing w:line="360" w:lineRule="auto"/>
              <w:jc w:val="center"/>
              <w:textAlignment w:val="baseline"/>
              <w:rPr>
                <w:rFonts w:hint="eastAsia" w:ascii="宋体" w:hAnsi="宋体" w:cs="宋体"/>
                <w:b/>
                <w:color w:val="auto"/>
                <w:szCs w:val="21"/>
                <w:highlight w:val="none"/>
              </w:rPr>
            </w:pPr>
            <w:r>
              <w:rPr>
                <w:rFonts w:hint="eastAsia" w:ascii="宋体" w:hAnsi="宋体" w:cs="宋体"/>
                <w:b/>
                <w:color w:val="auto"/>
                <w:szCs w:val="21"/>
                <w:highlight w:val="none"/>
              </w:rPr>
              <w:t>18分</w:t>
            </w:r>
          </w:p>
        </w:tc>
        <w:tc>
          <w:tcPr>
            <w:tcW w:w="6969" w:type="dxa"/>
            <w:gridSpan w:val="2"/>
            <w:vAlign w:val="center"/>
          </w:tcPr>
          <w:p w14:paraId="5FF85014">
            <w:pPr>
              <w:pStyle w:val="25"/>
              <w:spacing w:line="440" w:lineRule="atLeast"/>
              <w:ind w:firstLine="420" w:firstLineChars="200"/>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 xml:space="preserve">一档（6分）：投标人所提供的售后服务方案包含有项目售后维护和应急保障方案。售后服务响应时间、维修人员到达时间以及维修时间满足招标文件要求。 </w:t>
            </w:r>
          </w:p>
          <w:p w14:paraId="5424E9B4">
            <w:pPr>
              <w:pStyle w:val="25"/>
              <w:spacing w:line="440" w:lineRule="atLeast"/>
              <w:ind w:firstLine="420" w:firstLineChars="200"/>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二档（12分）：投标人所提供的售后服务方案内容详细且可行性强，包含项目售后维护、应急保障方案等，且描述了项目售后维护和应急保障方案的方法以及实现方式。售后服务响应时间、维修人员到达时间以及维修时间满足招标文件要求。</w:t>
            </w:r>
          </w:p>
          <w:p w14:paraId="27268173">
            <w:pPr>
              <w:pStyle w:val="25"/>
              <w:spacing w:line="440" w:lineRule="atLeast"/>
              <w:ind w:firstLine="420" w:firstLineChars="200"/>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bidi="ar-SA"/>
              </w:rPr>
              <w:t>三档（18分）：投标人所提供的售后服务方案详细可行、有针对性，包含有项目售后维护、应急保障方案且描述了项目售后维护和应急保障方案的方法以及实现方式，售后服务响应时间、维修人员到达时间以及维修时间优于招标文件要求。具有完善的售后服务体系，专业的售后服务专业队伍，完善的服务流程及配套资源，确保向本项目提供专业、快捷、规范的售后服务。</w:t>
            </w:r>
          </w:p>
          <w:p w14:paraId="7E158CE7">
            <w:pPr>
              <w:pStyle w:val="25"/>
              <w:spacing w:line="440" w:lineRule="atLeast"/>
              <w:ind w:firstLine="420" w:firstLineChars="200"/>
              <w:rPr>
                <w:rFonts w:hint="eastAsia" w:ascii="宋体" w:hAnsi="宋体" w:cs="宋体"/>
                <w:bCs/>
                <w:color w:val="auto"/>
                <w:szCs w:val="21"/>
                <w:highlight w:val="none"/>
              </w:rPr>
            </w:pPr>
            <w:r>
              <w:rPr>
                <w:rFonts w:hint="eastAsia" w:ascii="宋体" w:hAnsi="宋体" w:eastAsia="宋体" w:cs="宋体"/>
                <w:bCs/>
                <w:color w:val="auto"/>
                <w:sz w:val="21"/>
                <w:szCs w:val="21"/>
                <w:highlight w:val="none"/>
                <w:lang w:val="en-US" w:eastAsia="zh-CN" w:bidi="ar-SA"/>
              </w:rPr>
              <w:t>注：未满足一档要求的不得分。</w:t>
            </w:r>
          </w:p>
        </w:tc>
      </w:tr>
      <w:tr w14:paraId="5DE40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0" w:type="dxa"/>
            <w:vAlign w:val="center"/>
          </w:tcPr>
          <w:p w14:paraId="50A662C0">
            <w:pPr>
              <w:adjustRightInd w:val="0"/>
              <w:spacing w:line="360" w:lineRule="auto"/>
              <w:jc w:val="center"/>
              <w:textAlignment w:val="baseline"/>
              <w:rPr>
                <w:rFonts w:hint="eastAsia" w:ascii="宋体" w:hAnsi="宋体" w:cs="宋体"/>
                <w:b/>
                <w:color w:val="auto"/>
                <w:szCs w:val="21"/>
                <w:highlight w:val="none"/>
              </w:rPr>
            </w:pPr>
            <w:r>
              <w:rPr>
                <w:rFonts w:hint="eastAsia" w:ascii="宋体" w:hAnsi="宋体" w:cs="宋体"/>
                <w:b/>
                <w:color w:val="auto"/>
                <w:szCs w:val="21"/>
                <w:highlight w:val="none"/>
              </w:rPr>
              <w:t>4</w:t>
            </w:r>
          </w:p>
        </w:tc>
        <w:tc>
          <w:tcPr>
            <w:tcW w:w="1280" w:type="dxa"/>
            <w:vAlign w:val="center"/>
          </w:tcPr>
          <w:p w14:paraId="1A2735B2">
            <w:pPr>
              <w:adjustRightInd w:val="0"/>
              <w:spacing w:line="360" w:lineRule="auto"/>
              <w:jc w:val="center"/>
              <w:textAlignment w:val="baseline"/>
              <w:rPr>
                <w:rFonts w:hint="eastAsia" w:ascii="宋体" w:hAnsi="宋体" w:cs="宋体"/>
                <w:b/>
                <w:color w:val="auto"/>
                <w:szCs w:val="21"/>
                <w:highlight w:val="none"/>
              </w:rPr>
            </w:pPr>
            <w:r>
              <w:rPr>
                <w:rFonts w:hint="eastAsia" w:ascii="宋体" w:hAnsi="宋体" w:cs="宋体"/>
                <w:b/>
                <w:color w:val="auto"/>
                <w:szCs w:val="21"/>
                <w:highlight w:val="none"/>
              </w:rPr>
              <w:t>履约能力</w:t>
            </w:r>
          </w:p>
        </w:tc>
        <w:tc>
          <w:tcPr>
            <w:tcW w:w="709" w:type="dxa"/>
            <w:vAlign w:val="center"/>
          </w:tcPr>
          <w:p w14:paraId="6D43AE40">
            <w:pPr>
              <w:adjustRightInd w:val="0"/>
              <w:spacing w:line="360" w:lineRule="auto"/>
              <w:jc w:val="center"/>
              <w:textAlignment w:val="baseline"/>
              <w:rPr>
                <w:rFonts w:hint="eastAsia" w:ascii="宋体" w:hAnsi="宋体" w:cs="宋体"/>
                <w:b/>
                <w:color w:val="auto"/>
                <w:szCs w:val="21"/>
                <w:highlight w:val="none"/>
              </w:rPr>
            </w:pPr>
            <w:r>
              <w:rPr>
                <w:rFonts w:hint="eastAsia" w:ascii="宋体" w:hAnsi="宋体" w:cs="宋体"/>
                <w:b/>
                <w:color w:val="auto"/>
                <w:szCs w:val="21"/>
                <w:highlight w:val="none"/>
              </w:rPr>
              <w:t>3分</w:t>
            </w:r>
          </w:p>
        </w:tc>
        <w:tc>
          <w:tcPr>
            <w:tcW w:w="6969" w:type="dxa"/>
            <w:gridSpan w:val="2"/>
            <w:vAlign w:val="center"/>
          </w:tcPr>
          <w:p w14:paraId="5880BD1E">
            <w:pPr>
              <w:pStyle w:val="25"/>
              <w:spacing w:line="420" w:lineRule="exact"/>
              <w:ind w:firstLine="420" w:firstLineChars="200"/>
              <w:jc w:val="left"/>
              <w:rPr>
                <w:rFonts w:hint="eastAsia" w:hAnsi="宋体" w:cs="宋体"/>
                <w:bCs/>
                <w:color w:val="auto"/>
                <w:highlight w:val="none"/>
              </w:rPr>
            </w:pPr>
            <w:r>
              <w:rPr>
                <w:rFonts w:hint="eastAsia" w:hAnsi="宋体" w:cs="宋体"/>
                <w:bCs/>
                <w:color w:val="auto"/>
                <w:kern w:val="2"/>
                <w:sz w:val="21"/>
                <w:highlight w:val="none"/>
              </w:rPr>
              <w:t>投标人自2021年</w:t>
            </w:r>
            <w:r>
              <w:rPr>
                <w:rFonts w:hint="eastAsia" w:hAnsi="宋体" w:cs="宋体"/>
                <w:bCs/>
                <w:color w:val="auto"/>
                <w:kern w:val="2"/>
                <w:sz w:val="21"/>
                <w:highlight w:val="none"/>
                <w:lang w:val="en-US" w:eastAsia="zh-CN"/>
              </w:rPr>
              <w:t>1月1日</w:t>
            </w:r>
            <w:r>
              <w:rPr>
                <w:rFonts w:hint="eastAsia" w:hAnsi="宋体" w:cs="宋体"/>
                <w:bCs/>
                <w:color w:val="auto"/>
                <w:kern w:val="2"/>
                <w:sz w:val="21"/>
                <w:highlight w:val="none"/>
              </w:rPr>
              <w:t>以来销售过同类产品（以合同书原件扫描件为准，能清晰反映合同中的同类产品名称及数量，并加盖投标人公章，否则不予计分），每份得1分，满分3分。</w:t>
            </w:r>
          </w:p>
        </w:tc>
      </w:tr>
      <w:tr w14:paraId="49ADD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730" w:type="dxa"/>
            <w:vAlign w:val="center"/>
          </w:tcPr>
          <w:p w14:paraId="103D34A9">
            <w:pPr>
              <w:adjustRightInd w:val="0"/>
              <w:spacing w:line="360" w:lineRule="auto"/>
              <w:jc w:val="center"/>
              <w:textAlignment w:val="baseline"/>
              <w:rPr>
                <w:rFonts w:hint="eastAsia" w:ascii="宋体" w:hAnsi="宋体" w:cs="宋体"/>
                <w:b/>
                <w:color w:val="auto"/>
                <w:szCs w:val="21"/>
                <w:highlight w:val="none"/>
              </w:rPr>
            </w:pPr>
            <w:r>
              <w:rPr>
                <w:rFonts w:hint="eastAsia" w:ascii="宋体" w:hAnsi="宋体" w:cs="宋体"/>
                <w:b/>
                <w:color w:val="auto"/>
                <w:szCs w:val="21"/>
                <w:highlight w:val="none"/>
              </w:rPr>
              <w:t>5</w:t>
            </w:r>
          </w:p>
        </w:tc>
        <w:tc>
          <w:tcPr>
            <w:tcW w:w="1280" w:type="dxa"/>
            <w:vAlign w:val="center"/>
          </w:tcPr>
          <w:p w14:paraId="1719FC8E">
            <w:pPr>
              <w:adjustRightInd w:val="0"/>
              <w:spacing w:line="360" w:lineRule="auto"/>
              <w:jc w:val="center"/>
              <w:textAlignment w:val="baseline"/>
              <w:rPr>
                <w:rFonts w:hint="eastAsia" w:ascii="宋体" w:hAnsi="宋体" w:cs="宋体"/>
                <w:b/>
                <w:color w:val="auto"/>
                <w:szCs w:val="21"/>
                <w:highlight w:val="none"/>
              </w:rPr>
            </w:pPr>
            <w:r>
              <w:rPr>
                <w:rFonts w:hint="eastAsia" w:ascii="宋体" w:hAnsi="宋体" w:cs="宋体"/>
                <w:b/>
                <w:color w:val="auto"/>
                <w:szCs w:val="21"/>
                <w:highlight w:val="none"/>
              </w:rPr>
              <w:t>政策功能</w:t>
            </w:r>
          </w:p>
        </w:tc>
        <w:tc>
          <w:tcPr>
            <w:tcW w:w="709" w:type="dxa"/>
            <w:vAlign w:val="center"/>
          </w:tcPr>
          <w:p w14:paraId="5AFAA029">
            <w:pPr>
              <w:adjustRightInd w:val="0"/>
              <w:spacing w:line="360" w:lineRule="auto"/>
              <w:jc w:val="center"/>
              <w:textAlignment w:val="baseline"/>
              <w:rPr>
                <w:rFonts w:hint="eastAsia" w:ascii="宋体" w:hAnsi="宋体" w:cs="宋体"/>
                <w:b/>
                <w:color w:val="auto"/>
                <w:szCs w:val="21"/>
                <w:highlight w:val="none"/>
              </w:rPr>
            </w:pPr>
            <w:r>
              <w:rPr>
                <w:rFonts w:hint="eastAsia" w:ascii="宋体" w:hAnsi="宋体" w:cs="宋体"/>
                <w:b/>
                <w:color w:val="auto"/>
                <w:szCs w:val="21"/>
                <w:highlight w:val="none"/>
              </w:rPr>
              <w:t>2分</w:t>
            </w:r>
          </w:p>
        </w:tc>
        <w:tc>
          <w:tcPr>
            <w:tcW w:w="6969" w:type="dxa"/>
            <w:gridSpan w:val="2"/>
            <w:vAlign w:val="center"/>
          </w:tcPr>
          <w:p w14:paraId="1AD2C244">
            <w:pPr>
              <w:spacing w:line="360" w:lineRule="auto"/>
              <w:rPr>
                <w:rFonts w:ascii="宋体" w:hAnsi="宋体" w:cs="宋体"/>
                <w:bCs/>
                <w:color w:val="auto"/>
                <w:szCs w:val="21"/>
                <w:highlight w:val="none"/>
              </w:rPr>
            </w:pPr>
            <w:r>
              <w:rPr>
                <w:rFonts w:hint="eastAsia" w:ascii="宋体" w:hAnsi="宋体" w:cs="宋体"/>
                <w:bCs/>
                <w:color w:val="auto"/>
                <w:szCs w:val="21"/>
                <w:highlight w:val="none"/>
              </w:rPr>
              <w:t>（1）属于财政部《节能产品政府采购品目清单》内优先采购（清单内未标注“★”的品目）的产品[投标文件中提供有效的认证证书复印件及品目清单（标注出投标产品在品目清单中所属的品目），并加盖投标人电子签章]，根据其所占项目（或者分标）预算金额比例得</w:t>
            </w:r>
            <w:r>
              <w:rPr>
                <w:rFonts w:hint="eastAsia" w:ascii="宋体" w:hAnsi="宋体" w:cs="宋体"/>
                <w:bCs/>
                <w:color w:val="auto"/>
                <w:szCs w:val="21"/>
                <w:highlight w:val="none"/>
                <w:u w:val="single"/>
              </w:rPr>
              <w:t xml:space="preserve">  0 </w:t>
            </w:r>
            <w:r>
              <w:rPr>
                <w:rFonts w:hint="eastAsia" w:ascii="宋体" w:hAnsi="宋体" w:cs="宋体"/>
                <w:bCs/>
                <w:color w:val="auto"/>
                <w:szCs w:val="21"/>
                <w:highlight w:val="none"/>
              </w:rPr>
              <w:t>至</w:t>
            </w:r>
            <w:r>
              <w:rPr>
                <w:rFonts w:hint="eastAsia" w:ascii="宋体" w:hAnsi="宋体" w:cs="宋体"/>
                <w:bCs/>
                <w:color w:val="auto"/>
                <w:szCs w:val="21"/>
                <w:highlight w:val="none"/>
                <w:u w:val="single"/>
              </w:rPr>
              <w:t xml:space="preserve"> 1 </w:t>
            </w:r>
            <w:r>
              <w:rPr>
                <w:rFonts w:hint="eastAsia" w:ascii="宋体" w:hAnsi="宋体" w:cs="宋体"/>
                <w:bCs/>
                <w:color w:val="auto"/>
                <w:szCs w:val="21"/>
                <w:highlight w:val="none"/>
              </w:rPr>
              <w:t>分，满分</w:t>
            </w:r>
            <w:r>
              <w:rPr>
                <w:rFonts w:hint="eastAsia" w:ascii="宋体" w:hAnsi="宋体" w:cs="宋体"/>
                <w:bCs/>
                <w:color w:val="auto"/>
                <w:szCs w:val="21"/>
                <w:highlight w:val="none"/>
                <w:u w:val="single"/>
              </w:rPr>
              <w:t xml:space="preserve"> 1 </w:t>
            </w:r>
            <w:r>
              <w:rPr>
                <w:rFonts w:hint="eastAsia" w:ascii="宋体" w:hAnsi="宋体" w:cs="宋体"/>
                <w:bCs/>
                <w:color w:val="auto"/>
                <w:szCs w:val="21"/>
                <w:highlight w:val="none"/>
              </w:rPr>
              <w:t>分；</w:t>
            </w:r>
          </w:p>
          <w:p w14:paraId="22736573">
            <w:pPr>
              <w:spacing w:line="360" w:lineRule="auto"/>
              <w:rPr>
                <w:rFonts w:ascii="宋体" w:hAnsi="宋体" w:cs="宋体"/>
                <w:bCs/>
                <w:color w:val="auto"/>
                <w:szCs w:val="21"/>
                <w:highlight w:val="none"/>
              </w:rPr>
            </w:pPr>
            <w:r>
              <w:rPr>
                <w:rFonts w:hint="eastAsia" w:ascii="宋体" w:hAnsi="宋体" w:cs="宋体"/>
                <w:bCs/>
                <w:color w:val="auto"/>
                <w:szCs w:val="21"/>
                <w:highlight w:val="none"/>
              </w:rPr>
              <w:t>（2）属于财政部《环境标志产品政府采购品目清单》内的产品[投标文件中提供有效的认证证书复印件及品目清单（标注出投标产品在品目清单中所属的品目），并加盖投标人电子签章，根据其所占项目（或者分标）预算金额比例得</w:t>
            </w:r>
            <w:r>
              <w:rPr>
                <w:rFonts w:hint="eastAsia" w:ascii="宋体" w:hAnsi="宋体" w:cs="宋体"/>
                <w:bCs/>
                <w:color w:val="auto"/>
                <w:szCs w:val="21"/>
                <w:highlight w:val="none"/>
                <w:u w:val="single"/>
              </w:rPr>
              <w:t xml:space="preserve"> 0 </w:t>
            </w:r>
            <w:r>
              <w:rPr>
                <w:rFonts w:hint="eastAsia" w:ascii="宋体" w:hAnsi="宋体" w:cs="宋体"/>
                <w:bCs/>
                <w:color w:val="auto"/>
                <w:szCs w:val="21"/>
                <w:highlight w:val="none"/>
              </w:rPr>
              <w:t>至</w:t>
            </w:r>
            <w:r>
              <w:rPr>
                <w:rFonts w:hint="eastAsia" w:ascii="宋体" w:hAnsi="宋体" w:cs="宋体"/>
                <w:bCs/>
                <w:color w:val="auto"/>
                <w:szCs w:val="21"/>
                <w:highlight w:val="none"/>
                <w:u w:val="single"/>
              </w:rPr>
              <w:t xml:space="preserve"> 1 </w:t>
            </w:r>
            <w:r>
              <w:rPr>
                <w:rFonts w:hint="eastAsia" w:ascii="宋体" w:hAnsi="宋体" w:cs="宋体"/>
                <w:bCs/>
                <w:color w:val="auto"/>
                <w:szCs w:val="21"/>
                <w:highlight w:val="none"/>
              </w:rPr>
              <w:t>分，满分</w:t>
            </w:r>
            <w:r>
              <w:rPr>
                <w:rFonts w:hint="eastAsia" w:ascii="宋体" w:hAnsi="宋体" w:cs="宋体"/>
                <w:bCs/>
                <w:color w:val="auto"/>
                <w:szCs w:val="21"/>
                <w:highlight w:val="none"/>
                <w:u w:val="single"/>
              </w:rPr>
              <w:t xml:space="preserve"> 1 </w:t>
            </w:r>
            <w:r>
              <w:rPr>
                <w:rFonts w:hint="eastAsia" w:ascii="宋体" w:hAnsi="宋体" w:cs="宋体"/>
                <w:bCs/>
                <w:color w:val="auto"/>
                <w:szCs w:val="21"/>
                <w:highlight w:val="none"/>
              </w:rPr>
              <w:t>分；</w:t>
            </w:r>
          </w:p>
          <w:p w14:paraId="39A352D7">
            <w:pPr>
              <w:pStyle w:val="25"/>
              <w:spacing w:line="420" w:lineRule="exact"/>
              <w:jc w:val="left"/>
              <w:rPr>
                <w:rFonts w:hint="eastAsia" w:hAnsi="宋体" w:cs="宋体"/>
                <w:bCs/>
                <w:color w:val="auto"/>
                <w:kern w:val="2"/>
                <w:sz w:val="21"/>
                <w:highlight w:val="none"/>
              </w:rPr>
            </w:pPr>
            <w:r>
              <w:rPr>
                <w:rFonts w:hint="eastAsia" w:hAnsi="宋体" w:cs="宋体"/>
                <w:bCs/>
                <w:color w:val="auto"/>
                <w:highlight w:val="none"/>
              </w:rPr>
              <w:t>（3）非节能、环境标志产品的不得分。</w:t>
            </w:r>
          </w:p>
        </w:tc>
      </w:tr>
      <w:tr w14:paraId="177EA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88" w:type="dxa"/>
            <w:gridSpan w:val="5"/>
            <w:vAlign w:val="center"/>
          </w:tcPr>
          <w:p w14:paraId="2D2C4C7A">
            <w:pPr>
              <w:pStyle w:val="25"/>
              <w:spacing w:line="360" w:lineRule="auto"/>
              <w:rPr>
                <w:rFonts w:hint="eastAsia" w:hAnsi="宋体" w:cs="宋体"/>
                <w:bCs/>
                <w:color w:val="auto"/>
                <w:kern w:val="2"/>
                <w:sz w:val="21"/>
                <w:highlight w:val="none"/>
              </w:rPr>
            </w:pPr>
            <w:r>
              <w:rPr>
                <w:rFonts w:hint="eastAsia" w:hAnsi="宋体" w:cs="宋体"/>
                <w:b/>
                <w:bCs/>
                <w:color w:val="auto"/>
                <w:kern w:val="2"/>
                <w:sz w:val="21"/>
                <w:highlight w:val="none"/>
              </w:rPr>
              <w:t>总得分=1+2+3+4+5。</w:t>
            </w:r>
          </w:p>
        </w:tc>
      </w:tr>
    </w:tbl>
    <w:p w14:paraId="139D2F83">
      <w:pPr>
        <w:rPr>
          <w:color w:val="auto"/>
          <w:highlight w:val="none"/>
        </w:rPr>
      </w:pPr>
    </w:p>
    <w:p w14:paraId="0468D204">
      <w:pPr>
        <w:rPr>
          <w:rFonts w:hint="eastAsia"/>
          <w:color w:val="auto"/>
          <w:sz w:val="30"/>
          <w:szCs w:val="30"/>
          <w:highlight w:val="none"/>
        </w:rPr>
      </w:pPr>
      <w:r>
        <w:rPr>
          <w:rFonts w:hint="eastAsia"/>
          <w:color w:val="auto"/>
          <w:sz w:val="30"/>
          <w:szCs w:val="30"/>
          <w:highlight w:val="none"/>
        </w:rPr>
        <w:br w:type="page"/>
      </w:r>
    </w:p>
    <w:p w14:paraId="1811B5E1">
      <w:pPr>
        <w:pStyle w:val="4"/>
        <w:keepNext w:val="0"/>
        <w:keepLines w:val="0"/>
        <w:jc w:val="center"/>
        <w:rPr>
          <w:color w:val="auto"/>
          <w:sz w:val="30"/>
          <w:szCs w:val="30"/>
          <w:highlight w:val="none"/>
        </w:rPr>
      </w:pPr>
      <w:r>
        <w:rPr>
          <w:rFonts w:hint="eastAsia"/>
          <w:color w:val="auto"/>
          <w:sz w:val="30"/>
          <w:szCs w:val="30"/>
          <w:highlight w:val="none"/>
        </w:rPr>
        <w:t>四、中标候选人推荐</w:t>
      </w:r>
    </w:p>
    <w:p w14:paraId="5A3A8DDF">
      <w:pPr>
        <w:pStyle w:val="25"/>
        <w:spacing w:line="360" w:lineRule="auto"/>
        <w:ind w:firstLine="420"/>
        <w:contextualSpacing/>
        <w:rPr>
          <w:rFonts w:hAnsi="宋体"/>
          <w:color w:val="auto"/>
          <w:sz w:val="21"/>
          <w:highlight w:val="none"/>
        </w:rPr>
      </w:pPr>
      <w:r>
        <w:rPr>
          <w:rFonts w:hint="eastAsia" w:hAnsi="宋体"/>
          <w:color w:val="auto"/>
          <w:sz w:val="21"/>
          <w:highlight w:val="none"/>
        </w:rPr>
        <w:t>1</w:t>
      </w:r>
      <w:r>
        <w:rPr>
          <w:rFonts w:hAnsi="宋体"/>
          <w:color w:val="auto"/>
          <w:sz w:val="21"/>
          <w:highlight w:val="none"/>
        </w:rPr>
        <w:t>.</w:t>
      </w:r>
      <w:r>
        <w:rPr>
          <w:rFonts w:hint="eastAsia" w:hAnsi="宋体"/>
          <w:color w:val="auto"/>
          <w:sz w:val="21"/>
          <w:highlight w:val="none"/>
        </w:rPr>
        <w:t>评标委员会根据原始评标记录和评标结果编写评标报告，并通过电子交易平台向采购人、采购代理机构提交。</w:t>
      </w:r>
    </w:p>
    <w:p w14:paraId="55880216">
      <w:pPr>
        <w:pStyle w:val="25"/>
        <w:spacing w:line="360" w:lineRule="auto"/>
        <w:ind w:firstLine="420"/>
        <w:contextualSpacing/>
        <w:rPr>
          <w:rFonts w:hAnsi="宋体"/>
          <w:b/>
          <w:color w:val="auto"/>
          <w:sz w:val="24"/>
          <w:highlight w:val="none"/>
        </w:rPr>
      </w:pPr>
      <w:r>
        <w:rPr>
          <w:rFonts w:hint="eastAsia" w:hAnsi="宋体"/>
          <w:color w:val="auto"/>
          <w:sz w:val="21"/>
          <w:highlight w:val="none"/>
        </w:rPr>
        <w:t>2</w:t>
      </w:r>
      <w:r>
        <w:rPr>
          <w:rFonts w:hAnsi="宋体"/>
          <w:color w:val="auto"/>
          <w:sz w:val="21"/>
          <w:highlight w:val="none"/>
        </w:rPr>
        <w:t>.</w:t>
      </w:r>
      <w:r>
        <w:rPr>
          <w:rFonts w:hint="eastAsia" w:hAnsi="宋体"/>
          <w:color w:val="auto"/>
          <w:sz w:val="21"/>
          <w:highlight w:val="none"/>
        </w:rPr>
        <w:t>评标委员会将根据总得分由高到低排列次序并推荐中标候选人。得分相同的，按投标报价由低到高顺序排列。得分相同且投标报价相同的并列。投标文件满足招标文件全部实质性要求，且按照评审因素的量化指标评审得分最高的投标人为排名第一的中标候选人。</w:t>
      </w:r>
    </w:p>
    <w:p w14:paraId="6ABF3201">
      <w:pPr>
        <w:spacing w:line="400" w:lineRule="exact"/>
        <w:rPr>
          <w:rFonts w:ascii="宋体" w:hAnsi="宋体"/>
          <w:b/>
          <w:color w:val="auto"/>
          <w:sz w:val="24"/>
          <w:highlight w:val="none"/>
        </w:rPr>
      </w:pPr>
    </w:p>
    <w:p w14:paraId="44A122DA">
      <w:pPr>
        <w:pStyle w:val="3"/>
        <w:keepNext w:val="0"/>
        <w:keepLines w:val="0"/>
        <w:jc w:val="center"/>
        <w:rPr>
          <w:color w:val="auto"/>
          <w:highlight w:val="none"/>
        </w:rPr>
      </w:pPr>
      <w:r>
        <w:rPr>
          <w:color w:val="auto"/>
          <w:highlight w:val="none"/>
        </w:rPr>
        <w:br w:type="page" w:clear="all"/>
      </w:r>
    </w:p>
    <w:p w14:paraId="143CA6DC">
      <w:pPr>
        <w:pStyle w:val="2"/>
        <w:jc w:val="center"/>
        <w:rPr>
          <w:color w:val="auto"/>
          <w:highlight w:val="none"/>
        </w:rPr>
      </w:pPr>
      <w:bookmarkStart w:id="4" w:name="_Toc5670"/>
      <w:r>
        <w:rPr>
          <w:rFonts w:hint="eastAsia"/>
          <w:color w:val="auto"/>
          <w:highlight w:val="none"/>
        </w:rPr>
        <w:t>第五章  拟签订的合同文本</w:t>
      </w:r>
      <w:bookmarkEnd w:id="4"/>
    </w:p>
    <w:p w14:paraId="5EA9F888">
      <w:pPr>
        <w:spacing w:line="360" w:lineRule="auto"/>
        <w:ind w:firstLine="640"/>
        <w:rPr>
          <w:rFonts w:ascii="宋体" w:hAnsi="宋体"/>
          <w:bCs/>
          <w:color w:val="auto"/>
          <w:sz w:val="32"/>
          <w:szCs w:val="32"/>
          <w:highlight w:val="none"/>
        </w:rPr>
      </w:pPr>
    </w:p>
    <w:p w14:paraId="565341F7">
      <w:pPr>
        <w:spacing w:line="360" w:lineRule="auto"/>
        <w:ind w:firstLine="643"/>
        <w:rPr>
          <w:rFonts w:ascii="宋体" w:hAnsi="宋体"/>
          <w:b/>
          <w:color w:val="auto"/>
          <w:sz w:val="32"/>
          <w:szCs w:val="32"/>
          <w:highlight w:val="none"/>
        </w:rPr>
      </w:pPr>
    </w:p>
    <w:p w14:paraId="5C8A8D5A">
      <w:pPr>
        <w:spacing w:line="480" w:lineRule="auto"/>
        <w:ind w:left="1680" w:leftChars="800" w:firstLine="0" w:firstLineChars="0"/>
        <w:rPr>
          <w:rFonts w:ascii="宋体" w:hAnsi="宋体" w:cs="宋体"/>
          <w:b/>
          <w:bCs/>
          <w:color w:val="auto"/>
          <w:sz w:val="28"/>
          <w:szCs w:val="28"/>
          <w:highlight w:val="none"/>
        </w:rPr>
      </w:pPr>
      <w:r>
        <w:rPr>
          <w:rFonts w:hint="eastAsia" w:ascii="宋体" w:hAnsi="宋体" w:cs="宋体"/>
          <w:b/>
          <w:bCs/>
          <w:color w:val="auto"/>
          <w:sz w:val="28"/>
          <w:szCs w:val="28"/>
          <w:highlight w:val="none"/>
        </w:rPr>
        <w:t>项目名称：</w:t>
      </w:r>
    </w:p>
    <w:p w14:paraId="04E227BA">
      <w:pPr>
        <w:spacing w:line="480" w:lineRule="auto"/>
        <w:ind w:left="1680" w:leftChars="800" w:firstLine="0" w:firstLineChars="0"/>
        <w:rPr>
          <w:rFonts w:ascii="宋体" w:hAnsi="宋体" w:cs="宋体"/>
          <w:b/>
          <w:bCs/>
          <w:color w:val="auto"/>
          <w:sz w:val="28"/>
          <w:szCs w:val="28"/>
          <w:highlight w:val="none"/>
        </w:rPr>
      </w:pPr>
      <w:r>
        <w:rPr>
          <w:rFonts w:hint="eastAsia" w:ascii="宋体" w:hAnsi="宋体" w:cs="宋体"/>
          <w:b/>
          <w:bCs/>
          <w:color w:val="auto"/>
          <w:sz w:val="28"/>
          <w:szCs w:val="28"/>
          <w:highlight w:val="none"/>
        </w:rPr>
        <w:t>采购计划号：</w:t>
      </w:r>
    </w:p>
    <w:p w14:paraId="2061CCB1">
      <w:pPr>
        <w:spacing w:line="480" w:lineRule="auto"/>
        <w:ind w:left="1680" w:leftChars="800" w:firstLine="0" w:firstLineChars="0"/>
        <w:rPr>
          <w:rFonts w:ascii="宋体" w:hAnsi="宋体" w:cs="宋体"/>
          <w:b/>
          <w:bCs/>
          <w:color w:val="auto"/>
          <w:sz w:val="28"/>
          <w:szCs w:val="28"/>
          <w:highlight w:val="none"/>
        </w:rPr>
      </w:pPr>
      <w:r>
        <w:rPr>
          <w:rFonts w:hint="eastAsia" w:ascii="宋体" w:hAnsi="宋体" w:cs="宋体"/>
          <w:b/>
          <w:bCs/>
          <w:color w:val="auto"/>
          <w:sz w:val="28"/>
          <w:szCs w:val="28"/>
          <w:highlight w:val="none"/>
        </w:rPr>
        <w:t>项目编号：</w:t>
      </w:r>
    </w:p>
    <w:p w14:paraId="6578476F">
      <w:pPr>
        <w:spacing w:line="480" w:lineRule="auto"/>
        <w:ind w:left="1680" w:leftChars="800" w:firstLine="0" w:firstLineChars="0"/>
        <w:rPr>
          <w:rFonts w:ascii="宋体" w:hAnsi="宋体" w:cs="宋体"/>
          <w:b/>
          <w:bCs/>
          <w:color w:val="auto"/>
          <w:sz w:val="28"/>
          <w:szCs w:val="28"/>
          <w:highlight w:val="none"/>
        </w:rPr>
      </w:pPr>
      <w:r>
        <w:rPr>
          <w:rFonts w:hint="eastAsia" w:ascii="宋体" w:hAnsi="宋体" w:cs="宋体"/>
          <w:b/>
          <w:bCs/>
          <w:color w:val="auto"/>
          <w:sz w:val="28"/>
          <w:szCs w:val="28"/>
          <w:highlight w:val="none"/>
        </w:rPr>
        <w:t>合同编号：</w:t>
      </w:r>
    </w:p>
    <w:p w14:paraId="30C060AB">
      <w:pPr>
        <w:spacing w:line="480" w:lineRule="auto"/>
        <w:ind w:left="1680" w:leftChars="800" w:firstLine="0" w:firstLineChars="0"/>
        <w:rPr>
          <w:rFonts w:ascii="宋体" w:hAnsi="宋体" w:cs="宋体"/>
          <w:b/>
          <w:bCs/>
          <w:color w:val="auto"/>
          <w:sz w:val="28"/>
          <w:szCs w:val="28"/>
          <w:highlight w:val="none"/>
        </w:rPr>
      </w:pPr>
      <w:r>
        <w:rPr>
          <w:rFonts w:hint="eastAsia" w:ascii="宋体" w:hAnsi="宋体" w:cs="宋体"/>
          <w:b/>
          <w:bCs/>
          <w:color w:val="auto"/>
          <w:sz w:val="28"/>
          <w:szCs w:val="28"/>
          <w:highlight w:val="none"/>
        </w:rPr>
        <w:t>分标号：</w:t>
      </w:r>
    </w:p>
    <w:p w14:paraId="180223EC">
      <w:pPr>
        <w:spacing w:line="480" w:lineRule="auto"/>
        <w:ind w:left="1680" w:leftChars="800" w:firstLine="0" w:firstLineChars="0"/>
        <w:rPr>
          <w:rFonts w:hint="eastAsia" w:ascii="宋体" w:hAnsi="宋体" w:eastAsia="宋体" w:cs="宋体"/>
          <w:b/>
          <w:bCs/>
          <w:color w:val="auto"/>
          <w:sz w:val="28"/>
          <w:szCs w:val="28"/>
          <w:highlight w:val="none"/>
          <w:lang w:eastAsia="zh-CN"/>
        </w:rPr>
      </w:pPr>
      <w:r>
        <w:rPr>
          <w:rFonts w:hint="eastAsia" w:ascii="宋体" w:hAnsi="宋体" w:cs="宋体"/>
          <w:b/>
          <w:bCs/>
          <w:color w:val="auto"/>
          <w:sz w:val="28"/>
          <w:szCs w:val="28"/>
          <w:highlight w:val="none"/>
        </w:rPr>
        <w:t>采购人（甲方）：</w:t>
      </w:r>
      <w:r>
        <w:rPr>
          <w:rFonts w:hint="eastAsia" w:ascii="宋体" w:hAnsi="宋体" w:cs="宋体"/>
          <w:b/>
          <w:bCs/>
          <w:color w:val="auto"/>
          <w:sz w:val="28"/>
          <w:szCs w:val="28"/>
          <w:highlight w:val="none"/>
          <w:lang w:eastAsia="zh-CN"/>
        </w:rPr>
        <w:t>钦州市检验检测中心</w:t>
      </w:r>
    </w:p>
    <w:p w14:paraId="5A3403D8">
      <w:pPr>
        <w:spacing w:line="480" w:lineRule="auto"/>
        <w:ind w:left="1680" w:leftChars="800" w:firstLine="0" w:firstLineChars="0"/>
        <w:rPr>
          <w:rFonts w:ascii="宋体" w:hAnsi="宋体" w:cs="宋体"/>
          <w:b/>
          <w:bCs/>
          <w:color w:val="auto"/>
          <w:sz w:val="28"/>
          <w:szCs w:val="28"/>
          <w:highlight w:val="none"/>
        </w:rPr>
      </w:pPr>
      <w:r>
        <w:rPr>
          <w:rFonts w:hint="eastAsia" w:ascii="宋体" w:hAnsi="宋体" w:cs="宋体"/>
          <w:b/>
          <w:bCs/>
          <w:color w:val="auto"/>
          <w:sz w:val="28"/>
          <w:szCs w:val="28"/>
          <w:highlight w:val="none"/>
        </w:rPr>
        <w:t>中标人（乙方）</w:t>
      </w:r>
    </w:p>
    <w:p w14:paraId="499B0E81">
      <w:pPr>
        <w:spacing w:line="480" w:lineRule="auto"/>
        <w:ind w:left="1680" w:leftChars="800" w:firstLine="0" w:firstLineChars="0"/>
        <w:rPr>
          <w:rFonts w:ascii="宋体" w:hAnsi="宋体" w:cs="宋体"/>
          <w:b/>
          <w:bCs/>
          <w:color w:val="auto"/>
          <w:sz w:val="28"/>
          <w:szCs w:val="28"/>
          <w:highlight w:val="none"/>
        </w:rPr>
      </w:pPr>
      <w:r>
        <w:rPr>
          <w:rFonts w:hint="eastAsia" w:ascii="宋体" w:hAnsi="宋体" w:cs="宋体"/>
          <w:b/>
          <w:bCs/>
          <w:color w:val="auto"/>
          <w:sz w:val="28"/>
          <w:szCs w:val="28"/>
          <w:highlight w:val="none"/>
        </w:rPr>
        <w:t>采购代理机构：</w:t>
      </w:r>
    </w:p>
    <w:p w14:paraId="3EB6E177">
      <w:pPr>
        <w:spacing w:line="480" w:lineRule="auto"/>
        <w:ind w:left="1680" w:leftChars="800" w:firstLine="0" w:firstLineChars="0"/>
        <w:rPr>
          <w:rFonts w:ascii="宋体" w:hAnsi="宋体" w:cs="宋体"/>
          <w:b/>
          <w:bCs/>
          <w:color w:val="auto"/>
          <w:sz w:val="28"/>
          <w:szCs w:val="28"/>
          <w:highlight w:val="none"/>
        </w:rPr>
      </w:pPr>
      <w:r>
        <w:rPr>
          <w:rFonts w:hint="eastAsia" w:ascii="宋体" w:hAnsi="宋体" w:cs="宋体"/>
          <w:b/>
          <w:bCs/>
          <w:color w:val="auto"/>
          <w:sz w:val="28"/>
          <w:szCs w:val="28"/>
          <w:highlight w:val="none"/>
        </w:rPr>
        <w:t>签订地点：钦州市</w:t>
      </w:r>
    </w:p>
    <w:p w14:paraId="25BFACC3">
      <w:pPr>
        <w:spacing w:line="480" w:lineRule="auto"/>
        <w:ind w:left="1680" w:leftChars="800" w:firstLine="0" w:firstLineChars="0"/>
        <w:rPr>
          <w:rFonts w:ascii="宋体" w:hAnsi="宋体" w:cs="宋体"/>
          <w:b/>
          <w:bCs/>
          <w:color w:val="auto"/>
          <w:sz w:val="28"/>
          <w:szCs w:val="28"/>
          <w:highlight w:val="none"/>
        </w:rPr>
      </w:pPr>
      <w:r>
        <w:rPr>
          <w:rFonts w:hint="eastAsia" w:ascii="宋体" w:hAnsi="宋体" w:cs="宋体"/>
          <w:b/>
          <w:bCs/>
          <w:color w:val="auto"/>
          <w:sz w:val="28"/>
          <w:szCs w:val="28"/>
          <w:highlight w:val="none"/>
        </w:rPr>
        <w:t>签订时间：2026年   月   日</w:t>
      </w:r>
    </w:p>
    <w:p w14:paraId="58C78DED">
      <w:pPr>
        <w:pStyle w:val="304"/>
        <w:spacing w:line="480" w:lineRule="auto"/>
        <w:rPr>
          <w:rFonts w:ascii="宋体" w:hAnsi="宋体" w:eastAsia="宋体" w:cs="宋体"/>
          <w:color w:val="auto"/>
          <w:sz w:val="28"/>
          <w:szCs w:val="28"/>
          <w:highlight w:val="none"/>
        </w:rPr>
      </w:pPr>
    </w:p>
    <w:p w14:paraId="557182C3">
      <w:pPr>
        <w:spacing w:line="480" w:lineRule="auto"/>
        <w:rPr>
          <w:rFonts w:ascii="宋体" w:hAnsi="宋体" w:cs="宋体"/>
          <w:b/>
          <w:bCs/>
          <w:color w:val="auto"/>
          <w:sz w:val="28"/>
          <w:szCs w:val="28"/>
          <w:highlight w:val="none"/>
        </w:rPr>
      </w:pPr>
    </w:p>
    <w:p w14:paraId="4565A3B0">
      <w:pPr>
        <w:pStyle w:val="304"/>
        <w:spacing w:line="480" w:lineRule="auto"/>
        <w:rPr>
          <w:rFonts w:ascii="宋体" w:hAnsi="宋体" w:eastAsia="宋体" w:cs="宋体"/>
          <w:color w:val="auto"/>
          <w:sz w:val="28"/>
          <w:szCs w:val="28"/>
          <w:highlight w:val="none"/>
        </w:rPr>
      </w:pPr>
    </w:p>
    <w:p w14:paraId="0AFFCB0F">
      <w:pPr>
        <w:widowControl/>
        <w:jc w:val="left"/>
        <w:rPr>
          <w:rFonts w:ascii="宋体" w:hAnsi="宋体" w:cs="宋体"/>
          <w:bCs/>
          <w:color w:val="auto"/>
          <w:sz w:val="28"/>
          <w:szCs w:val="28"/>
          <w:highlight w:val="none"/>
        </w:rPr>
      </w:pPr>
      <w:r>
        <w:rPr>
          <w:rFonts w:ascii="宋体" w:hAnsi="宋体" w:cs="宋体"/>
          <w:bCs/>
          <w:color w:val="auto"/>
          <w:sz w:val="28"/>
          <w:szCs w:val="28"/>
          <w:highlight w:val="none"/>
        </w:rPr>
        <w:br w:type="page" w:clear="all"/>
      </w:r>
    </w:p>
    <w:p w14:paraId="09D96D73">
      <w:pPr>
        <w:rPr>
          <w:rFonts w:ascii="宋体" w:hAnsi="宋体" w:cs="宋体"/>
          <w:bCs/>
          <w:color w:val="auto"/>
          <w:sz w:val="28"/>
          <w:szCs w:val="28"/>
          <w:highlight w:val="none"/>
        </w:rPr>
      </w:pPr>
    </w:p>
    <w:p w14:paraId="07F3F642">
      <w:pPr>
        <w:widowControl/>
        <w:ind w:firstLine="480"/>
        <w:jc w:val="lef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根据《中华人民共和国政府采购法》《中华人民共和国民法典》等法律、法规规定，按照公开招标文件规定条款和投标文件承诺，甲乙双方签订本合同。</w:t>
      </w:r>
    </w:p>
    <w:p w14:paraId="35FAD168">
      <w:pPr>
        <w:spacing w:line="400" w:lineRule="exact"/>
        <w:ind w:firstLine="482"/>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第一条　合同标的</w:t>
      </w:r>
    </w:p>
    <w:p w14:paraId="14B4B143">
      <w:pPr>
        <w:spacing w:line="40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1.供货一览表</w:t>
      </w:r>
    </w:p>
    <w:tbl>
      <w:tblPr>
        <w:tblStyle w:val="50"/>
        <w:tblW w:w="8556"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1152"/>
        <w:gridCol w:w="990"/>
        <w:gridCol w:w="1152"/>
        <w:gridCol w:w="1131"/>
        <w:gridCol w:w="689"/>
        <w:gridCol w:w="687"/>
        <w:gridCol w:w="1023"/>
        <w:gridCol w:w="1070"/>
      </w:tblGrid>
      <w:tr w14:paraId="509FF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8" w:hRule="atLeast"/>
        </w:trPr>
        <w:tc>
          <w:tcPr>
            <w:tcW w:w="662" w:type="dxa"/>
            <w:vAlign w:val="center"/>
          </w:tcPr>
          <w:p w14:paraId="318AC602">
            <w:pPr>
              <w:spacing w:line="400" w:lineRule="exact"/>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序号</w:t>
            </w:r>
          </w:p>
        </w:tc>
        <w:tc>
          <w:tcPr>
            <w:tcW w:w="1152" w:type="dxa"/>
            <w:vAlign w:val="center"/>
          </w:tcPr>
          <w:p w14:paraId="6027E0A9">
            <w:pPr>
              <w:spacing w:line="400" w:lineRule="exact"/>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产品名称</w:t>
            </w:r>
          </w:p>
        </w:tc>
        <w:tc>
          <w:tcPr>
            <w:tcW w:w="990" w:type="dxa"/>
            <w:vAlign w:val="center"/>
          </w:tcPr>
          <w:p w14:paraId="0A83DFBC">
            <w:pPr>
              <w:spacing w:line="400" w:lineRule="exact"/>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商标品牌</w:t>
            </w:r>
          </w:p>
        </w:tc>
        <w:tc>
          <w:tcPr>
            <w:tcW w:w="1152" w:type="dxa"/>
            <w:vAlign w:val="center"/>
          </w:tcPr>
          <w:p w14:paraId="659FE82B">
            <w:pPr>
              <w:spacing w:line="400" w:lineRule="exact"/>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规格型号</w:t>
            </w:r>
          </w:p>
        </w:tc>
        <w:tc>
          <w:tcPr>
            <w:tcW w:w="1131" w:type="dxa"/>
            <w:vAlign w:val="center"/>
          </w:tcPr>
          <w:p w14:paraId="33FB1A68">
            <w:pPr>
              <w:spacing w:line="400" w:lineRule="exact"/>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生产厂家</w:t>
            </w:r>
          </w:p>
        </w:tc>
        <w:tc>
          <w:tcPr>
            <w:tcW w:w="689" w:type="dxa"/>
            <w:vAlign w:val="center"/>
          </w:tcPr>
          <w:p w14:paraId="0977C108">
            <w:pPr>
              <w:spacing w:line="400" w:lineRule="exact"/>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数量</w:t>
            </w:r>
          </w:p>
        </w:tc>
        <w:tc>
          <w:tcPr>
            <w:tcW w:w="687" w:type="dxa"/>
            <w:vAlign w:val="center"/>
          </w:tcPr>
          <w:p w14:paraId="28F45816">
            <w:pPr>
              <w:spacing w:line="400" w:lineRule="exact"/>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单位</w:t>
            </w:r>
          </w:p>
        </w:tc>
        <w:tc>
          <w:tcPr>
            <w:tcW w:w="1023" w:type="dxa"/>
            <w:vAlign w:val="center"/>
          </w:tcPr>
          <w:p w14:paraId="20FB6ED4">
            <w:pPr>
              <w:spacing w:line="400" w:lineRule="exact"/>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单价（元）</w:t>
            </w:r>
          </w:p>
        </w:tc>
        <w:tc>
          <w:tcPr>
            <w:tcW w:w="1070" w:type="dxa"/>
            <w:vAlign w:val="center"/>
          </w:tcPr>
          <w:p w14:paraId="5BB3DBDC">
            <w:pPr>
              <w:spacing w:line="400" w:lineRule="exact"/>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金额（元）</w:t>
            </w:r>
          </w:p>
        </w:tc>
      </w:tr>
      <w:tr w14:paraId="21D5E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662" w:type="dxa"/>
            <w:vAlign w:val="center"/>
          </w:tcPr>
          <w:p w14:paraId="2C5AF332">
            <w:pPr>
              <w:spacing w:line="400" w:lineRule="exact"/>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w:t>
            </w:r>
          </w:p>
        </w:tc>
        <w:tc>
          <w:tcPr>
            <w:tcW w:w="1152" w:type="dxa"/>
            <w:vAlign w:val="center"/>
          </w:tcPr>
          <w:p w14:paraId="19E078BF">
            <w:pPr>
              <w:spacing w:line="400" w:lineRule="exact"/>
              <w:jc w:val="center"/>
              <w:rPr>
                <w:rFonts w:asciiTheme="minorEastAsia" w:hAnsiTheme="minorEastAsia" w:eastAsiaTheme="minorEastAsia" w:cstheme="minorEastAsia"/>
                <w:color w:val="auto"/>
                <w:sz w:val="24"/>
                <w:highlight w:val="none"/>
              </w:rPr>
            </w:pPr>
          </w:p>
        </w:tc>
        <w:tc>
          <w:tcPr>
            <w:tcW w:w="990" w:type="dxa"/>
            <w:vAlign w:val="center"/>
          </w:tcPr>
          <w:p w14:paraId="32AA6BC8">
            <w:pPr>
              <w:spacing w:line="400" w:lineRule="exact"/>
              <w:jc w:val="center"/>
              <w:rPr>
                <w:rFonts w:asciiTheme="minorEastAsia" w:hAnsiTheme="minorEastAsia" w:eastAsiaTheme="minorEastAsia" w:cstheme="minorEastAsia"/>
                <w:color w:val="auto"/>
                <w:sz w:val="24"/>
                <w:highlight w:val="none"/>
              </w:rPr>
            </w:pPr>
          </w:p>
        </w:tc>
        <w:tc>
          <w:tcPr>
            <w:tcW w:w="1152" w:type="dxa"/>
            <w:vAlign w:val="center"/>
          </w:tcPr>
          <w:p w14:paraId="20D87185">
            <w:pPr>
              <w:spacing w:line="400" w:lineRule="exact"/>
              <w:jc w:val="center"/>
              <w:rPr>
                <w:rFonts w:asciiTheme="minorEastAsia" w:hAnsiTheme="minorEastAsia" w:eastAsiaTheme="minorEastAsia" w:cstheme="minorEastAsia"/>
                <w:color w:val="auto"/>
                <w:sz w:val="24"/>
                <w:highlight w:val="none"/>
              </w:rPr>
            </w:pPr>
          </w:p>
        </w:tc>
        <w:tc>
          <w:tcPr>
            <w:tcW w:w="1131" w:type="dxa"/>
          </w:tcPr>
          <w:p w14:paraId="0801D86F">
            <w:pPr>
              <w:spacing w:line="400" w:lineRule="exact"/>
              <w:jc w:val="center"/>
              <w:rPr>
                <w:rFonts w:asciiTheme="minorEastAsia" w:hAnsiTheme="minorEastAsia" w:eastAsiaTheme="minorEastAsia" w:cstheme="minorEastAsia"/>
                <w:color w:val="auto"/>
                <w:sz w:val="24"/>
                <w:highlight w:val="none"/>
              </w:rPr>
            </w:pPr>
          </w:p>
        </w:tc>
        <w:tc>
          <w:tcPr>
            <w:tcW w:w="689" w:type="dxa"/>
          </w:tcPr>
          <w:p w14:paraId="268105BE">
            <w:pPr>
              <w:spacing w:line="400" w:lineRule="exact"/>
              <w:jc w:val="center"/>
              <w:rPr>
                <w:rFonts w:asciiTheme="minorEastAsia" w:hAnsiTheme="minorEastAsia" w:eastAsiaTheme="minorEastAsia" w:cstheme="minorEastAsia"/>
                <w:color w:val="auto"/>
                <w:sz w:val="24"/>
                <w:highlight w:val="none"/>
              </w:rPr>
            </w:pPr>
          </w:p>
        </w:tc>
        <w:tc>
          <w:tcPr>
            <w:tcW w:w="687" w:type="dxa"/>
          </w:tcPr>
          <w:p w14:paraId="7CC1EC67">
            <w:pPr>
              <w:spacing w:line="400" w:lineRule="exact"/>
              <w:jc w:val="center"/>
              <w:rPr>
                <w:rFonts w:asciiTheme="minorEastAsia" w:hAnsiTheme="minorEastAsia" w:eastAsiaTheme="minorEastAsia" w:cstheme="minorEastAsia"/>
                <w:color w:val="auto"/>
                <w:sz w:val="24"/>
                <w:highlight w:val="none"/>
              </w:rPr>
            </w:pPr>
          </w:p>
        </w:tc>
        <w:tc>
          <w:tcPr>
            <w:tcW w:w="1023" w:type="dxa"/>
            <w:vAlign w:val="center"/>
          </w:tcPr>
          <w:p w14:paraId="39A3CD47">
            <w:pPr>
              <w:spacing w:line="400" w:lineRule="exact"/>
              <w:jc w:val="center"/>
              <w:rPr>
                <w:rFonts w:asciiTheme="minorEastAsia" w:hAnsiTheme="minorEastAsia" w:eastAsiaTheme="minorEastAsia" w:cstheme="minorEastAsia"/>
                <w:color w:val="auto"/>
                <w:sz w:val="24"/>
                <w:highlight w:val="none"/>
              </w:rPr>
            </w:pPr>
          </w:p>
        </w:tc>
        <w:tc>
          <w:tcPr>
            <w:tcW w:w="1070" w:type="dxa"/>
            <w:vAlign w:val="center"/>
          </w:tcPr>
          <w:p w14:paraId="5C3AEC29">
            <w:pPr>
              <w:spacing w:line="400" w:lineRule="exact"/>
              <w:jc w:val="center"/>
              <w:rPr>
                <w:rFonts w:asciiTheme="minorEastAsia" w:hAnsiTheme="minorEastAsia" w:eastAsiaTheme="minorEastAsia" w:cstheme="minorEastAsia"/>
                <w:color w:val="auto"/>
                <w:sz w:val="24"/>
                <w:highlight w:val="none"/>
              </w:rPr>
            </w:pPr>
          </w:p>
        </w:tc>
      </w:tr>
      <w:tr w14:paraId="00954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662" w:type="dxa"/>
            <w:vAlign w:val="center"/>
          </w:tcPr>
          <w:p w14:paraId="4A9ABE40">
            <w:pPr>
              <w:spacing w:line="400" w:lineRule="exact"/>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w:t>
            </w:r>
          </w:p>
        </w:tc>
        <w:tc>
          <w:tcPr>
            <w:tcW w:w="1152" w:type="dxa"/>
            <w:vAlign w:val="center"/>
          </w:tcPr>
          <w:p w14:paraId="5029AF65">
            <w:pPr>
              <w:spacing w:line="400" w:lineRule="exact"/>
              <w:jc w:val="center"/>
              <w:rPr>
                <w:rFonts w:asciiTheme="minorEastAsia" w:hAnsiTheme="minorEastAsia" w:eastAsiaTheme="minorEastAsia" w:cstheme="minorEastAsia"/>
                <w:color w:val="auto"/>
                <w:sz w:val="24"/>
                <w:highlight w:val="none"/>
              </w:rPr>
            </w:pPr>
          </w:p>
        </w:tc>
        <w:tc>
          <w:tcPr>
            <w:tcW w:w="990" w:type="dxa"/>
            <w:vAlign w:val="center"/>
          </w:tcPr>
          <w:p w14:paraId="49E2CE3E">
            <w:pPr>
              <w:spacing w:line="400" w:lineRule="exact"/>
              <w:jc w:val="center"/>
              <w:rPr>
                <w:rFonts w:asciiTheme="minorEastAsia" w:hAnsiTheme="minorEastAsia" w:eastAsiaTheme="minorEastAsia" w:cstheme="minorEastAsia"/>
                <w:color w:val="auto"/>
                <w:sz w:val="24"/>
                <w:highlight w:val="none"/>
              </w:rPr>
            </w:pPr>
          </w:p>
        </w:tc>
        <w:tc>
          <w:tcPr>
            <w:tcW w:w="1152" w:type="dxa"/>
            <w:vAlign w:val="center"/>
          </w:tcPr>
          <w:p w14:paraId="2DD1BDC0">
            <w:pPr>
              <w:spacing w:line="400" w:lineRule="exact"/>
              <w:jc w:val="center"/>
              <w:rPr>
                <w:rFonts w:asciiTheme="minorEastAsia" w:hAnsiTheme="minorEastAsia" w:eastAsiaTheme="minorEastAsia" w:cstheme="minorEastAsia"/>
                <w:color w:val="auto"/>
                <w:sz w:val="24"/>
                <w:highlight w:val="none"/>
              </w:rPr>
            </w:pPr>
          </w:p>
        </w:tc>
        <w:tc>
          <w:tcPr>
            <w:tcW w:w="1131" w:type="dxa"/>
          </w:tcPr>
          <w:p w14:paraId="4CABB44E">
            <w:pPr>
              <w:spacing w:line="400" w:lineRule="exact"/>
              <w:jc w:val="center"/>
              <w:rPr>
                <w:rFonts w:asciiTheme="minorEastAsia" w:hAnsiTheme="minorEastAsia" w:eastAsiaTheme="minorEastAsia" w:cstheme="minorEastAsia"/>
                <w:color w:val="auto"/>
                <w:sz w:val="24"/>
                <w:highlight w:val="none"/>
              </w:rPr>
            </w:pPr>
          </w:p>
        </w:tc>
        <w:tc>
          <w:tcPr>
            <w:tcW w:w="689" w:type="dxa"/>
          </w:tcPr>
          <w:p w14:paraId="3E19D19E">
            <w:pPr>
              <w:spacing w:line="400" w:lineRule="exact"/>
              <w:jc w:val="center"/>
              <w:rPr>
                <w:rFonts w:asciiTheme="minorEastAsia" w:hAnsiTheme="minorEastAsia" w:eastAsiaTheme="minorEastAsia" w:cstheme="minorEastAsia"/>
                <w:color w:val="auto"/>
                <w:sz w:val="24"/>
                <w:highlight w:val="none"/>
              </w:rPr>
            </w:pPr>
          </w:p>
        </w:tc>
        <w:tc>
          <w:tcPr>
            <w:tcW w:w="687" w:type="dxa"/>
          </w:tcPr>
          <w:p w14:paraId="55F37709">
            <w:pPr>
              <w:spacing w:line="400" w:lineRule="exact"/>
              <w:jc w:val="center"/>
              <w:rPr>
                <w:rFonts w:asciiTheme="minorEastAsia" w:hAnsiTheme="minorEastAsia" w:eastAsiaTheme="minorEastAsia" w:cstheme="minorEastAsia"/>
                <w:color w:val="auto"/>
                <w:sz w:val="24"/>
                <w:highlight w:val="none"/>
              </w:rPr>
            </w:pPr>
          </w:p>
        </w:tc>
        <w:tc>
          <w:tcPr>
            <w:tcW w:w="1023" w:type="dxa"/>
            <w:vAlign w:val="center"/>
          </w:tcPr>
          <w:p w14:paraId="37225D04">
            <w:pPr>
              <w:spacing w:line="400" w:lineRule="exact"/>
              <w:jc w:val="center"/>
              <w:rPr>
                <w:rFonts w:asciiTheme="minorEastAsia" w:hAnsiTheme="minorEastAsia" w:eastAsiaTheme="minorEastAsia" w:cstheme="minorEastAsia"/>
                <w:color w:val="auto"/>
                <w:sz w:val="24"/>
                <w:highlight w:val="none"/>
              </w:rPr>
            </w:pPr>
          </w:p>
        </w:tc>
        <w:tc>
          <w:tcPr>
            <w:tcW w:w="1070" w:type="dxa"/>
            <w:vAlign w:val="center"/>
          </w:tcPr>
          <w:p w14:paraId="0B818BE9">
            <w:pPr>
              <w:spacing w:line="400" w:lineRule="exact"/>
              <w:jc w:val="center"/>
              <w:rPr>
                <w:rFonts w:asciiTheme="minorEastAsia" w:hAnsiTheme="minorEastAsia" w:eastAsiaTheme="minorEastAsia" w:cstheme="minorEastAsia"/>
                <w:color w:val="auto"/>
                <w:sz w:val="24"/>
                <w:highlight w:val="none"/>
              </w:rPr>
            </w:pPr>
          </w:p>
        </w:tc>
      </w:tr>
      <w:tr w14:paraId="62B42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662" w:type="dxa"/>
            <w:vAlign w:val="center"/>
          </w:tcPr>
          <w:p w14:paraId="716102E0">
            <w:pPr>
              <w:spacing w:line="400" w:lineRule="exact"/>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w:t>
            </w:r>
          </w:p>
        </w:tc>
        <w:tc>
          <w:tcPr>
            <w:tcW w:w="1152" w:type="dxa"/>
            <w:vAlign w:val="center"/>
          </w:tcPr>
          <w:p w14:paraId="0B7C826F">
            <w:pPr>
              <w:spacing w:line="400" w:lineRule="exact"/>
              <w:jc w:val="center"/>
              <w:rPr>
                <w:rFonts w:asciiTheme="minorEastAsia" w:hAnsiTheme="minorEastAsia" w:eastAsiaTheme="minorEastAsia" w:cstheme="minorEastAsia"/>
                <w:color w:val="auto"/>
                <w:sz w:val="24"/>
                <w:highlight w:val="none"/>
              </w:rPr>
            </w:pPr>
          </w:p>
        </w:tc>
        <w:tc>
          <w:tcPr>
            <w:tcW w:w="990" w:type="dxa"/>
            <w:vAlign w:val="center"/>
          </w:tcPr>
          <w:p w14:paraId="75A2C189">
            <w:pPr>
              <w:spacing w:line="400" w:lineRule="exact"/>
              <w:jc w:val="center"/>
              <w:rPr>
                <w:rFonts w:asciiTheme="minorEastAsia" w:hAnsiTheme="minorEastAsia" w:eastAsiaTheme="minorEastAsia" w:cstheme="minorEastAsia"/>
                <w:color w:val="auto"/>
                <w:sz w:val="24"/>
                <w:highlight w:val="none"/>
              </w:rPr>
            </w:pPr>
          </w:p>
        </w:tc>
        <w:tc>
          <w:tcPr>
            <w:tcW w:w="1152" w:type="dxa"/>
            <w:vAlign w:val="center"/>
          </w:tcPr>
          <w:p w14:paraId="104D79DC">
            <w:pPr>
              <w:spacing w:line="400" w:lineRule="exact"/>
              <w:jc w:val="center"/>
              <w:rPr>
                <w:rFonts w:asciiTheme="minorEastAsia" w:hAnsiTheme="minorEastAsia" w:eastAsiaTheme="minorEastAsia" w:cstheme="minorEastAsia"/>
                <w:color w:val="auto"/>
                <w:sz w:val="24"/>
                <w:highlight w:val="none"/>
              </w:rPr>
            </w:pPr>
          </w:p>
        </w:tc>
        <w:tc>
          <w:tcPr>
            <w:tcW w:w="1131" w:type="dxa"/>
          </w:tcPr>
          <w:p w14:paraId="2C909587">
            <w:pPr>
              <w:spacing w:line="400" w:lineRule="exact"/>
              <w:jc w:val="center"/>
              <w:rPr>
                <w:rFonts w:asciiTheme="minorEastAsia" w:hAnsiTheme="minorEastAsia" w:eastAsiaTheme="minorEastAsia" w:cstheme="minorEastAsia"/>
                <w:color w:val="auto"/>
                <w:sz w:val="24"/>
                <w:highlight w:val="none"/>
              </w:rPr>
            </w:pPr>
          </w:p>
        </w:tc>
        <w:tc>
          <w:tcPr>
            <w:tcW w:w="689" w:type="dxa"/>
          </w:tcPr>
          <w:p w14:paraId="46646E1E">
            <w:pPr>
              <w:spacing w:line="400" w:lineRule="exact"/>
              <w:jc w:val="center"/>
              <w:rPr>
                <w:rFonts w:asciiTheme="minorEastAsia" w:hAnsiTheme="minorEastAsia" w:eastAsiaTheme="minorEastAsia" w:cstheme="minorEastAsia"/>
                <w:color w:val="auto"/>
                <w:sz w:val="24"/>
                <w:highlight w:val="none"/>
              </w:rPr>
            </w:pPr>
          </w:p>
        </w:tc>
        <w:tc>
          <w:tcPr>
            <w:tcW w:w="687" w:type="dxa"/>
          </w:tcPr>
          <w:p w14:paraId="61409E01">
            <w:pPr>
              <w:spacing w:line="400" w:lineRule="exact"/>
              <w:jc w:val="center"/>
              <w:rPr>
                <w:rFonts w:asciiTheme="minorEastAsia" w:hAnsiTheme="minorEastAsia" w:eastAsiaTheme="minorEastAsia" w:cstheme="minorEastAsia"/>
                <w:color w:val="auto"/>
                <w:sz w:val="24"/>
                <w:highlight w:val="none"/>
              </w:rPr>
            </w:pPr>
          </w:p>
        </w:tc>
        <w:tc>
          <w:tcPr>
            <w:tcW w:w="1023" w:type="dxa"/>
            <w:vAlign w:val="center"/>
          </w:tcPr>
          <w:p w14:paraId="1B425BA5">
            <w:pPr>
              <w:spacing w:line="400" w:lineRule="exact"/>
              <w:jc w:val="center"/>
              <w:rPr>
                <w:rFonts w:asciiTheme="minorEastAsia" w:hAnsiTheme="minorEastAsia" w:eastAsiaTheme="minorEastAsia" w:cstheme="minorEastAsia"/>
                <w:color w:val="auto"/>
                <w:sz w:val="24"/>
                <w:highlight w:val="none"/>
              </w:rPr>
            </w:pPr>
          </w:p>
        </w:tc>
        <w:tc>
          <w:tcPr>
            <w:tcW w:w="1070" w:type="dxa"/>
            <w:vAlign w:val="center"/>
          </w:tcPr>
          <w:p w14:paraId="026E267B">
            <w:pPr>
              <w:spacing w:line="400" w:lineRule="exact"/>
              <w:jc w:val="center"/>
              <w:rPr>
                <w:rFonts w:asciiTheme="minorEastAsia" w:hAnsiTheme="minorEastAsia" w:eastAsiaTheme="minorEastAsia" w:cstheme="minorEastAsia"/>
                <w:color w:val="auto"/>
                <w:sz w:val="24"/>
                <w:highlight w:val="none"/>
              </w:rPr>
            </w:pPr>
          </w:p>
        </w:tc>
      </w:tr>
      <w:tr w14:paraId="2A4EF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8556" w:type="dxa"/>
            <w:gridSpan w:val="9"/>
            <w:vAlign w:val="center"/>
          </w:tcPr>
          <w:p w14:paraId="0DFADD9A">
            <w:pPr>
              <w:spacing w:line="4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合计金额人民币（大写）                          （小写）¥</w:t>
            </w:r>
          </w:p>
        </w:tc>
      </w:tr>
    </w:tbl>
    <w:p w14:paraId="6314AA87">
      <w:pPr>
        <w:spacing w:line="400" w:lineRule="exact"/>
        <w:ind w:right="420"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合同合计金额包括但不限于货款、标准附件、备品备件、专用工具、包装、运输、装卸、保险、税金、货到就位以及安装、调试、培训、保修等一切税金和费用。在合同履行过程中，甲方不予支付合同以外的其他费用。乙方负责工人人身、设备安全责任，验收前，设备丢失自行负责。</w:t>
      </w:r>
    </w:p>
    <w:p w14:paraId="66B782F2">
      <w:pPr>
        <w:spacing w:line="400" w:lineRule="exact"/>
        <w:ind w:firstLine="482"/>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color w:val="auto"/>
          <w:sz w:val="24"/>
          <w:highlight w:val="none"/>
        </w:rPr>
        <w:t>第二条　质量要求</w:t>
      </w:r>
    </w:p>
    <w:p w14:paraId="7B86149A">
      <w:pPr>
        <w:spacing w:line="40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1.乙方所提供的产品名称、商标品牌、生产厂家、规格型号、技术参数等质量必须与公开招标文件规定及投标文件承诺相一致。乙方提供的节能和环保产品必须是列入政府采购品目清单的产品。</w:t>
      </w:r>
    </w:p>
    <w:p w14:paraId="59D7AC4D">
      <w:pPr>
        <w:spacing w:line="400" w:lineRule="exact"/>
        <w:ind w:firstLine="480"/>
        <w:rPr>
          <w:rFonts w:asciiTheme="minorEastAsia" w:hAnsiTheme="minorEastAsia" w:eastAsiaTheme="minorEastAsia" w:cstheme="minorEastAsia"/>
          <w:color w:val="auto"/>
          <w:sz w:val="24"/>
          <w:highlight w:val="none"/>
          <w:u w:val="single"/>
        </w:rPr>
      </w:pPr>
      <w:r>
        <w:rPr>
          <w:rFonts w:hint="eastAsia" w:asciiTheme="minorEastAsia" w:hAnsiTheme="minorEastAsia" w:eastAsiaTheme="minorEastAsia" w:cstheme="minorEastAsia"/>
          <w:color w:val="auto"/>
          <w:sz w:val="24"/>
          <w:highlight w:val="none"/>
        </w:rPr>
        <w:t>2.乙方所提供的货物必须是全新、未使用的原装产品，且在正常安装、使用和保养条件下，其使用寿命期内各项指标均达到公开招标文件规定或投标文件承诺的质量要求。</w:t>
      </w:r>
    </w:p>
    <w:p w14:paraId="367C3208">
      <w:pPr>
        <w:spacing w:line="400" w:lineRule="exact"/>
        <w:ind w:firstLine="482"/>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color w:val="auto"/>
          <w:sz w:val="24"/>
          <w:highlight w:val="none"/>
        </w:rPr>
        <w:t>第三条　权利保证</w:t>
      </w:r>
    </w:p>
    <w:p w14:paraId="1F4C6479">
      <w:pPr>
        <w:spacing w:line="40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1.乙方应保证所提供货物在使用时不会侵犯任何第三方的专利权、商标权、工业设计权或其他权利。</w:t>
      </w:r>
    </w:p>
    <w:p w14:paraId="1DE2790E">
      <w:pPr>
        <w:spacing w:line="40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2.乙方应按公开招标文件规定或投标文件承诺的时间向甲方提供使用货物的有关技术资料。</w:t>
      </w:r>
    </w:p>
    <w:p w14:paraId="27ECD7CE">
      <w:pPr>
        <w:spacing w:line="40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9ACB68C">
      <w:pPr>
        <w:spacing w:line="40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4.乙方保证交付的货物的所有权完全属于乙方且无任何抵押、质押、查封等产权瑕疵。</w:t>
      </w:r>
    </w:p>
    <w:p w14:paraId="54E35662">
      <w:pPr>
        <w:spacing w:line="40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5.乙方提供的货物及制作安装采用的各种配件、材料均应满足国家和行业规范标准。</w:t>
      </w:r>
    </w:p>
    <w:p w14:paraId="1A7D75BB">
      <w:pPr>
        <w:spacing w:line="400" w:lineRule="exact"/>
        <w:ind w:firstLine="482"/>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第四条　包装和运输</w:t>
      </w:r>
    </w:p>
    <w:p w14:paraId="6ECE67DE">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 乙方提供的货物均应按公开招标文件、投标文件要求的包装材料、包装标准、包装方式、运输距离、防潮、防震、防锈和防破损装卸等要求包装，以保证货物安全运达甲方指定地点，每一包装单元内应附详细的装箱单和质量合格证。除合同另有规定外，乙方提供的全部货物应按标准保护措施进行包装，由于包装不善所引起的货物损失均由乙方承担。</w:t>
      </w:r>
    </w:p>
    <w:p w14:paraId="2DCCCF74">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 乙方应提供设备的随机附件、技术资料，可包括相应的安装配件、图纸、操作手册、维护手册、质量保证文件、服务指南、清单等一并附于货物内。</w:t>
      </w:r>
    </w:p>
    <w:p w14:paraId="5D42E479">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 货物的运输方式（</w:t>
      </w:r>
      <w:r>
        <w:rPr>
          <w:rFonts w:hint="eastAsia" w:asciiTheme="minorEastAsia" w:hAnsiTheme="minorEastAsia" w:eastAsiaTheme="minorEastAsia" w:cstheme="minorEastAsia"/>
          <w:color w:val="auto"/>
          <w:sz w:val="24"/>
          <w:highlight w:val="none"/>
          <w:u w:val="single"/>
        </w:rPr>
        <w:t xml:space="preserve">由乙方自定）  </w:t>
      </w:r>
      <w:r>
        <w:rPr>
          <w:rFonts w:hint="eastAsia" w:asciiTheme="minorEastAsia" w:hAnsiTheme="minorEastAsia" w:eastAsiaTheme="minorEastAsia" w:cstheme="minorEastAsia"/>
          <w:color w:val="auto"/>
          <w:sz w:val="24"/>
          <w:highlight w:val="none"/>
        </w:rPr>
        <w:t>，货物运输合理损耗及计算方法：</w:t>
      </w:r>
      <w:r>
        <w:rPr>
          <w:rFonts w:hint="eastAsia" w:asciiTheme="minorEastAsia" w:hAnsiTheme="minorEastAsia" w:eastAsiaTheme="minorEastAsia" w:cstheme="minorEastAsia"/>
          <w:color w:val="auto"/>
          <w:sz w:val="24"/>
          <w:highlight w:val="none"/>
          <w:u w:val="single"/>
        </w:rPr>
        <w:t xml:space="preserve">  由乙方负责  </w:t>
      </w:r>
      <w:r>
        <w:rPr>
          <w:rFonts w:hint="eastAsia" w:asciiTheme="minorEastAsia" w:hAnsiTheme="minorEastAsia" w:eastAsiaTheme="minorEastAsia" w:cstheme="minorEastAsia"/>
          <w:color w:val="auto"/>
          <w:sz w:val="24"/>
          <w:highlight w:val="none"/>
        </w:rPr>
        <w:t>。</w:t>
      </w:r>
    </w:p>
    <w:p w14:paraId="78EB1ADF">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4.乙方在货物发运手续办理完毕后二十四小时内或货到甲方四十八小时前通知甲方，以准备接货。货物在交付甲方前发生的风险均由乙方负责。</w:t>
      </w:r>
    </w:p>
    <w:p w14:paraId="04597C70">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5. 货物在规定的交货期限内由乙方送达甲方指定的地点视为交货，乙方同时提供合格证及技术参数表给甲方，需通知甲方货物已送达。</w:t>
      </w:r>
    </w:p>
    <w:p w14:paraId="23371BFC">
      <w:pPr>
        <w:spacing w:line="460" w:lineRule="exact"/>
        <w:ind w:firstLine="482"/>
        <w:rPr>
          <w:rFonts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第五条　交付、安装和调试</w:t>
      </w:r>
    </w:p>
    <w:p w14:paraId="2142E7E2">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 xml:space="preserve">1. 交付使用时间： </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 xml:space="preserve"> 。</w:t>
      </w:r>
    </w:p>
    <w:p w14:paraId="42F446AD">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交付地点：</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 xml:space="preserve"> 。乙方负责处理安装设备产生的垃圾。</w:t>
      </w:r>
    </w:p>
    <w:p w14:paraId="56BA733F">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 乙方交付的货物应当完全符合本合同或采购文件所规定的货物、数量、规格等要求，外观、说明书符合采购文件技术要求的，给予签收，若乙方提供不符合招标文件、投标文件和本合同规定的货物，甲方有权拒绝接受，由此引起的风险由乙方承担。</w:t>
      </w:r>
    </w:p>
    <w:p w14:paraId="46A3AD12">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乙方交货前应将所提供货物的装箱清单、用户手册、原厂保修卡、随机资料、工具和备品、备件等作出全面检查和对验收文件进行整理，并列出清单，作为甲方收货验收和使用的技术条件依据，检验的结果应随货物交甲方。乙方未能提供完整合同标的的货物及本条款规定的证件和工具的，视为未按合同约定交货，乙方应负责及时补齐，因此导致逾期交付的，由乙方承担相关违约责任。</w:t>
      </w:r>
    </w:p>
    <w:p w14:paraId="26D2EC07">
      <w:pPr>
        <w:spacing w:line="360" w:lineRule="auto"/>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4.乙方负责安装并培训甲方的使用操作人员。甲方对乙方提供的货物在使用前进行调试时，乙方需协助甲方一起调试，直到符合技术要求，甲方才做最终验收。</w:t>
      </w:r>
    </w:p>
    <w:p w14:paraId="4F9F21ED">
      <w:pPr>
        <w:spacing w:line="460" w:lineRule="exact"/>
        <w:ind w:firstLine="482"/>
        <w:rPr>
          <w:rFonts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第六条　培训和验收</w:t>
      </w:r>
    </w:p>
    <w:p w14:paraId="28E68AD9">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1.甲方应提供必要安装、培训条件（如场地、电源、水源等）。培训时间、地点： 由甲方根据情况合理安排。培训形式：①现场使用培训：安装调试结束后，乙方培训工程师对机器正确使用方法进行示范操作，保证教会使用人员能正确使用设备。②集中授课：乙方培训工程师使用专门讲义进行授课，并进行考核考试。</w:t>
      </w:r>
    </w:p>
    <w:p w14:paraId="0C181C4C">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验收标准：乙方在货物验收时由甲方对照招标文件的功能目标及技术指标全面核对检验，对所有要求出具的证明文件的原件进行核查，如不符合招标文件的技术需求及要求以及提供虚假承诺的，按相关规定做退货处理及违约处理，乙方承担所有责任和费用，甲方保留进一步追究责任的权利。</w:t>
      </w:r>
    </w:p>
    <w:p w14:paraId="37B8B62F">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甲方应当在货物安装、调试完成后乙方提供书面验收申请书，15个工作日内进行验收，逾期不验收的验收前乙方需提供验收过程完成后及招标文件中约定的资料，乙方可视同验收合格。验收合格后由甲乙双方签署货物验收单并加盖采购人公章，甲乙双方各执一份。</w:t>
      </w:r>
    </w:p>
    <w:p w14:paraId="6C75AD33">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4.对技术复杂的货物，甲方应请国家认可的专业检测机构参与初步验收及最终验收，并由其出具质量检测报告。验收时乙方必须在现场，验收完毕后作出验收结果报告；验收费用由乙方负责。</w:t>
      </w:r>
    </w:p>
    <w:p w14:paraId="43AC3922">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5. 甲方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14:paraId="14B1F7E1">
      <w:pPr>
        <w:spacing w:line="360" w:lineRule="auto"/>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6. 甲方对验收有异议的，在验收后</w:t>
      </w:r>
      <w:r>
        <w:rPr>
          <w:rFonts w:hint="eastAsia" w:asciiTheme="minorEastAsia" w:hAnsiTheme="minorEastAsia" w:eastAsiaTheme="minorEastAsia" w:cstheme="minorEastAsia"/>
          <w:color w:val="auto"/>
          <w:sz w:val="24"/>
          <w:highlight w:val="none"/>
          <w:u w:val="single"/>
        </w:rPr>
        <w:t>5个工作日</w:t>
      </w:r>
      <w:r>
        <w:rPr>
          <w:rFonts w:hint="eastAsia" w:asciiTheme="minorEastAsia" w:hAnsiTheme="minorEastAsia" w:eastAsiaTheme="minorEastAsia" w:cstheme="minorEastAsia"/>
          <w:color w:val="auto"/>
          <w:sz w:val="24"/>
          <w:highlight w:val="none"/>
        </w:rPr>
        <w:t>内以书面形式向乙方提出，乙方应自收到甲方书面异议后</w:t>
      </w:r>
      <w:r>
        <w:rPr>
          <w:rFonts w:hint="eastAsia" w:asciiTheme="minorEastAsia" w:hAnsiTheme="minorEastAsia" w:eastAsiaTheme="minorEastAsia" w:cstheme="minorEastAsia"/>
          <w:color w:val="auto"/>
          <w:sz w:val="24"/>
          <w:highlight w:val="none"/>
          <w:u w:val="single"/>
        </w:rPr>
        <w:t>7个工作</w:t>
      </w:r>
      <w:r>
        <w:rPr>
          <w:rFonts w:hint="eastAsia" w:asciiTheme="minorEastAsia" w:hAnsiTheme="minorEastAsia" w:eastAsiaTheme="minorEastAsia" w:cstheme="minorEastAsia"/>
          <w:color w:val="auto"/>
          <w:sz w:val="24"/>
          <w:highlight w:val="none"/>
        </w:rPr>
        <w:t>日内及时予以解决。甲方根据乙方提出的解决情况，确认问题已解决并签字确认后</w:t>
      </w:r>
      <w:r>
        <w:rPr>
          <w:rFonts w:hint="eastAsia" w:asciiTheme="minorEastAsia" w:hAnsiTheme="minorEastAsia" w:eastAsiaTheme="minorEastAsia" w:cstheme="minorEastAsia"/>
          <w:color w:val="auto"/>
          <w:sz w:val="24"/>
          <w:highlight w:val="none"/>
          <w:u w:val="single"/>
        </w:rPr>
        <w:t>7个工作日</w:t>
      </w:r>
      <w:r>
        <w:rPr>
          <w:rFonts w:hint="eastAsia" w:asciiTheme="minorEastAsia" w:hAnsiTheme="minorEastAsia" w:eastAsiaTheme="minorEastAsia" w:cstheme="minorEastAsia"/>
          <w:color w:val="auto"/>
          <w:sz w:val="24"/>
          <w:highlight w:val="none"/>
        </w:rPr>
        <w:t>内进行货物再验收。</w:t>
      </w:r>
    </w:p>
    <w:p w14:paraId="661B3D99">
      <w:pPr>
        <w:spacing w:line="360" w:lineRule="auto"/>
        <w:ind w:firstLine="482"/>
        <w:rPr>
          <w:rFonts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第七条　付款方式</w:t>
      </w:r>
    </w:p>
    <w:p w14:paraId="33D33D14">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 当采购数量与实际使用数量不一致时，乙方应根据实际使用量供货，合同的最终结算金额按实际使用量乘以中标单价进行计算。</w:t>
      </w:r>
    </w:p>
    <w:p w14:paraId="21446FA3">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 资金性质：</w:t>
      </w:r>
      <w:r>
        <w:rPr>
          <w:rFonts w:hint="eastAsia" w:asciiTheme="minorEastAsia" w:hAnsiTheme="minorEastAsia" w:eastAsiaTheme="minorEastAsia" w:cstheme="minorEastAsia"/>
          <w:color w:val="auto"/>
          <w:sz w:val="24"/>
          <w:highlight w:val="none"/>
          <w:u w:val="single"/>
        </w:rPr>
        <w:t xml:space="preserve">财政性资金  </w:t>
      </w:r>
      <w:r>
        <w:rPr>
          <w:rFonts w:hint="eastAsia" w:asciiTheme="minorEastAsia" w:hAnsiTheme="minorEastAsia" w:eastAsiaTheme="minorEastAsia" w:cstheme="minorEastAsia"/>
          <w:color w:val="auto"/>
          <w:sz w:val="24"/>
          <w:highlight w:val="none"/>
        </w:rPr>
        <w:t>。</w:t>
      </w:r>
    </w:p>
    <w:p w14:paraId="42324C40">
      <w:pPr>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3.付款方式：合同签订后</w:t>
      </w:r>
      <w:r>
        <w:rPr>
          <w:rFonts w:hint="eastAsia" w:asciiTheme="minorEastAsia" w:hAnsiTheme="minorEastAsia" w:eastAsiaTheme="minorEastAsia" w:cstheme="minorEastAsia"/>
          <w:color w:val="auto"/>
          <w:sz w:val="24"/>
          <w:highlight w:val="none"/>
          <w:lang w:val="en-US" w:eastAsia="zh-CN"/>
        </w:rPr>
        <w:t>甲方</w:t>
      </w:r>
      <w:r>
        <w:rPr>
          <w:rFonts w:hint="eastAsia" w:asciiTheme="minorEastAsia" w:hAnsiTheme="minorEastAsia" w:eastAsiaTheme="minorEastAsia" w:cstheme="minorEastAsia"/>
          <w:color w:val="auto"/>
          <w:sz w:val="24"/>
          <w:highlight w:val="none"/>
        </w:rPr>
        <w:t>在</w:t>
      </w:r>
      <w:r>
        <w:rPr>
          <w:rFonts w:hint="eastAsia" w:asciiTheme="minorEastAsia" w:hAnsiTheme="minorEastAsia" w:eastAsiaTheme="minorEastAsia" w:cstheme="minorEastAsia"/>
          <w:color w:val="auto"/>
          <w:sz w:val="24"/>
          <w:highlight w:val="none"/>
          <w:lang w:val="en-US" w:eastAsia="zh-CN"/>
        </w:rPr>
        <w:t>20</w:t>
      </w:r>
      <w:r>
        <w:rPr>
          <w:rFonts w:hint="eastAsia" w:asciiTheme="minorEastAsia" w:hAnsiTheme="minorEastAsia" w:eastAsiaTheme="minorEastAsia" w:cstheme="minorEastAsia"/>
          <w:color w:val="auto"/>
          <w:sz w:val="24"/>
          <w:highlight w:val="none"/>
        </w:rPr>
        <w:t>个工作日内支付合同总金额的30%预付款给</w:t>
      </w:r>
      <w:r>
        <w:rPr>
          <w:rFonts w:hint="eastAsia" w:asciiTheme="minorEastAsia" w:hAnsiTheme="minorEastAsia" w:eastAsiaTheme="minorEastAsia" w:cstheme="minorEastAsia"/>
          <w:color w:val="auto"/>
          <w:sz w:val="24"/>
          <w:highlight w:val="none"/>
          <w:lang w:val="en-US" w:eastAsia="zh-CN"/>
        </w:rPr>
        <w:t>乙方</w:t>
      </w:r>
      <w:r>
        <w:rPr>
          <w:rFonts w:hint="eastAsia" w:asciiTheme="minorEastAsia" w:hAnsiTheme="minorEastAsia" w:eastAsiaTheme="minorEastAsia" w:cstheme="minorEastAsia"/>
          <w:color w:val="auto"/>
          <w:sz w:val="24"/>
          <w:highlight w:val="none"/>
        </w:rPr>
        <w:t>。设备到达并安装调试后，经验收合格，</w:t>
      </w:r>
      <w:r>
        <w:rPr>
          <w:rFonts w:hint="eastAsia" w:asciiTheme="minorEastAsia" w:hAnsiTheme="minorEastAsia" w:eastAsiaTheme="minorEastAsia" w:cstheme="minorEastAsia"/>
          <w:color w:val="auto"/>
          <w:sz w:val="24"/>
          <w:highlight w:val="none"/>
          <w:lang w:val="en-US" w:eastAsia="zh-CN"/>
        </w:rPr>
        <w:t>甲方</w:t>
      </w:r>
      <w:r>
        <w:rPr>
          <w:rFonts w:hint="eastAsia" w:asciiTheme="minorEastAsia" w:hAnsiTheme="minorEastAsia" w:eastAsiaTheme="minorEastAsia" w:cstheme="minorEastAsia"/>
          <w:color w:val="auto"/>
          <w:sz w:val="24"/>
          <w:highlight w:val="none"/>
        </w:rPr>
        <w:t>在10个工作日内支付验收合格仪器货款的70%给</w:t>
      </w:r>
      <w:r>
        <w:rPr>
          <w:rFonts w:hint="eastAsia" w:asciiTheme="minorEastAsia" w:hAnsiTheme="minorEastAsia" w:eastAsiaTheme="minorEastAsia" w:cstheme="minorEastAsia"/>
          <w:color w:val="auto"/>
          <w:sz w:val="24"/>
          <w:highlight w:val="none"/>
          <w:lang w:val="en-US" w:eastAsia="zh-CN"/>
        </w:rPr>
        <w:t>乙方</w:t>
      </w:r>
      <w:r>
        <w:rPr>
          <w:rFonts w:hint="eastAsia" w:asciiTheme="minorEastAsia" w:hAnsiTheme="minorEastAsia" w:eastAsiaTheme="minorEastAsia" w:cstheme="minorEastAsia"/>
          <w:color w:val="auto"/>
          <w:sz w:val="24"/>
          <w:highlight w:val="none"/>
        </w:rPr>
        <w:t>，因财政性资金需按财政国库支付规定程序申请及办理，如因财政拨款原因导致付款延迟，</w:t>
      </w:r>
      <w:r>
        <w:rPr>
          <w:rFonts w:hint="eastAsia" w:asciiTheme="minorEastAsia" w:hAnsiTheme="minorEastAsia" w:eastAsiaTheme="minorEastAsia" w:cstheme="minorEastAsia"/>
          <w:color w:val="auto"/>
          <w:sz w:val="24"/>
          <w:highlight w:val="none"/>
          <w:lang w:val="en-US" w:eastAsia="zh-CN"/>
        </w:rPr>
        <w:t>甲方</w:t>
      </w:r>
      <w:r>
        <w:rPr>
          <w:rFonts w:hint="eastAsia" w:asciiTheme="minorEastAsia" w:hAnsiTheme="minorEastAsia" w:eastAsiaTheme="minorEastAsia" w:cstheme="minorEastAsia"/>
          <w:color w:val="auto"/>
          <w:sz w:val="24"/>
          <w:highlight w:val="none"/>
        </w:rPr>
        <w:t>不承担违约责任。</w:t>
      </w:r>
      <w:r>
        <w:rPr>
          <w:rFonts w:hint="eastAsia" w:asciiTheme="minorEastAsia" w:hAnsiTheme="minorEastAsia" w:eastAsiaTheme="minorEastAsia" w:cstheme="minorEastAsia"/>
          <w:color w:val="auto"/>
          <w:sz w:val="24"/>
          <w:highlight w:val="none"/>
          <w:lang w:val="en-US" w:eastAsia="zh-CN"/>
        </w:rPr>
        <w:t>乙方</w:t>
      </w:r>
      <w:r>
        <w:rPr>
          <w:rFonts w:hint="eastAsia" w:asciiTheme="minorEastAsia" w:hAnsiTheme="minorEastAsia" w:eastAsiaTheme="minorEastAsia" w:cstheme="minorEastAsia"/>
          <w:color w:val="auto"/>
          <w:sz w:val="24"/>
          <w:highlight w:val="none"/>
        </w:rPr>
        <w:t xml:space="preserve">不得以未收到预付款为由不予供货。 </w:t>
      </w:r>
    </w:p>
    <w:p w14:paraId="73919C99">
      <w:pPr>
        <w:spacing w:line="400" w:lineRule="exact"/>
        <w:ind w:firstLine="240"/>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color w:val="auto"/>
          <w:sz w:val="24"/>
          <w:highlight w:val="none"/>
        </w:rPr>
        <w:t xml:space="preserve"> </w:t>
      </w:r>
      <w:r>
        <w:rPr>
          <w:rFonts w:hint="eastAsia" w:asciiTheme="minorEastAsia" w:hAnsiTheme="minorEastAsia" w:eastAsiaTheme="minorEastAsia" w:cstheme="minorEastAsia"/>
          <w:b/>
          <w:color w:val="auto"/>
          <w:sz w:val="24"/>
          <w:highlight w:val="none"/>
        </w:rPr>
        <w:t>第八条　履约保证金</w:t>
      </w:r>
    </w:p>
    <w:p w14:paraId="242EF7DC">
      <w:pPr>
        <w:spacing w:line="400" w:lineRule="exact"/>
        <w:ind w:firstLine="484"/>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本项目不收取履约保证金</w:t>
      </w:r>
    </w:p>
    <w:p w14:paraId="1F269AB1">
      <w:pPr>
        <w:spacing w:line="400" w:lineRule="exact"/>
        <w:ind w:firstLine="487"/>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第九条  税费</w:t>
      </w:r>
    </w:p>
    <w:p w14:paraId="5186BCCB">
      <w:pPr>
        <w:spacing w:line="400" w:lineRule="exact"/>
        <w:ind w:left="-61" w:firstLine="514"/>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本合同执行中相关的一切税费均由乙方负担，合同另有约定的除外。</w:t>
      </w:r>
    </w:p>
    <w:p w14:paraId="5DF8C492">
      <w:pPr>
        <w:spacing w:line="400" w:lineRule="exact"/>
        <w:ind w:left="-61" w:firstLine="514"/>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color w:val="auto"/>
          <w:sz w:val="24"/>
          <w:highlight w:val="none"/>
        </w:rPr>
        <w:t>第十条  质量保证及售后服务</w:t>
      </w:r>
    </w:p>
    <w:p w14:paraId="4E3319DC">
      <w:pPr>
        <w:spacing w:line="40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Cs/>
          <w:color w:val="auto"/>
          <w:sz w:val="24"/>
          <w:highlight w:val="none"/>
        </w:rPr>
        <w:t>1.</w:t>
      </w:r>
      <w:r>
        <w:rPr>
          <w:rFonts w:hint="eastAsia" w:asciiTheme="minorEastAsia" w:hAnsiTheme="minorEastAsia" w:eastAsiaTheme="minorEastAsia" w:cstheme="minorEastAsia"/>
          <w:color w:val="auto"/>
          <w:sz w:val="24"/>
          <w:highlight w:val="none"/>
        </w:rPr>
        <w:t>乙方应按公开招标文件规定的产品名称、商标品牌、生产厂家、规格型号、技术参数、质量标准向甲方提供未经使用的全新产品。不符合要求的，根据实际情况，经双方协商，可按以下办法处理：</w:t>
      </w:r>
    </w:p>
    <w:p w14:paraId="48E8D930">
      <w:pPr>
        <w:spacing w:line="40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⑴更换：由乙方承担所发生的全部费用。</w:t>
      </w:r>
    </w:p>
    <w:p w14:paraId="3401ACF8">
      <w:pPr>
        <w:spacing w:line="400" w:lineRule="exact"/>
        <w:ind w:firstLine="42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⑵贬值处理：由甲乙双方合议定价。</w:t>
      </w:r>
    </w:p>
    <w:p w14:paraId="00E89698">
      <w:pPr>
        <w:spacing w:line="400" w:lineRule="exact"/>
        <w:ind w:firstLine="42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⑶退货处理：乙方应退还甲方支付的合同款，同时应承担该货物的直接费用（运输、保险、检验、货款利息及银行手续费等）。</w:t>
      </w:r>
    </w:p>
    <w:p w14:paraId="0669DD17">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 xml:space="preserve"> 2.乙方应按照国家有关法律法规和“三包”规定以及招标文件、投标文件和本合同所附的《售后服务承诺书》，为甲方提供售后服务。</w:t>
      </w:r>
    </w:p>
    <w:p w14:paraId="1D47E6BA">
      <w:pPr>
        <w:spacing w:line="460" w:lineRule="exact"/>
        <w:ind w:firstLine="6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3.产品质量保证期应当包括但不限于：货物验收合格之日起</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个月。质保期内，乙方对其提供的设备进行上门维修、更换零部件，不收取额外费用。质保期后五年内有足够的备品备件，并提供终身维修及保养，维修时只收部件成本费。</w:t>
      </w:r>
    </w:p>
    <w:p w14:paraId="5B081F74">
      <w:pPr>
        <w:spacing w:line="460" w:lineRule="exact"/>
        <w:ind w:firstLine="6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质保期内乙方应提供5*8小时远程桌面及7*24小时电话技术支持。如在使用过程中发生质量问题，乙方在接到甲方通知后立即响应，并在24小时内到达甲方现场维修，对货物出现的质量及安全问题负责处理解决并承担一切费用。如果需要更换配件的，要求更换的配件应跟被更换的品牌、类型相一致或者是同类同档次的替代品，乙方需征得甲方管理人员同意。</w:t>
      </w:r>
    </w:p>
    <w:p w14:paraId="6175DF58">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5.设备质保期内一周如出现3次以上停机或设备故障的，甲方有权要求乙方退货或更换机器，所产生费用由乙方承担。</w:t>
      </w:r>
    </w:p>
    <w:p w14:paraId="48521823">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6.当设备有重大级别提升时，乙方为设备进行软件升级。</w:t>
      </w:r>
    </w:p>
    <w:p w14:paraId="63515F5F">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7.乙方应派工程技术人员一年两次定期对设备进行维护保养。</w:t>
      </w:r>
    </w:p>
    <w:p w14:paraId="37E79B22">
      <w:pPr>
        <w:spacing w:line="460" w:lineRule="exact"/>
        <w:ind w:firstLine="482"/>
        <w:rPr>
          <w:rFonts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第十一条　违约责任</w:t>
      </w:r>
    </w:p>
    <w:p w14:paraId="232A6E30">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 乙方所提供的货物规格、技术标准、材料等质量不合格的，应及时更换，更换不及时的按逾期交货处罚；因质量问题甲方不同意接收的或特殊情况甲方不同意接收的，乙方应向甲方支付违约货款额5%违约金并赔偿甲方经济损失。</w:t>
      </w:r>
    </w:p>
    <w:p w14:paraId="3682DA71">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 乙方提供的货物如侵犯了第三方合法权益而引发的任何纠纷或诉讼，均由乙方负责交涉并承担全部责任。</w:t>
      </w:r>
    </w:p>
    <w:p w14:paraId="488EE6ED">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 因包装、运输引起的货物损坏，按质量不合格处罚。</w:t>
      </w:r>
    </w:p>
    <w:p w14:paraId="2CFCD6E2">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 甲方无故延期接收货物、乙方逾期交货的，每天向对方偿付违约货款额3‰违约金，超过</w:t>
      </w:r>
      <w:r>
        <w:rPr>
          <w:rFonts w:hint="eastAsia" w:asciiTheme="minorEastAsia" w:hAnsiTheme="minorEastAsia" w:eastAsiaTheme="minorEastAsia" w:cstheme="minorEastAsia"/>
          <w:color w:val="auto"/>
          <w:sz w:val="24"/>
          <w:highlight w:val="none"/>
          <w:u w:val="single"/>
        </w:rPr>
        <w:t xml:space="preserve"> 30 </w:t>
      </w:r>
      <w:r>
        <w:rPr>
          <w:rFonts w:hint="eastAsia" w:asciiTheme="minorEastAsia" w:hAnsiTheme="minorEastAsia" w:eastAsiaTheme="minorEastAsia" w:cstheme="minorEastAsia"/>
          <w:color w:val="auto"/>
          <w:sz w:val="24"/>
          <w:highlight w:val="none"/>
        </w:rPr>
        <w:t>天对方有权依法解除合同，违约方承担因此给对方造成经济损失。</w:t>
      </w:r>
    </w:p>
    <w:p w14:paraId="7AA5AD79">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5. 乙方未按本合同和投标文件中规定的服务承诺提供服务的，乙方应按本合同合计金额10%向甲方支付违约金，甲方有权依法解除合同。</w:t>
      </w:r>
    </w:p>
    <w:p w14:paraId="08C799BC">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6. 乙方提供的货物在质量保证期内，因设计、工艺或材料的缺陷和其它质量原因造成的问题，由乙方负责。</w:t>
      </w:r>
    </w:p>
    <w:p w14:paraId="3E9CD039">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7. 其它违约行为按违约货款额10%收取违约金。</w:t>
      </w:r>
    </w:p>
    <w:p w14:paraId="3DEF6C12">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8. 乙方支付的违约金不足以弥补甲方损失的，还应承担赔偿责任。</w:t>
      </w:r>
    </w:p>
    <w:p w14:paraId="2CF2F4FC">
      <w:pPr>
        <w:spacing w:line="460" w:lineRule="exact"/>
        <w:ind w:firstLine="482"/>
        <w:rPr>
          <w:rFonts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第十二条  不可抗力事件处理</w:t>
      </w:r>
    </w:p>
    <w:p w14:paraId="5E5158CD">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 在合同有效期内，任何一方因不可抗力事件导致不能履行合同，则合同履行期可延长，其延长期与不可抗力影响期相同。</w:t>
      </w:r>
    </w:p>
    <w:p w14:paraId="3BB1B3E9">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 不可抗力事件发生后，应立即通知对方，并寄送有关权威机构出具的证明。</w:t>
      </w:r>
    </w:p>
    <w:p w14:paraId="06B0D1FA">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 不可抗力事件延续一百二十天以上，双方应通过友好协商，确定是否继续履行合同。</w:t>
      </w:r>
    </w:p>
    <w:p w14:paraId="1931E848">
      <w:pPr>
        <w:spacing w:line="460" w:lineRule="exact"/>
        <w:ind w:firstLine="482"/>
        <w:rPr>
          <w:rFonts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第十三条  合同争议解决</w:t>
      </w:r>
    </w:p>
    <w:p w14:paraId="2021FD00">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 因货物质量问题发生争议的，应邀请国家认可的质量检测机构对货物质量进行鉴定。货物符合标准的，鉴定费由甲方承担；货物不符合标准的，鉴定费由乙方承担。</w:t>
      </w:r>
    </w:p>
    <w:p w14:paraId="1D3338A3">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 因履行本合同引起的或与本合同有关的争议，双方从下列两种方式中选择第</w:t>
      </w:r>
      <w:r>
        <w:rPr>
          <w:rFonts w:hint="eastAsia" w:asciiTheme="minorEastAsia" w:hAnsiTheme="minorEastAsia" w:eastAsiaTheme="minorEastAsia" w:cstheme="minorEastAsia"/>
          <w:color w:val="auto"/>
          <w:sz w:val="24"/>
          <w:highlight w:val="none"/>
          <w:u w:val="single"/>
        </w:rPr>
        <w:t xml:space="preserve"> ⑵ </w:t>
      </w:r>
      <w:r>
        <w:rPr>
          <w:rFonts w:hint="eastAsia" w:asciiTheme="minorEastAsia" w:hAnsiTheme="minorEastAsia" w:eastAsiaTheme="minorEastAsia" w:cstheme="minorEastAsia"/>
          <w:color w:val="auto"/>
          <w:sz w:val="24"/>
          <w:highlight w:val="none"/>
        </w:rPr>
        <w:t>种方式，作为本合同争议的解决方式。</w:t>
      </w:r>
    </w:p>
    <w:p w14:paraId="3328E84D">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⑴甲乙双方应首先通过友好协商解决，如果协商不能解决，可向甲方所在地钦州仲裁委员会申请仲裁。仲裁期间，本合同继续履行。</w:t>
      </w:r>
    </w:p>
    <w:p w14:paraId="670FFCA1">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⑵甲乙双方应首先通过友好协商解决，如果协商不能解决，双方均可向甲方所在地人民法院提起诉讼。诉讼期间，本合同继续履行。</w:t>
      </w:r>
    </w:p>
    <w:p w14:paraId="57F8EF00">
      <w:pPr>
        <w:spacing w:line="460" w:lineRule="exact"/>
        <w:ind w:firstLine="482"/>
        <w:rPr>
          <w:rFonts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第十四条  合同的变更、终止与转让</w:t>
      </w:r>
    </w:p>
    <w:p w14:paraId="287C08EE">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 除《中华人民共和国政府采购法》第五十条规定的情形外，本合同一经签订，甲乙双方不得擅自变更、中止或终止。</w:t>
      </w:r>
    </w:p>
    <w:p w14:paraId="5CB74370">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 乙方不得擅自转让（无进口资格的供应商委托进口货物除外）其应履行的合同义务。</w:t>
      </w:r>
    </w:p>
    <w:p w14:paraId="38205CCD">
      <w:pPr>
        <w:spacing w:line="400" w:lineRule="exact"/>
        <w:ind w:firstLine="482"/>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bCs/>
          <w:color w:val="auto"/>
          <w:sz w:val="24"/>
          <w:highlight w:val="none"/>
        </w:rPr>
        <w:t>第十五条　本合同书与下列文件一起构成合同文件</w:t>
      </w:r>
    </w:p>
    <w:p w14:paraId="51E3C511">
      <w:pPr>
        <w:spacing w:line="400" w:lineRule="exact"/>
        <w:ind w:left="42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1.中标通知书</w:t>
      </w:r>
    </w:p>
    <w:p w14:paraId="22002CE2">
      <w:pPr>
        <w:spacing w:line="400" w:lineRule="exact"/>
        <w:ind w:left="42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2.投标声明</w:t>
      </w:r>
      <w:r>
        <w:rPr>
          <w:rFonts w:hint="eastAsia" w:asciiTheme="minorEastAsia" w:hAnsiTheme="minorEastAsia" w:eastAsiaTheme="minorEastAsia" w:cstheme="minorEastAsia"/>
          <w:color w:val="auto"/>
          <w:sz w:val="24"/>
          <w:highlight w:val="none"/>
        </w:rPr>
        <w:tab/>
      </w:r>
    </w:p>
    <w:p w14:paraId="46DA2A05">
      <w:pPr>
        <w:spacing w:line="400" w:lineRule="exact"/>
        <w:ind w:left="42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3.商务条款偏离表和技术需求偏离表</w:t>
      </w:r>
      <w:r>
        <w:rPr>
          <w:rFonts w:hint="eastAsia" w:asciiTheme="minorEastAsia" w:hAnsiTheme="minorEastAsia" w:eastAsiaTheme="minorEastAsia" w:cstheme="minorEastAsia"/>
          <w:color w:val="auto"/>
          <w:sz w:val="24"/>
          <w:highlight w:val="none"/>
        </w:rPr>
        <w:tab/>
      </w:r>
    </w:p>
    <w:p w14:paraId="18EC0768">
      <w:pPr>
        <w:spacing w:line="400" w:lineRule="exact"/>
        <w:ind w:left="42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4.采购需求</w:t>
      </w:r>
      <w:r>
        <w:rPr>
          <w:rFonts w:hint="eastAsia" w:asciiTheme="minorEastAsia" w:hAnsiTheme="minorEastAsia" w:eastAsiaTheme="minorEastAsia" w:cstheme="minorEastAsia"/>
          <w:color w:val="auto"/>
          <w:sz w:val="24"/>
          <w:highlight w:val="none"/>
        </w:rPr>
        <w:tab/>
      </w:r>
    </w:p>
    <w:p w14:paraId="59F5776F">
      <w:pPr>
        <w:spacing w:line="400" w:lineRule="exact"/>
        <w:ind w:left="42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5.投标报价表</w:t>
      </w:r>
    </w:p>
    <w:p w14:paraId="684F96E6">
      <w:pPr>
        <w:spacing w:line="400" w:lineRule="exact"/>
        <w:ind w:left="42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6.其他承诺书等合同文件</w:t>
      </w:r>
      <w:r>
        <w:rPr>
          <w:rFonts w:hint="eastAsia" w:asciiTheme="minorEastAsia" w:hAnsiTheme="minorEastAsia" w:eastAsiaTheme="minorEastAsia" w:cstheme="minorEastAsia"/>
          <w:color w:val="auto"/>
          <w:sz w:val="24"/>
          <w:highlight w:val="none"/>
        </w:rPr>
        <w:tab/>
      </w:r>
    </w:p>
    <w:p w14:paraId="7D768DDB">
      <w:pPr>
        <w:spacing w:line="400" w:lineRule="exact"/>
        <w:ind w:firstLine="360"/>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color w:val="auto"/>
          <w:sz w:val="24"/>
          <w:highlight w:val="none"/>
        </w:rPr>
        <w:t>7.上述合同文件互相补充和解释。如果合同文件之间存在矛盾或不一致之处，以有利于甲方的排列顺序在先者为准。</w:t>
      </w:r>
    </w:p>
    <w:p w14:paraId="4251574A">
      <w:pPr>
        <w:spacing w:line="460" w:lineRule="exact"/>
        <w:ind w:firstLine="482"/>
        <w:rPr>
          <w:rFonts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第十六条　合同生效及其它</w:t>
      </w:r>
    </w:p>
    <w:p w14:paraId="64AD37A1">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1.本合同经双方法定代表人或授权代表（委托代理人）签字并加盖单位公章后生效。</w:t>
      </w:r>
    </w:p>
    <w:p w14:paraId="673B05DE">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2.合同正本一式柒份，甲方执肆份，乙方执贰份，采购代理机构执壹份，具有同等法律效力。自签订之日起两个工作日内，采购代理机构应当将合同副本报广西政采云平台备案。</w:t>
      </w:r>
    </w:p>
    <w:p w14:paraId="7C397940">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3.合同执行中涉及采购资金和采购内容修改或补充的，须经同级政府采购监督管理办公室审批，并签</w:t>
      </w:r>
      <w:r>
        <w:rPr>
          <w:rFonts w:hint="eastAsia" w:asciiTheme="minorEastAsia" w:hAnsiTheme="minorEastAsia" w:cstheme="minorEastAsia"/>
          <w:color w:val="auto"/>
          <w:sz w:val="24"/>
          <w:highlight w:val="none"/>
        </w:rPr>
        <w:t>订</w:t>
      </w:r>
      <w:r>
        <w:rPr>
          <w:rFonts w:hint="eastAsia" w:asciiTheme="minorEastAsia" w:hAnsiTheme="minorEastAsia" w:eastAsiaTheme="minorEastAsia" w:cstheme="minorEastAsia"/>
          <w:color w:val="auto"/>
          <w:sz w:val="24"/>
          <w:highlight w:val="none"/>
        </w:rPr>
        <w:t>书面补充协议报同级政府采购监督管理办公室备案，方可作为主合同不可分割的一部分。</w:t>
      </w:r>
    </w:p>
    <w:p w14:paraId="24299C19">
      <w:pPr>
        <w:spacing w:line="460" w:lineRule="exact"/>
        <w:ind w:firstLine="48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4.本合同未尽事宜，遵照《中华人民共和国民法典》有关条文执行。</w:t>
      </w:r>
    </w:p>
    <w:p w14:paraId="7401F0E2">
      <w:pPr>
        <w:spacing w:line="4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（以下无正文为签章页）</w:t>
      </w:r>
    </w:p>
    <w:p w14:paraId="08FDC715">
      <w:pPr>
        <w:spacing w:before="25" w:after="25"/>
        <w:jc w:val="left"/>
        <w:rPr>
          <w:rFonts w:asciiTheme="minorEastAsia" w:hAnsiTheme="minorEastAsia" w:eastAsiaTheme="minorEastAsia" w:cstheme="minorEastAsia"/>
          <w:bCs/>
          <w:color w:val="auto"/>
          <w:spacing w:val="10"/>
          <w:sz w:val="24"/>
          <w:highlight w:val="none"/>
        </w:rPr>
      </w:pPr>
    </w:p>
    <w:tbl>
      <w:tblPr>
        <w:tblStyle w:val="50"/>
        <w:tblW w:w="82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3"/>
        <w:gridCol w:w="4061"/>
      </w:tblGrid>
      <w:tr w14:paraId="71EA8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trPr>
        <w:tc>
          <w:tcPr>
            <w:tcW w:w="4163" w:type="dxa"/>
            <w:vAlign w:val="center"/>
          </w:tcPr>
          <w:p w14:paraId="4DC49BC5">
            <w:pPr>
              <w:spacing w:line="4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 xml:space="preserve">甲方（章）：           </w:t>
            </w:r>
          </w:p>
          <w:p w14:paraId="3148A4D5">
            <w:pPr>
              <w:spacing w:line="400" w:lineRule="exact"/>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lang w:eastAsia="zh-CN"/>
              </w:rPr>
              <w:t>钦州市检验检测中心</w:t>
            </w:r>
          </w:p>
          <w:p w14:paraId="799F5DAF">
            <w:pPr>
              <w:spacing w:line="400" w:lineRule="exact"/>
              <w:rPr>
                <w:rFonts w:asciiTheme="minorEastAsia" w:hAnsiTheme="minorEastAsia" w:eastAsiaTheme="minorEastAsia" w:cstheme="minorEastAsia"/>
                <w:color w:val="auto"/>
                <w:sz w:val="24"/>
                <w:highlight w:val="none"/>
              </w:rPr>
            </w:pPr>
          </w:p>
          <w:p w14:paraId="7420632A">
            <w:pPr>
              <w:spacing w:line="400" w:lineRule="exact"/>
              <w:ind w:firstLine="1080"/>
              <w:jc w:val="righ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年   月   日</w:t>
            </w:r>
          </w:p>
        </w:tc>
        <w:tc>
          <w:tcPr>
            <w:tcW w:w="4061" w:type="dxa"/>
            <w:vAlign w:val="center"/>
          </w:tcPr>
          <w:p w14:paraId="2D9D3369">
            <w:pPr>
              <w:spacing w:line="4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 xml:space="preserve">乙方（章）：              </w:t>
            </w:r>
          </w:p>
          <w:p w14:paraId="3E70472E">
            <w:pPr>
              <w:spacing w:line="400" w:lineRule="exact"/>
              <w:rPr>
                <w:rFonts w:asciiTheme="minorEastAsia" w:hAnsiTheme="minorEastAsia" w:eastAsiaTheme="minorEastAsia" w:cstheme="minorEastAsia"/>
                <w:color w:val="auto"/>
                <w:sz w:val="24"/>
                <w:highlight w:val="none"/>
              </w:rPr>
            </w:pPr>
          </w:p>
          <w:p w14:paraId="337175D9">
            <w:pPr>
              <w:spacing w:line="400" w:lineRule="exact"/>
              <w:rPr>
                <w:rFonts w:asciiTheme="minorEastAsia" w:hAnsiTheme="minorEastAsia" w:eastAsiaTheme="minorEastAsia" w:cstheme="minorEastAsia"/>
                <w:color w:val="auto"/>
                <w:sz w:val="24"/>
                <w:highlight w:val="none"/>
              </w:rPr>
            </w:pPr>
          </w:p>
          <w:p w14:paraId="7BFCA49F">
            <w:pPr>
              <w:spacing w:line="400" w:lineRule="exact"/>
              <w:jc w:val="righ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 xml:space="preserve"> 年   月   日</w:t>
            </w:r>
          </w:p>
        </w:tc>
      </w:tr>
      <w:tr w14:paraId="684E4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4163" w:type="dxa"/>
            <w:vAlign w:val="center"/>
          </w:tcPr>
          <w:p w14:paraId="6777218E">
            <w:pPr>
              <w:spacing w:line="4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单位地址：</w:t>
            </w:r>
          </w:p>
        </w:tc>
        <w:tc>
          <w:tcPr>
            <w:tcW w:w="4061" w:type="dxa"/>
            <w:vAlign w:val="center"/>
          </w:tcPr>
          <w:p w14:paraId="47B96122">
            <w:pPr>
              <w:spacing w:line="4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单位地址：</w:t>
            </w:r>
          </w:p>
        </w:tc>
      </w:tr>
      <w:tr w14:paraId="488CC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4163" w:type="dxa"/>
          </w:tcPr>
          <w:p w14:paraId="7DA6C85E">
            <w:pPr>
              <w:spacing w:line="4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法定代表人</w:t>
            </w:r>
          </w:p>
          <w:p w14:paraId="36C933AA">
            <w:pPr>
              <w:spacing w:line="4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或委托代理人：</w:t>
            </w:r>
          </w:p>
        </w:tc>
        <w:tc>
          <w:tcPr>
            <w:tcW w:w="4061" w:type="dxa"/>
          </w:tcPr>
          <w:p w14:paraId="04CD8099">
            <w:pPr>
              <w:spacing w:line="4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法定代表人（负责人或自然人）</w:t>
            </w:r>
          </w:p>
          <w:p w14:paraId="6EA769A9">
            <w:pPr>
              <w:spacing w:line="4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或委托代理人：</w:t>
            </w:r>
          </w:p>
        </w:tc>
      </w:tr>
      <w:tr w14:paraId="126B4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4163" w:type="dxa"/>
            <w:vAlign w:val="center"/>
          </w:tcPr>
          <w:p w14:paraId="2247E322">
            <w:pPr>
              <w:spacing w:line="4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电话：</w:t>
            </w:r>
          </w:p>
        </w:tc>
        <w:tc>
          <w:tcPr>
            <w:tcW w:w="4061" w:type="dxa"/>
            <w:vAlign w:val="center"/>
          </w:tcPr>
          <w:p w14:paraId="2296361A">
            <w:pPr>
              <w:spacing w:line="4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电话：</w:t>
            </w:r>
          </w:p>
        </w:tc>
      </w:tr>
      <w:tr w14:paraId="7B972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4163" w:type="dxa"/>
            <w:vAlign w:val="center"/>
          </w:tcPr>
          <w:p w14:paraId="2C1EB268">
            <w:pPr>
              <w:spacing w:line="4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开户银行：</w:t>
            </w:r>
          </w:p>
        </w:tc>
        <w:tc>
          <w:tcPr>
            <w:tcW w:w="4061" w:type="dxa"/>
            <w:vAlign w:val="center"/>
          </w:tcPr>
          <w:p w14:paraId="0A58E0A2">
            <w:pPr>
              <w:spacing w:line="4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开户银行：</w:t>
            </w:r>
          </w:p>
        </w:tc>
      </w:tr>
      <w:tr w14:paraId="71BE0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4163" w:type="dxa"/>
            <w:vAlign w:val="center"/>
          </w:tcPr>
          <w:p w14:paraId="09B530A5">
            <w:pPr>
              <w:spacing w:line="4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账号：</w:t>
            </w:r>
          </w:p>
        </w:tc>
        <w:tc>
          <w:tcPr>
            <w:tcW w:w="4061" w:type="dxa"/>
            <w:vAlign w:val="center"/>
          </w:tcPr>
          <w:p w14:paraId="194EDAC7">
            <w:pPr>
              <w:spacing w:line="4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账号：</w:t>
            </w:r>
          </w:p>
        </w:tc>
      </w:tr>
      <w:tr w14:paraId="3F142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4163" w:type="dxa"/>
            <w:vAlign w:val="center"/>
          </w:tcPr>
          <w:p w14:paraId="40C7A025">
            <w:pPr>
              <w:spacing w:line="4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邮政编码：</w:t>
            </w:r>
          </w:p>
        </w:tc>
        <w:tc>
          <w:tcPr>
            <w:tcW w:w="4061" w:type="dxa"/>
            <w:vAlign w:val="center"/>
          </w:tcPr>
          <w:p w14:paraId="27EBD561">
            <w:pPr>
              <w:spacing w:line="4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邮政编码：</w:t>
            </w:r>
          </w:p>
        </w:tc>
      </w:tr>
      <w:tr w14:paraId="5A196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8" w:hRule="atLeast"/>
        </w:trPr>
        <w:tc>
          <w:tcPr>
            <w:tcW w:w="8224" w:type="dxa"/>
            <w:gridSpan w:val="2"/>
          </w:tcPr>
          <w:p w14:paraId="2CC77423">
            <w:pPr>
              <w:spacing w:line="4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经办人：</w:t>
            </w:r>
          </w:p>
          <w:p w14:paraId="0406C3C3">
            <w:pPr>
              <w:spacing w:line="400" w:lineRule="exact"/>
              <w:rPr>
                <w:rFonts w:asciiTheme="minorEastAsia" w:hAnsiTheme="minorEastAsia" w:eastAsiaTheme="minorEastAsia" w:cstheme="minorEastAsia"/>
                <w:color w:val="auto"/>
                <w:sz w:val="24"/>
                <w:highlight w:val="none"/>
              </w:rPr>
            </w:pPr>
          </w:p>
          <w:p w14:paraId="3A5B4D32">
            <w:pPr>
              <w:spacing w:line="400" w:lineRule="exact"/>
              <w:ind w:firstLine="720"/>
              <w:jc w:val="righ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年    月    日</w:t>
            </w:r>
          </w:p>
        </w:tc>
      </w:tr>
    </w:tbl>
    <w:p w14:paraId="258312AC">
      <w:pPr>
        <w:ind w:left="480" w:hanging="480"/>
        <w:rPr>
          <w:rFonts w:asciiTheme="minorEastAsia" w:hAnsiTheme="minorEastAsia" w:eastAsiaTheme="minorEastAsia" w:cstheme="minorEastAsia"/>
          <w:color w:val="auto"/>
          <w:sz w:val="24"/>
          <w:highlight w:val="none"/>
        </w:rPr>
      </w:pPr>
    </w:p>
    <w:p w14:paraId="28A87FCF">
      <w:pPr>
        <w:widowControl/>
        <w:jc w:val="left"/>
        <w:rPr>
          <w:rFonts w:asciiTheme="minorEastAsia" w:hAnsiTheme="minorEastAsia" w:eastAsiaTheme="minorEastAsia" w:cstheme="minorEastAsia"/>
          <w:bCs/>
          <w:color w:val="auto"/>
          <w:spacing w:val="10"/>
          <w:sz w:val="24"/>
          <w:highlight w:val="none"/>
        </w:rPr>
      </w:pPr>
    </w:p>
    <w:p w14:paraId="77823A24">
      <w:pPr>
        <w:spacing w:line="360" w:lineRule="auto"/>
        <w:rPr>
          <w:rFonts w:asciiTheme="minorEastAsia" w:hAnsiTheme="minorEastAsia" w:eastAsiaTheme="minorEastAsia" w:cstheme="minorEastAsia"/>
          <w:color w:val="auto"/>
          <w:sz w:val="24"/>
          <w:highlight w:val="none"/>
        </w:rPr>
      </w:pPr>
    </w:p>
    <w:p w14:paraId="09D1D04D">
      <w:pPr>
        <w:spacing w:line="360" w:lineRule="auto"/>
        <w:rPr>
          <w:rFonts w:asciiTheme="minorEastAsia" w:hAnsiTheme="minorEastAsia" w:eastAsiaTheme="minorEastAsia" w:cstheme="minorEastAsia"/>
          <w:color w:val="auto"/>
          <w:sz w:val="24"/>
          <w:highlight w:val="none"/>
        </w:rPr>
      </w:pPr>
    </w:p>
    <w:p w14:paraId="44F15FC8">
      <w:pPr>
        <w:rPr>
          <w:rFonts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br w:type="page" w:clear="all"/>
      </w:r>
    </w:p>
    <w:p w14:paraId="6832299E">
      <w:pPr>
        <w:pStyle w:val="2"/>
        <w:jc w:val="center"/>
        <w:rPr>
          <w:color w:val="auto"/>
          <w:highlight w:val="none"/>
        </w:rPr>
      </w:pPr>
      <w:bookmarkStart w:id="5" w:name="_Toc17283"/>
      <w:r>
        <w:rPr>
          <w:rFonts w:hint="eastAsia"/>
          <w:color w:val="auto"/>
          <w:highlight w:val="none"/>
        </w:rPr>
        <w:t>第六章　投标文件格式</w:t>
      </w:r>
      <w:bookmarkEnd w:id="5"/>
    </w:p>
    <w:p w14:paraId="2D65D844">
      <w:pPr>
        <w:spacing w:after="50"/>
        <w:jc w:val="center"/>
        <w:outlineLvl w:val="1"/>
        <w:rPr>
          <w:rFonts w:ascii="宋体" w:hAnsi="宋体"/>
          <w:color w:val="auto"/>
          <w:highlight w:val="none"/>
        </w:rPr>
      </w:pPr>
    </w:p>
    <w:p w14:paraId="7741ED64">
      <w:pPr>
        <w:rPr>
          <w:b/>
          <w:color w:val="auto"/>
          <w:sz w:val="28"/>
          <w:szCs w:val="28"/>
          <w:highlight w:val="none"/>
        </w:rPr>
      </w:pPr>
      <w:r>
        <w:rPr>
          <w:rFonts w:hint="eastAsia"/>
          <w:b/>
          <w:color w:val="auto"/>
          <w:sz w:val="28"/>
          <w:szCs w:val="28"/>
          <w:highlight w:val="none"/>
        </w:rPr>
        <w:t>一、报价文件格式</w:t>
      </w:r>
    </w:p>
    <w:p w14:paraId="1E48D9D5">
      <w:pPr>
        <w:spacing w:after="50" w:line="360" w:lineRule="auto"/>
        <w:ind w:left="142"/>
        <w:jc w:val="left"/>
        <w:rPr>
          <w:rFonts w:ascii="宋体" w:hAnsi="宋体"/>
          <w:b/>
          <w:color w:val="auto"/>
          <w:sz w:val="24"/>
          <w:highlight w:val="none"/>
        </w:rPr>
      </w:pPr>
      <w:r>
        <w:rPr>
          <w:rFonts w:hint="eastAsia" w:ascii="宋体" w:hAnsi="宋体"/>
          <w:b/>
          <w:color w:val="auto"/>
          <w:sz w:val="24"/>
          <w:highlight w:val="none"/>
        </w:rPr>
        <w:t xml:space="preserve">1. 报价文件封面格式： </w:t>
      </w:r>
    </w:p>
    <w:p w14:paraId="32545231">
      <w:pPr>
        <w:spacing w:after="50" w:line="360" w:lineRule="auto"/>
        <w:ind w:left="142"/>
        <w:jc w:val="center"/>
        <w:rPr>
          <w:rFonts w:ascii="宋体" w:hAnsi="宋体" w:eastAsia="方正小标宋简体"/>
          <w:bCs/>
          <w:color w:val="auto"/>
          <w:sz w:val="48"/>
          <w:szCs w:val="48"/>
          <w:highlight w:val="none"/>
        </w:rPr>
      </w:pPr>
      <w:r>
        <w:rPr>
          <w:rFonts w:hint="eastAsia" w:ascii="宋体" w:hAnsi="宋体" w:eastAsia="方正小标宋简体"/>
          <w:bCs/>
          <w:color w:val="auto"/>
          <w:sz w:val="48"/>
          <w:szCs w:val="48"/>
          <w:highlight w:val="none"/>
        </w:rPr>
        <w:t>电子投标文件</w:t>
      </w:r>
    </w:p>
    <w:p w14:paraId="062D7141">
      <w:pPr>
        <w:spacing w:after="50" w:line="400" w:lineRule="exact"/>
        <w:jc w:val="left"/>
        <w:rPr>
          <w:rFonts w:ascii="宋体" w:hAnsi="宋体" w:eastAsia="方正小标宋简体"/>
          <w:bCs/>
          <w:color w:val="auto"/>
          <w:sz w:val="48"/>
          <w:szCs w:val="48"/>
          <w:highlight w:val="none"/>
        </w:rPr>
      </w:pPr>
    </w:p>
    <w:p w14:paraId="2BC78135">
      <w:pPr>
        <w:spacing w:after="50" w:line="400" w:lineRule="exact"/>
        <w:jc w:val="center"/>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报  价  文  件</w:t>
      </w:r>
    </w:p>
    <w:p w14:paraId="7AB09232">
      <w:pPr>
        <w:spacing w:after="50" w:line="400" w:lineRule="exact"/>
        <w:rPr>
          <w:rFonts w:ascii="宋体" w:hAnsi="宋体"/>
          <w:bCs/>
          <w:color w:val="auto"/>
          <w:sz w:val="24"/>
          <w:szCs w:val="20"/>
          <w:highlight w:val="none"/>
        </w:rPr>
      </w:pPr>
    </w:p>
    <w:p w14:paraId="24F42468">
      <w:pPr>
        <w:spacing w:after="50" w:line="400" w:lineRule="exact"/>
        <w:rPr>
          <w:rFonts w:ascii="宋体" w:hAnsi="宋体"/>
          <w:bCs/>
          <w:color w:val="auto"/>
          <w:sz w:val="24"/>
          <w:szCs w:val="20"/>
          <w:highlight w:val="none"/>
        </w:rPr>
      </w:pPr>
    </w:p>
    <w:p w14:paraId="06602CD8">
      <w:pPr>
        <w:spacing w:after="50" w:line="400" w:lineRule="exact"/>
        <w:rPr>
          <w:rFonts w:ascii="宋体" w:hAnsi="宋体"/>
          <w:bCs/>
          <w:color w:val="auto"/>
          <w:sz w:val="24"/>
          <w:szCs w:val="20"/>
          <w:highlight w:val="none"/>
        </w:rPr>
      </w:pPr>
    </w:p>
    <w:p w14:paraId="754EF4C1">
      <w:pPr>
        <w:spacing w:after="50" w:line="400" w:lineRule="exact"/>
        <w:rPr>
          <w:rFonts w:ascii="宋体" w:hAnsi="宋体"/>
          <w:bCs/>
          <w:color w:val="auto"/>
          <w:sz w:val="24"/>
          <w:szCs w:val="20"/>
          <w:highlight w:val="none"/>
        </w:rPr>
      </w:pPr>
    </w:p>
    <w:p w14:paraId="2B764CAF">
      <w:pPr>
        <w:spacing w:after="50" w:line="400" w:lineRule="exact"/>
        <w:ind w:firstLine="360"/>
        <w:rPr>
          <w:rFonts w:ascii="宋体" w:hAnsi="宋体"/>
          <w:bCs/>
          <w:color w:val="auto"/>
          <w:sz w:val="24"/>
          <w:highlight w:val="none"/>
        </w:rPr>
      </w:pPr>
      <w:r>
        <w:rPr>
          <w:rFonts w:hint="eastAsia" w:ascii="宋体" w:hAnsi="宋体"/>
          <w:bCs/>
          <w:color w:val="auto"/>
          <w:sz w:val="24"/>
          <w:highlight w:val="none"/>
        </w:rPr>
        <w:t xml:space="preserve">项目名称： </w:t>
      </w:r>
    </w:p>
    <w:p w14:paraId="4144C8C3">
      <w:pPr>
        <w:spacing w:after="50" w:line="400" w:lineRule="exact"/>
        <w:ind w:firstLine="360"/>
        <w:rPr>
          <w:rFonts w:ascii="宋体" w:hAnsi="宋体"/>
          <w:bCs/>
          <w:color w:val="auto"/>
          <w:sz w:val="24"/>
          <w:highlight w:val="none"/>
        </w:rPr>
      </w:pPr>
    </w:p>
    <w:p w14:paraId="1F1D07CF">
      <w:pPr>
        <w:spacing w:after="50" w:line="400" w:lineRule="exact"/>
        <w:ind w:firstLine="360"/>
        <w:rPr>
          <w:rFonts w:ascii="宋体" w:hAnsi="宋体"/>
          <w:bCs/>
          <w:color w:val="auto"/>
          <w:sz w:val="24"/>
          <w:highlight w:val="none"/>
        </w:rPr>
      </w:pPr>
      <w:r>
        <w:rPr>
          <w:rFonts w:hint="eastAsia" w:ascii="宋体" w:hAnsi="宋体"/>
          <w:bCs/>
          <w:color w:val="auto"/>
          <w:sz w:val="24"/>
          <w:highlight w:val="none"/>
        </w:rPr>
        <w:t xml:space="preserve">项目编号： </w:t>
      </w:r>
    </w:p>
    <w:p w14:paraId="29B8FCBF">
      <w:pPr>
        <w:spacing w:after="50" w:line="400" w:lineRule="exact"/>
        <w:ind w:firstLine="360"/>
        <w:rPr>
          <w:rFonts w:ascii="宋体" w:hAnsi="宋体"/>
          <w:bCs/>
          <w:color w:val="auto"/>
          <w:sz w:val="24"/>
          <w:highlight w:val="none"/>
        </w:rPr>
      </w:pPr>
    </w:p>
    <w:p w14:paraId="73B9A012">
      <w:pPr>
        <w:spacing w:after="50" w:line="400" w:lineRule="exact"/>
        <w:ind w:firstLine="360"/>
        <w:rPr>
          <w:rFonts w:ascii="宋体" w:hAnsi="宋体"/>
          <w:bCs/>
          <w:color w:val="auto"/>
          <w:sz w:val="24"/>
          <w:highlight w:val="none"/>
        </w:rPr>
      </w:pPr>
      <w:r>
        <w:rPr>
          <w:rFonts w:hint="eastAsia" w:ascii="宋体" w:hAnsi="宋体"/>
          <w:bCs/>
          <w:color w:val="auto"/>
          <w:sz w:val="24"/>
          <w:highlight w:val="none"/>
        </w:rPr>
        <w:t>所投分标：</w:t>
      </w:r>
    </w:p>
    <w:p w14:paraId="51167683">
      <w:pPr>
        <w:spacing w:after="50" w:line="400" w:lineRule="exact"/>
        <w:ind w:firstLine="360"/>
        <w:rPr>
          <w:rFonts w:ascii="宋体" w:hAnsi="宋体"/>
          <w:bCs/>
          <w:color w:val="auto"/>
          <w:sz w:val="24"/>
          <w:highlight w:val="none"/>
        </w:rPr>
      </w:pPr>
    </w:p>
    <w:p w14:paraId="6E0A1637">
      <w:pPr>
        <w:spacing w:after="50" w:line="400" w:lineRule="exact"/>
        <w:ind w:firstLine="360"/>
        <w:rPr>
          <w:rFonts w:ascii="宋体" w:hAnsi="宋体"/>
          <w:bCs/>
          <w:color w:val="auto"/>
          <w:sz w:val="24"/>
          <w:highlight w:val="none"/>
        </w:rPr>
      </w:pPr>
      <w:r>
        <w:rPr>
          <w:rFonts w:hint="eastAsia" w:ascii="宋体" w:hAnsi="宋体"/>
          <w:bCs/>
          <w:color w:val="auto"/>
          <w:sz w:val="24"/>
          <w:highlight w:val="none"/>
        </w:rPr>
        <w:t>投标人名称：</w:t>
      </w:r>
    </w:p>
    <w:p w14:paraId="706F3F3D">
      <w:pPr>
        <w:spacing w:after="50" w:line="400" w:lineRule="exact"/>
        <w:ind w:firstLine="360"/>
        <w:rPr>
          <w:rFonts w:ascii="宋体" w:hAnsi="宋体"/>
          <w:bCs/>
          <w:color w:val="auto"/>
          <w:sz w:val="24"/>
          <w:highlight w:val="none"/>
        </w:rPr>
      </w:pPr>
    </w:p>
    <w:p w14:paraId="61564A1F">
      <w:pPr>
        <w:spacing w:after="50" w:line="400" w:lineRule="exact"/>
        <w:ind w:firstLine="360"/>
        <w:rPr>
          <w:rFonts w:ascii="宋体" w:hAnsi="宋体"/>
          <w:bCs/>
          <w:color w:val="auto"/>
          <w:sz w:val="24"/>
          <w:highlight w:val="none"/>
        </w:rPr>
      </w:pPr>
      <w:r>
        <w:rPr>
          <w:rFonts w:hint="eastAsia" w:ascii="宋体" w:hAnsi="宋体"/>
          <w:bCs/>
          <w:color w:val="auto"/>
          <w:sz w:val="24"/>
          <w:highlight w:val="none"/>
        </w:rPr>
        <w:t>投标人地址：</w:t>
      </w:r>
    </w:p>
    <w:p w14:paraId="2BFE9C73">
      <w:pPr>
        <w:pStyle w:val="7"/>
        <w:spacing w:before="50" w:after="50" w:line="400" w:lineRule="exact"/>
        <w:ind w:firstLine="960"/>
        <w:rPr>
          <w:rFonts w:ascii="宋体" w:hAnsi="宋体"/>
          <w:bCs/>
          <w:color w:val="auto"/>
          <w:sz w:val="24"/>
          <w:szCs w:val="24"/>
          <w:highlight w:val="none"/>
        </w:rPr>
      </w:pPr>
    </w:p>
    <w:p w14:paraId="5B03E0BE">
      <w:pPr>
        <w:spacing w:after="50" w:line="400" w:lineRule="exact"/>
        <w:rPr>
          <w:rFonts w:ascii="宋体" w:hAnsi="宋体"/>
          <w:color w:val="auto"/>
          <w:sz w:val="30"/>
          <w:szCs w:val="20"/>
          <w:highlight w:val="none"/>
        </w:rPr>
      </w:pPr>
      <w:r>
        <w:rPr>
          <w:rFonts w:hint="eastAsia" w:ascii="宋体" w:hAnsi="宋体"/>
          <w:color w:val="auto"/>
          <w:sz w:val="24"/>
          <w:highlight w:val="none"/>
        </w:rPr>
        <w:t xml:space="preserve">                                   年  月  日</w:t>
      </w:r>
    </w:p>
    <w:p w14:paraId="4DB7E587">
      <w:pPr>
        <w:spacing w:after="50" w:line="360" w:lineRule="auto"/>
        <w:jc w:val="left"/>
        <w:rPr>
          <w:rFonts w:ascii="宋体" w:hAnsi="宋体"/>
          <w:color w:val="auto"/>
          <w:sz w:val="24"/>
          <w:szCs w:val="20"/>
          <w:highlight w:val="none"/>
        </w:rPr>
      </w:pPr>
      <w:r>
        <w:rPr>
          <w:rFonts w:ascii="宋体" w:hAnsi="宋体"/>
          <w:b/>
          <w:color w:val="auto"/>
          <w:sz w:val="24"/>
          <w:highlight w:val="none"/>
        </w:rPr>
        <w:br w:type="page" w:clear="all"/>
      </w:r>
      <w:r>
        <w:rPr>
          <w:rFonts w:hint="eastAsia" w:ascii="宋体" w:hAnsi="宋体"/>
          <w:b/>
          <w:color w:val="auto"/>
          <w:sz w:val="24"/>
          <w:highlight w:val="none"/>
        </w:rPr>
        <w:t>2.</w:t>
      </w:r>
      <w:r>
        <w:rPr>
          <w:rFonts w:hint="eastAsia" w:ascii="宋体" w:hAnsi="宋体"/>
          <w:b/>
          <w:bCs/>
          <w:color w:val="auto"/>
          <w:sz w:val="24"/>
          <w:highlight w:val="none"/>
        </w:rPr>
        <w:t>报价文件目录</w:t>
      </w:r>
    </w:p>
    <w:p w14:paraId="399491AF">
      <w:pPr>
        <w:spacing w:before="50" w:line="360" w:lineRule="auto"/>
        <w:jc w:val="left"/>
        <w:rPr>
          <w:rFonts w:ascii="宋体" w:hAnsi="宋体"/>
          <w:b/>
          <w:color w:val="auto"/>
          <w:sz w:val="24"/>
          <w:highlight w:val="none"/>
        </w:rPr>
      </w:pPr>
      <w:r>
        <w:rPr>
          <w:rFonts w:hint="eastAsia" w:ascii="宋体" w:hAnsi="宋体"/>
          <w:color w:val="auto"/>
          <w:szCs w:val="21"/>
          <w:highlight w:val="none"/>
        </w:rPr>
        <w:t>根据招标文件规定及投标人提供的材料自行编写目录。</w:t>
      </w:r>
    </w:p>
    <w:p w14:paraId="63523B65">
      <w:pPr>
        <w:spacing w:after="50"/>
        <w:rPr>
          <w:rFonts w:ascii="宋体" w:hAnsi="宋体"/>
          <w:b/>
          <w:color w:val="auto"/>
          <w:sz w:val="24"/>
          <w:highlight w:val="none"/>
        </w:rPr>
      </w:pPr>
    </w:p>
    <w:p w14:paraId="51693878">
      <w:pPr>
        <w:spacing w:after="50"/>
        <w:rPr>
          <w:rFonts w:ascii="宋体" w:hAnsi="宋体"/>
          <w:b/>
          <w:color w:val="auto"/>
          <w:sz w:val="24"/>
          <w:highlight w:val="none"/>
        </w:rPr>
      </w:pPr>
    </w:p>
    <w:p w14:paraId="5F79343B">
      <w:pPr>
        <w:spacing w:after="50"/>
        <w:rPr>
          <w:rFonts w:ascii="宋体" w:hAnsi="宋体"/>
          <w:b/>
          <w:color w:val="auto"/>
          <w:sz w:val="24"/>
          <w:highlight w:val="none"/>
        </w:rPr>
      </w:pPr>
    </w:p>
    <w:p w14:paraId="7BF157C9">
      <w:pPr>
        <w:spacing w:after="50"/>
        <w:ind w:left="142"/>
        <w:jc w:val="left"/>
        <w:rPr>
          <w:rFonts w:ascii="宋体" w:hAnsi="宋体"/>
          <w:b/>
          <w:color w:val="auto"/>
          <w:sz w:val="24"/>
          <w:highlight w:val="none"/>
        </w:rPr>
      </w:pPr>
      <w:r>
        <w:rPr>
          <w:rFonts w:ascii="宋体" w:hAnsi="宋体"/>
          <w:b/>
          <w:color w:val="auto"/>
          <w:sz w:val="24"/>
          <w:highlight w:val="none"/>
        </w:rPr>
        <w:br w:type="page" w:clear="all"/>
      </w:r>
      <w:r>
        <w:rPr>
          <w:rFonts w:hint="eastAsia" w:ascii="宋体" w:hAnsi="宋体"/>
          <w:b/>
          <w:color w:val="auto"/>
          <w:sz w:val="24"/>
          <w:highlight w:val="none"/>
        </w:rPr>
        <w:t>3. 投标函格式：</w:t>
      </w:r>
    </w:p>
    <w:p w14:paraId="57488821">
      <w:pPr>
        <w:spacing w:after="50" w:line="360" w:lineRule="auto"/>
        <w:jc w:val="center"/>
        <w:rPr>
          <w:rFonts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投 标 函</w:t>
      </w:r>
    </w:p>
    <w:p w14:paraId="7A2B9AEE">
      <w:pPr>
        <w:spacing w:after="50" w:line="320" w:lineRule="exact"/>
        <w:rPr>
          <w:rFonts w:ascii="宋体" w:hAnsi="宋体"/>
          <w:b/>
          <w:color w:val="auto"/>
          <w:sz w:val="32"/>
          <w:szCs w:val="32"/>
          <w:highlight w:val="none"/>
        </w:rPr>
      </w:pPr>
    </w:p>
    <w:p w14:paraId="66CE658D">
      <w:pPr>
        <w:spacing w:line="360" w:lineRule="auto"/>
        <w:contextualSpacing/>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highlight w:val="none"/>
          <w:u w:val="single"/>
        </w:rPr>
        <w:t>采购人名称</w:t>
      </w:r>
      <w:r>
        <w:rPr>
          <w:rFonts w:hint="eastAsia" w:ascii="宋体" w:hAnsi="宋体"/>
          <w:color w:val="auto"/>
          <w:sz w:val="24"/>
          <w:highlight w:val="none"/>
        </w:rPr>
        <w:t>：</w:t>
      </w:r>
    </w:p>
    <w:p w14:paraId="7A79471C">
      <w:pPr>
        <w:spacing w:line="360" w:lineRule="auto"/>
        <w:ind w:firstLine="480"/>
        <w:contextualSpacing/>
        <w:rPr>
          <w:rFonts w:ascii="宋体" w:hAnsi="宋体"/>
          <w:color w:val="auto"/>
          <w:sz w:val="24"/>
          <w:highlight w:val="none"/>
        </w:rPr>
      </w:pPr>
      <w:r>
        <w:rPr>
          <w:rFonts w:hint="eastAsia" w:ascii="宋体" w:hAnsi="宋体"/>
          <w:color w:val="auto"/>
          <w:sz w:val="24"/>
          <w:highlight w:val="none"/>
        </w:rPr>
        <w:t>根据贵方</w:t>
      </w:r>
      <w:r>
        <w:rPr>
          <w:rFonts w:hint="eastAsia" w:ascii="宋体" w:hAnsi="宋体"/>
          <w:color w:val="auto"/>
          <w:sz w:val="24"/>
          <w:highlight w:val="none"/>
          <w:u w:val="single"/>
        </w:rPr>
        <w:t xml:space="preserve"> 项目名称</w:t>
      </w:r>
      <w:r>
        <w:rPr>
          <w:rFonts w:hint="eastAsia" w:ascii="宋体" w:hAnsi="宋体"/>
          <w:color w:val="auto"/>
          <w:sz w:val="24"/>
          <w:highlight w:val="none"/>
        </w:rPr>
        <w:t>（项目编号：</w:t>
      </w:r>
      <w:r>
        <w:rPr>
          <w:rFonts w:hint="eastAsia" w:ascii="宋体" w:hAnsi="宋体"/>
          <w:color w:val="auto"/>
          <w:sz w:val="24"/>
          <w:highlight w:val="none"/>
          <w:u w:val="single"/>
        </w:rPr>
        <w:t xml:space="preserve">        </w:t>
      </w:r>
      <w:r>
        <w:rPr>
          <w:rFonts w:hint="eastAsia" w:ascii="宋体" w:hAnsi="宋体"/>
          <w:color w:val="auto"/>
          <w:sz w:val="24"/>
          <w:highlight w:val="none"/>
        </w:rPr>
        <w:t>）的招标文件，签字代表______</w:t>
      </w:r>
      <w:r>
        <w:rPr>
          <w:rFonts w:hint="eastAsia" w:ascii="宋体" w:hAnsi="宋体"/>
          <w:color w:val="auto"/>
          <w:sz w:val="24"/>
          <w:highlight w:val="none"/>
          <w:u w:val="single"/>
        </w:rPr>
        <w:t xml:space="preserve">     </w:t>
      </w:r>
      <w:r>
        <w:rPr>
          <w:rFonts w:hint="eastAsia" w:ascii="宋体" w:hAnsi="宋体"/>
          <w:color w:val="auto"/>
          <w:sz w:val="24"/>
          <w:highlight w:val="none"/>
        </w:rPr>
        <w:t>（姓名）经正式授权并代表投标人</w:t>
      </w:r>
      <w:r>
        <w:rPr>
          <w:rFonts w:hint="eastAsia" w:ascii="宋体" w:hAnsi="宋体"/>
          <w:color w:val="auto"/>
          <w:sz w:val="24"/>
          <w:highlight w:val="none"/>
          <w:u w:val="single"/>
        </w:rPr>
        <w:t xml:space="preserve">                 </w:t>
      </w:r>
      <w:r>
        <w:rPr>
          <w:rFonts w:hint="eastAsia" w:ascii="宋体" w:hAnsi="宋体"/>
          <w:color w:val="auto"/>
          <w:sz w:val="24"/>
          <w:highlight w:val="none"/>
        </w:rPr>
        <w:t>（投标人名称）提交投标文件。</w:t>
      </w:r>
    </w:p>
    <w:p w14:paraId="38C49887">
      <w:pPr>
        <w:spacing w:line="360" w:lineRule="auto"/>
        <w:ind w:firstLine="480"/>
        <w:contextualSpacing/>
        <w:rPr>
          <w:rFonts w:ascii="宋体" w:hAnsi="宋体"/>
          <w:color w:val="auto"/>
          <w:sz w:val="24"/>
          <w:highlight w:val="none"/>
        </w:rPr>
      </w:pPr>
      <w:r>
        <w:rPr>
          <w:rFonts w:hint="eastAsia" w:ascii="宋体" w:hAnsi="宋体"/>
          <w:color w:val="auto"/>
          <w:sz w:val="24"/>
          <w:highlight w:val="none"/>
        </w:rPr>
        <w:t>据此函，我方宣布同意如下：</w:t>
      </w:r>
    </w:p>
    <w:p w14:paraId="136650F4">
      <w:pPr>
        <w:spacing w:line="360" w:lineRule="auto"/>
        <w:ind w:firstLine="480"/>
        <w:contextualSpacing/>
        <w:rPr>
          <w:rFonts w:ascii="宋体" w:hAnsi="宋体"/>
          <w:color w:val="auto"/>
          <w:sz w:val="24"/>
          <w:highlight w:val="none"/>
        </w:rPr>
      </w:pPr>
      <w:r>
        <w:rPr>
          <w:rFonts w:hint="eastAsia" w:ascii="宋体" w:hAnsi="宋体"/>
          <w:color w:val="auto"/>
          <w:sz w:val="24"/>
          <w:highlight w:val="none"/>
        </w:rPr>
        <w:t>1.我方已详细审查全部“招标文件”，包括修改文件（如有的话）以及全部参考资料和有关附件，已经了解我方对于招标文件、采购过程、采购结果有依法进行询问、质疑、投诉的权利及相关渠道和要求。</w:t>
      </w:r>
    </w:p>
    <w:p w14:paraId="4FE38786">
      <w:pPr>
        <w:spacing w:line="360" w:lineRule="auto"/>
        <w:ind w:firstLine="480"/>
        <w:contextualSpacing/>
        <w:rPr>
          <w:rFonts w:ascii="宋体" w:hAnsi="宋体"/>
          <w:color w:val="auto"/>
          <w:sz w:val="24"/>
          <w:highlight w:val="none"/>
        </w:rPr>
      </w:pPr>
      <w:r>
        <w:rPr>
          <w:rFonts w:hint="eastAsia" w:ascii="宋体" w:hAnsi="宋体"/>
          <w:color w:val="auto"/>
          <w:sz w:val="24"/>
          <w:highlight w:val="none"/>
        </w:rPr>
        <w:t>2.我方在投标之前已经完全理解并接受招标文件的各项规定和要求，对招标文件的合理性、合法性不再有异议。</w:t>
      </w:r>
    </w:p>
    <w:p w14:paraId="443530FB">
      <w:pPr>
        <w:spacing w:line="360" w:lineRule="auto"/>
        <w:ind w:firstLine="480"/>
        <w:contextualSpacing/>
        <w:rPr>
          <w:rFonts w:ascii="宋体" w:hAnsi="宋体"/>
          <w:color w:val="auto"/>
          <w:sz w:val="24"/>
          <w:highlight w:val="none"/>
        </w:rPr>
      </w:pPr>
      <w:r>
        <w:rPr>
          <w:rFonts w:hint="eastAsia" w:ascii="宋体" w:hAnsi="宋体"/>
          <w:color w:val="auto"/>
          <w:sz w:val="24"/>
          <w:highlight w:val="none"/>
        </w:rPr>
        <w:t>3.本投标有效期自投标截止之日起</w:t>
      </w:r>
      <w:r>
        <w:rPr>
          <w:rFonts w:ascii="宋体" w:hAnsi="宋体"/>
          <w:color w:val="auto"/>
          <w:sz w:val="24"/>
          <w:highlight w:val="none"/>
          <w:u w:val="single"/>
        </w:rPr>
        <w:t xml:space="preserve">    </w:t>
      </w:r>
      <w:r>
        <w:rPr>
          <w:rFonts w:hint="eastAsia" w:ascii="宋体" w:hAnsi="宋体"/>
          <w:color w:val="auto"/>
          <w:sz w:val="24"/>
          <w:highlight w:val="none"/>
        </w:rPr>
        <w:t>日。</w:t>
      </w:r>
    </w:p>
    <w:p w14:paraId="4DAF1C12">
      <w:pPr>
        <w:spacing w:line="360" w:lineRule="auto"/>
        <w:ind w:firstLine="480"/>
        <w:contextualSpacing/>
        <w:rPr>
          <w:rFonts w:ascii="宋体" w:hAnsi="宋体"/>
          <w:color w:val="auto"/>
          <w:sz w:val="24"/>
          <w:highlight w:val="none"/>
        </w:rPr>
      </w:pPr>
      <w:r>
        <w:rPr>
          <w:rFonts w:hint="eastAsia" w:ascii="宋体" w:hAnsi="宋体"/>
          <w:color w:val="auto"/>
          <w:sz w:val="24"/>
          <w:highlight w:val="none"/>
        </w:rPr>
        <w:t>4.如中标，本投标文件至本项目合同履行完毕止均保持有效，我方将按“招标文件”及政府采购法律、法规的规定履行合同责任和义务。</w:t>
      </w:r>
    </w:p>
    <w:p w14:paraId="0E623FAC">
      <w:pPr>
        <w:spacing w:line="360" w:lineRule="auto"/>
        <w:ind w:firstLine="480"/>
        <w:contextualSpacing/>
        <w:rPr>
          <w:rFonts w:ascii="宋体" w:hAnsi="宋体"/>
          <w:color w:val="auto"/>
          <w:sz w:val="24"/>
          <w:highlight w:val="none"/>
        </w:rPr>
      </w:pPr>
      <w:r>
        <w:rPr>
          <w:rFonts w:hint="eastAsia" w:ascii="宋体" w:hAnsi="宋体"/>
          <w:color w:val="auto"/>
          <w:sz w:val="24"/>
          <w:highlight w:val="none"/>
        </w:rPr>
        <w:t>5.我方同意按照贵方要求提供与投标有关的一切数据或者资料。</w:t>
      </w:r>
    </w:p>
    <w:p w14:paraId="2A7EF3A9">
      <w:pPr>
        <w:spacing w:line="360" w:lineRule="auto"/>
        <w:ind w:firstLine="480"/>
        <w:contextualSpacing/>
        <w:rPr>
          <w:rFonts w:ascii="宋体" w:hAnsi="宋体"/>
          <w:color w:val="auto"/>
          <w:sz w:val="24"/>
          <w:highlight w:val="none"/>
        </w:rPr>
      </w:pPr>
      <w:r>
        <w:rPr>
          <w:rFonts w:hint="eastAsia" w:ascii="宋体" w:hAnsi="宋体"/>
          <w:color w:val="auto"/>
          <w:sz w:val="24"/>
          <w:highlight w:val="none"/>
        </w:rPr>
        <w:t>6.我方向贵方提交的所有投标文件、资料都是准确的和真实的。</w:t>
      </w:r>
    </w:p>
    <w:p w14:paraId="4717ADC4">
      <w:pPr>
        <w:spacing w:line="360" w:lineRule="auto"/>
        <w:ind w:firstLine="480"/>
        <w:contextualSpacing/>
        <w:rPr>
          <w:rFonts w:ascii="宋体" w:hAnsi="宋体"/>
          <w:color w:val="auto"/>
          <w:sz w:val="24"/>
          <w:highlight w:val="none"/>
        </w:rPr>
      </w:pPr>
      <w:r>
        <w:rPr>
          <w:rFonts w:hint="eastAsia" w:ascii="宋体" w:hAnsi="宋体"/>
          <w:color w:val="auto"/>
          <w:sz w:val="24"/>
          <w:highlight w:val="none"/>
        </w:rPr>
        <w:t>7.以上事项如有虚假或者隐瞒，我方愿意承担一切后果，并不再寻求任何旨在减轻或者免除法律责任的辩解。</w:t>
      </w:r>
    </w:p>
    <w:p w14:paraId="5104FFB3">
      <w:pPr>
        <w:spacing w:line="360" w:lineRule="auto"/>
        <w:ind w:firstLine="480"/>
        <w:contextualSpacing/>
        <w:rPr>
          <w:rFonts w:ascii="宋体" w:hAnsi="宋体"/>
          <w:color w:val="auto"/>
          <w:sz w:val="24"/>
          <w:highlight w:val="none"/>
        </w:rPr>
      </w:pPr>
      <w:r>
        <w:rPr>
          <w:rFonts w:hint="eastAsia" w:ascii="宋体" w:hAnsi="宋体"/>
          <w:color w:val="auto"/>
          <w:sz w:val="24"/>
          <w:highlight w:val="none"/>
        </w:rPr>
        <w:t>8.根据</w:t>
      </w:r>
      <w:r>
        <w:rPr>
          <w:rFonts w:ascii="宋体" w:hAnsi="宋体"/>
          <w:color w:val="auto"/>
          <w:sz w:val="24"/>
          <w:highlight w:val="none"/>
        </w:rPr>
        <w:t>《中华人民共和国政府采购法实施条例》第五十条要求对政府采购合同进行公告</w:t>
      </w:r>
      <w:r>
        <w:rPr>
          <w:rFonts w:hint="eastAsia" w:ascii="宋体" w:hAnsi="宋体"/>
          <w:color w:val="auto"/>
          <w:sz w:val="24"/>
          <w:highlight w:val="none"/>
        </w:rPr>
        <w:t>，</w:t>
      </w:r>
      <w:r>
        <w:rPr>
          <w:rFonts w:ascii="宋体" w:hAnsi="宋体"/>
          <w:color w:val="auto"/>
          <w:sz w:val="24"/>
          <w:highlight w:val="none"/>
        </w:rPr>
        <w:t>但政府采购合同中涉及国家秘密、商业秘密的内容除外。</w:t>
      </w:r>
      <w:r>
        <w:rPr>
          <w:rFonts w:hint="eastAsia" w:ascii="宋体" w:hAnsi="宋体"/>
          <w:color w:val="auto"/>
          <w:sz w:val="24"/>
          <w:highlight w:val="none"/>
        </w:rPr>
        <w:t>我方就对本次投标文件进行注明如下：（两项内容中必须选择一项）</w:t>
      </w:r>
    </w:p>
    <w:p w14:paraId="760CA1BB">
      <w:pPr>
        <w:spacing w:line="360" w:lineRule="auto"/>
        <w:ind w:firstLine="480"/>
        <w:contextualSpacing/>
        <w:rPr>
          <w:rFonts w:ascii="宋体" w:hAnsi="宋体"/>
          <w:color w:val="auto"/>
          <w:sz w:val="24"/>
          <w:highlight w:val="none"/>
        </w:rPr>
      </w:pPr>
      <w:r>
        <w:rPr>
          <w:rFonts w:hint="eastAsia" w:ascii="宋体" w:hAnsi="宋体"/>
          <w:color w:val="auto"/>
          <w:sz w:val="24"/>
          <w:highlight w:val="none"/>
        </w:rPr>
        <w:t>□我方本次投标文件</w:t>
      </w:r>
      <w:r>
        <w:rPr>
          <w:rFonts w:ascii="宋体" w:hAnsi="宋体" w:cs="宋体"/>
          <w:color w:val="auto"/>
          <w:sz w:val="24"/>
          <w:highlight w:val="none"/>
        </w:rPr>
        <w:t>内容中</w:t>
      </w:r>
      <w:r>
        <w:rPr>
          <w:rFonts w:hint="eastAsia" w:ascii="宋体" w:hAnsi="宋体"/>
          <w:color w:val="auto"/>
          <w:sz w:val="24"/>
          <w:highlight w:val="none"/>
        </w:rPr>
        <w:t>未</w:t>
      </w:r>
      <w:r>
        <w:rPr>
          <w:rFonts w:ascii="宋体" w:hAnsi="宋体" w:cs="宋体"/>
          <w:color w:val="auto"/>
          <w:sz w:val="24"/>
          <w:highlight w:val="none"/>
        </w:rPr>
        <w:t>涉及商业秘密</w:t>
      </w:r>
      <w:r>
        <w:rPr>
          <w:rFonts w:hint="eastAsia" w:ascii="宋体" w:hAnsi="宋体" w:cs="宋体"/>
          <w:color w:val="auto"/>
          <w:sz w:val="24"/>
          <w:highlight w:val="none"/>
        </w:rPr>
        <w:t>；</w:t>
      </w:r>
    </w:p>
    <w:p w14:paraId="66A865CF">
      <w:pPr>
        <w:spacing w:line="360" w:lineRule="auto"/>
        <w:ind w:firstLine="480"/>
        <w:contextualSpacing/>
        <w:rPr>
          <w:rFonts w:ascii="宋体" w:hAnsi="宋体"/>
          <w:color w:val="auto"/>
          <w:sz w:val="24"/>
          <w:highlight w:val="none"/>
        </w:rPr>
      </w:pPr>
      <w:r>
        <w:rPr>
          <w:rFonts w:hint="eastAsia" w:ascii="宋体" w:hAnsi="宋体"/>
          <w:color w:val="auto"/>
          <w:sz w:val="24"/>
          <w:highlight w:val="none"/>
        </w:rPr>
        <w:t>□我方本次投标文件</w:t>
      </w:r>
      <w:r>
        <w:rPr>
          <w:rFonts w:ascii="宋体" w:hAnsi="宋体" w:cs="宋体"/>
          <w:color w:val="auto"/>
          <w:sz w:val="24"/>
          <w:highlight w:val="none"/>
        </w:rPr>
        <w:t>涉及商业秘密</w:t>
      </w:r>
      <w:r>
        <w:rPr>
          <w:rFonts w:hint="eastAsia" w:ascii="宋体" w:hAnsi="宋体" w:cs="宋体"/>
          <w:color w:val="auto"/>
          <w:sz w:val="24"/>
          <w:highlight w:val="none"/>
        </w:rPr>
        <w:t>的</w:t>
      </w:r>
      <w:r>
        <w:rPr>
          <w:rFonts w:ascii="宋体" w:hAnsi="宋体" w:cs="宋体"/>
          <w:color w:val="auto"/>
          <w:sz w:val="24"/>
          <w:highlight w:val="none"/>
        </w:rPr>
        <w:t>内容</w:t>
      </w:r>
      <w:r>
        <w:rPr>
          <w:rFonts w:hint="eastAsia" w:ascii="宋体" w:hAnsi="宋体" w:cs="宋体"/>
          <w:color w:val="auto"/>
          <w:sz w:val="24"/>
          <w:highlight w:val="none"/>
        </w:rPr>
        <w:t>有：</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6A460EDA">
      <w:pPr>
        <w:spacing w:line="360" w:lineRule="auto"/>
        <w:ind w:firstLine="480"/>
        <w:contextualSpacing/>
        <w:rPr>
          <w:rFonts w:ascii="宋体" w:hAnsi="宋体"/>
          <w:color w:val="auto"/>
          <w:sz w:val="24"/>
          <w:highlight w:val="none"/>
        </w:rPr>
      </w:pPr>
      <w:r>
        <w:rPr>
          <w:rFonts w:hint="eastAsia" w:ascii="宋体" w:hAnsi="宋体"/>
          <w:color w:val="auto"/>
          <w:sz w:val="24"/>
          <w:highlight w:val="none"/>
        </w:rPr>
        <w:t>9.与本项目有关的一切正式往来信函请寄：</w:t>
      </w:r>
    </w:p>
    <w:p w14:paraId="56F9761A">
      <w:pPr>
        <w:spacing w:line="360" w:lineRule="auto"/>
        <w:ind w:firstLine="480"/>
        <w:contextualSpacing/>
        <w:rPr>
          <w:rFonts w:ascii="宋体" w:hAnsi="宋体"/>
          <w:color w:val="auto"/>
          <w:sz w:val="24"/>
          <w:highlight w:val="none"/>
          <w:u w:val="single"/>
        </w:rPr>
      </w:pPr>
      <w:r>
        <w:rPr>
          <w:rFonts w:hint="eastAsia" w:ascii="宋体" w:hAnsi="宋体"/>
          <w:color w:val="auto"/>
          <w:sz w:val="24"/>
          <w:highlight w:val="none"/>
        </w:rPr>
        <w:t>地址：</w:t>
      </w:r>
      <w:r>
        <w:rPr>
          <w:rFonts w:hint="eastAsia" w:ascii="宋体" w:hAnsi="宋体"/>
          <w:color w:val="auto"/>
          <w:sz w:val="24"/>
          <w:highlight w:val="none"/>
          <w:u w:val="single"/>
        </w:rPr>
        <w:t xml:space="preserve">          </w:t>
      </w:r>
      <w:r>
        <w:rPr>
          <w:rFonts w:hint="eastAsia" w:ascii="宋体" w:hAnsi="宋体"/>
          <w:color w:val="auto"/>
          <w:sz w:val="24"/>
          <w:highlight w:val="none"/>
        </w:rPr>
        <w:t>邮编：</w:t>
      </w:r>
      <w:r>
        <w:rPr>
          <w:rFonts w:hint="eastAsia" w:ascii="宋体" w:hAnsi="宋体"/>
          <w:color w:val="auto"/>
          <w:sz w:val="24"/>
          <w:highlight w:val="none"/>
          <w:u w:val="single"/>
        </w:rPr>
        <w:t xml:space="preserve">            </w:t>
      </w:r>
    </w:p>
    <w:p w14:paraId="31355662">
      <w:pPr>
        <w:spacing w:line="360" w:lineRule="auto"/>
        <w:ind w:firstLine="480"/>
        <w:contextualSpacing/>
        <w:rPr>
          <w:rFonts w:ascii="宋体" w:hAnsi="宋体"/>
          <w:color w:val="auto"/>
          <w:sz w:val="24"/>
          <w:highlight w:val="none"/>
        </w:rPr>
      </w:pPr>
      <w:r>
        <w:rPr>
          <w:rFonts w:hint="eastAsia" w:ascii="宋体" w:hAnsi="宋体"/>
          <w:color w:val="auto"/>
          <w:sz w:val="24"/>
          <w:highlight w:val="none"/>
        </w:rPr>
        <w:t>联系人：</w:t>
      </w:r>
      <w:r>
        <w:rPr>
          <w:rFonts w:hint="eastAsia" w:ascii="宋体" w:hAnsi="宋体"/>
          <w:color w:val="auto"/>
          <w:sz w:val="24"/>
          <w:highlight w:val="none"/>
          <w:u w:val="single"/>
        </w:rPr>
        <w:t xml:space="preserve">        </w:t>
      </w:r>
      <w:r>
        <w:rPr>
          <w:rFonts w:hint="eastAsia" w:ascii="宋体" w:hAnsi="宋体"/>
          <w:color w:val="auto"/>
          <w:sz w:val="24"/>
          <w:highlight w:val="none"/>
        </w:rPr>
        <w:t>电话：</w:t>
      </w:r>
      <w:r>
        <w:rPr>
          <w:rFonts w:hint="eastAsia" w:ascii="宋体" w:hAnsi="宋体"/>
          <w:color w:val="auto"/>
          <w:sz w:val="24"/>
          <w:highlight w:val="none"/>
          <w:u w:val="single"/>
        </w:rPr>
        <w:t xml:space="preserve">        </w:t>
      </w:r>
      <w:r>
        <w:rPr>
          <w:rFonts w:hint="eastAsia" w:ascii="宋体" w:hAnsi="宋体"/>
          <w:color w:val="auto"/>
          <w:sz w:val="24"/>
          <w:highlight w:val="none"/>
        </w:rPr>
        <w:t>传真：</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电子邮箱：</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p>
    <w:p w14:paraId="43801D73">
      <w:pPr>
        <w:spacing w:line="360" w:lineRule="auto"/>
        <w:ind w:firstLine="480"/>
        <w:contextualSpacing/>
        <w:rPr>
          <w:rFonts w:ascii="宋体" w:hAnsi="宋体"/>
          <w:color w:val="auto"/>
          <w:sz w:val="24"/>
          <w:highlight w:val="none"/>
        </w:rPr>
      </w:pPr>
      <w:r>
        <w:rPr>
          <w:rFonts w:hint="eastAsia" w:ascii="宋体" w:hAnsi="宋体"/>
          <w:color w:val="auto"/>
          <w:sz w:val="24"/>
          <w:highlight w:val="none"/>
        </w:rPr>
        <w:t>投标人名称：</w:t>
      </w:r>
      <w:r>
        <w:rPr>
          <w:rFonts w:hint="eastAsia" w:ascii="宋体" w:hAnsi="宋体"/>
          <w:color w:val="auto"/>
          <w:sz w:val="24"/>
          <w:highlight w:val="none"/>
          <w:u w:val="single"/>
        </w:rPr>
        <w:t xml:space="preserve">                </w:t>
      </w:r>
    </w:p>
    <w:p w14:paraId="04658794">
      <w:pPr>
        <w:spacing w:line="360" w:lineRule="auto"/>
        <w:ind w:firstLine="480"/>
        <w:contextualSpacing/>
        <w:jc w:val="left"/>
        <w:rPr>
          <w:rFonts w:ascii="宋体" w:hAnsi="宋体"/>
          <w:color w:val="auto"/>
          <w:sz w:val="24"/>
          <w:highlight w:val="none"/>
        </w:rPr>
      </w:pPr>
      <w:r>
        <w:rPr>
          <w:rFonts w:hint="eastAsia" w:ascii="宋体" w:hAnsi="宋体"/>
          <w:color w:val="auto"/>
          <w:sz w:val="24"/>
          <w:highlight w:val="none"/>
        </w:rPr>
        <w:t>开户银行：</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银行账号：</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w:t>
      </w:r>
    </w:p>
    <w:p w14:paraId="47B1DC79">
      <w:pPr>
        <w:pStyle w:val="19"/>
        <w:rPr>
          <w:color w:val="auto"/>
          <w:highlight w:val="none"/>
        </w:rPr>
      </w:pPr>
    </w:p>
    <w:p w14:paraId="4B454604">
      <w:pPr>
        <w:spacing w:line="360" w:lineRule="auto"/>
        <w:ind w:firstLine="480"/>
        <w:contextualSpacing/>
        <w:jc w:val="left"/>
        <w:rPr>
          <w:rFonts w:ascii="宋体" w:hAnsi="宋体"/>
          <w:color w:val="auto"/>
          <w:sz w:val="24"/>
          <w:highlight w:val="none"/>
        </w:rPr>
      </w:pPr>
      <w:r>
        <w:rPr>
          <w:rFonts w:hint="eastAsia" w:ascii="宋体" w:hAnsi="宋体"/>
          <w:color w:val="auto"/>
          <w:sz w:val="24"/>
          <w:highlight w:val="none"/>
        </w:rPr>
        <w:t xml:space="preserve">              法定代表人或者委托代理人（签字或者电子签名）：_______ </w:t>
      </w:r>
    </w:p>
    <w:p w14:paraId="691F9AAC">
      <w:pPr>
        <w:pStyle w:val="25"/>
        <w:spacing w:line="360" w:lineRule="auto"/>
        <w:contextualSpacing/>
        <w:jc w:val="center"/>
        <w:rPr>
          <w:rFonts w:hAnsi="宋体"/>
          <w:color w:val="auto"/>
          <w:sz w:val="24"/>
          <w:szCs w:val="24"/>
          <w:highlight w:val="none"/>
          <w:u w:val="single"/>
        </w:rPr>
      </w:pPr>
      <w:r>
        <w:rPr>
          <w:rFonts w:hint="eastAsia" w:hAnsi="宋体"/>
          <w:color w:val="auto"/>
          <w:sz w:val="24"/>
          <w:highlight w:val="none"/>
        </w:rPr>
        <w:t xml:space="preserve"> </w:t>
      </w:r>
      <w:r>
        <w:rPr>
          <w:rFonts w:hAnsi="宋体"/>
          <w:color w:val="auto"/>
          <w:sz w:val="24"/>
          <w:highlight w:val="none"/>
        </w:rPr>
        <w:t xml:space="preserve">                                   </w:t>
      </w:r>
      <w:r>
        <w:rPr>
          <w:rFonts w:hint="eastAsia" w:hAnsi="宋体"/>
          <w:color w:val="auto"/>
          <w:sz w:val="24"/>
          <w:highlight w:val="none"/>
        </w:rPr>
        <w:t>投标人名称（电子签章）：</w:t>
      </w:r>
    </w:p>
    <w:p w14:paraId="0B04F075">
      <w:pPr>
        <w:pStyle w:val="25"/>
        <w:spacing w:line="360" w:lineRule="auto"/>
        <w:contextualSpacing/>
        <w:rPr>
          <w:rFonts w:hAnsi="宋体"/>
          <w:color w:val="auto"/>
          <w:sz w:val="24"/>
          <w:highlight w:val="none"/>
        </w:rPr>
      </w:pPr>
      <w:r>
        <w:rPr>
          <w:rFonts w:hint="eastAsia" w:hAnsi="宋体"/>
          <w:color w:val="auto"/>
          <w:sz w:val="24"/>
          <w:szCs w:val="24"/>
          <w:highlight w:val="none"/>
        </w:rPr>
        <w:t xml:space="preserve">                                                </w:t>
      </w:r>
      <w:r>
        <w:rPr>
          <w:rFonts w:hint="eastAsia" w:hAnsi="宋体"/>
          <w:color w:val="auto"/>
          <w:sz w:val="24"/>
          <w:szCs w:val="24"/>
          <w:highlight w:val="none"/>
          <w:u w:val="single"/>
        </w:rPr>
        <w:t xml:space="preserve">      </w:t>
      </w:r>
      <w:r>
        <w:rPr>
          <w:rFonts w:hint="eastAsia" w:hAnsi="宋体"/>
          <w:color w:val="auto"/>
          <w:sz w:val="24"/>
          <w:szCs w:val="24"/>
          <w:highlight w:val="none"/>
        </w:rPr>
        <w:t>年</w:t>
      </w:r>
      <w:r>
        <w:rPr>
          <w:rFonts w:hint="eastAsia" w:hAnsi="宋体"/>
          <w:color w:val="auto"/>
          <w:sz w:val="24"/>
          <w:szCs w:val="24"/>
          <w:highlight w:val="none"/>
          <w:u w:val="single"/>
        </w:rPr>
        <w:t xml:space="preserve">    </w:t>
      </w:r>
      <w:r>
        <w:rPr>
          <w:rFonts w:hint="eastAsia" w:hAnsi="宋体"/>
          <w:color w:val="auto"/>
          <w:sz w:val="24"/>
          <w:szCs w:val="24"/>
          <w:highlight w:val="none"/>
        </w:rPr>
        <w:t>月</w:t>
      </w:r>
      <w:r>
        <w:rPr>
          <w:rFonts w:hint="eastAsia" w:hAnsi="宋体"/>
          <w:color w:val="auto"/>
          <w:sz w:val="24"/>
          <w:szCs w:val="24"/>
          <w:highlight w:val="none"/>
          <w:u w:val="single"/>
        </w:rPr>
        <w:t xml:space="preserve">     </w:t>
      </w:r>
      <w:r>
        <w:rPr>
          <w:rFonts w:hint="eastAsia" w:hAnsi="宋体"/>
          <w:color w:val="auto"/>
          <w:sz w:val="24"/>
          <w:szCs w:val="24"/>
          <w:highlight w:val="none"/>
        </w:rPr>
        <w:t>日</w:t>
      </w:r>
    </w:p>
    <w:p w14:paraId="72AD0A98">
      <w:pPr>
        <w:spacing w:after="50"/>
        <w:jc w:val="left"/>
        <w:rPr>
          <w:rFonts w:ascii="宋体" w:hAnsi="宋体"/>
          <w:b/>
          <w:color w:val="auto"/>
          <w:sz w:val="24"/>
          <w:szCs w:val="20"/>
          <w:highlight w:val="none"/>
        </w:rPr>
      </w:pPr>
      <w:r>
        <w:rPr>
          <w:rFonts w:hAnsi="宋体"/>
          <w:color w:val="auto"/>
          <w:highlight w:val="none"/>
          <w:u w:val="single"/>
        </w:rPr>
        <w:br w:type="page" w:clear="all"/>
      </w:r>
      <w:r>
        <w:rPr>
          <w:rFonts w:hint="eastAsia" w:ascii="宋体" w:hAnsi="宋体"/>
          <w:b/>
          <w:color w:val="auto"/>
          <w:sz w:val="24"/>
          <w:highlight w:val="none"/>
        </w:rPr>
        <w:t>4. 开标一览表（货物类格式）</w:t>
      </w:r>
    </w:p>
    <w:p w14:paraId="237B9795">
      <w:pPr>
        <w:spacing w:before="50" w:after="50"/>
        <w:jc w:val="center"/>
        <w:rPr>
          <w:rFonts w:ascii="宋体" w:hAnsi="宋体"/>
          <w:b/>
          <w:color w:val="auto"/>
          <w:sz w:val="30"/>
          <w:highlight w:val="none"/>
        </w:rPr>
      </w:pPr>
      <w:r>
        <w:rPr>
          <w:rFonts w:hint="eastAsia" w:ascii="宋体" w:hAnsi="宋体"/>
          <w:b/>
          <w:color w:val="auto"/>
          <w:sz w:val="30"/>
          <w:highlight w:val="none"/>
        </w:rPr>
        <w:t>开标一览表</w:t>
      </w:r>
    </w:p>
    <w:p w14:paraId="7378FC8C">
      <w:pPr>
        <w:spacing w:before="50" w:after="50"/>
        <w:jc w:val="center"/>
        <w:rPr>
          <w:rFonts w:ascii="宋体" w:hAnsi="宋体"/>
          <w:b/>
          <w:color w:val="auto"/>
          <w:sz w:val="30"/>
          <w:szCs w:val="20"/>
          <w:highlight w:val="none"/>
        </w:rPr>
      </w:pPr>
    </w:p>
    <w:p w14:paraId="0CB62419">
      <w:pPr>
        <w:spacing w:before="50" w:after="50" w:line="360" w:lineRule="auto"/>
        <w:rPr>
          <w:rFonts w:ascii="宋体" w:hAnsi="宋体"/>
          <w:color w:val="auto"/>
          <w:sz w:val="24"/>
          <w:highlight w:val="none"/>
          <w:u w:val="single"/>
        </w:rPr>
      </w:pPr>
      <w:r>
        <w:rPr>
          <w:rFonts w:hint="eastAsia" w:ascii="宋体" w:hAnsi="宋体"/>
          <w:color w:val="auto"/>
          <w:sz w:val="24"/>
          <w:highlight w:val="none"/>
        </w:rPr>
        <w:t>项目名称：                        项目编号：            分标：</w:t>
      </w:r>
    </w:p>
    <w:p w14:paraId="7C69C4E5">
      <w:pPr>
        <w:spacing w:before="50" w:after="50" w:line="360" w:lineRule="auto"/>
        <w:rPr>
          <w:rFonts w:ascii="宋体" w:hAnsi="宋体"/>
          <w:color w:val="auto"/>
          <w:sz w:val="24"/>
          <w:highlight w:val="none"/>
        </w:rPr>
      </w:pPr>
      <w:r>
        <w:rPr>
          <w:rFonts w:hint="eastAsia" w:ascii="宋体" w:hAnsi="宋体"/>
          <w:color w:val="auto"/>
          <w:sz w:val="24"/>
          <w:highlight w:val="none"/>
        </w:rPr>
        <w:t>投标人名称：                       单位：元</w:t>
      </w:r>
    </w:p>
    <w:tbl>
      <w:tblPr>
        <w:tblStyle w:val="50"/>
        <w:tblW w:w="5662"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75"/>
        <w:gridCol w:w="1147"/>
        <w:gridCol w:w="675"/>
        <w:gridCol w:w="1147"/>
        <w:gridCol w:w="1231"/>
        <w:gridCol w:w="898"/>
        <w:gridCol w:w="1624"/>
        <w:gridCol w:w="2222"/>
      </w:tblGrid>
      <w:tr w14:paraId="4E97FB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351" w:type="pct"/>
            <w:tcBorders>
              <w:top w:val="single" w:color="auto" w:sz="4" w:space="0"/>
              <w:left w:val="single" w:color="auto" w:sz="4" w:space="0"/>
              <w:bottom w:val="single" w:color="auto" w:sz="4" w:space="0"/>
              <w:right w:val="single" w:color="auto" w:sz="4" w:space="0"/>
            </w:tcBorders>
            <w:noWrap/>
            <w:vAlign w:val="center"/>
          </w:tcPr>
          <w:p w14:paraId="469781EB">
            <w:pPr>
              <w:spacing w:before="50" w:after="50" w:line="360" w:lineRule="auto"/>
              <w:jc w:val="center"/>
              <w:rPr>
                <w:rFonts w:ascii="宋体" w:hAnsi="宋体"/>
                <w:b/>
                <w:color w:val="auto"/>
                <w:sz w:val="24"/>
                <w:highlight w:val="none"/>
              </w:rPr>
            </w:pPr>
            <w:r>
              <w:rPr>
                <w:rFonts w:hint="eastAsia" w:ascii="宋体" w:hAnsi="宋体"/>
                <w:b/>
                <w:color w:val="auto"/>
                <w:sz w:val="24"/>
                <w:highlight w:val="none"/>
              </w:rPr>
              <w:t>序号</w:t>
            </w:r>
          </w:p>
        </w:tc>
        <w:tc>
          <w:tcPr>
            <w:tcW w:w="596" w:type="pct"/>
            <w:tcBorders>
              <w:top w:val="single" w:color="auto" w:sz="4" w:space="0"/>
              <w:left w:val="single" w:color="auto" w:sz="4" w:space="0"/>
              <w:bottom w:val="single" w:color="auto" w:sz="4" w:space="0"/>
              <w:right w:val="single" w:color="auto" w:sz="4" w:space="0"/>
            </w:tcBorders>
            <w:noWrap/>
            <w:vAlign w:val="center"/>
          </w:tcPr>
          <w:p w14:paraId="18CE4756">
            <w:pPr>
              <w:spacing w:before="50" w:after="50" w:line="360" w:lineRule="auto"/>
              <w:jc w:val="center"/>
              <w:rPr>
                <w:rFonts w:ascii="宋体" w:hAnsi="宋体"/>
                <w:b/>
                <w:color w:val="auto"/>
                <w:sz w:val="24"/>
                <w:highlight w:val="none"/>
              </w:rPr>
            </w:pPr>
            <w:r>
              <w:rPr>
                <w:rFonts w:hint="eastAsia" w:ascii="宋体" w:hAnsi="宋体"/>
                <w:b/>
                <w:color w:val="auto"/>
                <w:sz w:val="24"/>
                <w:highlight w:val="none"/>
              </w:rPr>
              <w:t>标的名称</w:t>
            </w:r>
          </w:p>
        </w:tc>
        <w:tc>
          <w:tcPr>
            <w:tcW w:w="351" w:type="pct"/>
            <w:tcBorders>
              <w:top w:val="single" w:color="auto" w:sz="4" w:space="0"/>
              <w:left w:val="single" w:color="auto" w:sz="4" w:space="0"/>
              <w:bottom w:val="single" w:color="auto" w:sz="4" w:space="0"/>
              <w:right w:val="single" w:color="auto" w:sz="4" w:space="0"/>
            </w:tcBorders>
            <w:noWrap/>
            <w:vAlign w:val="center"/>
          </w:tcPr>
          <w:p w14:paraId="740FCD86">
            <w:pPr>
              <w:spacing w:before="50" w:after="50" w:line="360" w:lineRule="auto"/>
              <w:jc w:val="center"/>
              <w:rPr>
                <w:rFonts w:ascii="宋体" w:hAnsi="宋体"/>
                <w:b/>
                <w:color w:val="auto"/>
                <w:sz w:val="24"/>
                <w:highlight w:val="none"/>
              </w:rPr>
            </w:pPr>
            <w:r>
              <w:rPr>
                <w:rFonts w:hint="eastAsia" w:ascii="宋体" w:hAnsi="宋体"/>
                <w:b/>
                <w:color w:val="auto"/>
                <w:sz w:val="24"/>
                <w:highlight w:val="none"/>
              </w:rPr>
              <w:t>品牌</w:t>
            </w:r>
          </w:p>
        </w:tc>
        <w:tc>
          <w:tcPr>
            <w:tcW w:w="596" w:type="pct"/>
            <w:tcBorders>
              <w:top w:val="single" w:color="auto" w:sz="4" w:space="0"/>
              <w:left w:val="single" w:color="auto" w:sz="4" w:space="0"/>
              <w:bottom w:val="single" w:color="auto" w:sz="4" w:space="0"/>
              <w:right w:val="single" w:color="auto" w:sz="4" w:space="0"/>
            </w:tcBorders>
            <w:noWrap/>
            <w:vAlign w:val="center"/>
          </w:tcPr>
          <w:p w14:paraId="2225452E">
            <w:pPr>
              <w:spacing w:before="50" w:after="50" w:line="360" w:lineRule="auto"/>
              <w:jc w:val="center"/>
              <w:rPr>
                <w:rFonts w:ascii="宋体" w:hAnsi="宋体"/>
                <w:b/>
                <w:color w:val="auto"/>
                <w:sz w:val="24"/>
                <w:highlight w:val="none"/>
              </w:rPr>
            </w:pPr>
            <w:r>
              <w:rPr>
                <w:rFonts w:hint="eastAsia" w:ascii="宋体" w:hAnsi="宋体"/>
                <w:b/>
                <w:color w:val="auto"/>
                <w:sz w:val="24"/>
                <w:highlight w:val="none"/>
              </w:rPr>
              <w:t>规格型号</w:t>
            </w:r>
          </w:p>
        </w:tc>
        <w:tc>
          <w:tcPr>
            <w:tcW w:w="640" w:type="pct"/>
            <w:tcBorders>
              <w:top w:val="single" w:color="auto" w:sz="4" w:space="0"/>
              <w:left w:val="single" w:color="auto" w:sz="4" w:space="0"/>
              <w:bottom w:val="single" w:color="auto" w:sz="4" w:space="0"/>
              <w:right w:val="single" w:color="auto" w:sz="4" w:space="0"/>
            </w:tcBorders>
            <w:noWrap/>
            <w:vAlign w:val="center"/>
          </w:tcPr>
          <w:p w14:paraId="1BC52034">
            <w:pPr>
              <w:spacing w:before="50" w:after="50" w:line="360" w:lineRule="auto"/>
              <w:jc w:val="center"/>
              <w:rPr>
                <w:rFonts w:ascii="宋体" w:hAnsi="宋体"/>
                <w:b/>
                <w:color w:val="auto"/>
                <w:sz w:val="24"/>
                <w:highlight w:val="none"/>
              </w:rPr>
            </w:pPr>
            <w:r>
              <w:rPr>
                <w:rFonts w:hint="eastAsia" w:ascii="宋体" w:hAnsi="宋体"/>
                <w:b/>
                <w:color w:val="auto"/>
                <w:sz w:val="24"/>
                <w:highlight w:val="none"/>
              </w:rPr>
              <w:t>数量及单位①</w:t>
            </w:r>
          </w:p>
        </w:tc>
        <w:tc>
          <w:tcPr>
            <w:tcW w:w="467" w:type="pct"/>
            <w:tcBorders>
              <w:top w:val="single" w:color="auto" w:sz="4" w:space="0"/>
              <w:left w:val="single" w:color="auto" w:sz="4" w:space="0"/>
              <w:bottom w:val="single" w:color="auto" w:sz="4" w:space="0"/>
              <w:right w:val="single" w:color="auto" w:sz="4" w:space="0"/>
            </w:tcBorders>
            <w:noWrap/>
            <w:vAlign w:val="center"/>
          </w:tcPr>
          <w:p w14:paraId="7499FF9A">
            <w:pPr>
              <w:spacing w:before="50" w:after="50" w:line="360" w:lineRule="auto"/>
              <w:jc w:val="center"/>
              <w:rPr>
                <w:rFonts w:ascii="宋体" w:hAnsi="宋体"/>
                <w:b/>
                <w:color w:val="auto"/>
                <w:sz w:val="24"/>
                <w:highlight w:val="none"/>
              </w:rPr>
            </w:pPr>
            <w:r>
              <w:rPr>
                <w:rFonts w:hint="eastAsia" w:ascii="宋体" w:hAnsi="宋体"/>
                <w:b/>
                <w:color w:val="auto"/>
                <w:sz w:val="24"/>
                <w:highlight w:val="none"/>
              </w:rPr>
              <w:t>单价</w:t>
            </w:r>
          </w:p>
          <w:p w14:paraId="1029A7A3">
            <w:pPr>
              <w:spacing w:before="50" w:after="50" w:line="360" w:lineRule="auto"/>
              <w:jc w:val="center"/>
              <w:rPr>
                <w:rFonts w:ascii="宋体" w:hAnsi="宋体"/>
                <w:b/>
                <w:color w:val="auto"/>
                <w:sz w:val="24"/>
                <w:highlight w:val="none"/>
              </w:rPr>
            </w:pPr>
            <w:r>
              <w:rPr>
                <w:rFonts w:hint="eastAsia" w:ascii="宋体" w:hAnsi="宋体"/>
                <w:b/>
                <w:color w:val="auto"/>
                <w:sz w:val="24"/>
                <w:highlight w:val="none"/>
              </w:rPr>
              <w:t>②</w:t>
            </w:r>
          </w:p>
        </w:tc>
        <w:tc>
          <w:tcPr>
            <w:tcW w:w="844" w:type="pct"/>
            <w:tcBorders>
              <w:top w:val="single" w:color="auto" w:sz="4" w:space="0"/>
              <w:left w:val="single" w:color="auto" w:sz="4" w:space="0"/>
              <w:bottom w:val="single" w:color="auto" w:sz="4" w:space="0"/>
              <w:right w:val="single" w:color="auto" w:sz="4" w:space="0"/>
            </w:tcBorders>
            <w:noWrap/>
            <w:vAlign w:val="center"/>
          </w:tcPr>
          <w:p w14:paraId="390A4A1B">
            <w:pPr>
              <w:spacing w:before="50" w:after="50" w:line="360" w:lineRule="auto"/>
              <w:jc w:val="center"/>
              <w:rPr>
                <w:rFonts w:ascii="宋体" w:hAnsi="宋体"/>
                <w:b/>
                <w:color w:val="auto"/>
                <w:sz w:val="24"/>
                <w:highlight w:val="none"/>
              </w:rPr>
            </w:pPr>
            <w:r>
              <w:rPr>
                <w:rFonts w:hint="eastAsia" w:ascii="宋体" w:hAnsi="宋体"/>
                <w:b/>
                <w:color w:val="auto"/>
                <w:sz w:val="24"/>
                <w:highlight w:val="none"/>
              </w:rPr>
              <w:t>投标报价</w:t>
            </w:r>
          </w:p>
          <w:p w14:paraId="3BD909FA">
            <w:pPr>
              <w:spacing w:before="50" w:after="50" w:line="360" w:lineRule="auto"/>
              <w:jc w:val="center"/>
              <w:rPr>
                <w:rFonts w:ascii="宋体" w:hAnsi="宋体"/>
                <w:b/>
                <w:color w:val="auto"/>
                <w:sz w:val="24"/>
                <w:highlight w:val="none"/>
              </w:rPr>
            </w:pPr>
            <w:r>
              <w:rPr>
                <w:rFonts w:ascii="宋体" w:hAnsi="宋体"/>
                <w:b/>
                <w:color w:val="auto"/>
                <w:sz w:val="24"/>
                <w:highlight w:val="none"/>
              </w:rPr>
              <w:t>③</w:t>
            </w:r>
            <w:r>
              <w:rPr>
                <w:rFonts w:hint="eastAsia" w:ascii="宋体" w:hAnsi="宋体"/>
                <w:b/>
                <w:color w:val="auto"/>
                <w:sz w:val="24"/>
                <w:highlight w:val="none"/>
              </w:rPr>
              <w:t>=①×②</w:t>
            </w:r>
          </w:p>
        </w:tc>
        <w:tc>
          <w:tcPr>
            <w:tcW w:w="1149" w:type="pct"/>
            <w:tcBorders>
              <w:top w:val="single" w:color="auto" w:sz="4" w:space="0"/>
              <w:left w:val="single" w:color="auto" w:sz="4" w:space="0"/>
              <w:bottom w:val="single" w:color="auto" w:sz="4" w:space="0"/>
              <w:right w:val="single" w:color="auto" w:sz="4" w:space="0"/>
            </w:tcBorders>
            <w:noWrap/>
          </w:tcPr>
          <w:p w14:paraId="5EAB0722">
            <w:pPr>
              <w:spacing w:before="50" w:after="50" w:line="360" w:lineRule="auto"/>
              <w:jc w:val="center"/>
              <w:rPr>
                <w:rFonts w:ascii="宋体" w:hAnsi="宋体"/>
                <w:b/>
                <w:color w:val="auto"/>
                <w:sz w:val="24"/>
                <w:highlight w:val="none"/>
              </w:rPr>
            </w:pPr>
            <w:r>
              <w:rPr>
                <w:rFonts w:hint="eastAsia" w:ascii="宋体" w:hAnsi="宋体"/>
                <w:b/>
                <w:color w:val="auto"/>
                <w:sz w:val="24"/>
                <w:highlight w:val="none"/>
              </w:rPr>
              <w:t>备注</w:t>
            </w:r>
          </w:p>
        </w:tc>
      </w:tr>
      <w:tr w14:paraId="398FAC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351" w:type="pct"/>
            <w:tcBorders>
              <w:top w:val="single" w:color="auto" w:sz="4" w:space="0"/>
              <w:left w:val="single" w:color="auto" w:sz="4" w:space="0"/>
              <w:bottom w:val="single" w:color="auto" w:sz="4" w:space="0"/>
              <w:right w:val="single" w:color="auto" w:sz="4" w:space="0"/>
            </w:tcBorders>
            <w:noWrap/>
            <w:vAlign w:val="center"/>
          </w:tcPr>
          <w:p w14:paraId="19097064">
            <w:pPr>
              <w:spacing w:before="50" w:after="50" w:line="360" w:lineRule="auto"/>
              <w:jc w:val="center"/>
              <w:rPr>
                <w:rFonts w:ascii="宋体" w:hAnsi="宋体"/>
                <w:b/>
                <w:color w:val="auto"/>
                <w:sz w:val="24"/>
                <w:highlight w:val="none"/>
              </w:rPr>
            </w:pPr>
            <w:r>
              <w:rPr>
                <w:rFonts w:hint="eastAsia" w:ascii="宋体" w:hAnsi="宋体"/>
                <w:b/>
                <w:color w:val="auto"/>
                <w:sz w:val="24"/>
                <w:highlight w:val="none"/>
              </w:rPr>
              <w:t>1</w:t>
            </w:r>
          </w:p>
        </w:tc>
        <w:tc>
          <w:tcPr>
            <w:tcW w:w="596" w:type="pct"/>
            <w:tcBorders>
              <w:top w:val="single" w:color="auto" w:sz="4" w:space="0"/>
              <w:left w:val="single" w:color="auto" w:sz="4" w:space="0"/>
              <w:bottom w:val="single" w:color="auto" w:sz="4" w:space="0"/>
              <w:right w:val="single" w:color="auto" w:sz="4" w:space="0"/>
            </w:tcBorders>
            <w:noWrap/>
            <w:vAlign w:val="center"/>
          </w:tcPr>
          <w:p w14:paraId="44763E87">
            <w:pPr>
              <w:spacing w:before="50" w:after="50" w:line="360" w:lineRule="auto"/>
              <w:jc w:val="center"/>
              <w:rPr>
                <w:rFonts w:ascii="宋体" w:hAnsi="宋体"/>
                <w:color w:val="auto"/>
                <w:sz w:val="24"/>
                <w:highlight w:val="none"/>
              </w:rPr>
            </w:pPr>
          </w:p>
        </w:tc>
        <w:tc>
          <w:tcPr>
            <w:tcW w:w="351" w:type="pct"/>
            <w:tcBorders>
              <w:top w:val="single" w:color="auto" w:sz="4" w:space="0"/>
              <w:left w:val="single" w:color="auto" w:sz="4" w:space="0"/>
              <w:bottom w:val="single" w:color="auto" w:sz="4" w:space="0"/>
              <w:right w:val="single" w:color="auto" w:sz="4" w:space="0"/>
            </w:tcBorders>
            <w:noWrap/>
            <w:vAlign w:val="center"/>
          </w:tcPr>
          <w:p w14:paraId="6497EC5E">
            <w:pPr>
              <w:spacing w:before="50" w:after="50" w:line="360" w:lineRule="auto"/>
              <w:rPr>
                <w:rFonts w:ascii="宋体" w:hAnsi="宋体"/>
                <w:color w:val="auto"/>
                <w:sz w:val="24"/>
                <w:highlight w:val="none"/>
              </w:rPr>
            </w:pPr>
          </w:p>
        </w:tc>
        <w:tc>
          <w:tcPr>
            <w:tcW w:w="596" w:type="pct"/>
            <w:tcBorders>
              <w:top w:val="single" w:color="auto" w:sz="4" w:space="0"/>
              <w:left w:val="single" w:color="auto" w:sz="4" w:space="0"/>
              <w:bottom w:val="single" w:color="auto" w:sz="4" w:space="0"/>
              <w:right w:val="single" w:color="auto" w:sz="4" w:space="0"/>
            </w:tcBorders>
            <w:noWrap/>
          </w:tcPr>
          <w:p w14:paraId="37E1975D">
            <w:pPr>
              <w:spacing w:before="50" w:after="50" w:line="360" w:lineRule="auto"/>
              <w:rPr>
                <w:rFonts w:ascii="宋体" w:hAnsi="宋体"/>
                <w:color w:val="auto"/>
                <w:sz w:val="24"/>
                <w:highlight w:val="none"/>
              </w:rPr>
            </w:pPr>
          </w:p>
        </w:tc>
        <w:tc>
          <w:tcPr>
            <w:tcW w:w="640" w:type="pct"/>
            <w:tcBorders>
              <w:top w:val="single" w:color="auto" w:sz="4" w:space="0"/>
              <w:left w:val="single" w:color="auto" w:sz="4" w:space="0"/>
              <w:bottom w:val="single" w:color="auto" w:sz="4" w:space="0"/>
              <w:right w:val="single" w:color="auto" w:sz="4" w:space="0"/>
            </w:tcBorders>
            <w:noWrap/>
            <w:vAlign w:val="center"/>
          </w:tcPr>
          <w:p w14:paraId="6A1F8E22">
            <w:pPr>
              <w:spacing w:before="50" w:after="50" w:line="360" w:lineRule="auto"/>
              <w:rPr>
                <w:rFonts w:ascii="宋体" w:hAnsi="宋体"/>
                <w:color w:val="auto"/>
                <w:sz w:val="24"/>
                <w:highlight w:val="none"/>
              </w:rPr>
            </w:pPr>
          </w:p>
        </w:tc>
        <w:tc>
          <w:tcPr>
            <w:tcW w:w="467" w:type="pct"/>
            <w:tcBorders>
              <w:top w:val="single" w:color="auto" w:sz="4" w:space="0"/>
              <w:left w:val="single" w:color="auto" w:sz="4" w:space="0"/>
              <w:bottom w:val="single" w:color="auto" w:sz="4" w:space="0"/>
              <w:right w:val="single" w:color="auto" w:sz="4" w:space="0"/>
            </w:tcBorders>
            <w:noWrap/>
            <w:vAlign w:val="center"/>
          </w:tcPr>
          <w:p w14:paraId="2FE3985C">
            <w:pPr>
              <w:spacing w:before="50" w:after="50" w:line="360" w:lineRule="auto"/>
              <w:rPr>
                <w:rFonts w:ascii="宋体" w:hAnsi="宋体"/>
                <w:color w:val="auto"/>
                <w:sz w:val="24"/>
                <w:highlight w:val="none"/>
              </w:rPr>
            </w:pPr>
          </w:p>
        </w:tc>
        <w:tc>
          <w:tcPr>
            <w:tcW w:w="844" w:type="pct"/>
            <w:tcBorders>
              <w:top w:val="single" w:color="auto" w:sz="4" w:space="0"/>
              <w:left w:val="single" w:color="auto" w:sz="4" w:space="0"/>
              <w:bottom w:val="single" w:color="auto" w:sz="4" w:space="0"/>
              <w:right w:val="single" w:color="auto" w:sz="4" w:space="0"/>
            </w:tcBorders>
            <w:noWrap/>
            <w:vAlign w:val="center"/>
          </w:tcPr>
          <w:p w14:paraId="4C94B5A6">
            <w:pPr>
              <w:spacing w:before="50" w:after="50" w:line="360" w:lineRule="auto"/>
              <w:rPr>
                <w:rFonts w:ascii="宋体" w:hAnsi="宋体"/>
                <w:color w:val="auto"/>
                <w:sz w:val="24"/>
                <w:highlight w:val="none"/>
              </w:rPr>
            </w:pPr>
          </w:p>
        </w:tc>
        <w:tc>
          <w:tcPr>
            <w:tcW w:w="1149" w:type="pct"/>
            <w:tcBorders>
              <w:top w:val="single" w:color="auto" w:sz="4" w:space="0"/>
              <w:left w:val="single" w:color="auto" w:sz="4" w:space="0"/>
              <w:bottom w:val="single" w:color="auto" w:sz="4" w:space="0"/>
              <w:right w:val="single" w:color="auto" w:sz="4" w:space="0"/>
            </w:tcBorders>
            <w:noWrap/>
          </w:tcPr>
          <w:p w14:paraId="4C9C9533">
            <w:pPr>
              <w:spacing w:before="50" w:after="50" w:line="360" w:lineRule="auto"/>
              <w:rPr>
                <w:rFonts w:ascii="宋体" w:hAnsi="宋体"/>
                <w:color w:val="auto"/>
                <w:sz w:val="24"/>
                <w:highlight w:val="none"/>
              </w:rPr>
            </w:pPr>
          </w:p>
        </w:tc>
      </w:tr>
      <w:tr w14:paraId="098E68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2" w:hRule="atLeast"/>
          <w:jc w:val="center"/>
        </w:trPr>
        <w:tc>
          <w:tcPr>
            <w:tcW w:w="351" w:type="pct"/>
            <w:tcBorders>
              <w:top w:val="single" w:color="auto" w:sz="4" w:space="0"/>
              <w:left w:val="single" w:color="auto" w:sz="4" w:space="0"/>
              <w:bottom w:val="single" w:color="auto" w:sz="4" w:space="0"/>
              <w:right w:val="single" w:color="auto" w:sz="4" w:space="0"/>
            </w:tcBorders>
            <w:noWrap/>
            <w:vAlign w:val="center"/>
          </w:tcPr>
          <w:p w14:paraId="36EBBA98">
            <w:pPr>
              <w:spacing w:before="50" w:after="50" w:line="360" w:lineRule="auto"/>
              <w:jc w:val="center"/>
              <w:rPr>
                <w:rFonts w:ascii="宋体" w:hAnsi="宋体"/>
                <w:b/>
                <w:color w:val="auto"/>
                <w:sz w:val="24"/>
                <w:highlight w:val="none"/>
              </w:rPr>
            </w:pPr>
            <w:r>
              <w:rPr>
                <w:rFonts w:hint="eastAsia" w:ascii="宋体" w:hAnsi="宋体"/>
                <w:b/>
                <w:color w:val="auto"/>
                <w:sz w:val="24"/>
                <w:highlight w:val="none"/>
              </w:rPr>
              <w:t>2</w:t>
            </w:r>
          </w:p>
        </w:tc>
        <w:tc>
          <w:tcPr>
            <w:tcW w:w="596" w:type="pct"/>
            <w:tcBorders>
              <w:top w:val="single" w:color="auto" w:sz="4" w:space="0"/>
              <w:left w:val="single" w:color="auto" w:sz="4" w:space="0"/>
              <w:bottom w:val="single" w:color="auto" w:sz="4" w:space="0"/>
              <w:right w:val="single" w:color="auto" w:sz="4" w:space="0"/>
            </w:tcBorders>
            <w:noWrap/>
            <w:vAlign w:val="center"/>
          </w:tcPr>
          <w:p w14:paraId="3BE92201">
            <w:pPr>
              <w:spacing w:before="50" w:after="50" w:line="360" w:lineRule="auto"/>
              <w:jc w:val="center"/>
              <w:rPr>
                <w:rFonts w:ascii="宋体" w:hAnsi="宋体"/>
                <w:b/>
                <w:color w:val="auto"/>
                <w:sz w:val="24"/>
                <w:highlight w:val="none"/>
              </w:rPr>
            </w:pPr>
          </w:p>
        </w:tc>
        <w:tc>
          <w:tcPr>
            <w:tcW w:w="351" w:type="pct"/>
            <w:tcBorders>
              <w:top w:val="single" w:color="auto" w:sz="4" w:space="0"/>
              <w:left w:val="single" w:color="auto" w:sz="4" w:space="0"/>
              <w:bottom w:val="single" w:color="auto" w:sz="4" w:space="0"/>
              <w:right w:val="single" w:color="auto" w:sz="4" w:space="0"/>
            </w:tcBorders>
            <w:noWrap/>
            <w:vAlign w:val="center"/>
          </w:tcPr>
          <w:p w14:paraId="0525200F">
            <w:pPr>
              <w:spacing w:before="50" w:after="50" w:line="360" w:lineRule="auto"/>
              <w:rPr>
                <w:rFonts w:ascii="宋体" w:hAnsi="宋体"/>
                <w:color w:val="auto"/>
                <w:sz w:val="24"/>
                <w:highlight w:val="none"/>
              </w:rPr>
            </w:pPr>
          </w:p>
        </w:tc>
        <w:tc>
          <w:tcPr>
            <w:tcW w:w="596" w:type="pct"/>
            <w:tcBorders>
              <w:top w:val="single" w:color="auto" w:sz="4" w:space="0"/>
              <w:left w:val="single" w:color="auto" w:sz="4" w:space="0"/>
              <w:bottom w:val="single" w:color="auto" w:sz="4" w:space="0"/>
              <w:right w:val="single" w:color="auto" w:sz="4" w:space="0"/>
            </w:tcBorders>
            <w:noWrap/>
          </w:tcPr>
          <w:p w14:paraId="449B71F1">
            <w:pPr>
              <w:spacing w:before="50" w:after="50" w:line="360" w:lineRule="auto"/>
              <w:rPr>
                <w:rFonts w:ascii="宋体" w:hAnsi="宋体"/>
                <w:color w:val="auto"/>
                <w:sz w:val="24"/>
                <w:highlight w:val="none"/>
              </w:rPr>
            </w:pPr>
          </w:p>
        </w:tc>
        <w:tc>
          <w:tcPr>
            <w:tcW w:w="640" w:type="pct"/>
            <w:tcBorders>
              <w:top w:val="single" w:color="auto" w:sz="4" w:space="0"/>
              <w:left w:val="single" w:color="auto" w:sz="4" w:space="0"/>
              <w:bottom w:val="single" w:color="auto" w:sz="4" w:space="0"/>
              <w:right w:val="single" w:color="auto" w:sz="4" w:space="0"/>
            </w:tcBorders>
            <w:noWrap/>
            <w:vAlign w:val="center"/>
          </w:tcPr>
          <w:p w14:paraId="44DDFF7D">
            <w:pPr>
              <w:spacing w:before="50" w:after="50" w:line="360" w:lineRule="auto"/>
              <w:rPr>
                <w:rFonts w:ascii="宋体" w:hAnsi="宋体"/>
                <w:color w:val="auto"/>
                <w:sz w:val="24"/>
                <w:highlight w:val="none"/>
              </w:rPr>
            </w:pPr>
          </w:p>
        </w:tc>
        <w:tc>
          <w:tcPr>
            <w:tcW w:w="467" w:type="pct"/>
            <w:tcBorders>
              <w:top w:val="single" w:color="auto" w:sz="4" w:space="0"/>
              <w:left w:val="single" w:color="auto" w:sz="4" w:space="0"/>
              <w:bottom w:val="single" w:color="auto" w:sz="4" w:space="0"/>
              <w:right w:val="single" w:color="auto" w:sz="4" w:space="0"/>
            </w:tcBorders>
            <w:noWrap/>
            <w:vAlign w:val="center"/>
          </w:tcPr>
          <w:p w14:paraId="1C8E857A">
            <w:pPr>
              <w:spacing w:before="50" w:after="50" w:line="360" w:lineRule="auto"/>
              <w:rPr>
                <w:rFonts w:ascii="宋体" w:hAnsi="宋体"/>
                <w:color w:val="auto"/>
                <w:sz w:val="24"/>
                <w:highlight w:val="none"/>
              </w:rPr>
            </w:pPr>
          </w:p>
        </w:tc>
        <w:tc>
          <w:tcPr>
            <w:tcW w:w="844" w:type="pct"/>
            <w:tcBorders>
              <w:top w:val="single" w:color="auto" w:sz="4" w:space="0"/>
              <w:left w:val="single" w:color="auto" w:sz="4" w:space="0"/>
              <w:bottom w:val="single" w:color="auto" w:sz="4" w:space="0"/>
              <w:right w:val="single" w:color="auto" w:sz="4" w:space="0"/>
            </w:tcBorders>
            <w:noWrap/>
            <w:vAlign w:val="center"/>
          </w:tcPr>
          <w:p w14:paraId="53401AA2">
            <w:pPr>
              <w:spacing w:before="50" w:after="50" w:line="360" w:lineRule="auto"/>
              <w:rPr>
                <w:rFonts w:ascii="宋体" w:hAnsi="宋体"/>
                <w:color w:val="auto"/>
                <w:sz w:val="24"/>
                <w:highlight w:val="none"/>
              </w:rPr>
            </w:pPr>
          </w:p>
        </w:tc>
        <w:tc>
          <w:tcPr>
            <w:tcW w:w="1149" w:type="pct"/>
            <w:tcBorders>
              <w:top w:val="single" w:color="auto" w:sz="4" w:space="0"/>
              <w:left w:val="single" w:color="auto" w:sz="4" w:space="0"/>
              <w:bottom w:val="single" w:color="auto" w:sz="4" w:space="0"/>
              <w:right w:val="single" w:color="auto" w:sz="4" w:space="0"/>
            </w:tcBorders>
            <w:noWrap/>
          </w:tcPr>
          <w:p w14:paraId="282BAB23">
            <w:pPr>
              <w:spacing w:before="50" w:after="50" w:line="360" w:lineRule="auto"/>
              <w:rPr>
                <w:rFonts w:ascii="宋体" w:hAnsi="宋体"/>
                <w:color w:val="auto"/>
                <w:sz w:val="24"/>
                <w:highlight w:val="none"/>
              </w:rPr>
            </w:pPr>
          </w:p>
        </w:tc>
      </w:tr>
      <w:tr w14:paraId="04928B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9" w:hRule="atLeast"/>
          <w:jc w:val="center"/>
        </w:trPr>
        <w:tc>
          <w:tcPr>
            <w:tcW w:w="351" w:type="pct"/>
            <w:tcBorders>
              <w:top w:val="single" w:color="auto" w:sz="4" w:space="0"/>
              <w:left w:val="single" w:color="auto" w:sz="4" w:space="0"/>
              <w:bottom w:val="single" w:color="auto" w:sz="4" w:space="0"/>
              <w:right w:val="single" w:color="auto" w:sz="4" w:space="0"/>
            </w:tcBorders>
            <w:noWrap/>
            <w:vAlign w:val="center"/>
          </w:tcPr>
          <w:p w14:paraId="10F5CEB3">
            <w:pPr>
              <w:spacing w:before="50" w:after="50" w:line="360" w:lineRule="auto"/>
              <w:jc w:val="center"/>
              <w:rPr>
                <w:rFonts w:ascii="宋体" w:hAnsi="宋体"/>
                <w:b/>
                <w:color w:val="auto"/>
                <w:sz w:val="24"/>
                <w:highlight w:val="none"/>
              </w:rPr>
            </w:pPr>
            <w:r>
              <w:rPr>
                <w:rFonts w:hint="eastAsia" w:ascii="宋体" w:hAnsi="宋体"/>
                <w:b/>
                <w:color w:val="auto"/>
                <w:sz w:val="24"/>
                <w:highlight w:val="none"/>
              </w:rPr>
              <w:t>……</w:t>
            </w:r>
          </w:p>
        </w:tc>
        <w:tc>
          <w:tcPr>
            <w:tcW w:w="596" w:type="pct"/>
            <w:tcBorders>
              <w:top w:val="single" w:color="auto" w:sz="4" w:space="0"/>
              <w:left w:val="single" w:color="auto" w:sz="4" w:space="0"/>
              <w:bottom w:val="single" w:color="auto" w:sz="4" w:space="0"/>
              <w:right w:val="single" w:color="auto" w:sz="4" w:space="0"/>
            </w:tcBorders>
            <w:noWrap/>
            <w:vAlign w:val="center"/>
          </w:tcPr>
          <w:p w14:paraId="39CDE610">
            <w:pPr>
              <w:spacing w:before="50" w:after="50" w:line="360" w:lineRule="auto"/>
              <w:jc w:val="center"/>
              <w:rPr>
                <w:rFonts w:ascii="宋体" w:hAnsi="宋体"/>
                <w:b/>
                <w:color w:val="auto"/>
                <w:sz w:val="24"/>
                <w:highlight w:val="none"/>
              </w:rPr>
            </w:pPr>
            <w:r>
              <w:rPr>
                <w:rFonts w:hint="eastAsia" w:ascii="宋体" w:hAnsi="宋体"/>
                <w:b/>
                <w:color w:val="auto"/>
                <w:sz w:val="24"/>
                <w:highlight w:val="none"/>
              </w:rPr>
              <w:t>……</w:t>
            </w:r>
          </w:p>
        </w:tc>
        <w:tc>
          <w:tcPr>
            <w:tcW w:w="351" w:type="pct"/>
            <w:tcBorders>
              <w:top w:val="single" w:color="auto" w:sz="4" w:space="0"/>
              <w:left w:val="single" w:color="auto" w:sz="4" w:space="0"/>
              <w:bottom w:val="single" w:color="auto" w:sz="4" w:space="0"/>
              <w:right w:val="single" w:color="auto" w:sz="4" w:space="0"/>
            </w:tcBorders>
            <w:noWrap/>
            <w:vAlign w:val="center"/>
          </w:tcPr>
          <w:p w14:paraId="1A12D1FC">
            <w:pPr>
              <w:spacing w:before="50" w:after="50" w:line="360" w:lineRule="auto"/>
              <w:rPr>
                <w:rFonts w:ascii="宋体" w:hAnsi="宋体"/>
                <w:color w:val="auto"/>
                <w:sz w:val="24"/>
                <w:highlight w:val="none"/>
              </w:rPr>
            </w:pPr>
          </w:p>
        </w:tc>
        <w:tc>
          <w:tcPr>
            <w:tcW w:w="596" w:type="pct"/>
            <w:tcBorders>
              <w:top w:val="single" w:color="auto" w:sz="4" w:space="0"/>
              <w:left w:val="single" w:color="auto" w:sz="4" w:space="0"/>
              <w:bottom w:val="single" w:color="auto" w:sz="4" w:space="0"/>
              <w:right w:val="single" w:color="auto" w:sz="4" w:space="0"/>
            </w:tcBorders>
            <w:noWrap/>
          </w:tcPr>
          <w:p w14:paraId="64602D69">
            <w:pPr>
              <w:spacing w:before="50" w:after="50" w:line="360" w:lineRule="auto"/>
              <w:rPr>
                <w:rFonts w:ascii="宋体" w:hAnsi="宋体"/>
                <w:color w:val="auto"/>
                <w:sz w:val="24"/>
                <w:highlight w:val="none"/>
              </w:rPr>
            </w:pPr>
          </w:p>
        </w:tc>
        <w:tc>
          <w:tcPr>
            <w:tcW w:w="640" w:type="pct"/>
            <w:tcBorders>
              <w:top w:val="single" w:color="auto" w:sz="4" w:space="0"/>
              <w:left w:val="single" w:color="auto" w:sz="4" w:space="0"/>
              <w:bottom w:val="single" w:color="auto" w:sz="4" w:space="0"/>
              <w:right w:val="single" w:color="auto" w:sz="4" w:space="0"/>
            </w:tcBorders>
            <w:noWrap/>
            <w:vAlign w:val="center"/>
          </w:tcPr>
          <w:p w14:paraId="61E0E451">
            <w:pPr>
              <w:spacing w:before="50" w:after="50" w:line="360" w:lineRule="auto"/>
              <w:rPr>
                <w:rFonts w:ascii="宋体" w:hAnsi="宋体"/>
                <w:color w:val="auto"/>
                <w:sz w:val="24"/>
                <w:highlight w:val="none"/>
              </w:rPr>
            </w:pPr>
          </w:p>
        </w:tc>
        <w:tc>
          <w:tcPr>
            <w:tcW w:w="467" w:type="pct"/>
            <w:tcBorders>
              <w:top w:val="single" w:color="auto" w:sz="4" w:space="0"/>
              <w:left w:val="single" w:color="auto" w:sz="4" w:space="0"/>
              <w:bottom w:val="single" w:color="auto" w:sz="4" w:space="0"/>
              <w:right w:val="single" w:color="auto" w:sz="4" w:space="0"/>
            </w:tcBorders>
            <w:noWrap/>
            <w:vAlign w:val="center"/>
          </w:tcPr>
          <w:p w14:paraId="0A2561E3">
            <w:pPr>
              <w:spacing w:before="50" w:after="50" w:line="360" w:lineRule="auto"/>
              <w:rPr>
                <w:rFonts w:ascii="宋体" w:hAnsi="宋体"/>
                <w:color w:val="auto"/>
                <w:sz w:val="24"/>
                <w:highlight w:val="none"/>
              </w:rPr>
            </w:pPr>
          </w:p>
        </w:tc>
        <w:tc>
          <w:tcPr>
            <w:tcW w:w="844" w:type="pct"/>
            <w:tcBorders>
              <w:top w:val="single" w:color="auto" w:sz="4" w:space="0"/>
              <w:left w:val="single" w:color="auto" w:sz="4" w:space="0"/>
              <w:bottom w:val="single" w:color="auto" w:sz="4" w:space="0"/>
              <w:right w:val="single" w:color="auto" w:sz="4" w:space="0"/>
            </w:tcBorders>
            <w:noWrap/>
            <w:vAlign w:val="center"/>
          </w:tcPr>
          <w:p w14:paraId="00AA7DA5">
            <w:pPr>
              <w:spacing w:before="50" w:after="50" w:line="360" w:lineRule="auto"/>
              <w:rPr>
                <w:rFonts w:ascii="宋体" w:hAnsi="宋体"/>
                <w:color w:val="auto"/>
                <w:sz w:val="24"/>
                <w:highlight w:val="none"/>
              </w:rPr>
            </w:pPr>
          </w:p>
        </w:tc>
        <w:tc>
          <w:tcPr>
            <w:tcW w:w="1149" w:type="pct"/>
            <w:tcBorders>
              <w:top w:val="single" w:color="auto" w:sz="4" w:space="0"/>
              <w:left w:val="single" w:color="auto" w:sz="4" w:space="0"/>
              <w:bottom w:val="single" w:color="auto" w:sz="4" w:space="0"/>
              <w:right w:val="single" w:color="auto" w:sz="4" w:space="0"/>
            </w:tcBorders>
            <w:noWrap/>
          </w:tcPr>
          <w:p w14:paraId="6359EFFB">
            <w:pPr>
              <w:spacing w:before="50" w:after="50" w:line="360" w:lineRule="auto"/>
              <w:rPr>
                <w:rFonts w:ascii="宋体" w:hAnsi="宋体"/>
                <w:color w:val="auto"/>
                <w:sz w:val="24"/>
                <w:highlight w:val="none"/>
              </w:rPr>
            </w:pPr>
          </w:p>
        </w:tc>
      </w:tr>
      <w:tr w14:paraId="730BF2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9" w:hRule="atLeast"/>
          <w:jc w:val="center"/>
        </w:trPr>
        <w:tc>
          <w:tcPr>
            <w:tcW w:w="5000" w:type="pct"/>
            <w:gridSpan w:val="8"/>
            <w:tcBorders>
              <w:top w:val="single" w:color="auto" w:sz="4" w:space="0"/>
              <w:left w:val="single" w:color="auto" w:sz="4" w:space="0"/>
              <w:bottom w:val="single" w:color="auto" w:sz="4" w:space="0"/>
              <w:right w:val="single" w:color="auto" w:sz="4" w:space="0"/>
            </w:tcBorders>
            <w:noWrap/>
            <w:vAlign w:val="center"/>
          </w:tcPr>
          <w:p w14:paraId="5D51E394">
            <w:pPr>
              <w:spacing w:before="50" w:after="50" w:line="360" w:lineRule="auto"/>
              <w:rPr>
                <w:rFonts w:ascii="宋体" w:hAnsi="宋体"/>
                <w:color w:val="auto"/>
                <w:sz w:val="24"/>
                <w:highlight w:val="none"/>
              </w:rPr>
            </w:pPr>
            <w:r>
              <w:rPr>
                <w:rFonts w:hint="eastAsia" w:ascii="宋体" w:hAnsi="宋体"/>
                <w:color w:val="auto"/>
                <w:sz w:val="24"/>
                <w:highlight w:val="none"/>
              </w:rPr>
              <w:t>总报价：大写          （小写）</w:t>
            </w:r>
          </w:p>
        </w:tc>
      </w:tr>
      <w:tr w14:paraId="61D92C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9" w:hRule="atLeast"/>
          <w:jc w:val="center"/>
        </w:trPr>
        <w:tc>
          <w:tcPr>
            <w:tcW w:w="5000" w:type="pct"/>
            <w:gridSpan w:val="8"/>
            <w:tcBorders>
              <w:top w:val="single" w:color="auto" w:sz="4" w:space="0"/>
              <w:left w:val="single" w:color="auto" w:sz="4" w:space="0"/>
              <w:bottom w:val="single" w:color="auto" w:sz="4" w:space="0"/>
              <w:right w:val="single" w:color="auto" w:sz="4" w:space="0"/>
            </w:tcBorders>
            <w:noWrap/>
            <w:vAlign w:val="center"/>
          </w:tcPr>
          <w:p w14:paraId="40072AA1">
            <w:pPr>
              <w:spacing w:before="50" w:after="50" w:line="360" w:lineRule="auto"/>
              <w:rPr>
                <w:rFonts w:hint="eastAsia" w:ascii="宋体" w:hAnsi="宋体" w:eastAsia="宋体"/>
                <w:color w:val="auto"/>
                <w:sz w:val="24"/>
                <w:highlight w:val="none"/>
                <w:lang w:eastAsia="zh-CN"/>
              </w:rPr>
            </w:pPr>
            <w:r>
              <w:rPr>
                <w:rFonts w:hint="eastAsia" w:ascii="宋体" w:hAnsi="宋体" w:cs="仿宋_GB2312"/>
                <w:color w:val="auto"/>
                <w:sz w:val="24"/>
                <w:highlight w:val="none"/>
                <w:u w:val="single"/>
              </w:rPr>
              <w:t>投标产品中，属于本国产品总值为¥       （具体明细详见附表，附表格式自拟），占投标产品报价的比例为    %</w:t>
            </w:r>
            <w:r>
              <w:rPr>
                <w:rFonts w:hint="eastAsia" w:ascii="宋体" w:hAnsi="宋体" w:cs="仿宋_GB2312"/>
                <w:color w:val="auto"/>
                <w:sz w:val="24"/>
                <w:highlight w:val="none"/>
                <w:u w:val="single"/>
                <w:lang w:eastAsia="zh-CN"/>
              </w:rPr>
              <w:t>；</w:t>
            </w:r>
            <w:r>
              <w:rPr>
                <w:rFonts w:hint="eastAsia" w:ascii="宋体" w:hAnsi="宋体" w:cs="仿宋_GB2312"/>
                <w:color w:val="auto"/>
                <w:sz w:val="24"/>
                <w:highlight w:val="none"/>
                <w:u w:val="single"/>
              </w:rPr>
              <w:t>属于节能环保产品总值为¥       （具体明细详见附表，附表格式自拟），占投标产品报价的比例为    %。</w:t>
            </w:r>
          </w:p>
        </w:tc>
      </w:tr>
    </w:tbl>
    <w:p w14:paraId="5DF52543">
      <w:pPr>
        <w:spacing w:line="360" w:lineRule="auto"/>
        <w:ind w:firstLine="840"/>
        <w:jc w:val="left"/>
        <w:rPr>
          <w:rFonts w:ascii="宋体" w:hAnsi="宋体"/>
          <w:color w:val="auto"/>
          <w:sz w:val="24"/>
          <w:highlight w:val="none"/>
        </w:rPr>
      </w:pPr>
    </w:p>
    <w:p w14:paraId="75F04B9B">
      <w:pPr>
        <w:spacing w:line="360" w:lineRule="auto"/>
        <w:jc w:val="left"/>
        <w:rPr>
          <w:rFonts w:ascii="宋体" w:hAnsi="宋体"/>
          <w:color w:val="auto"/>
          <w:sz w:val="24"/>
          <w:highlight w:val="none"/>
        </w:rPr>
      </w:pPr>
      <w:r>
        <w:rPr>
          <w:rFonts w:hint="eastAsia" w:ascii="宋体" w:hAnsi="宋体"/>
          <w:color w:val="auto"/>
          <w:sz w:val="24"/>
          <w:highlight w:val="none"/>
        </w:rPr>
        <w:t xml:space="preserve">注： </w:t>
      </w:r>
    </w:p>
    <w:p w14:paraId="07B89770">
      <w:pPr>
        <w:spacing w:line="360" w:lineRule="auto"/>
        <w:ind w:firstLine="480"/>
        <w:jc w:val="left"/>
        <w:rPr>
          <w:rFonts w:ascii="宋体" w:hAnsi="宋体"/>
          <w:b/>
          <w:color w:val="auto"/>
          <w:sz w:val="24"/>
          <w:highlight w:val="none"/>
        </w:rPr>
      </w:pPr>
      <w:r>
        <w:rPr>
          <w:rFonts w:hint="eastAsia" w:ascii="宋体" w:hAnsi="宋体"/>
          <w:bCs/>
          <w:color w:val="auto"/>
          <w:sz w:val="24"/>
          <w:highlight w:val="none"/>
        </w:rPr>
        <w:t>1.</w:t>
      </w:r>
      <w:r>
        <w:rPr>
          <w:rFonts w:hint="eastAsia" w:ascii="宋体" w:hAnsi="宋体"/>
          <w:color w:val="auto"/>
          <w:sz w:val="24"/>
          <w:highlight w:val="none"/>
        </w:rPr>
        <w:t>报价一经涂改，应在涂改处加盖投标人公章</w:t>
      </w:r>
      <w:r>
        <w:rPr>
          <w:rFonts w:hint="eastAsia" w:ascii="宋体" w:hAnsi="宋体" w:cs="仿宋_GB2312"/>
          <w:color w:val="auto"/>
          <w:sz w:val="24"/>
          <w:highlight w:val="none"/>
        </w:rPr>
        <w:t>或者加盖电子签章</w:t>
      </w:r>
      <w:r>
        <w:rPr>
          <w:rFonts w:hint="eastAsia" w:ascii="宋体" w:hAnsi="宋体"/>
          <w:color w:val="auto"/>
          <w:sz w:val="24"/>
          <w:highlight w:val="none"/>
        </w:rPr>
        <w:t>或者由法定代表人或者委托代理人签字（或者电子签名）</w:t>
      </w:r>
      <w:r>
        <w:rPr>
          <w:rFonts w:hint="eastAsia" w:ascii="宋体" w:hAnsi="宋体"/>
          <w:b/>
          <w:color w:val="auto"/>
          <w:sz w:val="24"/>
          <w:highlight w:val="none"/>
        </w:rPr>
        <w:t>，否则其投标作无效标处理。</w:t>
      </w:r>
    </w:p>
    <w:p w14:paraId="61A7539C">
      <w:pPr>
        <w:spacing w:line="360" w:lineRule="auto"/>
        <w:ind w:firstLine="480"/>
        <w:jc w:val="left"/>
        <w:rPr>
          <w:rFonts w:ascii="宋体" w:hAnsi="宋体"/>
          <w:color w:val="auto"/>
          <w:sz w:val="24"/>
          <w:highlight w:val="none"/>
        </w:rPr>
      </w:pPr>
      <w:r>
        <w:rPr>
          <w:rFonts w:hint="eastAsia" w:ascii="宋体" w:hAnsi="宋体"/>
          <w:color w:val="auto"/>
          <w:sz w:val="24"/>
          <w:highlight w:val="none"/>
        </w:rPr>
        <w:t>2.招标文件中列明采购专用耗材的，应按招标文件规定的耗材量或者按耗材的常规使用量提供报价。</w:t>
      </w:r>
    </w:p>
    <w:p w14:paraId="168F479A">
      <w:pPr>
        <w:pStyle w:val="220"/>
        <w:ind w:firstLine="520"/>
        <w:rPr>
          <w:color w:val="auto"/>
          <w:highlight w:val="none"/>
        </w:rPr>
      </w:pPr>
      <w:r>
        <w:rPr>
          <w:rFonts w:hint="eastAsia" w:ascii="宋体" w:hAnsi="宋体"/>
          <w:color w:val="auto"/>
          <w:highlight w:val="none"/>
        </w:rPr>
        <w:t>3.如有多分标，按分标分别提供开标一览表，</w:t>
      </w:r>
      <w:r>
        <w:rPr>
          <w:rFonts w:hint="eastAsia" w:ascii="宋体" w:hAnsi="宋体"/>
          <w:b/>
          <w:color w:val="auto"/>
          <w:highlight w:val="none"/>
        </w:rPr>
        <w:t>否则投标无效。</w:t>
      </w:r>
    </w:p>
    <w:p w14:paraId="53D2F28B">
      <w:pPr>
        <w:pStyle w:val="19"/>
        <w:rPr>
          <w:color w:val="auto"/>
          <w:highlight w:val="none"/>
        </w:rPr>
      </w:pPr>
    </w:p>
    <w:p w14:paraId="1AF3CB2A">
      <w:pPr>
        <w:spacing w:line="360" w:lineRule="auto"/>
        <w:ind w:left="-2" w:right="-817"/>
        <w:rPr>
          <w:rFonts w:ascii="宋体" w:hAnsi="宋体"/>
          <w:color w:val="auto"/>
          <w:sz w:val="24"/>
          <w:highlight w:val="none"/>
        </w:rPr>
      </w:pPr>
      <w:r>
        <w:rPr>
          <w:rFonts w:hint="eastAsia" w:ascii="宋体" w:hAnsi="宋体"/>
          <w:color w:val="auto"/>
          <w:sz w:val="24"/>
          <w:highlight w:val="none"/>
        </w:rPr>
        <w:t xml:space="preserve">                                  法定代表人或者委托代理人（签字或者电子签名）： </w:t>
      </w:r>
    </w:p>
    <w:p w14:paraId="0B7A1B11">
      <w:pPr>
        <w:spacing w:line="360" w:lineRule="auto"/>
        <w:ind w:left="-3" w:right="-817" w:hanging="28"/>
        <w:rPr>
          <w:rFonts w:ascii="宋体" w:hAnsi="宋体"/>
          <w:color w:val="auto"/>
          <w:sz w:val="24"/>
          <w:highlight w:val="none"/>
        </w:rPr>
      </w:pPr>
      <w:r>
        <w:rPr>
          <w:rFonts w:hint="eastAsia" w:ascii="宋体" w:hAnsi="宋体"/>
          <w:color w:val="auto"/>
          <w:sz w:val="24"/>
          <w:highlight w:val="none"/>
        </w:rPr>
        <w:t xml:space="preserve">                                  投标人名称（电子签章）：</w:t>
      </w:r>
    </w:p>
    <w:p w14:paraId="047CE7CA">
      <w:pPr>
        <w:spacing w:line="360" w:lineRule="auto"/>
        <w:ind w:left="-3" w:right="-817" w:hanging="28"/>
        <w:rPr>
          <w:rFonts w:ascii="宋体" w:hAnsi="宋体"/>
          <w:color w:val="auto"/>
          <w:szCs w:val="21"/>
          <w:highlight w:val="none"/>
        </w:rPr>
      </w:pPr>
      <w:r>
        <w:rPr>
          <w:rFonts w:hint="eastAsia" w:ascii="宋体" w:hAnsi="宋体"/>
          <w:color w:val="auto"/>
          <w:sz w:val="24"/>
          <w:highlight w:val="none"/>
        </w:rPr>
        <w:t xml:space="preserve">                                  日期：    年   月   日</w:t>
      </w:r>
    </w:p>
    <w:p w14:paraId="01B2EA23">
      <w:pPr>
        <w:rPr>
          <w:b/>
          <w:color w:val="auto"/>
          <w:sz w:val="28"/>
          <w:szCs w:val="28"/>
          <w:highlight w:val="none"/>
        </w:rPr>
      </w:pPr>
      <w:r>
        <w:rPr>
          <w:rFonts w:hint="eastAsia"/>
          <w:b/>
          <w:color w:val="auto"/>
          <w:sz w:val="28"/>
          <w:szCs w:val="28"/>
          <w:highlight w:val="none"/>
        </w:rPr>
        <w:br w:type="page" w:clear="all"/>
      </w:r>
    </w:p>
    <w:p w14:paraId="63F57F62">
      <w:pPr>
        <w:rPr>
          <w:b/>
          <w:color w:val="auto"/>
          <w:sz w:val="28"/>
          <w:szCs w:val="28"/>
          <w:highlight w:val="none"/>
        </w:rPr>
      </w:pPr>
      <w:r>
        <w:rPr>
          <w:rFonts w:hint="eastAsia"/>
          <w:b/>
          <w:color w:val="auto"/>
          <w:sz w:val="28"/>
          <w:szCs w:val="28"/>
          <w:highlight w:val="none"/>
        </w:rPr>
        <w:t>二、资格证明文件格式</w:t>
      </w:r>
    </w:p>
    <w:p w14:paraId="630AE119">
      <w:pPr>
        <w:spacing w:after="50" w:line="360" w:lineRule="auto"/>
        <w:jc w:val="left"/>
        <w:rPr>
          <w:rFonts w:ascii="宋体" w:hAnsi="宋体"/>
          <w:b/>
          <w:color w:val="auto"/>
          <w:sz w:val="24"/>
          <w:highlight w:val="none"/>
        </w:rPr>
      </w:pPr>
      <w:r>
        <w:rPr>
          <w:rFonts w:hint="eastAsia" w:ascii="宋体" w:hAnsi="宋体"/>
          <w:b/>
          <w:color w:val="auto"/>
          <w:sz w:val="24"/>
          <w:highlight w:val="none"/>
        </w:rPr>
        <w:t xml:space="preserve">1.资格证明文件封面格式： </w:t>
      </w:r>
    </w:p>
    <w:p w14:paraId="3A4B2DE7">
      <w:pPr>
        <w:spacing w:after="50"/>
        <w:jc w:val="center"/>
        <w:rPr>
          <w:rFonts w:ascii="宋体" w:hAnsi="宋体" w:eastAsia="方正小标宋简体"/>
          <w:bCs/>
          <w:color w:val="auto"/>
          <w:sz w:val="48"/>
          <w:szCs w:val="48"/>
          <w:highlight w:val="none"/>
        </w:rPr>
      </w:pPr>
      <w:r>
        <w:rPr>
          <w:rFonts w:hint="eastAsia" w:ascii="宋体" w:hAnsi="宋体" w:eastAsia="方正小标宋简体"/>
          <w:bCs/>
          <w:color w:val="auto"/>
          <w:sz w:val="48"/>
          <w:szCs w:val="48"/>
          <w:highlight w:val="none"/>
        </w:rPr>
        <w:t>电子投标文件</w:t>
      </w:r>
    </w:p>
    <w:p w14:paraId="2AD6123F">
      <w:pPr>
        <w:spacing w:after="50"/>
        <w:jc w:val="center"/>
        <w:rPr>
          <w:rFonts w:ascii="宋体" w:hAnsi="宋体"/>
          <w:b/>
          <w:color w:val="auto"/>
          <w:sz w:val="24"/>
          <w:szCs w:val="20"/>
          <w:highlight w:val="none"/>
        </w:rPr>
      </w:pPr>
      <w:r>
        <w:rPr>
          <w:rFonts w:hint="eastAsia" w:ascii="宋体" w:hAnsi="宋体"/>
          <w:b/>
          <w:color w:val="auto"/>
          <w:sz w:val="32"/>
          <w:szCs w:val="32"/>
          <w:highlight w:val="none"/>
        </w:rPr>
        <w:t>资格证明文件</w:t>
      </w:r>
    </w:p>
    <w:p w14:paraId="625E50CD">
      <w:pPr>
        <w:spacing w:after="50"/>
        <w:rPr>
          <w:rFonts w:ascii="宋体" w:hAnsi="宋体"/>
          <w:bCs/>
          <w:color w:val="auto"/>
          <w:sz w:val="24"/>
          <w:szCs w:val="20"/>
          <w:highlight w:val="none"/>
        </w:rPr>
      </w:pPr>
    </w:p>
    <w:p w14:paraId="473514F2">
      <w:pPr>
        <w:spacing w:after="50"/>
        <w:rPr>
          <w:rFonts w:ascii="宋体" w:hAnsi="宋体"/>
          <w:bCs/>
          <w:color w:val="auto"/>
          <w:sz w:val="24"/>
          <w:szCs w:val="20"/>
          <w:highlight w:val="none"/>
        </w:rPr>
      </w:pPr>
    </w:p>
    <w:p w14:paraId="3EB71CEE">
      <w:pPr>
        <w:spacing w:after="50"/>
        <w:rPr>
          <w:rFonts w:ascii="宋体" w:hAnsi="宋体"/>
          <w:bCs/>
          <w:color w:val="auto"/>
          <w:sz w:val="24"/>
          <w:szCs w:val="20"/>
          <w:highlight w:val="none"/>
        </w:rPr>
      </w:pPr>
    </w:p>
    <w:p w14:paraId="7C0E3DA1">
      <w:pPr>
        <w:spacing w:after="50"/>
        <w:rPr>
          <w:rFonts w:ascii="宋体" w:hAnsi="宋体"/>
          <w:bCs/>
          <w:color w:val="auto"/>
          <w:sz w:val="24"/>
          <w:szCs w:val="20"/>
          <w:highlight w:val="none"/>
        </w:rPr>
      </w:pPr>
    </w:p>
    <w:p w14:paraId="0F5C9920">
      <w:pPr>
        <w:spacing w:after="50"/>
        <w:rPr>
          <w:rFonts w:ascii="宋体" w:hAnsi="宋体"/>
          <w:bCs/>
          <w:color w:val="auto"/>
          <w:sz w:val="24"/>
          <w:szCs w:val="20"/>
          <w:highlight w:val="none"/>
        </w:rPr>
      </w:pPr>
    </w:p>
    <w:p w14:paraId="00CC2A35">
      <w:pPr>
        <w:spacing w:after="50"/>
        <w:rPr>
          <w:rFonts w:ascii="宋体" w:hAnsi="宋体"/>
          <w:bCs/>
          <w:color w:val="auto"/>
          <w:sz w:val="24"/>
          <w:szCs w:val="20"/>
          <w:highlight w:val="none"/>
        </w:rPr>
      </w:pPr>
    </w:p>
    <w:p w14:paraId="7141AEDE">
      <w:pPr>
        <w:spacing w:after="50"/>
        <w:rPr>
          <w:rFonts w:ascii="宋体" w:hAnsi="宋体"/>
          <w:bCs/>
          <w:color w:val="auto"/>
          <w:sz w:val="24"/>
          <w:szCs w:val="20"/>
          <w:highlight w:val="none"/>
        </w:rPr>
      </w:pPr>
    </w:p>
    <w:p w14:paraId="1D1F4ED1">
      <w:pPr>
        <w:spacing w:after="50"/>
        <w:ind w:firstLine="540"/>
        <w:rPr>
          <w:rFonts w:ascii="宋体" w:hAnsi="宋体"/>
          <w:bCs/>
          <w:color w:val="auto"/>
          <w:sz w:val="24"/>
          <w:highlight w:val="none"/>
        </w:rPr>
      </w:pPr>
      <w:r>
        <w:rPr>
          <w:rFonts w:hint="eastAsia" w:ascii="宋体" w:hAnsi="宋体"/>
          <w:bCs/>
          <w:color w:val="auto"/>
          <w:sz w:val="24"/>
          <w:highlight w:val="none"/>
        </w:rPr>
        <w:t>项目名称：</w:t>
      </w:r>
    </w:p>
    <w:p w14:paraId="0F3089A9">
      <w:pPr>
        <w:spacing w:after="50"/>
        <w:ind w:firstLine="540"/>
        <w:rPr>
          <w:rFonts w:ascii="宋体" w:hAnsi="宋体"/>
          <w:bCs/>
          <w:color w:val="auto"/>
          <w:sz w:val="24"/>
          <w:szCs w:val="20"/>
          <w:highlight w:val="none"/>
        </w:rPr>
      </w:pPr>
    </w:p>
    <w:p w14:paraId="77EE3EC3">
      <w:pPr>
        <w:spacing w:after="50"/>
        <w:ind w:firstLine="540"/>
        <w:rPr>
          <w:rFonts w:ascii="宋体" w:hAnsi="宋体"/>
          <w:bCs/>
          <w:color w:val="auto"/>
          <w:sz w:val="24"/>
          <w:highlight w:val="none"/>
        </w:rPr>
      </w:pPr>
      <w:r>
        <w:rPr>
          <w:rFonts w:hint="eastAsia" w:ascii="宋体" w:hAnsi="宋体"/>
          <w:bCs/>
          <w:color w:val="auto"/>
          <w:sz w:val="24"/>
          <w:highlight w:val="none"/>
        </w:rPr>
        <w:t>项目编号：</w:t>
      </w:r>
    </w:p>
    <w:p w14:paraId="481C5C36">
      <w:pPr>
        <w:spacing w:after="50"/>
        <w:ind w:firstLine="540"/>
        <w:rPr>
          <w:rFonts w:ascii="宋体" w:hAnsi="宋体"/>
          <w:bCs/>
          <w:color w:val="auto"/>
          <w:sz w:val="24"/>
          <w:szCs w:val="20"/>
          <w:highlight w:val="none"/>
        </w:rPr>
      </w:pPr>
      <w:r>
        <w:rPr>
          <w:rFonts w:hint="eastAsia" w:ascii="宋体" w:hAnsi="宋体"/>
          <w:bCs/>
          <w:color w:val="auto"/>
          <w:sz w:val="24"/>
          <w:highlight w:val="none"/>
        </w:rPr>
        <w:t xml:space="preserve"> </w:t>
      </w:r>
    </w:p>
    <w:p w14:paraId="09A16D82">
      <w:pPr>
        <w:spacing w:after="50"/>
        <w:ind w:firstLine="540"/>
        <w:rPr>
          <w:rFonts w:ascii="宋体" w:hAnsi="宋体"/>
          <w:bCs/>
          <w:color w:val="auto"/>
          <w:sz w:val="24"/>
          <w:highlight w:val="none"/>
        </w:rPr>
      </w:pPr>
      <w:r>
        <w:rPr>
          <w:rFonts w:hint="eastAsia" w:ascii="宋体" w:hAnsi="宋体"/>
          <w:bCs/>
          <w:color w:val="auto"/>
          <w:sz w:val="24"/>
          <w:highlight w:val="none"/>
        </w:rPr>
        <w:t>所投分标：</w:t>
      </w:r>
    </w:p>
    <w:p w14:paraId="21CB6FC2">
      <w:pPr>
        <w:pStyle w:val="7"/>
        <w:spacing w:before="50" w:after="50"/>
        <w:ind w:firstLine="540"/>
        <w:rPr>
          <w:rFonts w:ascii="宋体" w:hAnsi="宋体"/>
          <w:bCs/>
          <w:color w:val="auto"/>
          <w:sz w:val="24"/>
          <w:szCs w:val="24"/>
          <w:highlight w:val="none"/>
        </w:rPr>
      </w:pPr>
    </w:p>
    <w:p w14:paraId="5F951298">
      <w:pPr>
        <w:pStyle w:val="7"/>
        <w:spacing w:before="50" w:after="50"/>
        <w:ind w:firstLine="540"/>
        <w:rPr>
          <w:rFonts w:ascii="宋体" w:hAnsi="宋体"/>
          <w:bCs/>
          <w:color w:val="auto"/>
          <w:sz w:val="24"/>
          <w:szCs w:val="24"/>
          <w:highlight w:val="none"/>
        </w:rPr>
      </w:pPr>
      <w:r>
        <w:rPr>
          <w:rFonts w:hint="eastAsia" w:ascii="宋体" w:hAnsi="宋体"/>
          <w:bCs/>
          <w:color w:val="auto"/>
          <w:sz w:val="24"/>
          <w:szCs w:val="24"/>
          <w:highlight w:val="none"/>
        </w:rPr>
        <w:t>投标人名称：</w:t>
      </w:r>
    </w:p>
    <w:p w14:paraId="32F635B6">
      <w:pPr>
        <w:pStyle w:val="7"/>
        <w:spacing w:before="50" w:after="50"/>
        <w:ind w:firstLine="540"/>
        <w:rPr>
          <w:rFonts w:ascii="宋体" w:hAnsi="宋体"/>
          <w:bCs/>
          <w:color w:val="auto"/>
          <w:sz w:val="24"/>
          <w:szCs w:val="24"/>
          <w:highlight w:val="none"/>
        </w:rPr>
      </w:pPr>
    </w:p>
    <w:p w14:paraId="2CF3078D">
      <w:pPr>
        <w:pStyle w:val="7"/>
        <w:spacing w:before="50" w:after="50"/>
        <w:ind w:firstLine="960"/>
        <w:rPr>
          <w:rFonts w:ascii="宋体" w:hAnsi="宋体"/>
          <w:bCs/>
          <w:color w:val="auto"/>
          <w:sz w:val="24"/>
          <w:szCs w:val="24"/>
          <w:highlight w:val="none"/>
        </w:rPr>
      </w:pPr>
    </w:p>
    <w:p w14:paraId="0F8FC67D">
      <w:pPr>
        <w:spacing w:after="50"/>
        <w:ind w:firstLine="645"/>
        <w:jc w:val="center"/>
        <w:rPr>
          <w:rFonts w:ascii="宋体" w:hAnsi="宋体"/>
          <w:color w:val="auto"/>
          <w:sz w:val="24"/>
          <w:highlight w:val="none"/>
        </w:rPr>
      </w:pPr>
      <w:r>
        <w:rPr>
          <w:rFonts w:hint="eastAsia" w:ascii="宋体" w:hAnsi="宋体"/>
          <w:color w:val="auto"/>
          <w:sz w:val="24"/>
          <w:highlight w:val="none"/>
        </w:rPr>
        <w:t>年  月  日</w:t>
      </w:r>
    </w:p>
    <w:p w14:paraId="5E9E18F5">
      <w:pPr>
        <w:spacing w:after="50"/>
        <w:rPr>
          <w:rFonts w:ascii="宋体" w:hAnsi="宋体"/>
          <w:color w:val="auto"/>
          <w:sz w:val="24"/>
          <w:szCs w:val="20"/>
          <w:highlight w:val="none"/>
        </w:rPr>
      </w:pPr>
      <w:r>
        <w:rPr>
          <w:rFonts w:ascii="宋体" w:hAnsi="宋体"/>
          <w:color w:val="auto"/>
          <w:sz w:val="24"/>
          <w:szCs w:val="20"/>
          <w:highlight w:val="none"/>
        </w:rPr>
        <w:t xml:space="preserve"> </w:t>
      </w:r>
    </w:p>
    <w:p w14:paraId="4E3F0DBC">
      <w:pPr>
        <w:spacing w:after="50"/>
        <w:rPr>
          <w:rFonts w:ascii="宋体" w:hAnsi="宋体"/>
          <w:color w:val="auto"/>
          <w:sz w:val="24"/>
          <w:szCs w:val="20"/>
          <w:highlight w:val="none"/>
        </w:rPr>
      </w:pPr>
    </w:p>
    <w:p w14:paraId="3C739532">
      <w:pPr>
        <w:spacing w:after="50" w:line="360" w:lineRule="auto"/>
        <w:jc w:val="left"/>
        <w:rPr>
          <w:rFonts w:ascii="宋体" w:hAnsi="宋体"/>
          <w:color w:val="auto"/>
          <w:sz w:val="24"/>
          <w:szCs w:val="20"/>
          <w:highlight w:val="none"/>
        </w:rPr>
      </w:pPr>
      <w:r>
        <w:rPr>
          <w:rFonts w:ascii="宋体" w:hAnsi="宋体"/>
          <w:b/>
          <w:bCs/>
          <w:color w:val="auto"/>
          <w:sz w:val="24"/>
          <w:highlight w:val="none"/>
        </w:rPr>
        <w:br w:type="page" w:clear="all"/>
      </w:r>
      <w:r>
        <w:rPr>
          <w:rFonts w:hint="eastAsia" w:ascii="宋体" w:hAnsi="宋体"/>
          <w:b/>
          <w:bCs/>
          <w:color w:val="auto"/>
          <w:sz w:val="24"/>
          <w:highlight w:val="none"/>
        </w:rPr>
        <w:t>2.资格证明文件目录</w:t>
      </w:r>
    </w:p>
    <w:p w14:paraId="3538F798">
      <w:pPr>
        <w:spacing w:line="360" w:lineRule="auto"/>
        <w:ind w:firstLine="420"/>
        <w:jc w:val="left"/>
        <w:rPr>
          <w:rFonts w:ascii="宋体" w:hAnsi="宋体"/>
          <w:color w:val="auto"/>
          <w:szCs w:val="21"/>
          <w:highlight w:val="none"/>
        </w:rPr>
      </w:pPr>
      <w:r>
        <w:rPr>
          <w:rFonts w:hint="eastAsia" w:ascii="宋体" w:hAnsi="宋体"/>
          <w:color w:val="auto"/>
          <w:szCs w:val="21"/>
          <w:highlight w:val="none"/>
        </w:rPr>
        <w:t>根据招标文件规定及投标人提供的材料自行编写目录。</w:t>
      </w:r>
    </w:p>
    <w:p w14:paraId="566C34FA">
      <w:pPr>
        <w:spacing w:before="50"/>
        <w:jc w:val="left"/>
        <w:rPr>
          <w:rFonts w:ascii="宋体" w:hAnsi="宋体"/>
          <w:color w:val="auto"/>
          <w:sz w:val="24"/>
          <w:highlight w:val="none"/>
        </w:rPr>
      </w:pPr>
    </w:p>
    <w:p w14:paraId="320AD2D5">
      <w:pPr>
        <w:spacing w:before="50"/>
        <w:jc w:val="left"/>
        <w:rPr>
          <w:rFonts w:ascii="宋体" w:hAnsi="宋体"/>
          <w:color w:val="auto"/>
          <w:sz w:val="24"/>
          <w:highlight w:val="none"/>
        </w:rPr>
      </w:pPr>
    </w:p>
    <w:p w14:paraId="03EEC2E1">
      <w:pPr>
        <w:spacing w:after="50"/>
        <w:jc w:val="left"/>
        <w:rPr>
          <w:rFonts w:ascii="宋体" w:hAnsi="宋体"/>
          <w:b/>
          <w:color w:val="auto"/>
          <w:sz w:val="24"/>
          <w:highlight w:val="none"/>
        </w:rPr>
      </w:pPr>
      <w:r>
        <w:rPr>
          <w:rFonts w:ascii="宋体" w:hAnsi="宋体"/>
          <w:b/>
          <w:color w:val="auto"/>
          <w:sz w:val="24"/>
          <w:highlight w:val="none"/>
        </w:rPr>
        <w:br w:type="page" w:clear="all"/>
      </w:r>
      <w:r>
        <w:rPr>
          <w:rFonts w:hint="eastAsia" w:ascii="宋体" w:hAnsi="宋体"/>
          <w:b/>
          <w:color w:val="auto"/>
          <w:sz w:val="24"/>
          <w:highlight w:val="none"/>
        </w:rPr>
        <w:t>3.</w:t>
      </w:r>
      <w:r>
        <w:rPr>
          <w:rFonts w:hint="eastAsia" w:ascii="宋体" w:hAnsi="宋体"/>
          <w:b/>
          <w:color w:val="auto"/>
          <w:sz w:val="28"/>
          <w:szCs w:val="28"/>
          <w:highlight w:val="none"/>
        </w:rPr>
        <w:t>投标人直接控股股东信息表</w:t>
      </w:r>
    </w:p>
    <w:p w14:paraId="176E7D89">
      <w:pPr>
        <w:spacing w:before="50"/>
        <w:jc w:val="center"/>
        <w:rPr>
          <w:rFonts w:ascii="宋体" w:hAnsi="宋体"/>
          <w:b/>
          <w:color w:val="auto"/>
          <w:sz w:val="28"/>
          <w:szCs w:val="28"/>
          <w:highlight w:val="none"/>
        </w:rPr>
      </w:pPr>
    </w:p>
    <w:p w14:paraId="2E304CE9">
      <w:pPr>
        <w:spacing w:before="50" w:line="360" w:lineRule="auto"/>
        <w:jc w:val="center"/>
        <w:rPr>
          <w:rFonts w:ascii="宋体" w:hAnsi="宋体"/>
          <w:b/>
          <w:color w:val="auto"/>
          <w:sz w:val="32"/>
          <w:szCs w:val="32"/>
          <w:highlight w:val="none"/>
        </w:rPr>
      </w:pPr>
      <w:r>
        <w:rPr>
          <w:rFonts w:hint="eastAsia" w:ascii="宋体" w:hAnsi="宋体"/>
          <w:b/>
          <w:color w:val="auto"/>
          <w:sz w:val="32"/>
          <w:szCs w:val="32"/>
          <w:highlight w:val="none"/>
        </w:rPr>
        <w:t>投标人直接控股股东信息表</w:t>
      </w:r>
    </w:p>
    <w:tbl>
      <w:tblPr>
        <w:tblStyle w:val="50"/>
        <w:tblW w:w="0" w:type="auto"/>
        <w:tblInd w:w="0" w:type="dxa"/>
        <w:shd w:val="clear" w:color="auto" w:fill="FBFBFB"/>
        <w:tblLayout w:type="fixed"/>
        <w:tblCellMar>
          <w:top w:w="0" w:type="dxa"/>
          <w:left w:w="0" w:type="dxa"/>
          <w:bottom w:w="0" w:type="dxa"/>
          <w:right w:w="0" w:type="dxa"/>
        </w:tblCellMar>
      </w:tblPr>
      <w:tblGrid>
        <w:gridCol w:w="828"/>
        <w:gridCol w:w="2269"/>
        <w:gridCol w:w="1239"/>
        <w:gridCol w:w="3722"/>
        <w:gridCol w:w="1418"/>
      </w:tblGrid>
      <w:tr w14:paraId="118EA441">
        <w:tblPrEx>
          <w:shd w:val="clear" w:color="auto" w:fill="FBFBFB"/>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7925519">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DDDEA42">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BAC5A1C">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1237372">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5A26172">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备注</w:t>
            </w:r>
          </w:p>
        </w:tc>
      </w:tr>
      <w:tr w14:paraId="38D08578">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157F5D9">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BF2DDEC">
            <w:pPr>
              <w:spacing w:line="360" w:lineRule="auto"/>
              <w:jc w:val="center"/>
              <w:rPr>
                <w:rFonts w:ascii="宋体" w:hAnsi="宋体" w:cs="宋体"/>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C77EB19">
            <w:pPr>
              <w:spacing w:line="360" w:lineRule="auto"/>
              <w:jc w:val="center"/>
              <w:rPr>
                <w:rFonts w:ascii="宋体" w:hAnsi="宋体" w:cs="宋体"/>
                <w:color w:val="auto"/>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1A6BA47">
            <w:pPr>
              <w:spacing w:line="360" w:lineRule="auto"/>
              <w:jc w:val="center"/>
              <w:rPr>
                <w:rFonts w:ascii="宋体" w:hAnsi="宋体" w:cs="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C065DC1">
            <w:pPr>
              <w:spacing w:line="360" w:lineRule="auto"/>
              <w:jc w:val="center"/>
              <w:rPr>
                <w:rFonts w:ascii="宋体" w:hAnsi="宋体" w:cs="宋体"/>
                <w:color w:val="auto"/>
                <w:sz w:val="24"/>
                <w:highlight w:val="none"/>
              </w:rPr>
            </w:pPr>
          </w:p>
        </w:tc>
      </w:tr>
      <w:tr w14:paraId="115DE183">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D1FA44E">
            <w:pPr>
              <w:spacing w:line="360" w:lineRule="auto"/>
              <w:jc w:val="center"/>
              <w:rPr>
                <w:rFonts w:ascii="宋体" w:hAnsi="宋体" w:cs="宋体"/>
                <w:color w:val="auto"/>
                <w:sz w:val="24"/>
                <w:highlight w:val="none"/>
              </w:rPr>
            </w:pPr>
            <w:r>
              <w:rPr>
                <w:rFonts w:hint="eastAsia" w:ascii="宋体" w:hAnsi="宋体" w:cs="宋体"/>
                <w:color w:val="auto"/>
                <w:sz w:val="24"/>
                <w:highlight w:val="none"/>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1EBF892">
            <w:pPr>
              <w:spacing w:line="360" w:lineRule="auto"/>
              <w:jc w:val="center"/>
              <w:rPr>
                <w:rFonts w:ascii="宋体" w:hAnsi="宋体" w:cs="宋体"/>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84E8F82">
            <w:pPr>
              <w:spacing w:line="360" w:lineRule="auto"/>
              <w:jc w:val="center"/>
              <w:rPr>
                <w:rFonts w:ascii="宋体" w:hAnsi="宋体" w:cs="宋体"/>
                <w:color w:val="auto"/>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222281F">
            <w:pPr>
              <w:spacing w:line="360" w:lineRule="auto"/>
              <w:jc w:val="center"/>
              <w:rPr>
                <w:rFonts w:ascii="宋体" w:hAnsi="宋体" w:cs="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BF94088">
            <w:pPr>
              <w:spacing w:line="360" w:lineRule="auto"/>
              <w:jc w:val="center"/>
              <w:rPr>
                <w:rFonts w:ascii="宋体" w:hAnsi="宋体" w:cs="宋体"/>
                <w:color w:val="auto"/>
                <w:sz w:val="24"/>
                <w:highlight w:val="none"/>
              </w:rPr>
            </w:pPr>
          </w:p>
        </w:tc>
      </w:tr>
      <w:tr w14:paraId="1EDAB6BF">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DEAC920">
            <w:pPr>
              <w:spacing w:line="360" w:lineRule="auto"/>
              <w:jc w:val="center"/>
              <w:rPr>
                <w:rFonts w:ascii="宋体" w:hAnsi="宋体" w:cs="宋体"/>
                <w:color w:val="auto"/>
                <w:sz w:val="24"/>
                <w:highlight w:val="none"/>
              </w:rPr>
            </w:pPr>
            <w:r>
              <w:rPr>
                <w:rFonts w:hint="eastAsia" w:ascii="宋体" w:hAnsi="宋体" w:cs="宋体"/>
                <w:color w:val="auto"/>
                <w:sz w:val="24"/>
                <w:highlight w:val="none"/>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411999C">
            <w:pPr>
              <w:spacing w:line="360" w:lineRule="auto"/>
              <w:jc w:val="center"/>
              <w:rPr>
                <w:rFonts w:ascii="宋体" w:hAnsi="宋体" w:cs="宋体"/>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F135853">
            <w:pPr>
              <w:spacing w:line="360" w:lineRule="auto"/>
              <w:jc w:val="center"/>
              <w:rPr>
                <w:rFonts w:ascii="宋体" w:hAnsi="宋体" w:cs="宋体"/>
                <w:color w:val="auto"/>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7151B22">
            <w:pPr>
              <w:spacing w:line="360" w:lineRule="auto"/>
              <w:jc w:val="center"/>
              <w:rPr>
                <w:rFonts w:ascii="宋体" w:hAnsi="宋体" w:cs="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5C8053E">
            <w:pPr>
              <w:spacing w:line="360" w:lineRule="auto"/>
              <w:jc w:val="center"/>
              <w:rPr>
                <w:rFonts w:ascii="宋体" w:hAnsi="宋体" w:cs="宋体"/>
                <w:color w:val="auto"/>
                <w:sz w:val="24"/>
                <w:highlight w:val="none"/>
              </w:rPr>
            </w:pPr>
          </w:p>
        </w:tc>
      </w:tr>
      <w:tr w14:paraId="6F830CFB">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74CF08E">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092F5C4">
            <w:pPr>
              <w:spacing w:line="360" w:lineRule="auto"/>
              <w:jc w:val="center"/>
              <w:rPr>
                <w:rFonts w:ascii="宋体" w:hAnsi="宋体" w:cs="宋体"/>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0E843E5">
            <w:pPr>
              <w:spacing w:line="360" w:lineRule="auto"/>
              <w:jc w:val="center"/>
              <w:rPr>
                <w:rFonts w:ascii="宋体" w:hAnsi="宋体" w:cs="宋体"/>
                <w:color w:val="auto"/>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261333F">
            <w:pPr>
              <w:spacing w:line="360" w:lineRule="auto"/>
              <w:jc w:val="center"/>
              <w:rPr>
                <w:rFonts w:ascii="宋体" w:hAnsi="宋体" w:cs="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FEB0004">
            <w:pPr>
              <w:spacing w:line="360" w:lineRule="auto"/>
              <w:jc w:val="center"/>
              <w:rPr>
                <w:rFonts w:ascii="宋体" w:hAnsi="宋体" w:cs="宋体"/>
                <w:color w:val="auto"/>
                <w:sz w:val="24"/>
                <w:highlight w:val="none"/>
              </w:rPr>
            </w:pPr>
          </w:p>
        </w:tc>
      </w:tr>
    </w:tbl>
    <w:p w14:paraId="373E9840">
      <w:pPr>
        <w:spacing w:line="360" w:lineRule="auto"/>
        <w:jc w:val="left"/>
        <w:rPr>
          <w:rFonts w:ascii="宋体" w:hAnsi="宋体"/>
          <w:color w:val="auto"/>
          <w:sz w:val="24"/>
          <w:highlight w:val="none"/>
        </w:rPr>
      </w:pPr>
      <w:r>
        <w:rPr>
          <w:rFonts w:hint="eastAsia" w:ascii="宋体" w:hAnsi="宋体"/>
          <w:color w:val="auto"/>
          <w:sz w:val="24"/>
          <w:highlight w:val="none"/>
        </w:rPr>
        <w:t>注：</w:t>
      </w:r>
    </w:p>
    <w:p w14:paraId="1AC9DCF7">
      <w:pPr>
        <w:spacing w:line="360" w:lineRule="auto"/>
        <w:jc w:val="left"/>
        <w:rPr>
          <w:rFonts w:ascii="宋体" w:hAnsi="宋体"/>
          <w:color w:val="auto"/>
          <w:sz w:val="24"/>
          <w:highlight w:val="none"/>
        </w:rPr>
      </w:pPr>
      <w:r>
        <w:rPr>
          <w:rFonts w:hint="eastAsia" w:ascii="宋体" w:hAnsi="宋体"/>
          <w:color w:val="auto"/>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367D8974">
      <w:pPr>
        <w:spacing w:line="360" w:lineRule="auto"/>
        <w:jc w:val="left"/>
        <w:rPr>
          <w:rFonts w:ascii="宋体" w:hAnsi="宋体"/>
          <w:color w:val="auto"/>
          <w:sz w:val="24"/>
          <w:highlight w:val="none"/>
        </w:rPr>
      </w:pPr>
      <w:r>
        <w:rPr>
          <w:rFonts w:hint="eastAsia" w:ascii="宋体" w:hAnsi="宋体"/>
          <w:color w:val="auto"/>
          <w:sz w:val="24"/>
          <w:highlight w:val="none"/>
        </w:rPr>
        <w:t>2.本表所指的控股关系仅限于直接控股关系，不包括间接的控股关系。公司实际控制人与公司之间的关系不属于本表所指的直接控股关系。</w:t>
      </w:r>
    </w:p>
    <w:p w14:paraId="67AE7252">
      <w:pPr>
        <w:spacing w:line="360" w:lineRule="auto"/>
        <w:jc w:val="left"/>
        <w:rPr>
          <w:rFonts w:ascii="宋体" w:hAnsi="宋体"/>
          <w:color w:val="auto"/>
          <w:sz w:val="24"/>
          <w:highlight w:val="none"/>
        </w:rPr>
      </w:pPr>
      <w:r>
        <w:rPr>
          <w:rFonts w:hint="eastAsia" w:ascii="宋体" w:hAnsi="宋体"/>
          <w:color w:val="auto"/>
          <w:sz w:val="24"/>
          <w:highlight w:val="none"/>
        </w:rPr>
        <w:t>3.供应商不存在直接控股股东的，则在“</w:t>
      </w:r>
      <w:r>
        <w:rPr>
          <w:rFonts w:hint="eastAsia" w:ascii="宋体" w:hAnsi="宋体" w:cs="宋体"/>
          <w:b/>
          <w:bCs/>
          <w:color w:val="auto"/>
          <w:sz w:val="24"/>
          <w:highlight w:val="none"/>
        </w:rPr>
        <w:t>直接控股股东名称</w:t>
      </w:r>
      <w:r>
        <w:rPr>
          <w:rFonts w:hint="eastAsia" w:ascii="宋体" w:hAnsi="宋体"/>
          <w:color w:val="auto"/>
          <w:sz w:val="24"/>
          <w:highlight w:val="none"/>
        </w:rPr>
        <w:t>”中填“无”。</w:t>
      </w:r>
    </w:p>
    <w:p w14:paraId="0C858D0D">
      <w:pPr>
        <w:spacing w:line="360" w:lineRule="auto"/>
        <w:jc w:val="left"/>
        <w:rPr>
          <w:rFonts w:ascii="宋体" w:hAnsi="宋体"/>
          <w:color w:val="auto"/>
          <w:sz w:val="24"/>
          <w:highlight w:val="none"/>
        </w:rPr>
      </w:pPr>
    </w:p>
    <w:p w14:paraId="7E942533">
      <w:pPr>
        <w:spacing w:line="360" w:lineRule="auto"/>
        <w:jc w:val="left"/>
        <w:rPr>
          <w:rFonts w:ascii="宋体" w:hAnsi="宋体"/>
          <w:color w:val="auto"/>
          <w:sz w:val="24"/>
          <w:highlight w:val="none"/>
        </w:rPr>
      </w:pPr>
    </w:p>
    <w:p w14:paraId="0D6D7099">
      <w:pPr>
        <w:spacing w:line="360" w:lineRule="auto"/>
        <w:jc w:val="left"/>
        <w:rPr>
          <w:rFonts w:ascii="宋体" w:hAnsi="宋体"/>
          <w:color w:val="auto"/>
          <w:sz w:val="24"/>
          <w:highlight w:val="none"/>
        </w:rPr>
      </w:pPr>
    </w:p>
    <w:p w14:paraId="3498FD69">
      <w:pPr>
        <w:spacing w:line="360" w:lineRule="auto"/>
        <w:ind w:left="-2" w:right="-817"/>
        <w:rPr>
          <w:rFonts w:ascii="宋体" w:hAnsi="宋体"/>
          <w:color w:val="auto"/>
          <w:sz w:val="24"/>
          <w:highlight w:val="none"/>
        </w:rPr>
      </w:pPr>
      <w:r>
        <w:rPr>
          <w:rFonts w:hint="eastAsia" w:ascii="宋体" w:hAnsi="宋体"/>
          <w:color w:val="auto"/>
          <w:sz w:val="24"/>
          <w:highlight w:val="none"/>
        </w:rPr>
        <w:t xml:space="preserve">             法定代表人或者委托代理人（签字或者电子签名）：</w:t>
      </w:r>
    </w:p>
    <w:p w14:paraId="19C838F6">
      <w:pPr>
        <w:spacing w:line="360" w:lineRule="auto"/>
        <w:ind w:left="-3" w:right="-817" w:hanging="28"/>
        <w:rPr>
          <w:rFonts w:ascii="宋体" w:hAnsi="宋体"/>
          <w:color w:val="auto"/>
          <w:sz w:val="24"/>
          <w:highlight w:val="none"/>
        </w:rPr>
      </w:pPr>
      <w:r>
        <w:rPr>
          <w:rFonts w:hint="eastAsia" w:ascii="宋体" w:hAnsi="宋体"/>
          <w:color w:val="auto"/>
          <w:sz w:val="24"/>
          <w:highlight w:val="none"/>
        </w:rPr>
        <w:t xml:space="preserve">                                    投标人名称（电子签章）：</w:t>
      </w:r>
    </w:p>
    <w:p w14:paraId="49BE8382">
      <w:pPr>
        <w:spacing w:line="360" w:lineRule="auto"/>
        <w:jc w:val="left"/>
        <w:rPr>
          <w:rFonts w:ascii="宋体" w:hAnsi="宋体"/>
          <w:color w:val="auto"/>
          <w:szCs w:val="21"/>
          <w:highlight w:val="none"/>
        </w:rPr>
      </w:pPr>
      <w:r>
        <w:rPr>
          <w:rFonts w:hint="eastAsia" w:ascii="宋体" w:hAnsi="宋体"/>
          <w:color w:val="auto"/>
          <w:sz w:val="24"/>
          <w:highlight w:val="none"/>
        </w:rPr>
        <w:t xml:space="preserve">                                    日期：    年   月   日</w:t>
      </w:r>
    </w:p>
    <w:p w14:paraId="33C86E90">
      <w:pPr>
        <w:jc w:val="center"/>
        <w:rPr>
          <w:rFonts w:ascii="宋体" w:hAnsi="宋体"/>
          <w:b/>
          <w:color w:val="auto"/>
          <w:sz w:val="28"/>
          <w:szCs w:val="28"/>
          <w:highlight w:val="none"/>
        </w:rPr>
      </w:pPr>
    </w:p>
    <w:p w14:paraId="7D0A597F">
      <w:pPr>
        <w:spacing w:line="360" w:lineRule="auto"/>
        <w:jc w:val="left"/>
        <w:rPr>
          <w:rFonts w:ascii="宋体" w:hAnsi="宋体"/>
          <w:b/>
          <w:color w:val="auto"/>
          <w:sz w:val="32"/>
          <w:szCs w:val="32"/>
          <w:highlight w:val="none"/>
        </w:rPr>
      </w:pPr>
      <w:r>
        <w:rPr>
          <w:rFonts w:ascii="宋体" w:hAnsi="宋体"/>
          <w:b/>
          <w:color w:val="auto"/>
          <w:sz w:val="32"/>
          <w:szCs w:val="32"/>
          <w:highlight w:val="none"/>
        </w:rPr>
        <w:br w:type="page" w:clear="all"/>
      </w:r>
      <w:r>
        <w:rPr>
          <w:rFonts w:hint="eastAsia" w:ascii="宋体" w:hAnsi="宋体"/>
          <w:b/>
          <w:color w:val="auto"/>
          <w:sz w:val="24"/>
          <w:highlight w:val="none"/>
        </w:rPr>
        <w:t>4.</w:t>
      </w:r>
      <w:r>
        <w:rPr>
          <w:rFonts w:hint="eastAsia"/>
          <w:color w:val="auto"/>
          <w:highlight w:val="none"/>
        </w:rPr>
        <w:t xml:space="preserve"> </w:t>
      </w:r>
      <w:r>
        <w:rPr>
          <w:rFonts w:hint="eastAsia" w:ascii="宋体" w:hAnsi="宋体"/>
          <w:b/>
          <w:color w:val="auto"/>
          <w:sz w:val="28"/>
          <w:szCs w:val="28"/>
          <w:highlight w:val="none"/>
        </w:rPr>
        <w:t>投标人直接管理关系信息表</w:t>
      </w:r>
    </w:p>
    <w:p w14:paraId="135A9838">
      <w:pPr>
        <w:spacing w:line="360" w:lineRule="auto"/>
        <w:jc w:val="center"/>
        <w:rPr>
          <w:rFonts w:ascii="宋体" w:hAnsi="宋体"/>
          <w:color w:val="auto"/>
          <w:sz w:val="32"/>
          <w:szCs w:val="32"/>
          <w:highlight w:val="none"/>
        </w:rPr>
      </w:pPr>
      <w:r>
        <w:rPr>
          <w:rFonts w:hint="eastAsia" w:ascii="宋体" w:hAnsi="宋体"/>
          <w:b/>
          <w:color w:val="auto"/>
          <w:sz w:val="32"/>
          <w:szCs w:val="32"/>
          <w:highlight w:val="none"/>
        </w:rPr>
        <w:t>投标人直接管理关系信息表</w:t>
      </w:r>
    </w:p>
    <w:tbl>
      <w:tblPr>
        <w:tblStyle w:val="50"/>
        <w:tblW w:w="0" w:type="auto"/>
        <w:tblInd w:w="0" w:type="dxa"/>
        <w:shd w:val="clear" w:color="auto" w:fill="FBFBFB"/>
        <w:tblLayout w:type="fixed"/>
        <w:tblCellMar>
          <w:top w:w="0" w:type="dxa"/>
          <w:left w:w="0" w:type="dxa"/>
          <w:bottom w:w="0" w:type="dxa"/>
          <w:right w:w="0" w:type="dxa"/>
        </w:tblCellMar>
      </w:tblPr>
      <w:tblGrid>
        <w:gridCol w:w="1005"/>
        <w:gridCol w:w="2659"/>
        <w:gridCol w:w="3924"/>
        <w:gridCol w:w="2064"/>
      </w:tblGrid>
      <w:tr w14:paraId="1E351CEA">
        <w:tblPrEx>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57F9E7E">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CDC32A2">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4CAC26E">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433FE1C">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备注</w:t>
            </w:r>
          </w:p>
        </w:tc>
      </w:tr>
      <w:tr w14:paraId="662F69C3">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9E46206">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7E5C830">
            <w:pPr>
              <w:spacing w:line="360" w:lineRule="auto"/>
              <w:jc w:val="center"/>
              <w:rPr>
                <w:rFonts w:ascii="宋体" w:hAnsi="宋体" w:cs="宋体"/>
                <w:color w:val="auto"/>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96957F7">
            <w:pPr>
              <w:spacing w:line="360" w:lineRule="auto"/>
              <w:jc w:val="center"/>
              <w:rPr>
                <w:rFonts w:ascii="宋体" w:hAnsi="宋体" w:cs="宋体"/>
                <w:color w:val="auto"/>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717C4FA">
            <w:pPr>
              <w:spacing w:line="360" w:lineRule="auto"/>
              <w:jc w:val="center"/>
              <w:rPr>
                <w:rFonts w:ascii="宋体" w:hAnsi="宋体" w:cs="宋体"/>
                <w:color w:val="auto"/>
                <w:sz w:val="24"/>
                <w:highlight w:val="none"/>
              </w:rPr>
            </w:pPr>
          </w:p>
        </w:tc>
      </w:tr>
      <w:tr w14:paraId="533DF975">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983B56B">
            <w:pPr>
              <w:spacing w:line="360" w:lineRule="auto"/>
              <w:jc w:val="center"/>
              <w:rPr>
                <w:rFonts w:ascii="宋体" w:hAnsi="宋体" w:cs="宋体"/>
                <w:color w:val="auto"/>
                <w:sz w:val="24"/>
                <w:highlight w:val="none"/>
              </w:rPr>
            </w:pPr>
            <w:r>
              <w:rPr>
                <w:rFonts w:hint="eastAsia" w:ascii="宋体" w:hAnsi="宋体" w:cs="宋体"/>
                <w:color w:val="auto"/>
                <w:sz w:val="24"/>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C8B9AB2">
            <w:pPr>
              <w:spacing w:line="360" w:lineRule="auto"/>
              <w:jc w:val="center"/>
              <w:rPr>
                <w:rFonts w:ascii="宋体" w:hAnsi="宋体" w:cs="宋体"/>
                <w:color w:val="auto"/>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0A7C262">
            <w:pPr>
              <w:spacing w:line="360" w:lineRule="auto"/>
              <w:jc w:val="center"/>
              <w:rPr>
                <w:rFonts w:ascii="宋体" w:hAnsi="宋体" w:cs="宋体"/>
                <w:color w:val="auto"/>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A895075">
            <w:pPr>
              <w:spacing w:line="360" w:lineRule="auto"/>
              <w:jc w:val="center"/>
              <w:rPr>
                <w:rFonts w:ascii="宋体" w:hAnsi="宋体" w:cs="宋体"/>
                <w:color w:val="auto"/>
                <w:sz w:val="24"/>
                <w:highlight w:val="none"/>
              </w:rPr>
            </w:pPr>
          </w:p>
        </w:tc>
      </w:tr>
      <w:tr w14:paraId="17649580">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88405F3">
            <w:pPr>
              <w:spacing w:line="360" w:lineRule="auto"/>
              <w:jc w:val="center"/>
              <w:rPr>
                <w:rFonts w:ascii="宋体" w:hAnsi="宋体" w:cs="宋体"/>
                <w:color w:val="auto"/>
                <w:sz w:val="24"/>
                <w:highlight w:val="none"/>
              </w:rPr>
            </w:pPr>
            <w:r>
              <w:rPr>
                <w:rFonts w:hint="eastAsia" w:ascii="宋体" w:hAnsi="宋体" w:cs="宋体"/>
                <w:color w:val="auto"/>
                <w:sz w:val="24"/>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89D7AB5">
            <w:pPr>
              <w:spacing w:line="360" w:lineRule="auto"/>
              <w:jc w:val="center"/>
              <w:rPr>
                <w:rFonts w:ascii="宋体" w:hAnsi="宋体" w:cs="宋体"/>
                <w:color w:val="auto"/>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E236CA4">
            <w:pPr>
              <w:spacing w:line="360" w:lineRule="auto"/>
              <w:jc w:val="center"/>
              <w:rPr>
                <w:rFonts w:ascii="宋体" w:hAnsi="宋体" w:cs="宋体"/>
                <w:color w:val="auto"/>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F547266">
            <w:pPr>
              <w:spacing w:line="360" w:lineRule="auto"/>
              <w:jc w:val="center"/>
              <w:rPr>
                <w:rFonts w:ascii="宋体" w:hAnsi="宋体" w:cs="宋体"/>
                <w:color w:val="auto"/>
                <w:sz w:val="24"/>
                <w:highlight w:val="none"/>
              </w:rPr>
            </w:pPr>
          </w:p>
        </w:tc>
      </w:tr>
      <w:tr w14:paraId="2CCAEB44">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B660F85">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D024622">
            <w:pPr>
              <w:spacing w:line="360" w:lineRule="auto"/>
              <w:jc w:val="center"/>
              <w:rPr>
                <w:rFonts w:ascii="宋体" w:hAnsi="宋体" w:cs="宋体"/>
                <w:color w:val="auto"/>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9D4760E">
            <w:pPr>
              <w:spacing w:line="360" w:lineRule="auto"/>
              <w:jc w:val="center"/>
              <w:rPr>
                <w:rFonts w:ascii="宋体" w:hAnsi="宋体" w:cs="宋体"/>
                <w:color w:val="auto"/>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9B1119B">
            <w:pPr>
              <w:spacing w:line="360" w:lineRule="auto"/>
              <w:jc w:val="center"/>
              <w:rPr>
                <w:rFonts w:ascii="宋体" w:hAnsi="宋体" w:cs="宋体"/>
                <w:color w:val="auto"/>
                <w:sz w:val="24"/>
                <w:highlight w:val="none"/>
              </w:rPr>
            </w:pPr>
          </w:p>
        </w:tc>
      </w:tr>
    </w:tbl>
    <w:p w14:paraId="5C760E48">
      <w:pPr>
        <w:spacing w:line="360" w:lineRule="auto"/>
        <w:jc w:val="left"/>
        <w:rPr>
          <w:rFonts w:ascii="宋体" w:hAnsi="宋体"/>
          <w:color w:val="auto"/>
          <w:sz w:val="24"/>
          <w:highlight w:val="none"/>
        </w:rPr>
      </w:pPr>
      <w:r>
        <w:rPr>
          <w:rFonts w:hint="eastAsia" w:ascii="宋体" w:hAnsi="宋体"/>
          <w:color w:val="auto"/>
          <w:sz w:val="24"/>
          <w:highlight w:val="none"/>
        </w:rPr>
        <w:t>注：</w:t>
      </w:r>
    </w:p>
    <w:p w14:paraId="6707CD20">
      <w:pPr>
        <w:spacing w:line="360" w:lineRule="auto"/>
        <w:ind w:firstLine="480"/>
        <w:jc w:val="left"/>
        <w:rPr>
          <w:rFonts w:ascii="宋体" w:hAnsi="宋体"/>
          <w:color w:val="auto"/>
          <w:sz w:val="24"/>
          <w:highlight w:val="none"/>
        </w:rPr>
      </w:pPr>
      <w:r>
        <w:rPr>
          <w:rFonts w:hint="eastAsia" w:ascii="宋体" w:hAnsi="宋体"/>
          <w:color w:val="auto"/>
          <w:sz w:val="24"/>
          <w:highlight w:val="none"/>
        </w:rPr>
        <w:t>1.管理关系：是指不具有出资持股关系的其他单位之间存在的管理与被管理关系，如一些上下级关系的事业单位和团体组织。</w:t>
      </w:r>
    </w:p>
    <w:p w14:paraId="19BB31E2">
      <w:pPr>
        <w:spacing w:line="360" w:lineRule="auto"/>
        <w:ind w:firstLine="480"/>
        <w:jc w:val="left"/>
        <w:rPr>
          <w:rFonts w:ascii="宋体" w:hAnsi="宋体"/>
          <w:color w:val="auto"/>
          <w:sz w:val="24"/>
          <w:highlight w:val="none"/>
        </w:rPr>
      </w:pPr>
      <w:r>
        <w:rPr>
          <w:rFonts w:hint="eastAsia" w:ascii="宋体" w:hAnsi="宋体"/>
          <w:color w:val="auto"/>
          <w:sz w:val="24"/>
          <w:highlight w:val="none"/>
        </w:rPr>
        <w:t>2.</w:t>
      </w:r>
      <w:r>
        <w:rPr>
          <w:rFonts w:hint="eastAsia" w:ascii="宋体" w:hAnsi="宋体"/>
          <w:color w:val="auto"/>
          <w:spacing w:val="-6"/>
          <w:sz w:val="24"/>
          <w:highlight w:val="none"/>
        </w:rPr>
        <w:t>本表所指的管理关系仅限于直接管理关系，不包括间接的管理关系。</w:t>
      </w:r>
    </w:p>
    <w:p w14:paraId="5E74B6CE">
      <w:pPr>
        <w:spacing w:line="360" w:lineRule="auto"/>
        <w:ind w:firstLine="480"/>
        <w:jc w:val="left"/>
        <w:rPr>
          <w:rFonts w:ascii="宋体" w:hAnsi="宋体"/>
          <w:color w:val="auto"/>
          <w:sz w:val="24"/>
          <w:highlight w:val="none"/>
        </w:rPr>
      </w:pPr>
      <w:r>
        <w:rPr>
          <w:rFonts w:hint="eastAsia" w:ascii="宋体" w:hAnsi="宋体"/>
          <w:color w:val="auto"/>
          <w:sz w:val="24"/>
          <w:highlight w:val="none"/>
        </w:rPr>
        <w:t>3.供应商不存在直接管理关系的，则在“</w:t>
      </w:r>
      <w:r>
        <w:rPr>
          <w:rFonts w:hint="eastAsia" w:ascii="宋体" w:hAnsi="宋体" w:cs="宋体"/>
          <w:b/>
          <w:bCs/>
          <w:color w:val="auto"/>
          <w:sz w:val="24"/>
          <w:highlight w:val="none"/>
        </w:rPr>
        <w:t>直接管理关系单位名称</w:t>
      </w:r>
      <w:r>
        <w:rPr>
          <w:rFonts w:hint="eastAsia" w:ascii="宋体" w:hAnsi="宋体"/>
          <w:color w:val="auto"/>
          <w:sz w:val="24"/>
          <w:highlight w:val="none"/>
        </w:rPr>
        <w:t>”中填“无”。</w:t>
      </w:r>
    </w:p>
    <w:p w14:paraId="6CD6F06B">
      <w:pPr>
        <w:spacing w:line="360" w:lineRule="auto"/>
        <w:jc w:val="left"/>
        <w:rPr>
          <w:rFonts w:ascii="宋体" w:hAnsi="宋体"/>
          <w:color w:val="auto"/>
          <w:sz w:val="24"/>
          <w:highlight w:val="none"/>
        </w:rPr>
      </w:pPr>
    </w:p>
    <w:p w14:paraId="2DC5FBC6">
      <w:pPr>
        <w:spacing w:line="360" w:lineRule="auto"/>
        <w:jc w:val="left"/>
        <w:rPr>
          <w:rFonts w:ascii="宋体" w:hAnsi="宋体"/>
          <w:color w:val="auto"/>
          <w:sz w:val="24"/>
          <w:highlight w:val="none"/>
        </w:rPr>
      </w:pPr>
    </w:p>
    <w:p w14:paraId="28BD30AD">
      <w:pPr>
        <w:spacing w:line="360" w:lineRule="auto"/>
        <w:jc w:val="left"/>
        <w:rPr>
          <w:rFonts w:ascii="宋体" w:hAnsi="宋体"/>
          <w:color w:val="auto"/>
          <w:sz w:val="24"/>
          <w:highlight w:val="none"/>
        </w:rPr>
      </w:pPr>
    </w:p>
    <w:p w14:paraId="176C264D">
      <w:pPr>
        <w:spacing w:line="360" w:lineRule="auto"/>
        <w:jc w:val="left"/>
        <w:rPr>
          <w:color w:val="auto"/>
          <w:sz w:val="24"/>
          <w:highlight w:val="none"/>
        </w:rPr>
      </w:pPr>
    </w:p>
    <w:p w14:paraId="1875B20A">
      <w:pPr>
        <w:spacing w:line="360" w:lineRule="auto"/>
        <w:ind w:left="-2" w:right="-817"/>
        <w:rPr>
          <w:rFonts w:ascii="宋体" w:hAnsi="宋体"/>
          <w:color w:val="auto"/>
          <w:sz w:val="24"/>
          <w:highlight w:val="none"/>
        </w:rPr>
      </w:pPr>
      <w:r>
        <w:rPr>
          <w:rFonts w:hint="eastAsia" w:ascii="宋体" w:hAnsi="宋体"/>
          <w:color w:val="auto"/>
          <w:sz w:val="24"/>
          <w:highlight w:val="none"/>
        </w:rPr>
        <w:t xml:space="preserve">            法定代表人或者委托代理人（签字或者电子签名）：</w:t>
      </w:r>
    </w:p>
    <w:p w14:paraId="73E556A3">
      <w:pPr>
        <w:spacing w:line="360" w:lineRule="auto"/>
        <w:ind w:left="-3" w:right="-817" w:hanging="28"/>
        <w:rPr>
          <w:rFonts w:ascii="宋体" w:hAnsi="宋体"/>
          <w:color w:val="auto"/>
          <w:sz w:val="24"/>
          <w:highlight w:val="none"/>
        </w:rPr>
      </w:pPr>
      <w:r>
        <w:rPr>
          <w:rFonts w:hint="eastAsia" w:ascii="宋体" w:hAnsi="宋体"/>
          <w:color w:val="auto"/>
          <w:sz w:val="24"/>
          <w:highlight w:val="none"/>
        </w:rPr>
        <w:t xml:space="preserve">                                  投标人名称（电子签章）：</w:t>
      </w:r>
    </w:p>
    <w:p w14:paraId="3F7111E8">
      <w:pPr>
        <w:spacing w:line="360" w:lineRule="auto"/>
        <w:ind w:right="480" w:firstLine="240"/>
        <w:jc w:val="left"/>
        <w:rPr>
          <w:rFonts w:ascii="宋体" w:hAnsi="宋体"/>
          <w:color w:val="auto"/>
          <w:szCs w:val="21"/>
          <w:highlight w:val="none"/>
        </w:rPr>
      </w:pPr>
      <w:r>
        <w:rPr>
          <w:rFonts w:hint="eastAsia" w:ascii="宋体" w:hAnsi="宋体"/>
          <w:color w:val="auto"/>
          <w:sz w:val="24"/>
          <w:highlight w:val="none"/>
        </w:rPr>
        <w:t xml:space="preserve">                                日期：    年   月   日</w:t>
      </w:r>
    </w:p>
    <w:p w14:paraId="13A56227">
      <w:pPr>
        <w:spacing w:after="50"/>
        <w:jc w:val="left"/>
        <w:rPr>
          <w:rFonts w:ascii="宋体" w:hAnsi="宋体"/>
          <w:b/>
          <w:color w:val="auto"/>
          <w:sz w:val="24"/>
          <w:szCs w:val="20"/>
          <w:highlight w:val="none"/>
        </w:rPr>
      </w:pPr>
    </w:p>
    <w:p w14:paraId="09615D39">
      <w:pPr>
        <w:spacing w:after="50"/>
        <w:jc w:val="left"/>
        <w:rPr>
          <w:rFonts w:ascii="宋体" w:hAnsi="宋体"/>
          <w:b/>
          <w:color w:val="auto"/>
          <w:sz w:val="24"/>
          <w:szCs w:val="20"/>
          <w:highlight w:val="none"/>
        </w:rPr>
      </w:pPr>
      <w:r>
        <w:rPr>
          <w:rFonts w:ascii="宋体" w:hAnsi="宋体"/>
          <w:b/>
          <w:color w:val="auto"/>
          <w:sz w:val="24"/>
          <w:highlight w:val="none"/>
        </w:rPr>
        <w:br w:type="page" w:clear="all"/>
      </w:r>
      <w:r>
        <w:rPr>
          <w:rFonts w:hint="eastAsia" w:ascii="宋体" w:hAnsi="宋体"/>
          <w:b/>
          <w:color w:val="auto"/>
          <w:sz w:val="24"/>
          <w:highlight w:val="none"/>
        </w:rPr>
        <w:t>5.投标声明</w:t>
      </w:r>
    </w:p>
    <w:p w14:paraId="678DD3B4">
      <w:pPr>
        <w:spacing w:before="50"/>
        <w:jc w:val="left"/>
        <w:rPr>
          <w:rFonts w:ascii="宋体" w:hAnsi="宋体"/>
          <w:color w:val="auto"/>
          <w:highlight w:val="none"/>
        </w:rPr>
      </w:pPr>
    </w:p>
    <w:p w14:paraId="3AF98394">
      <w:pPr>
        <w:spacing w:before="50"/>
        <w:jc w:val="center"/>
        <w:rPr>
          <w:rFonts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投标声明</w:t>
      </w:r>
    </w:p>
    <w:p w14:paraId="2430741A">
      <w:pPr>
        <w:spacing w:line="400" w:lineRule="exact"/>
        <w:contextualSpacing/>
        <w:jc w:val="left"/>
        <w:rPr>
          <w:color w:val="auto"/>
          <w:sz w:val="24"/>
          <w:highlight w:val="none"/>
        </w:rPr>
      </w:pPr>
      <w:r>
        <w:rPr>
          <w:rFonts w:hint="eastAsia"/>
          <w:color w:val="auto"/>
          <w:sz w:val="24"/>
          <w:highlight w:val="none"/>
        </w:rPr>
        <w:t>（采购人名称）：</w:t>
      </w:r>
    </w:p>
    <w:p w14:paraId="6AC54E02">
      <w:pPr>
        <w:spacing w:line="400" w:lineRule="exact"/>
        <w:ind w:firstLine="523"/>
        <w:contextualSpacing/>
        <w:jc w:val="left"/>
        <w:rPr>
          <w:rFonts w:ascii="宋体" w:hAnsi="宋体"/>
          <w:color w:val="auto"/>
          <w:sz w:val="24"/>
          <w:highlight w:val="none"/>
        </w:rPr>
      </w:pPr>
      <w:r>
        <w:rPr>
          <w:rFonts w:hint="eastAsia" w:ascii="宋体" w:hAnsi="宋体"/>
          <w:color w:val="auto"/>
          <w:sz w:val="24"/>
          <w:highlight w:val="none"/>
        </w:rPr>
        <w:t>我方参加贵单位组织</w:t>
      </w:r>
      <w:r>
        <w:rPr>
          <w:rFonts w:hint="eastAsia" w:ascii="宋体" w:hAnsi="宋体"/>
          <w:color w:val="auto"/>
          <w:sz w:val="24"/>
          <w:highlight w:val="none"/>
          <w:u w:val="single"/>
        </w:rPr>
        <w:t xml:space="preserve">             </w:t>
      </w:r>
      <w:r>
        <w:rPr>
          <w:rFonts w:hint="eastAsia" w:ascii="宋体" w:hAnsi="宋体"/>
          <w:color w:val="auto"/>
          <w:sz w:val="24"/>
          <w:highlight w:val="none"/>
        </w:rPr>
        <w:t>项目（项目编号：</w:t>
      </w:r>
      <w:r>
        <w:rPr>
          <w:rFonts w:hint="eastAsia" w:ascii="宋体" w:hAnsi="宋体"/>
          <w:color w:val="auto"/>
          <w:sz w:val="24"/>
          <w:highlight w:val="none"/>
          <w:u w:val="single"/>
        </w:rPr>
        <w:t xml:space="preserve">       </w:t>
      </w:r>
      <w:r>
        <w:rPr>
          <w:rFonts w:hint="eastAsia" w:ascii="宋体" w:hAnsi="宋体"/>
          <w:color w:val="auto"/>
          <w:sz w:val="24"/>
          <w:highlight w:val="none"/>
        </w:rPr>
        <w:t>）的政府采购活动。我方在此郑重声明：</w:t>
      </w:r>
    </w:p>
    <w:p w14:paraId="28B46A2C">
      <w:pPr>
        <w:spacing w:line="400" w:lineRule="exact"/>
        <w:ind w:firstLine="480"/>
        <w:contextualSpacing/>
        <w:jc w:val="left"/>
        <w:rPr>
          <w:rFonts w:ascii="宋体" w:hAnsi="宋体"/>
          <w:color w:val="auto"/>
          <w:sz w:val="24"/>
          <w:highlight w:val="none"/>
        </w:rPr>
      </w:pPr>
      <w:r>
        <w:rPr>
          <w:rFonts w:hint="eastAsia" w:ascii="宋体" w:hAnsi="宋体"/>
          <w:color w:val="auto"/>
          <w:sz w:val="24"/>
          <w:highlight w:val="none"/>
        </w:rPr>
        <w:t>1.我方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455A6793">
      <w:pPr>
        <w:spacing w:line="400" w:lineRule="exact"/>
        <w:ind w:firstLine="480"/>
        <w:contextualSpacing/>
        <w:jc w:val="left"/>
        <w:rPr>
          <w:rFonts w:ascii="宋体" w:hAnsi="宋体"/>
          <w:color w:val="auto"/>
          <w:sz w:val="24"/>
          <w:highlight w:val="none"/>
        </w:rPr>
      </w:pPr>
      <w:r>
        <w:rPr>
          <w:rFonts w:hint="eastAsia" w:ascii="宋体" w:hAnsi="宋体"/>
          <w:color w:val="auto"/>
          <w:sz w:val="24"/>
          <w:highlight w:val="none"/>
        </w:rPr>
        <w:t>2.我方不是为本次采购项目提供整体设计、规范编制或者项目管理、监理、检测等服务的供应商。</w:t>
      </w:r>
    </w:p>
    <w:p w14:paraId="611092DA">
      <w:pPr>
        <w:spacing w:line="400" w:lineRule="exact"/>
        <w:ind w:firstLine="480"/>
        <w:contextualSpacing/>
        <w:jc w:val="left"/>
        <w:rPr>
          <w:rFonts w:ascii="宋体" w:hAnsi="宋体"/>
          <w:color w:val="auto"/>
          <w:sz w:val="24"/>
          <w:highlight w:val="none"/>
        </w:rPr>
      </w:pPr>
      <w:r>
        <w:rPr>
          <w:rFonts w:hint="eastAsia" w:ascii="宋体" w:hAnsi="宋体"/>
          <w:color w:val="auto"/>
          <w:sz w:val="24"/>
          <w:highlight w:val="none"/>
        </w:rPr>
        <w:t>3. 我方承诺符合《中华人民共和国政府采购法》第二十二条规定：</w:t>
      </w:r>
    </w:p>
    <w:p w14:paraId="673BE7FB">
      <w:pPr>
        <w:spacing w:line="400" w:lineRule="exact"/>
        <w:ind w:firstLine="480"/>
        <w:contextualSpacing/>
        <w:jc w:val="left"/>
        <w:rPr>
          <w:rFonts w:ascii="宋体" w:hAnsi="宋体"/>
          <w:color w:val="auto"/>
          <w:sz w:val="24"/>
          <w:highlight w:val="none"/>
        </w:rPr>
      </w:pPr>
      <w:r>
        <w:rPr>
          <w:rFonts w:hint="eastAsia" w:ascii="宋体" w:hAnsi="宋体"/>
          <w:color w:val="auto"/>
          <w:sz w:val="24"/>
          <w:highlight w:val="none"/>
        </w:rPr>
        <w:t>（一）具有独立承担民事责任的能力；</w:t>
      </w:r>
    </w:p>
    <w:p w14:paraId="09386888">
      <w:pPr>
        <w:spacing w:line="400" w:lineRule="exact"/>
        <w:ind w:firstLine="480"/>
        <w:contextualSpacing/>
        <w:jc w:val="left"/>
        <w:rPr>
          <w:rFonts w:ascii="宋体" w:hAnsi="宋体"/>
          <w:color w:val="auto"/>
          <w:sz w:val="24"/>
          <w:highlight w:val="none"/>
        </w:rPr>
      </w:pPr>
      <w:r>
        <w:rPr>
          <w:rFonts w:hint="eastAsia" w:ascii="宋体" w:hAnsi="宋体"/>
          <w:color w:val="auto"/>
          <w:sz w:val="24"/>
          <w:highlight w:val="none"/>
        </w:rPr>
        <w:t>（二）具有良好的商业信誉和健全的财务会计制度；</w:t>
      </w:r>
    </w:p>
    <w:p w14:paraId="7A0CF463">
      <w:pPr>
        <w:spacing w:line="400" w:lineRule="exact"/>
        <w:ind w:firstLine="480"/>
        <w:contextualSpacing/>
        <w:jc w:val="left"/>
        <w:rPr>
          <w:rFonts w:ascii="宋体" w:hAnsi="宋体"/>
          <w:color w:val="auto"/>
          <w:sz w:val="24"/>
          <w:highlight w:val="none"/>
        </w:rPr>
      </w:pPr>
      <w:r>
        <w:rPr>
          <w:rFonts w:hint="eastAsia" w:ascii="宋体" w:hAnsi="宋体"/>
          <w:color w:val="auto"/>
          <w:sz w:val="24"/>
          <w:highlight w:val="none"/>
        </w:rPr>
        <w:t>（三）具有履行合同所必需的设备和专业技术能力；</w:t>
      </w:r>
    </w:p>
    <w:p w14:paraId="29218F4B">
      <w:pPr>
        <w:spacing w:line="400" w:lineRule="exact"/>
        <w:ind w:firstLine="480"/>
        <w:contextualSpacing/>
        <w:jc w:val="left"/>
        <w:rPr>
          <w:rFonts w:ascii="宋体" w:hAnsi="宋体"/>
          <w:color w:val="auto"/>
          <w:sz w:val="24"/>
          <w:highlight w:val="none"/>
        </w:rPr>
      </w:pPr>
      <w:r>
        <w:rPr>
          <w:rFonts w:hint="eastAsia" w:ascii="宋体" w:hAnsi="宋体"/>
          <w:color w:val="auto"/>
          <w:sz w:val="24"/>
          <w:highlight w:val="none"/>
        </w:rPr>
        <w:t>（四）有依法缴纳税收和社会保障资金的良好记录；</w:t>
      </w:r>
    </w:p>
    <w:p w14:paraId="35A5A753">
      <w:pPr>
        <w:spacing w:line="400" w:lineRule="exact"/>
        <w:ind w:firstLine="480"/>
        <w:contextualSpacing/>
        <w:jc w:val="left"/>
        <w:rPr>
          <w:rFonts w:ascii="宋体" w:hAnsi="宋体"/>
          <w:color w:val="auto"/>
          <w:sz w:val="24"/>
          <w:highlight w:val="none"/>
        </w:rPr>
      </w:pPr>
      <w:r>
        <w:rPr>
          <w:rFonts w:hint="eastAsia" w:ascii="宋体" w:hAnsi="宋体"/>
          <w:color w:val="auto"/>
          <w:sz w:val="24"/>
          <w:highlight w:val="none"/>
        </w:rPr>
        <w:t>（五）参加政府采购活动前三年内，在经营活动中没有重大违法记录；</w:t>
      </w:r>
    </w:p>
    <w:p w14:paraId="6C090B1E">
      <w:pPr>
        <w:spacing w:line="400" w:lineRule="exact"/>
        <w:ind w:firstLine="480"/>
        <w:contextualSpacing/>
        <w:jc w:val="left"/>
        <w:rPr>
          <w:rFonts w:ascii="宋体" w:hAnsi="宋体"/>
          <w:color w:val="auto"/>
          <w:sz w:val="24"/>
          <w:highlight w:val="none"/>
        </w:rPr>
      </w:pPr>
      <w:r>
        <w:rPr>
          <w:rFonts w:hint="eastAsia" w:ascii="宋体" w:hAnsi="宋体"/>
          <w:color w:val="auto"/>
          <w:sz w:val="24"/>
          <w:highlight w:val="none"/>
        </w:rPr>
        <w:t>（六）法律、行政法规规定的其他条件。</w:t>
      </w:r>
    </w:p>
    <w:p w14:paraId="77DE95D0">
      <w:pPr>
        <w:spacing w:line="400" w:lineRule="exact"/>
        <w:ind w:firstLine="480"/>
        <w:contextualSpacing/>
        <w:jc w:val="left"/>
        <w:rPr>
          <w:rFonts w:ascii="宋体" w:hAnsi="宋体"/>
          <w:color w:val="auto"/>
          <w:sz w:val="24"/>
          <w:highlight w:val="none"/>
        </w:rPr>
      </w:pPr>
      <w:r>
        <w:rPr>
          <w:rFonts w:hint="eastAsia" w:ascii="宋体" w:hAnsi="宋体"/>
          <w:color w:val="auto"/>
          <w:sz w:val="24"/>
          <w:highlight w:val="none"/>
        </w:rPr>
        <w:t>4.以上事项如有虚假或者隐瞒，我方愿意承担一切后果，并不再寻求任何旨在减轻或者免除法律责任的辩解。</w:t>
      </w:r>
    </w:p>
    <w:p w14:paraId="24EFB17B">
      <w:pPr>
        <w:spacing w:line="400" w:lineRule="exact"/>
        <w:contextualSpacing/>
        <w:jc w:val="left"/>
        <w:rPr>
          <w:rFonts w:ascii="宋体" w:hAnsi="宋体"/>
          <w:color w:val="auto"/>
          <w:sz w:val="24"/>
          <w:highlight w:val="none"/>
        </w:rPr>
      </w:pPr>
      <w:r>
        <w:rPr>
          <w:rFonts w:hint="eastAsia" w:ascii="宋体" w:hAnsi="宋体"/>
          <w:color w:val="auto"/>
          <w:sz w:val="24"/>
          <w:highlight w:val="none"/>
        </w:rPr>
        <w:t xml:space="preserve">    特此承诺。</w:t>
      </w:r>
    </w:p>
    <w:p w14:paraId="44601013">
      <w:pPr>
        <w:spacing w:before="50" w:after="50"/>
        <w:rPr>
          <w:rFonts w:ascii="宋体" w:hAnsi="宋体"/>
          <w:color w:val="auto"/>
          <w:sz w:val="24"/>
          <w:highlight w:val="none"/>
        </w:rPr>
      </w:pPr>
      <w:r>
        <w:rPr>
          <w:rFonts w:hint="eastAsia" w:ascii="宋体" w:hAnsi="宋体"/>
          <w:b/>
          <w:color w:val="auto"/>
          <w:sz w:val="24"/>
          <w:highlight w:val="none"/>
        </w:rPr>
        <w:t xml:space="preserve">    </w:t>
      </w:r>
      <w:r>
        <w:rPr>
          <w:rFonts w:hint="eastAsia" w:ascii="宋体" w:hAnsi="宋体"/>
          <w:color w:val="auto"/>
          <w:sz w:val="24"/>
          <w:highlight w:val="none"/>
        </w:rPr>
        <w:t xml:space="preserve">            </w:t>
      </w:r>
    </w:p>
    <w:p w14:paraId="74B1B229">
      <w:pPr>
        <w:spacing w:before="50" w:after="50"/>
        <w:ind w:firstLine="840"/>
        <w:rPr>
          <w:rFonts w:ascii="宋体" w:hAnsi="宋体"/>
          <w:color w:val="auto"/>
          <w:spacing w:val="20"/>
          <w:sz w:val="24"/>
          <w:highlight w:val="none"/>
          <w:u w:val="single"/>
        </w:rPr>
      </w:pPr>
      <w:r>
        <w:rPr>
          <w:rFonts w:hint="eastAsia" w:ascii="宋体" w:hAnsi="宋体"/>
          <w:color w:val="auto"/>
          <w:sz w:val="24"/>
          <w:highlight w:val="none"/>
        </w:rPr>
        <w:t>法定代表人或者委托代理人</w:t>
      </w:r>
      <w:r>
        <w:rPr>
          <w:rFonts w:hint="eastAsia" w:ascii="宋体" w:hAnsi="宋体"/>
          <w:color w:val="auto"/>
          <w:spacing w:val="20"/>
          <w:sz w:val="24"/>
          <w:highlight w:val="none"/>
        </w:rPr>
        <w:t>（签字或者电子签名）：</w:t>
      </w:r>
      <w:r>
        <w:rPr>
          <w:rFonts w:hint="eastAsia" w:ascii="宋体" w:hAnsi="宋体"/>
          <w:color w:val="auto"/>
          <w:spacing w:val="20"/>
          <w:sz w:val="24"/>
          <w:highlight w:val="none"/>
          <w:u w:val="single"/>
        </w:rPr>
        <w:t xml:space="preserve">        </w:t>
      </w:r>
    </w:p>
    <w:p w14:paraId="056D7304">
      <w:pPr>
        <w:spacing w:line="400" w:lineRule="exact"/>
        <w:contextualSpacing/>
        <w:jc w:val="left"/>
        <w:rPr>
          <w:rFonts w:ascii="宋体" w:hAnsi="宋体"/>
          <w:color w:val="auto"/>
          <w:sz w:val="24"/>
          <w:highlight w:val="none"/>
        </w:rPr>
      </w:pPr>
    </w:p>
    <w:p w14:paraId="23BB1A58">
      <w:pPr>
        <w:spacing w:line="400" w:lineRule="exact"/>
        <w:contextualSpacing/>
        <w:jc w:val="left"/>
        <w:rPr>
          <w:rFonts w:ascii="宋体" w:hAnsi="宋体"/>
          <w:color w:val="auto"/>
          <w:sz w:val="24"/>
          <w:highlight w:val="none"/>
        </w:rPr>
      </w:pPr>
      <w:r>
        <w:rPr>
          <w:rFonts w:hint="eastAsia" w:ascii="宋体" w:hAnsi="宋体"/>
          <w:color w:val="auto"/>
          <w:sz w:val="24"/>
          <w:highlight w:val="none"/>
        </w:rPr>
        <w:t xml:space="preserve">                           投标人名称（电子签章）：</w:t>
      </w:r>
      <w:r>
        <w:rPr>
          <w:rFonts w:hint="eastAsia" w:ascii="宋体" w:hAnsi="宋体"/>
          <w:color w:val="auto"/>
          <w:sz w:val="24"/>
          <w:highlight w:val="none"/>
          <w:u w:val="single"/>
        </w:rPr>
        <w:t xml:space="preserve">                 </w:t>
      </w:r>
    </w:p>
    <w:p w14:paraId="0DCDDF2E">
      <w:pPr>
        <w:spacing w:line="400" w:lineRule="exact"/>
        <w:contextualSpacing/>
        <w:jc w:val="left"/>
        <w:rPr>
          <w:rFonts w:ascii="宋体" w:hAnsi="宋体"/>
          <w:color w:val="auto"/>
          <w:highlight w:val="none"/>
        </w:rPr>
      </w:pPr>
      <w:r>
        <w:rPr>
          <w:rFonts w:hint="eastAsia" w:ascii="宋体" w:hAnsi="宋体"/>
          <w:color w:val="auto"/>
          <w:sz w:val="24"/>
          <w:highlight w:val="none"/>
        </w:rPr>
        <w:t xml:space="preserve">                                                  年    月    日</w:t>
      </w:r>
    </w:p>
    <w:p w14:paraId="36A8495C">
      <w:pPr>
        <w:spacing w:line="440" w:lineRule="exact"/>
        <w:contextualSpacing/>
        <w:rPr>
          <w:rFonts w:ascii="宋体" w:hAnsi="宋体"/>
          <w:b/>
          <w:color w:val="auto"/>
          <w:sz w:val="24"/>
          <w:highlight w:val="none"/>
        </w:rPr>
      </w:pPr>
      <w:r>
        <w:rPr>
          <w:rFonts w:hint="eastAsia" w:ascii="宋体" w:hAnsi="宋体"/>
          <w:b/>
          <w:color w:val="auto"/>
          <w:sz w:val="24"/>
          <w:highlight w:val="none"/>
        </w:rPr>
        <w:t>注：如为联合体投标，盖章处须加盖联合体牵头人电子签章并由联合体牵头人法定代表人签字或者盖章或者电子签名，否则投标无效。</w:t>
      </w:r>
    </w:p>
    <w:p w14:paraId="16C9BE93">
      <w:pPr>
        <w:rPr>
          <w:b/>
          <w:color w:val="auto"/>
          <w:sz w:val="28"/>
          <w:szCs w:val="28"/>
          <w:highlight w:val="none"/>
        </w:rPr>
      </w:pPr>
      <w:r>
        <w:rPr>
          <w:b/>
          <w:color w:val="auto"/>
          <w:sz w:val="28"/>
          <w:szCs w:val="28"/>
          <w:highlight w:val="none"/>
        </w:rPr>
        <w:br w:type="page" w:clear="all"/>
      </w:r>
      <w:r>
        <w:rPr>
          <w:rFonts w:hint="eastAsia"/>
          <w:b/>
          <w:color w:val="auto"/>
          <w:sz w:val="28"/>
          <w:szCs w:val="28"/>
          <w:highlight w:val="none"/>
        </w:rPr>
        <w:t>三、商务及技术文件格式</w:t>
      </w:r>
    </w:p>
    <w:p w14:paraId="435001D7">
      <w:pPr>
        <w:spacing w:after="50" w:line="360" w:lineRule="auto"/>
        <w:jc w:val="left"/>
        <w:rPr>
          <w:rFonts w:ascii="宋体" w:hAnsi="宋体"/>
          <w:b/>
          <w:color w:val="auto"/>
          <w:sz w:val="24"/>
          <w:highlight w:val="none"/>
        </w:rPr>
      </w:pPr>
      <w:r>
        <w:rPr>
          <w:rFonts w:hint="eastAsia" w:ascii="宋体" w:hAnsi="宋体"/>
          <w:b/>
          <w:color w:val="auto"/>
          <w:sz w:val="24"/>
          <w:highlight w:val="none"/>
        </w:rPr>
        <w:t xml:space="preserve">1.商务及技术文件封面格式： </w:t>
      </w:r>
    </w:p>
    <w:p w14:paraId="72F6C4BA">
      <w:pPr>
        <w:spacing w:after="50"/>
        <w:jc w:val="center"/>
        <w:rPr>
          <w:rFonts w:ascii="宋体" w:hAnsi="宋体"/>
          <w:color w:val="auto"/>
          <w:sz w:val="24"/>
          <w:highlight w:val="none"/>
        </w:rPr>
      </w:pPr>
      <w:r>
        <w:rPr>
          <w:rFonts w:hint="eastAsia" w:ascii="宋体" w:hAnsi="宋体" w:eastAsia="方正小标宋简体"/>
          <w:bCs/>
          <w:color w:val="auto"/>
          <w:sz w:val="48"/>
          <w:szCs w:val="48"/>
          <w:highlight w:val="none"/>
        </w:rPr>
        <w:t>电子投标文件</w:t>
      </w:r>
    </w:p>
    <w:p w14:paraId="129A14C0">
      <w:pPr>
        <w:spacing w:after="50"/>
        <w:jc w:val="center"/>
        <w:rPr>
          <w:rFonts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商务及技术文件</w:t>
      </w:r>
    </w:p>
    <w:p w14:paraId="0C427D1B">
      <w:pPr>
        <w:spacing w:after="50"/>
        <w:rPr>
          <w:rFonts w:ascii="宋体" w:hAnsi="宋体"/>
          <w:bCs/>
          <w:color w:val="auto"/>
          <w:sz w:val="24"/>
          <w:szCs w:val="20"/>
          <w:highlight w:val="none"/>
        </w:rPr>
      </w:pPr>
    </w:p>
    <w:p w14:paraId="40141D27">
      <w:pPr>
        <w:spacing w:after="50"/>
        <w:ind w:firstLine="540"/>
        <w:rPr>
          <w:rFonts w:ascii="宋体" w:hAnsi="宋体"/>
          <w:bCs/>
          <w:color w:val="auto"/>
          <w:sz w:val="24"/>
          <w:highlight w:val="none"/>
        </w:rPr>
      </w:pPr>
      <w:r>
        <w:rPr>
          <w:rFonts w:hint="eastAsia" w:ascii="宋体" w:hAnsi="宋体"/>
          <w:bCs/>
          <w:color w:val="auto"/>
          <w:sz w:val="24"/>
          <w:highlight w:val="none"/>
        </w:rPr>
        <w:t>项目名称：</w:t>
      </w:r>
    </w:p>
    <w:p w14:paraId="1665EDB0">
      <w:pPr>
        <w:spacing w:after="50"/>
        <w:ind w:firstLine="540"/>
        <w:rPr>
          <w:rFonts w:ascii="宋体" w:hAnsi="宋体"/>
          <w:bCs/>
          <w:color w:val="auto"/>
          <w:sz w:val="24"/>
          <w:szCs w:val="20"/>
          <w:highlight w:val="none"/>
        </w:rPr>
      </w:pPr>
    </w:p>
    <w:p w14:paraId="43DEC902">
      <w:pPr>
        <w:spacing w:after="50"/>
        <w:ind w:firstLine="540"/>
        <w:rPr>
          <w:rFonts w:ascii="宋体" w:hAnsi="宋体"/>
          <w:bCs/>
          <w:color w:val="auto"/>
          <w:sz w:val="24"/>
          <w:highlight w:val="none"/>
        </w:rPr>
      </w:pPr>
      <w:r>
        <w:rPr>
          <w:rFonts w:hint="eastAsia" w:ascii="宋体" w:hAnsi="宋体"/>
          <w:bCs/>
          <w:color w:val="auto"/>
          <w:sz w:val="24"/>
          <w:highlight w:val="none"/>
        </w:rPr>
        <w:t>项目编号：</w:t>
      </w:r>
    </w:p>
    <w:p w14:paraId="7BB98120">
      <w:pPr>
        <w:spacing w:after="50"/>
        <w:ind w:firstLine="540"/>
        <w:rPr>
          <w:rFonts w:ascii="宋体" w:hAnsi="宋体"/>
          <w:bCs/>
          <w:color w:val="auto"/>
          <w:sz w:val="24"/>
          <w:szCs w:val="20"/>
          <w:highlight w:val="none"/>
        </w:rPr>
      </w:pPr>
      <w:r>
        <w:rPr>
          <w:rFonts w:hint="eastAsia" w:ascii="宋体" w:hAnsi="宋体"/>
          <w:bCs/>
          <w:color w:val="auto"/>
          <w:sz w:val="24"/>
          <w:highlight w:val="none"/>
        </w:rPr>
        <w:t xml:space="preserve"> </w:t>
      </w:r>
    </w:p>
    <w:p w14:paraId="0E43264C">
      <w:pPr>
        <w:spacing w:after="50"/>
        <w:ind w:firstLine="540"/>
        <w:rPr>
          <w:rFonts w:ascii="宋体" w:hAnsi="宋体"/>
          <w:bCs/>
          <w:color w:val="auto"/>
          <w:sz w:val="24"/>
          <w:highlight w:val="none"/>
        </w:rPr>
      </w:pPr>
      <w:r>
        <w:rPr>
          <w:rFonts w:hint="eastAsia" w:ascii="宋体" w:hAnsi="宋体"/>
          <w:bCs/>
          <w:color w:val="auto"/>
          <w:sz w:val="24"/>
          <w:highlight w:val="none"/>
        </w:rPr>
        <w:t>所投分标：</w:t>
      </w:r>
    </w:p>
    <w:p w14:paraId="12020C2E">
      <w:pPr>
        <w:spacing w:after="50"/>
        <w:ind w:firstLine="540"/>
        <w:rPr>
          <w:rFonts w:ascii="宋体" w:hAnsi="宋体"/>
          <w:bCs/>
          <w:color w:val="auto"/>
          <w:sz w:val="24"/>
          <w:szCs w:val="20"/>
          <w:highlight w:val="none"/>
        </w:rPr>
      </w:pPr>
    </w:p>
    <w:p w14:paraId="02A8DF49">
      <w:pPr>
        <w:pStyle w:val="7"/>
        <w:spacing w:before="50" w:after="50"/>
        <w:ind w:firstLine="540"/>
        <w:rPr>
          <w:rFonts w:ascii="宋体" w:hAnsi="宋体"/>
          <w:bCs/>
          <w:color w:val="auto"/>
          <w:sz w:val="24"/>
          <w:szCs w:val="24"/>
          <w:highlight w:val="none"/>
        </w:rPr>
      </w:pPr>
      <w:r>
        <w:rPr>
          <w:rFonts w:hint="eastAsia" w:ascii="宋体" w:hAnsi="宋体"/>
          <w:bCs/>
          <w:color w:val="auto"/>
          <w:sz w:val="24"/>
          <w:szCs w:val="24"/>
          <w:highlight w:val="none"/>
        </w:rPr>
        <w:t>投标人名称：</w:t>
      </w:r>
    </w:p>
    <w:p w14:paraId="689A326B">
      <w:pPr>
        <w:pStyle w:val="7"/>
        <w:spacing w:before="50" w:after="50"/>
        <w:ind w:firstLine="540"/>
        <w:rPr>
          <w:rFonts w:ascii="宋体" w:hAnsi="宋体"/>
          <w:bCs/>
          <w:color w:val="auto"/>
          <w:sz w:val="24"/>
          <w:szCs w:val="24"/>
          <w:highlight w:val="none"/>
        </w:rPr>
      </w:pPr>
    </w:p>
    <w:p w14:paraId="19C3D176">
      <w:pPr>
        <w:pStyle w:val="7"/>
        <w:spacing w:before="50" w:after="50"/>
        <w:ind w:firstLine="540"/>
        <w:rPr>
          <w:rFonts w:ascii="宋体" w:hAnsi="宋体"/>
          <w:bCs/>
          <w:color w:val="auto"/>
          <w:sz w:val="24"/>
          <w:szCs w:val="24"/>
          <w:highlight w:val="none"/>
        </w:rPr>
      </w:pPr>
      <w:r>
        <w:rPr>
          <w:rFonts w:hint="eastAsia" w:ascii="宋体" w:hAnsi="宋体"/>
          <w:bCs/>
          <w:color w:val="auto"/>
          <w:sz w:val="24"/>
          <w:szCs w:val="24"/>
          <w:highlight w:val="none"/>
        </w:rPr>
        <w:t>投标人地址：</w:t>
      </w:r>
    </w:p>
    <w:p w14:paraId="245AF7DF">
      <w:pPr>
        <w:pStyle w:val="7"/>
        <w:spacing w:before="50" w:after="50"/>
        <w:ind w:firstLine="960"/>
        <w:rPr>
          <w:rFonts w:ascii="宋体" w:hAnsi="宋体"/>
          <w:bCs/>
          <w:color w:val="auto"/>
          <w:sz w:val="24"/>
          <w:szCs w:val="24"/>
          <w:highlight w:val="none"/>
        </w:rPr>
      </w:pPr>
    </w:p>
    <w:p w14:paraId="4102780C">
      <w:pPr>
        <w:spacing w:after="50"/>
        <w:ind w:firstLine="645"/>
        <w:rPr>
          <w:rFonts w:ascii="宋体" w:hAnsi="宋体"/>
          <w:color w:val="auto"/>
          <w:sz w:val="24"/>
          <w:highlight w:val="none"/>
        </w:rPr>
      </w:pPr>
      <w:r>
        <w:rPr>
          <w:rFonts w:hint="eastAsia" w:ascii="宋体" w:hAnsi="宋体"/>
          <w:color w:val="auto"/>
          <w:sz w:val="24"/>
          <w:highlight w:val="none"/>
        </w:rPr>
        <w:t xml:space="preserve">                        年  月  日</w:t>
      </w:r>
    </w:p>
    <w:p w14:paraId="036EDA18">
      <w:pPr>
        <w:spacing w:after="50"/>
        <w:rPr>
          <w:rFonts w:ascii="宋体" w:hAnsi="宋体"/>
          <w:color w:val="auto"/>
          <w:sz w:val="24"/>
          <w:szCs w:val="20"/>
          <w:highlight w:val="none"/>
        </w:rPr>
      </w:pPr>
      <w:r>
        <w:rPr>
          <w:rFonts w:ascii="宋体" w:hAnsi="宋体"/>
          <w:color w:val="auto"/>
          <w:sz w:val="24"/>
          <w:szCs w:val="20"/>
          <w:highlight w:val="none"/>
        </w:rPr>
        <w:t xml:space="preserve"> </w:t>
      </w:r>
    </w:p>
    <w:p w14:paraId="0820DEF2">
      <w:pPr>
        <w:spacing w:line="360" w:lineRule="auto"/>
        <w:jc w:val="left"/>
        <w:rPr>
          <w:rFonts w:ascii="宋体" w:hAnsi="宋体"/>
          <w:b/>
          <w:color w:val="auto"/>
          <w:sz w:val="24"/>
          <w:highlight w:val="none"/>
        </w:rPr>
      </w:pPr>
      <w:r>
        <w:rPr>
          <w:rFonts w:ascii="宋体" w:hAnsi="宋体"/>
          <w:color w:val="auto"/>
          <w:sz w:val="24"/>
          <w:szCs w:val="20"/>
          <w:highlight w:val="none"/>
        </w:rPr>
        <w:br w:type="page" w:clear="all"/>
      </w:r>
      <w:r>
        <w:rPr>
          <w:rFonts w:hint="eastAsia" w:ascii="宋体" w:hAnsi="宋体"/>
          <w:b/>
          <w:color w:val="auto"/>
          <w:sz w:val="24"/>
          <w:highlight w:val="none"/>
        </w:rPr>
        <w:t>2.商务及技术文件目录</w:t>
      </w:r>
    </w:p>
    <w:p w14:paraId="7B4482AC">
      <w:pPr>
        <w:spacing w:before="50" w:line="360" w:lineRule="auto"/>
        <w:ind w:firstLine="560"/>
        <w:jc w:val="left"/>
        <w:rPr>
          <w:rFonts w:ascii="微软雅黑" w:hAnsi="微软雅黑" w:eastAsia="微软雅黑"/>
          <w:b/>
          <w:bCs/>
          <w:color w:val="auto"/>
          <w:sz w:val="32"/>
          <w:szCs w:val="32"/>
          <w:highlight w:val="none"/>
        </w:rPr>
      </w:pPr>
      <w:r>
        <w:rPr>
          <w:rFonts w:hint="eastAsia" w:ascii="宋体" w:hAnsi="宋体"/>
          <w:color w:val="auto"/>
          <w:sz w:val="28"/>
          <w:szCs w:val="28"/>
          <w:highlight w:val="none"/>
        </w:rPr>
        <w:t>根据招标文件规定及投标人提供的材料自行编写目录。</w:t>
      </w:r>
    </w:p>
    <w:p w14:paraId="32B85B55">
      <w:pPr>
        <w:spacing w:before="50"/>
        <w:jc w:val="left"/>
        <w:rPr>
          <w:rFonts w:ascii="宋体" w:hAnsi="宋体"/>
          <w:color w:val="auto"/>
          <w:highlight w:val="none"/>
        </w:rPr>
      </w:pPr>
    </w:p>
    <w:p w14:paraId="5743A250">
      <w:pPr>
        <w:spacing w:after="50"/>
        <w:jc w:val="left"/>
        <w:rPr>
          <w:rFonts w:ascii="宋体" w:hAnsi="宋体"/>
          <w:b/>
          <w:color w:val="auto"/>
          <w:sz w:val="24"/>
          <w:highlight w:val="none"/>
        </w:rPr>
      </w:pPr>
      <w:r>
        <w:rPr>
          <w:rFonts w:ascii="宋体" w:hAnsi="宋体"/>
          <w:b/>
          <w:color w:val="auto"/>
          <w:sz w:val="24"/>
          <w:highlight w:val="none"/>
        </w:rPr>
        <w:br w:type="page" w:clear="all"/>
      </w:r>
      <w:r>
        <w:rPr>
          <w:rFonts w:hint="eastAsia" w:ascii="宋体" w:hAnsi="宋体"/>
          <w:b/>
          <w:color w:val="auto"/>
          <w:sz w:val="24"/>
          <w:highlight w:val="none"/>
        </w:rPr>
        <w:t>3.投标人参加本项目无围标串标行为的承诺</w:t>
      </w:r>
    </w:p>
    <w:p w14:paraId="715351BB">
      <w:pPr>
        <w:spacing w:after="50"/>
        <w:jc w:val="left"/>
        <w:rPr>
          <w:rFonts w:ascii="宋体" w:hAnsi="宋体"/>
          <w:b/>
          <w:color w:val="auto"/>
          <w:sz w:val="24"/>
          <w:highlight w:val="none"/>
        </w:rPr>
      </w:pPr>
    </w:p>
    <w:p w14:paraId="3BC28643">
      <w:pPr>
        <w:spacing w:line="360" w:lineRule="auto"/>
        <w:ind w:left="420"/>
        <w:contextualSpacing/>
        <w:jc w:val="center"/>
        <w:rPr>
          <w:rFonts w:ascii="宋体" w:hAnsi="宋体"/>
          <w:b/>
          <w:color w:val="auto"/>
          <w:sz w:val="24"/>
          <w:highlight w:val="none"/>
        </w:rPr>
      </w:pPr>
      <w:r>
        <w:rPr>
          <w:rFonts w:hint="eastAsia" w:ascii="方正小标宋简体" w:hAnsi="方正小标宋简体" w:eastAsia="方正小标宋简体" w:cs="方正小标宋简体"/>
          <w:bCs/>
          <w:color w:val="auto"/>
          <w:spacing w:val="-11"/>
          <w:sz w:val="44"/>
          <w:szCs w:val="44"/>
          <w:highlight w:val="none"/>
        </w:rPr>
        <w:t>投标人参加本项目无围标串标行为的承诺函</w:t>
      </w:r>
    </w:p>
    <w:p w14:paraId="0E1F17F8">
      <w:pPr>
        <w:spacing w:line="420" w:lineRule="exact"/>
        <w:contextualSpacing/>
        <w:jc w:val="left"/>
        <w:rPr>
          <w:rFonts w:ascii="宋体" w:hAnsi="宋体"/>
          <w:b/>
          <w:color w:val="auto"/>
          <w:sz w:val="24"/>
          <w:highlight w:val="none"/>
        </w:rPr>
      </w:pPr>
      <w:r>
        <w:rPr>
          <w:rFonts w:hint="eastAsia" w:ascii="宋体" w:hAnsi="宋体"/>
          <w:b/>
          <w:color w:val="auto"/>
          <w:sz w:val="24"/>
          <w:highlight w:val="none"/>
        </w:rPr>
        <w:t>一、我方承诺无下列相互串通投标的情形：</w:t>
      </w:r>
    </w:p>
    <w:p w14:paraId="51011099">
      <w:pPr>
        <w:spacing w:line="420" w:lineRule="exact"/>
        <w:ind w:firstLine="470"/>
        <w:contextualSpacing/>
        <w:jc w:val="left"/>
        <w:rPr>
          <w:rFonts w:ascii="宋体" w:hAnsi="宋体"/>
          <w:color w:val="auto"/>
          <w:sz w:val="24"/>
          <w:highlight w:val="none"/>
        </w:rPr>
      </w:pPr>
      <w:r>
        <w:rPr>
          <w:rFonts w:hint="eastAsia" w:ascii="宋体" w:hAnsi="宋体"/>
          <w:color w:val="auto"/>
          <w:sz w:val="24"/>
          <w:highlight w:val="none"/>
        </w:rPr>
        <w:t>1.不同投标人的投标文件由同一单位或者个人编制；或不同投标人报名的IP地址一致的；</w:t>
      </w:r>
    </w:p>
    <w:p w14:paraId="489FA3CF">
      <w:pPr>
        <w:spacing w:line="420" w:lineRule="exact"/>
        <w:ind w:firstLine="470"/>
        <w:contextualSpacing/>
        <w:jc w:val="left"/>
        <w:rPr>
          <w:rFonts w:ascii="宋体" w:hAnsi="宋体"/>
          <w:color w:val="auto"/>
          <w:sz w:val="24"/>
          <w:highlight w:val="none"/>
        </w:rPr>
      </w:pPr>
      <w:r>
        <w:rPr>
          <w:rFonts w:hint="eastAsia" w:ascii="宋体" w:hAnsi="宋体"/>
          <w:color w:val="auto"/>
          <w:sz w:val="24"/>
          <w:highlight w:val="none"/>
        </w:rPr>
        <w:t>2.不同投标人委托同一单位或者个人办理投标事宜；</w:t>
      </w:r>
    </w:p>
    <w:p w14:paraId="278BC5A0">
      <w:pPr>
        <w:spacing w:line="420" w:lineRule="exact"/>
        <w:ind w:firstLine="470"/>
        <w:contextualSpacing/>
        <w:jc w:val="left"/>
        <w:rPr>
          <w:rFonts w:ascii="宋体" w:hAnsi="宋体"/>
          <w:color w:val="auto"/>
          <w:sz w:val="24"/>
          <w:highlight w:val="none"/>
        </w:rPr>
      </w:pPr>
      <w:r>
        <w:rPr>
          <w:rFonts w:hint="eastAsia" w:ascii="宋体" w:hAnsi="宋体"/>
          <w:color w:val="auto"/>
          <w:sz w:val="24"/>
          <w:highlight w:val="none"/>
        </w:rPr>
        <w:t>3.不同的投标人的投标文件载明的项目管理员为同一个人；</w:t>
      </w:r>
    </w:p>
    <w:p w14:paraId="06B243FF">
      <w:pPr>
        <w:spacing w:line="420" w:lineRule="exact"/>
        <w:ind w:firstLine="470"/>
        <w:contextualSpacing/>
        <w:jc w:val="left"/>
        <w:rPr>
          <w:rFonts w:ascii="宋体" w:hAnsi="宋体"/>
          <w:color w:val="auto"/>
          <w:sz w:val="24"/>
          <w:highlight w:val="none"/>
        </w:rPr>
      </w:pPr>
      <w:r>
        <w:rPr>
          <w:rFonts w:hint="eastAsia" w:ascii="宋体" w:hAnsi="宋体"/>
          <w:color w:val="auto"/>
          <w:sz w:val="24"/>
          <w:highlight w:val="none"/>
        </w:rPr>
        <w:t>4.不同投标人的投标文件异常一致或者投标报价呈规律性差异；</w:t>
      </w:r>
    </w:p>
    <w:p w14:paraId="238E8157">
      <w:pPr>
        <w:spacing w:line="420" w:lineRule="exact"/>
        <w:ind w:firstLine="470"/>
        <w:contextualSpacing/>
        <w:jc w:val="left"/>
        <w:rPr>
          <w:rFonts w:ascii="宋体" w:hAnsi="宋体"/>
          <w:color w:val="auto"/>
          <w:sz w:val="24"/>
          <w:highlight w:val="none"/>
        </w:rPr>
      </w:pPr>
      <w:r>
        <w:rPr>
          <w:rFonts w:hint="eastAsia" w:ascii="宋体" w:hAnsi="宋体"/>
          <w:color w:val="auto"/>
          <w:sz w:val="24"/>
          <w:highlight w:val="none"/>
        </w:rPr>
        <w:t>5.不同投标人的投标文件相互混装；</w:t>
      </w:r>
    </w:p>
    <w:p w14:paraId="11E8767F">
      <w:pPr>
        <w:spacing w:line="420" w:lineRule="exact"/>
        <w:ind w:firstLine="470"/>
        <w:contextualSpacing/>
        <w:jc w:val="left"/>
        <w:rPr>
          <w:rFonts w:ascii="宋体" w:hAnsi="宋体"/>
          <w:color w:val="auto"/>
          <w:sz w:val="24"/>
          <w:highlight w:val="none"/>
        </w:rPr>
      </w:pPr>
      <w:r>
        <w:rPr>
          <w:rFonts w:hint="eastAsia" w:ascii="宋体" w:hAnsi="宋体"/>
          <w:color w:val="auto"/>
          <w:sz w:val="24"/>
          <w:highlight w:val="none"/>
        </w:rPr>
        <w:t>6.不同投标人的投标保证金从同一单位或者个人账户转出。</w:t>
      </w:r>
    </w:p>
    <w:p w14:paraId="64932426">
      <w:pPr>
        <w:spacing w:line="420" w:lineRule="exact"/>
        <w:contextualSpacing/>
        <w:jc w:val="left"/>
        <w:rPr>
          <w:rFonts w:ascii="宋体" w:hAnsi="宋体"/>
          <w:color w:val="auto"/>
          <w:sz w:val="24"/>
          <w:highlight w:val="none"/>
        </w:rPr>
      </w:pPr>
      <w:r>
        <w:rPr>
          <w:rFonts w:hint="eastAsia" w:ascii="宋体" w:hAnsi="宋体"/>
          <w:b/>
          <w:color w:val="auto"/>
          <w:sz w:val="24"/>
          <w:highlight w:val="none"/>
        </w:rPr>
        <w:t>二、我方承诺无下列恶意串通的情形：</w:t>
      </w:r>
    </w:p>
    <w:p w14:paraId="7908F9F2">
      <w:pPr>
        <w:spacing w:line="420" w:lineRule="exact"/>
        <w:ind w:firstLine="470"/>
        <w:contextualSpacing/>
        <w:jc w:val="left"/>
        <w:rPr>
          <w:rFonts w:ascii="宋体" w:hAnsi="宋体"/>
          <w:color w:val="auto"/>
          <w:sz w:val="24"/>
          <w:highlight w:val="none"/>
        </w:rPr>
      </w:pPr>
      <w:r>
        <w:rPr>
          <w:rFonts w:hint="eastAsia" w:ascii="宋体" w:hAnsi="宋体"/>
          <w:color w:val="auto"/>
          <w:sz w:val="24"/>
          <w:highlight w:val="none"/>
        </w:rPr>
        <w:t>1.投标人直接或者间接从采购人或者采购代理机构处获得其他投标人的相关信息并修改其投标文件或者投标文件；</w:t>
      </w:r>
    </w:p>
    <w:p w14:paraId="54992514">
      <w:pPr>
        <w:spacing w:line="420" w:lineRule="exact"/>
        <w:ind w:firstLine="470"/>
        <w:contextualSpacing/>
        <w:jc w:val="left"/>
        <w:rPr>
          <w:rFonts w:ascii="宋体" w:hAnsi="宋体"/>
          <w:color w:val="auto"/>
          <w:sz w:val="24"/>
          <w:highlight w:val="none"/>
        </w:rPr>
      </w:pPr>
      <w:r>
        <w:rPr>
          <w:rFonts w:hint="eastAsia" w:ascii="宋体" w:hAnsi="宋体"/>
          <w:color w:val="auto"/>
          <w:sz w:val="24"/>
          <w:highlight w:val="none"/>
        </w:rPr>
        <w:t>2.投标人按照采购人或者采购代理机构的授意撤换、修改投标文件或者投标文件；</w:t>
      </w:r>
    </w:p>
    <w:p w14:paraId="0A5E13CB">
      <w:pPr>
        <w:spacing w:line="420" w:lineRule="exact"/>
        <w:ind w:firstLine="470"/>
        <w:contextualSpacing/>
        <w:jc w:val="left"/>
        <w:rPr>
          <w:rFonts w:ascii="宋体" w:hAnsi="宋体"/>
          <w:color w:val="auto"/>
          <w:sz w:val="24"/>
          <w:highlight w:val="none"/>
        </w:rPr>
      </w:pPr>
      <w:r>
        <w:rPr>
          <w:rFonts w:hint="eastAsia" w:ascii="宋体" w:hAnsi="宋体"/>
          <w:color w:val="auto"/>
          <w:sz w:val="24"/>
          <w:highlight w:val="none"/>
        </w:rPr>
        <w:t>3.投标人之间协商报价、技术方案等投标文件或者投标文件的实质性内容；</w:t>
      </w:r>
    </w:p>
    <w:p w14:paraId="44DA214C">
      <w:pPr>
        <w:spacing w:line="420" w:lineRule="exact"/>
        <w:ind w:firstLine="470"/>
        <w:contextualSpacing/>
        <w:jc w:val="left"/>
        <w:rPr>
          <w:rFonts w:ascii="宋体" w:hAnsi="宋体"/>
          <w:color w:val="auto"/>
          <w:sz w:val="24"/>
          <w:highlight w:val="none"/>
        </w:rPr>
      </w:pPr>
      <w:r>
        <w:rPr>
          <w:rFonts w:hint="eastAsia" w:ascii="宋体" w:hAnsi="宋体"/>
          <w:color w:val="auto"/>
          <w:sz w:val="24"/>
          <w:highlight w:val="none"/>
        </w:rPr>
        <w:t>4.属于同一集团、协会、商会等组织成员的投标人按照该组织要求协同参加政府采购活动；</w:t>
      </w:r>
    </w:p>
    <w:p w14:paraId="6E9543E4">
      <w:pPr>
        <w:spacing w:line="420" w:lineRule="exact"/>
        <w:ind w:firstLine="470"/>
        <w:contextualSpacing/>
        <w:jc w:val="left"/>
        <w:rPr>
          <w:rFonts w:ascii="宋体" w:hAnsi="宋体"/>
          <w:color w:val="auto"/>
          <w:sz w:val="24"/>
          <w:highlight w:val="none"/>
        </w:rPr>
      </w:pPr>
      <w:r>
        <w:rPr>
          <w:rFonts w:hint="eastAsia" w:ascii="宋体" w:hAnsi="宋体"/>
          <w:color w:val="auto"/>
          <w:sz w:val="24"/>
          <w:highlight w:val="none"/>
        </w:rPr>
        <w:t>5.投标人之间事先约定一致抬高或者压低投标报价，或者在招标项目中事先约定轮流以高价位或者低价位中标，或者事先约定由某一特定投标人中标，然后再参加投标；</w:t>
      </w:r>
    </w:p>
    <w:p w14:paraId="4B6184D9">
      <w:pPr>
        <w:spacing w:line="420" w:lineRule="exact"/>
        <w:ind w:firstLine="470"/>
        <w:contextualSpacing/>
        <w:jc w:val="left"/>
        <w:rPr>
          <w:rFonts w:ascii="宋体" w:hAnsi="宋体"/>
          <w:color w:val="auto"/>
          <w:sz w:val="24"/>
          <w:highlight w:val="none"/>
        </w:rPr>
      </w:pPr>
      <w:r>
        <w:rPr>
          <w:rFonts w:hint="eastAsia" w:ascii="宋体" w:hAnsi="宋体"/>
          <w:color w:val="auto"/>
          <w:sz w:val="24"/>
          <w:highlight w:val="none"/>
        </w:rPr>
        <w:t>6.投标人之间商定部分投标人放弃参加政府采购活动或者放弃中标；</w:t>
      </w:r>
    </w:p>
    <w:p w14:paraId="2C60D4B6">
      <w:pPr>
        <w:spacing w:line="420" w:lineRule="exact"/>
        <w:ind w:firstLine="470"/>
        <w:contextualSpacing/>
        <w:jc w:val="left"/>
        <w:rPr>
          <w:rFonts w:ascii="宋体" w:hAnsi="宋体"/>
          <w:color w:val="auto"/>
          <w:sz w:val="24"/>
          <w:highlight w:val="none"/>
        </w:rPr>
      </w:pPr>
      <w:r>
        <w:rPr>
          <w:rFonts w:hint="eastAsia" w:ascii="宋体" w:hAnsi="宋体"/>
          <w:color w:val="auto"/>
          <w:sz w:val="24"/>
          <w:highlight w:val="none"/>
        </w:rPr>
        <w:t>7.投标人与采购人或者采购代理机构之间、投标人相互之间，为谋求特定投标人中标或者排斥其他投标人的其他串通行为。</w:t>
      </w:r>
    </w:p>
    <w:p w14:paraId="2282631D">
      <w:pPr>
        <w:spacing w:line="420" w:lineRule="exact"/>
        <w:ind w:firstLine="472"/>
        <w:contextualSpacing/>
        <w:jc w:val="left"/>
        <w:rPr>
          <w:rFonts w:ascii="宋体" w:hAnsi="宋体"/>
          <w:b/>
          <w:color w:val="auto"/>
          <w:sz w:val="24"/>
          <w:highlight w:val="none"/>
        </w:rPr>
      </w:pPr>
      <w:r>
        <w:rPr>
          <w:rFonts w:hint="eastAsia" w:ascii="宋体" w:hAnsi="宋体"/>
          <w:b/>
          <w:color w:val="auto"/>
          <w:sz w:val="24"/>
          <w:highlight w:val="none"/>
        </w:rPr>
        <w:t>以上情形一经核查属实，我方愿意承担一切后果，并不再寻求任何旨在减轻或者免除法律责任的辩解。</w:t>
      </w:r>
    </w:p>
    <w:p w14:paraId="6E8BED1A">
      <w:pPr>
        <w:pStyle w:val="25"/>
        <w:spacing w:line="420" w:lineRule="exact"/>
        <w:ind w:firstLine="960"/>
        <w:contextualSpacing/>
        <w:rPr>
          <w:rFonts w:hAnsi="宋体"/>
          <w:color w:val="auto"/>
          <w:sz w:val="24"/>
          <w:szCs w:val="24"/>
          <w:highlight w:val="none"/>
        </w:rPr>
      </w:pPr>
      <w:r>
        <w:rPr>
          <w:rFonts w:hint="eastAsia" w:hAnsi="宋体"/>
          <w:color w:val="auto"/>
          <w:sz w:val="24"/>
          <w:highlight w:val="none"/>
        </w:rPr>
        <w:t>法定代表人或者委托代理人</w:t>
      </w:r>
      <w:r>
        <w:rPr>
          <w:rFonts w:hint="eastAsia" w:hAnsi="宋体"/>
          <w:color w:val="auto"/>
          <w:spacing w:val="20"/>
          <w:sz w:val="24"/>
          <w:highlight w:val="none"/>
        </w:rPr>
        <w:t>（签字或者电子签名）：</w:t>
      </w:r>
      <w:r>
        <w:rPr>
          <w:rFonts w:hint="eastAsia" w:hAnsi="宋体"/>
          <w:color w:val="auto"/>
          <w:spacing w:val="20"/>
          <w:sz w:val="24"/>
          <w:highlight w:val="none"/>
          <w:u w:val="single"/>
        </w:rPr>
        <w:t xml:space="preserve">        </w:t>
      </w:r>
    </w:p>
    <w:p w14:paraId="78EE7184">
      <w:pPr>
        <w:pStyle w:val="25"/>
        <w:spacing w:line="420" w:lineRule="exact"/>
        <w:contextualSpacing/>
        <w:jc w:val="center"/>
        <w:rPr>
          <w:rFonts w:hAnsi="宋体"/>
          <w:color w:val="auto"/>
          <w:sz w:val="24"/>
          <w:szCs w:val="24"/>
          <w:highlight w:val="none"/>
        </w:rPr>
      </w:pPr>
      <w:r>
        <w:rPr>
          <w:rFonts w:hint="eastAsia" w:hAnsi="宋体"/>
          <w:color w:val="auto"/>
          <w:sz w:val="24"/>
          <w:szCs w:val="24"/>
          <w:highlight w:val="none"/>
        </w:rPr>
        <w:t xml:space="preserve"> </w:t>
      </w:r>
      <w:r>
        <w:rPr>
          <w:rFonts w:hAnsi="宋体"/>
          <w:color w:val="auto"/>
          <w:sz w:val="24"/>
          <w:szCs w:val="24"/>
          <w:highlight w:val="none"/>
        </w:rPr>
        <w:t xml:space="preserve">                                   </w:t>
      </w:r>
      <w:r>
        <w:rPr>
          <w:rFonts w:hint="eastAsia" w:hAnsi="宋体"/>
          <w:color w:val="auto"/>
          <w:sz w:val="24"/>
          <w:szCs w:val="24"/>
          <w:highlight w:val="none"/>
        </w:rPr>
        <w:t>投标人名称（电子签章）</w:t>
      </w:r>
    </w:p>
    <w:p w14:paraId="69BEFEFA">
      <w:pPr>
        <w:pStyle w:val="25"/>
        <w:spacing w:line="420" w:lineRule="exact"/>
        <w:contextualSpacing/>
        <w:rPr>
          <w:rFonts w:hAnsi="宋体"/>
          <w:color w:val="auto"/>
          <w:sz w:val="24"/>
          <w:highlight w:val="none"/>
        </w:rPr>
      </w:pPr>
      <w:r>
        <w:rPr>
          <w:rFonts w:hint="eastAsia" w:hAnsi="宋体"/>
          <w:color w:val="auto"/>
          <w:sz w:val="24"/>
          <w:highlight w:val="none"/>
        </w:rPr>
        <w:t xml:space="preserve">                                                </w:t>
      </w:r>
      <w:r>
        <w:rPr>
          <w:rFonts w:hint="eastAsia" w:hAnsi="宋体"/>
          <w:color w:val="auto"/>
          <w:sz w:val="24"/>
          <w:highlight w:val="none"/>
          <w:u w:val="single"/>
        </w:rPr>
        <w:t xml:space="preserve">      </w:t>
      </w:r>
      <w:r>
        <w:rPr>
          <w:rFonts w:hint="eastAsia" w:hAnsi="宋体"/>
          <w:color w:val="auto"/>
          <w:sz w:val="24"/>
          <w:highlight w:val="none"/>
        </w:rPr>
        <w:t>年</w:t>
      </w:r>
      <w:r>
        <w:rPr>
          <w:rFonts w:hint="eastAsia" w:hAnsi="宋体"/>
          <w:color w:val="auto"/>
          <w:sz w:val="24"/>
          <w:highlight w:val="none"/>
          <w:u w:val="single"/>
        </w:rPr>
        <w:t xml:space="preserve">    </w:t>
      </w:r>
      <w:r>
        <w:rPr>
          <w:rFonts w:hint="eastAsia" w:hAnsi="宋体"/>
          <w:color w:val="auto"/>
          <w:sz w:val="24"/>
          <w:highlight w:val="none"/>
        </w:rPr>
        <w:t>月</w:t>
      </w:r>
      <w:r>
        <w:rPr>
          <w:rFonts w:hint="eastAsia" w:hAnsi="宋体"/>
          <w:color w:val="auto"/>
          <w:sz w:val="24"/>
          <w:highlight w:val="none"/>
          <w:u w:val="single"/>
        </w:rPr>
        <w:t xml:space="preserve">     </w:t>
      </w:r>
      <w:r>
        <w:rPr>
          <w:rFonts w:hint="eastAsia" w:hAnsi="宋体"/>
          <w:color w:val="auto"/>
          <w:sz w:val="24"/>
          <w:highlight w:val="none"/>
        </w:rPr>
        <w:t>日</w:t>
      </w:r>
    </w:p>
    <w:p w14:paraId="6FDAC344">
      <w:pPr>
        <w:spacing w:after="50"/>
        <w:jc w:val="left"/>
        <w:rPr>
          <w:rFonts w:ascii="宋体" w:hAnsi="宋体"/>
          <w:b/>
          <w:color w:val="auto"/>
          <w:sz w:val="24"/>
          <w:szCs w:val="20"/>
          <w:highlight w:val="none"/>
        </w:rPr>
      </w:pPr>
      <w:r>
        <w:rPr>
          <w:rFonts w:hint="eastAsia" w:ascii="宋体" w:hAnsi="宋体"/>
          <w:b/>
          <w:color w:val="auto"/>
          <w:sz w:val="24"/>
          <w:highlight w:val="none"/>
        </w:rPr>
        <w:t>4.法定代表人身份证明</w:t>
      </w:r>
    </w:p>
    <w:p w14:paraId="2CF94EF0">
      <w:pPr>
        <w:ind w:left="540"/>
        <w:jc w:val="center"/>
        <w:rPr>
          <w:rFonts w:ascii="宋体" w:hAnsi="Courier New"/>
          <w:b/>
          <w:color w:val="auto"/>
          <w:sz w:val="32"/>
          <w:szCs w:val="32"/>
          <w:highlight w:val="none"/>
        </w:rPr>
      </w:pPr>
    </w:p>
    <w:p w14:paraId="3DCEE074">
      <w:pPr>
        <w:ind w:left="540"/>
        <w:jc w:val="center"/>
        <w:rPr>
          <w:rFonts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法定代表人身份证明</w:t>
      </w:r>
    </w:p>
    <w:p w14:paraId="18562DFA">
      <w:pPr>
        <w:spacing w:line="500" w:lineRule="exact"/>
        <w:ind w:left="540"/>
        <w:rPr>
          <w:rFonts w:ascii="宋体" w:hAnsi="宋体"/>
          <w:color w:val="auto"/>
          <w:sz w:val="24"/>
          <w:highlight w:val="none"/>
        </w:rPr>
      </w:pPr>
      <w:r>
        <w:rPr>
          <w:rFonts w:hint="eastAsia" w:ascii="宋体" w:hAnsi="宋体"/>
          <w:color w:val="auto"/>
          <w:sz w:val="24"/>
          <w:highlight w:val="none"/>
        </w:rPr>
        <w:t>投 标 人：</w:t>
      </w:r>
      <w:r>
        <w:rPr>
          <w:rFonts w:hint="eastAsia" w:ascii="宋体" w:hAnsi="宋体"/>
          <w:color w:val="auto"/>
          <w:sz w:val="24"/>
          <w:highlight w:val="none"/>
          <w:u w:val="single"/>
        </w:rPr>
        <w:t xml:space="preserve">                                                        </w:t>
      </w:r>
    </w:p>
    <w:p w14:paraId="7428157B">
      <w:pPr>
        <w:spacing w:line="500" w:lineRule="exact"/>
        <w:ind w:left="540"/>
        <w:rPr>
          <w:rFonts w:ascii="宋体" w:hAnsi="宋体"/>
          <w:color w:val="auto"/>
          <w:sz w:val="24"/>
          <w:highlight w:val="none"/>
        </w:rPr>
      </w:pPr>
      <w:r>
        <w:rPr>
          <w:rFonts w:hint="eastAsia" w:ascii="宋体" w:hAnsi="宋体"/>
          <w:color w:val="auto"/>
          <w:sz w:val="24"/>
          <w:highlight w:val="none"/>
        </w:rPr>
        <w:t>地    址：</w:t>
      </w:r>
      <w:r>
        <w:rPr>
          <w:rFonts w:hint="eastAsia" w:ascii="宋体" w:hAnsi="宋体"/>
          <w:color w:val="auto"/>
          <w:sz w:val="24"/>
          <w:highlight w:val="none"/>
          <w:u w:val="single"/>
        </w:rPr>
        <w:t xml:space="preserve">                                                        </w:t>
      </w:r>
    </w:p>
    <w:p w14:paraId="49A0058F">
      <w:pPr>
        <w:spacing w:line="500" w:lineRule="exact"/>
        <w:ind w:left="540"/>
        <w:rPr>
          <w:rFonts w:ascii="宋体" w:hAnsi="宋体"/>
          <w:color w:val="auto"/>
          <w:sz w:val="24"/>
          <w:highlight w:val="none"/>
        </w:rPr>
      </w:pPr>
      <w:r>
        <w:rPr>
          <w:rFonts w:hint="eastAsia" w:ascii="宋体" w:hAnsi="宋体"/>
          <w:color w:val="auto"/>
          <w:sz w:val="24"/>
          <w:highlight w:val="none"/>
        </w:rPr>
        <w:t>姓    名：</w:t>
      </w:r>
      <w:r>
        <w:rPr>
          <w:rFonts w:hint="eastAsia" w:ascii="宋体" w:hAnsi="宋体"/>
          <w:color w:val="auto"/>
          <w:sz w:val="24"/>
          <w:highlight w:val="none"/>
          <w:u w:val="single"/>
        </w:rPr>
        <w:t xml:space="preserve">                          </w:t>
      </w:r>
      <w:r>
        <w:rPr>
          <w:rFonts w:hint="eastAsia" w:ascii="宋体" w:hAnsi="宋体"/>
          <w:color w:val="auto"/>
          <w:sz w:val="24"/>
          <w:highlight w:val="none"/>
        </w:rPr>
        <w:t>性      别：</w:t>
      </w:r>
      <w:r>
        <w:rPr>
          <w:rFonts w:hint="eastAsia" w:ascii="宋体" w:hAnsi="宋体"/>
          <w:color w:val="auto"/>
          <w:sz w:val="24"/>
          <w:highlight w:val="none"/>
          <w:u w:val="single"/>
        </w:rPr>
        <w:t xml:space="preserve">                </w:t>
      </w:r>
    </w:p>
    <w:p w14:paraId="4FDCFFD6">
      <w:pPr>
        <w:spacing w:line="500" w:lineRule="exact"/>
        <w:ind w:left="540"/>
        <w:rPr>
          <w:rFonts w:ascii="宋体" w:hAnsi="宋体"/>
          <w:color w:val="auto"/>
          <w:sz w:val="24"/>
          <w:highlight w:val="none"/>
          <w:u w:val="single"/>
        </w:rPr>
      </w:pPr>
      <w:r>
        <w:rPr>
          <w:rFonts w:hint="eastAsia" w:ascii="宋体" w:hAnsi="宋体"/>
          <w:color w:val="auto"/>
          <w:sz w:val="24"/>
          <w:highlight w:val="none"/>
        </w:rPr>
        <w:t>年    龄：</w:t>
      </w:r>
      <w:r>
        <w:rPr>
          <w:rFonts w:hint="eastAsia" w:ascii="宋体" w:hAnsi="宋体"/>
          <w:color w:val="auto"/>
          <w:sz w:val="24"/>
          <w:highlight w:val="none"/>
          <w:u w:val="single"/>
        </w:rPr>
        <w:t xml:space="preserve">                          </w:t>
      </w:r>
      <w:r>
        <w:rPr>
          <w:rFonts w:hint="eastAsia" w:ascii="宋体" w:hAnsi="宋体"/>
          <w:color w:val="auto"/>
          <w:sz w:val="24"/>
          <w:highlight w:val="none"/>
        </w:rPr>
        <w:t>职      务：</w:t>
      </w:r>
      <w:r>
        <w:rPr>
          <w:rFonts w:hint="eastAsia" w:ascii="宋体" w:hAnsi="宋体"/>
          <w:color w:val="auto"/>
          <w:sz w:val="24"/>
          <w:highlight w:val="none"/>
          <w:u w:val="single"/>
        </w:rPr>
        <w:t xml:space="preserve">                </w:t>
      </w:r>
    </w:p>
    <w:p w14:paraId="772BE39D">
      <w:pPr>
        <w:spacing w:line="500" w:lineRule="exact"/>
        <w:ind w:left="540"/>
        <w:rPr>
          <w:rFonts w:ascii="宋体" w:hAnsi="宋体"/>
          <w:color w:val="auto"/>
          <w:sz w:val="24"/>
          <w:highlight w:val="none"/>
        </w:rPr>
      </w:pPr>
      <w:r>
        <w:rPr>
          <w:rFonts w:hint="eastAsia" w:ascii="宋体" w:hAnsi="宋体"/>
          <w:color w:val="auto"/>
          <w:sz w:val="24"/>
          <w:highlight w:val="none"/>
        </w:rPr>
        <w:t>身份证</w:t>
      </w:r>
      <w:r>
        <w:rPr>
          <w:rFonts w:hint="eastAsia"/>
          <w:color w:val="auto"/>
          <w:sz w:val="24"/>
          <w:highlight w:val="none"/>
        </w:rPr>
        <w:t>号码：</w:t>
      </w:r>
      <w:r>
        <w:rPr>
          <w:rFonts w:hint="eastAsia"/>
          <w:color w:val="auto"/>
          <w:sz w:val="24"/>
          <w:highlight w:val="none"/>
          <w:u w:val="single"/>
        </w:rPr>
        <w:t xml:space="preserve">                                 </w:t>
      </w:r>
    </w:p>
    <w:p w14:paraId="78C3B267">
      <w:pPr>
        <w:spacing w:line="500" w:lineRule="exact"/>
        <w:ind w:left="540"/>
        <w:rPr>
          <w:rFonts w:ascii="宋体" w:hAnsi="宋体"/>
          <w:color w:val="auto"/>
          <w:sz w:val="24"/>
          <w:highlight w:val="none"/>
        </w:rPr>
      </w:pPr>
      <w:r>
        <w:rPr>
          <w:rFonts w:hint="eastAsia" w:ascii="宋体" w:hAnsi="宋体"/>
          <w:color w:val="auto"/>
          <w:sz w:val="24"/>
          <w:highlight w:val="none"/>
        </w:rPr>
        <w:t>系</w:t>
      </w:r>
      <w:r>
        <w:rPr>
          <w:rFonts w:hint="eastAsia" w:ascii="宋体" w:hAnsi="宋体"/>
          <w:color w:val="auto"/>
          <w:sz w:val="24"/>
          <w:highlight w:val="none"/>
          <w:u w:val="single"/>
        </w:rPr>
        <w:t xml:space="preserve">            （投标人名称）              </w:t>
      </w:r>
      <w:r>
        <w:rPr>
          <w:rFonts w:hint="eastAsia" w:ascii="宋体" w:hAnsi="宋体"/>
          <w:color w:val="auto"/>
          <w:sz w:val="24"/>
          <w:highlight w:val="none"/>
        </w:rPr>
        <w:t>的法定代表人。</w:t>
      </w:r>
    </w:p>
    <w:p w14:paraId="3A010740">
      <w:pPr>
        <w:spacing w:line="500" w:lineRule="exact"/>
        <w:ind w:left="540"/>
        <w:rPr>
          <w:rFonts w:ascii="宋体" w:hAnsi="宋体"/>
          <w:color w:val="auto"/>
          <w:sz w:val="24"/>
          <w:highlight w:val="none"/>
        </w:rPr>
      </w:pPr>
      <w:r>
        <w:rPr>
          <w:rFonts w:hint="eastAsia" w:ascii="宋体" w:hAnsi="宋体"/>
          <w:color w:val="auto"/>
          <w:sz w:val="24"/>
          <w:highlight w:val="none"/>
        </w:rPr>
        <w:t>特此证明。</w:t>
      </w:r>
    </w:p>
    <w:p w14:paraId="57F6AF3E">
      <w:pPr>
        <w:spacing w:line="500" w:lineRule="exact"/>
        <w:ind w:left="540"/>
        <w:rPr>
          <w:rFonts w:ascii="宋体" w:hAnsi="宋体"/>
          <w:color w:val="auto"/>
          <w:sz w:val="24"/>
          <w:highlight w:val="none"/>
        </w:rPr>
      </w:pPr>
    </w:p>
    <w:p w14:paraId="6F956354">
      <w:pPr>
        <w:spacing w:line="500" w:lineRule="exact"/>
        <w:ind w:left="540"/>
        <w:rPr>
          <w:rFonts w:ascii="宋体" w:hAnsi="宋体"/>
          <w:color w:val="auto"/>
          <w:sz w:val="24"/>
          <w:highlight w:val="none"/>
        </w:rPr>
      </w:pPr>
    </w:p>
    <w:p w14:paraId="558EA7AC">
      <w:pPr>
        <w:spacing w:line="500" w:lineRule="exact"/>
        <w:ind w:left="540"/>
        <w:rPr>
          <w:rFonts w:ascii="宋体" w:hAnsi="宋体"/>
          <w:color w:val="auto"/>
          <w:sz w:val="24"/>
          <w:highlight w:val="none"/>
        </w:rPr>
      </w:pPr>
      <w:r>
        <w:rPr>
          <w:rFonts w:hint="eastAsia" w:ascii="宋体" w:hAnsi="宋体"/>
          <w:color w:val="auto"/>
          <w:sz w:val="24"/>
          <w:highlight w:val="none"/>
        </w:rPr>
        <w:t>附件：法定代表人有效身份证正反面复印件</w:t>
      </w:r>
    </w:p>
    <w:p w14:paraId="4B6CAC79">
      <w:pPr>
        <w:spacing w:line="500" w:lineRule="exact"/>
        <w:ind w:left="540"/>
        <w:rPr>
          <w:rFonts w:ascii="宋体" w:hAnsi="宋体"/>
          <w:color w:val="auto"/>
          <w:sz w:val="24"/>
          <w:highlight w:val="none"/>
        </w:rPr>
      </w:pPr>
    </w:p>
    <w:p w14:paraId="628BF258">
      <w:pPr>
        <w:spacing w:line="500" w:lineRule="exact"/>
        <w:ind w:left="540"/>
        <w:jc w:val="right"/>
        <w:rPr>
          <w:rFonts w:ascii="宋体" w:hAnsi="宋体"/>
          <w:color w:val="auto"/>
          <w:sz w:val="24"/>
          <w:highlight w:val="none"/>
        </w:rPr>
      </w:pPr>
      <w:r>
        <w:rPr>
          <w:rFonts w:hint="eastAsia" w:ascii="宋体" w:hAnsi="宋体"/>
          <w:color w:val="auto"/>
          <w:sz w:val="24"/>
          <w:highlight w:val="none"/>
        </w:rPr>
        <w:t>投标人名称（电子签章）</w:t>
      </w:r>
    </w:p>
    <w:p w14:paraId="0A960909">
      <w:pPr>
        <w:spacing w:line="500" w:lineRule="exact"/>
        <w:ind w:left="540"/>
        <w:jc w:val="right"/>
        <w:rPr>
          <w:rFonts w:ascii="宋体" w:hAnsi="宋体"/>
          <w:color w:val="auto"/>
          <w:sz w:val="24"/>
          <w:highlight w:val="none"/>
        </w:rPr>
      </w:pPr>
    </w:p>
    <w:p w14:paraId="1E513207">
      <w:pPr>
        <w:spacing w:after="50"/>
        <w:ind w:left="540"/>
        <w:jc w:val="right"/>
        <w:rPr>
          <w:rFonts w:ascii="宋体" w:hAnsi="宋体"/>
          <w:color w:val="auto"/>
          <w:sz w:val="24"/>
          <w:highlight w:val="none"/>
        </w:rPr>
      </w:pP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日</w:t>
      </w:r>
    </w:p>
    <w:p w14:paraId="2E591E4F">
      <w:pPr>
        <w:spacing w:after="50"/>
        <w:jc w:val="center"/>
        <w:rPr>
          <w:rFonts w:ascii="宋体" w:hAnsi="宋体"/>
          <w:b/>
          <w:color w:val="auto"/>
          <w:sz w:val="24"/>
          <w:highlight w:val="none"/>
        </w:rPr>
      </w:pPr>
    </w:p>
    <w:p w14:paraId="32370421">
      <w:pPr>
        <w:spacing w:after="50"/>
        <w:jc w:val="left"/>
        <w:rPr>
          <w:rFonts w:ascii="宋体" w:hAnsi="宋体"/>
          <w:b/>
          <w:color w:val="auto"/>
          <w:sz w:val="24"/>
          <w:szCs w:val="20"/>
          <w:highlight w:val="none"/>
        </w:rPr>
      </w:pPr>
      <w:r>
        <w:rPr>
          <w:rFonts w:hint="eastAsia" w:ascii="宋体" w:hAnsi="宋体"/>
          <w:color w:val="auto"/>
          <w:sz w:val="24"/>
          <w:highlight w:val="none"/>
        </w:rPr>
        <w:t>注：自然人投标的无需提供</w:t>
      </w:r>
    </w:p>
    <w:p w14:paraId="750253B6">
      <w:pPr>
        <w:spacing w:after="50"/>
        <w:jc w:val="left"/>
        <w:rPr>
          <w:rFonts w:ascii="宋体" w:hAnsi="宋体"/>
          <w:b/>
          <w:color w:val="auto"/>
          <w:sz w:val="24"/>
          <w:szCs w:val="20"/>
          <w:highlight w:val="none"/>
        </w:rPr>
      </w:pPr>
      <w:r>
        <w:rPr>
          <w:rFonts w:ascii="宋体" w:hAnsi="宋体"/>
          <w:b/>
          <w:color w:val="auto"/>
          <w:sz w:val="24"/>
          <w:highlight w:val="none"/>
        </w:rPr>
        <w:br w:type="page" w:clear="all"/>
      </w:r>
      <w:r>
        <w:rPr>
          <w:rFonts w:hint="eastAsia" w:ascii="宋体" w:hAnsi="宋体"/>
          <w:b/>
          <w:color w:val="auto"/>
          <w:sz w:val="24"/>
          <w:highlight w:val="none"/>
        </w:rPr>
        <w:t>5.授权委托书格式</w:t>
      </w:r>
    </w:p>
    <w:p w14:paraId="39AE0DB8">
      <w:pPr>
        <w:spacing w:after="50"/>
        <w:jc w:val="center"/>
        <w:rPr>
          <w:rFonts w:ascii="宋体" w:hAnsi="宋体"/>
          <w:b/>
          <w:color w:val="auto"/>
          <w:sz w:val="44"/>
          <w:szCs w:val="44"/>
          <w:highlight w:val="none"/>
        </w:rPr>
      </w:pPr>
    </w:p>
    <w:p w14:paraId="5BD4CF2B">
      <w:pPr>
        <w:spacing w:line="360" w:lineRule="auto"/>
        <w:contextualSpacing/>
        <w:jc w:val="center"/>
        <w:rPr>
          <w:rFonts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授权委托书</w:t>
      </w:r>
    </w:p>
    <w:p w14:paraId="69B844A4">
      <w:pPr>
        <w:spacing w:line="360" w:lineRule="auto"/>
        <w:contextualSpacing/>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（非联合体投标格式）</w:t>
      </w:r>
    </w:p>
    <w:p w14:paraId="2403B768">
      <w:pPr>
        <w:spacing w:line="360" w:lineRule="auto"/>
        <w:contextualSpacing/>
        <w:jc w:val="center"/>
        <w:rPr>
          <w:rFonts w:ascii="方正小标宋简体" w:hAnsi="方正小标宋简体" w:eastAsia="方正小标宋简体" w:cs="方正小标宋简体"/>
          <w:bCs/>
          <w:color w:val="auto"/>
          <w:sz w:val="24"/>
          <w:highlight w:val="none"/>
        </w:rPr>
      </w:pPr>
      <w:r>
        <w:rPr>
          <w:rFonts w:hint="eastAsia" w:ascii="方正小标宋简体" w:hAnsi="方正小标宋简体" w:eastAsia="方正小标宋简体" w:cs="方正小标宋简体"/>
          <w:bCs/>
          <w:color w:val="auto"/>
          <w:sz w:val="32"/>
          <w:szCs w:val="32"/>
          <w:highlight w:val="none"/>
        </w:rPr>
        <w:t>（如有委托时）</w:t>
      </w:r>
    </w:p>
    <w:p w14:paraId="0A4BF70D">
      <w:pPr>
        <w:spacing w:line="440" w:lineRule="exact"/>
        <w:contextualSpacing/>
        <w:jc w:val="center"/>
        <w:rPr>
          <w:rFonts w:ascii="宋体" w:hAnsi="宋体"/>
          <w:b/>
          <w:color w:val="auto"/>
          <w:sz w:val="24"/>
          <w:highlight w:val="none"/>
        </w:rPr>
      </w:pPr>
    </w:p>
    <w:p w14:paraId="5070AA93">
      <w:pPr>
        <w:spacing w:line="440" w:lineRule="exact"/>
        <w:contextualSpacing/>
        <w:rPr>
          <w:rFonts w:ascii="宋体" w:hAnsi="宋体"/>
          <w:b/>
          <w:bCs/>
          <w:color w:val="auto"/>
          <w:sz w:val="24"/>
          <w:highlight w:val="none"/>
        </w:rPr>
      </w:pPr>
      <w:r>
        <w:rPr>
          <w:rFonts w:hint="eastAsia" w:ascii="宋体" w:hAnsi="宋体"/>
          <w:bCs/>
          <w:color w:val="auto"/>
          <w:sz w:val="24"/>
          <w:highlight w:val="none"/>
        </w:rPr>
        <w:t>致：</w:t>
      </w:r>
      <w:r>
        <w:rPr>
          <w:rFonts w:hint="eastAsia" w:ascii="宋体" w:hAnsi="宋体"/>
          <w:color w:val="auto"/>
          <w:sz w:val="24"/>
          <w:highlight w:val="none"/>
          <w:u w:val="single"/>
        </w:rPr>
        <w:t>采购人名称</w:t>
      </w:r>
      <w:r>
        <w:rPr>
          <w:rFonts w:hint="eastAsia" w:ascii="宋体" w:hAnsi="宋体"/>
          <w:color w:val="auto"/>
          <w:sz w:val="24"/>
          <w:highlight w:val="none"/>
        </w:rPr>
        <w:t>：</w:t>
      </w:r>
    </w:p>
    <w:p w14:paraId="537F68B6">
      <w:pPr>
        <w:spacing w:line="440" w:lineRule="exact"/>
        <w:ind w:firstLine="566"/>
        <w:contextualSpacing/>
        <w:rPr>
          <w:rFonts w:ascii="宋体" w:hAnsi="宋体"/>
          <w:color w:val="auto"/>
          <w:sz w:val="24"/>
          <w:highlight w:val="none"/>
        </w:rPr>
      </w:pPr>
      <w:r>
        <w:rPr>
          <w:rFonts w:hint="eastAsia" w:ascii="宋体" w:hAnsi="宋体"/>
          <w:color w:val="auto"/>
          <w:sz w:val="24"/>
          <w:highlight w:val="none"/>
        </w:rPr>
        <w:t>我</w:t>
      </w:r>
      <w:r>
        <w:rPr>
          <w:rFonts w:hint="eastAsia" w:ascii="宋体" w:hAnsi="宋体"/>
          <w:color w:val="auto"/>
          <w:sz w:val="24"/>
          <w:highlight w:val="none"/>
          <w:u w:val="single"/>
        </w:rPr>
        <w:t xml:space="preserve">       </w:t>
      </w:r>
      <w:r>
        <w:rPr>
          <w:rFonts w:hint="eastAsia" w:ascii="宋体" w:hAnsi="宋体"/>
          <w:color w:val="auto"/>
          <w:sz w:val="24"/>
          <w:highlight w:val="none"/>
        </w:rPr>
        <w:t>（姓名）系</w:t>
      </w:r>
      <w:r>
        <w:rPr>
          <w:rFonts w:hint="eastAsia" w:ascii="宋体" w:hAnsi="宋体"/>
          <w:color w:val="auto"/>
          <w:sz w:val="24"/>
          <w:highlight w:val="none"/>
          <w:u w:val="single"/>
        </w:rPr>
        <w:t xml:space="preserve">      </w:t>
      </w:r>
      <w:r>
        <w:rPr>
          <w:rFonts w:hint="eastAsia" w:ascii="宋体" w:hAnsi="宋体"/>
          <w:color w:val="auto"/>
          <w:sz w:val="24"/>
          <w:highlight w:val="none"/>
        </w:rPr>
        <w:t>（投标人名称）的法定代表人，现授权委托</w:t>
      </w:r>
      <w:r>
        <w:rPr>
          <w:rFonts w:hint="eastAsia" w:ascii="宋体" w:hAnsi="宋体"/>
          <w:color w:val="auto"/>
          <w:sz w:val="24"/>
          <w:highlight w:val="none"/>
          <w:u w:val="single"/>
        </w:rPr>
        <w:t xml:space="preserve">              （姓名）</w:t>
      </w:r>
      <w:r>
        <w:rPr>
          <w:rFonts w:hint="eastAsia" w:ascii="宋体" w:hAnsi="宋体"/>
          <w:color w:val="auto"/>
          <w:sz w:val="24"/>
          <w:highlight w:val="none"/>
        </w:rPr>
        <w:t>以我方的名义参加</w:t>
      </w:r>
      <w:r>
        <w:rPr>
          <w:rFonts w:hint="eastAsia" w:ascii="宋体" w:hAnsi="宋体"/>
          <w:color w:val="auto"/>
          <w:sz w:val="24"/>
          <w:highlight w:val="none"/>
          <w:u w:val="single"/>
        </w:rPr>
        <w:t xml:space="preserve">              </w:t>
      </w:r>
      <w:r>
        <w:rPr>
          <w:rFonts w:hint="eastAsia" w:ascii="宋体" w:hAnsi="宋体"/>
          <w:color w:val="auto"/>
          <w:sz w:val="24"/>
          <w:highlight w:val="none"/>
        </w:rPr>
        <w:t>项目的投标活动，并代表我方全权办理针对上述项目的所有采购程序和环节的具体事务和签署相关文件。</w:t>
      </w:r>
    </w:p>
    <w:p w14:paraId="73CAD210">
      <w:pPr>
        <w:spacing w:line="440" w:lineRule="exact"/>
        <w:contextualSpacing/>
        <w:rPr>
          <w:rFonts w:ascii="宋体" w:hAnsi="宋体"/>
          <w:color w:val="auto"/>
          <w:sz w:val="24"/>
          <w:highlight w:val="none"/>
        </w:rPr>
      </w:pPr>
      <w:r>
        <w:rPr>
          <w:rFonts w:hint="eastAsia" w:ascii="宋体" w:hAnsi="宋体"/>
          <w:color w:val="auto"/>
          <w:sz w:val="24"/>
          <w:highlight w:val="none"/>
        </w:rPr>
        <w:t xml:space="preserve">    我方对委托代理人的签字或者电子签名事项负全部责任。</w:t>
      </w:r>
    </w:p>
    <w:p w14:paraId="4BFB3B90">
      <w:pPr>
        <w:spacing w:line="440" w:lineRule="exact"/>
        <w:ind w:firstLine="480"/>
        <w:contextualSpacing/>
        <w:rPr>
          <w:rFonts w:ascii="宋体" w:hAnsi="宋体"/>
          <w:color w:val="auto"/>
          <w:sz w:val="24"/>
          <w:highlight w:val="none"/>
        </w:rPr>
      </w:pPr>
      <w:r>
        <w:rPr>
          <w:rFonts w:hint="eastAsia" w:ascii="宋体" w:hAnsi="宋体"/>
          <w:color w:val="auto"/>
          <w:sz w:val="24"/>
          <w:highlight w:val="none"/>
          <w:u w:val="single"/>
        </w:rPr>
        <w:t>本授权书自签署之日起生效，在撤销授权的书面通知以前，本授权书一直有效。委托代理人在授权书有效期内签署的所有文件不因授权的撤销而失效。</w:t>
      </w:r>
    </w:p>
    <w:p w14:paraId="5276874A">
      <w:pPr>
        <w:spacing w:line="440" w:lineRule="exact"/>
        <w:ind w:firstLine="480"/>
        <w:contextualSpacing/>
        <w:rPr>
          <w:rFonts w:ascii="宋体" w:hAnsi="宋体"/>
          <w:color w:val="auto"/>
          <w:sz w:val="24"/>
          <w:highlight w:val="none"/>
        </w:rPr>
      </w:pPr>
      <w:r>
        <w:rPr>
          <w:rFonts w:hint="eastAsia" w:ascii="宋体" w:hAnsi="宋体"/>
          <w:color w:val="auto"/>
          <w:sz w:val="24"/>
          <w:highlight w:val="none"/>
        </w:rPr>
        <w:t>委托代理人无转委托权，特此委托。</w:t>
      </w:r>
    </w:p>
    <w:p w14:paraId="10C6746E">
      <w:pPr>
        <w:spacing w:line="440" w:lineRule="exact"/>
        <w:ind w:firstLine="480"/>
        <w:contextualSpacing/>
        <w:rPr>
          <w:rFonts w:ascii="宋体" w:hAnsi="宋体"/>
          <w:color w:val="auto"/>
          <w:sz w:val="24"/>
          <w:highlight w:val="none"/>
        </w:rPr>
      </w:pPr>
      <w:r>
        <w:rPr>
          <w:rFonts w:hint="eastAsia" w:ascii="宋体" w:hAnsi="宋体"/>
          <w:color w:val="auto"/>
          <w:sz w:val="24"/>
          <w:highlight w:val="none"/>
        </w:rPr>
        <w:t>附：法定代表人身份证明及委托代理人有效身份证正反面复印件</w:t>
      </w:r>
    </w:p>
    <w:p w14:paraId="60A792D4">
      <w:pPr>
        <w:spacing w:line="440" w:lineRule="exact"/>
        <w:contextualSpacing/>
        <w:rPr>
          <w:rFonts w:ascii="宋体" w:hAnsi="宋体"/>
          <w:color w:val="auto"/>
          <w:sz w:val="24"/>
          <w:highlight w:val="none"/>
        </w:rPr>
      </w:pPr>
    </w:p>
    <w:p w14:paraId="627BF9E3">
      <w:pPr>
        <w:spacing w:line="440" w:lineRule="exact"/>
        <w:contextualSpacing/>
        <w:rPr>
          <w:rFonts w:ascii="宋体" w:hAnsi="宋体"/>
          <w:color w:val="auto"/>
          <w:sz w:val="24"/>
          <w:highlight w:val="none"/>
        </w:rPr>
      </w:pPr>
      <w:r>
        <w:rPr>
          <w:rFonts w:hint="eastAsia" w:ascii="宋体" w:hAnsi="宋体"/>
          <w:color w:val="auto"/>
          <w:sz w:val="24"/>
          <w:highlight w:val="none"/>
        </w:rPr>
        <w:t>委托代理人（签字或者电子签名）：</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w:t>
      </w:r>
    </w:p>
    <w:p w14:paraId="728F1F8D">
      <w:pPr>
        <w:spacing w:line="440" w:lineRule="exact"/>
        <w:contextualSpacing/>
        <w:rPr>
          <w:rFonts w:ascii="宋体" w:hAnsi="宋体"/>
          <w:color w:val="auto"/>
          <w:sz w:val="24"/>
          <w:highlight w:val="none"/>
          <w:u w:val="single"/>
        </w:rPr>
      </w:pPr>
      <w:r>
        <w:rPr>
          <w:rFonts w:hint="eastAsia" w:ascii="宋体" w:hAnsi="宋体"/>
          <w:color w:val="auto"/>
          <w:sz w:val="24"/>
          <w:highlight w:val="none"/>
        </w:rPr>
        <w:t>委托代理人身份证号码：</w:t>
      </w:r>
      <w:r>
        <w:rPr>
          <w:rFonts w:hint="eastAsia" w:ascii="宋体" w:hAnsi="宋体"/>
          <w:color w:val="auto"/>
          <w:sz w:val="24"/>
          <w:highlight w:val="none"/>
          <w:u w:val="single"/>
        </w:rPr>
        <w:t xml:space="preserve">                             </w:t>
      </w:r>
    </w:p>
    <w:p w14:paraId="1D576883">
      <w:pPr>
        <w:spacing w:line="440" w:lineRule="exact"/>
        <w:contextualSpacing/>
        <w:rPr>
          <w:rFonts w:ascii="宋体" w:hAnsi="宋体"/>
          <w:color w:val="auto"/>
          <w:sz w:val="24"/>
          <w:highlight w:val="none"/>
          <w:u w:val="single"/>
        </w:rPr>
      </w:pPr>
      <w:r>
        <w:rPr>
          <w:rFonts w:hint="eastAsia" w:ascii="宋体" w:hAnsi="宋体"/>
          <w:color w:val="auto"/>
          <w:sz w:val="24"/>
          <w:highlight w:val="none"/>
        </w:rPr>
        <w:t>法定代表人（签字或者盖章或者电子签名）：</w:t>
      </w:r>
      <w:r>
        <w:rPr>
          <w:rFonts w:hint="eastAsia" w:ascii="宋体" w:hAnsi="宋体"/>
          <w:color w:val="auto"/>
          <w:sz w:val="24"/>
          <w:highlight w:val="none"/>
          <w:u w:val="single"/>
        </w:rPr>
        <w:t xml:space="preserve">              </w:t>
      </w:r>
    </w:p>
    <w:p w14:paraId="24717107">
      <w:pPr>
        <w:spacing w:line="440" w:lineRule="exact"/>
        <w:contextualSpacing/>
        <w:rPr>
          <w:rFonts w:ascii="宋体" w:hAnsi="宋体"/>
          <w:color w:val="auto"/>
          <w:sz w:val="24"/>
          <w:highlight w:val="none"/>
        </w:rPr>
      </w:pPr>
      <w:r>
        <w:rPr>
          <w:rFonts w:hint="eastAsia" w:ascii="宋体" w:hAnsi="宋体"/>
          <w:color w:val="auto"/>
          <w:sz w:val="24"/>
          <w:highlight w:val="none"/>
        </w:rPr>
        <w:t xml:space="preserve"> </w:t>
      </w:r>
    </w:p>
    <w:p w14:paraId="1D655227">
      <w:pPr>
        <w:spacing w:line="440" w:lineRule="exact"/>
        <w:contextualSpacing/>
        <w:jc w:val="center"/>
        <w:rPr>
          <w:rFonts w:ascii="宋体" w:hAnsi="宋体"/>
          <w:color w:val="auto"/>
          <w:sz w:val="24"/>
          <w:highlight w:val="none"/>
        </w:rPr>
      </w:pPr>
      <w:r>
        <w:rPr>
          <w:rFonts w:hint="eastAsia" w:ascii="宋体" w:hAnsi="宋体"/>
          <w:color w:val="auto"/>
          <w:sz w:val="24"/>
          <w:highlight w:val="none"/>
        </w:rPr>
        <w:t xml:space="preserve">                                                投标人名称（电子签章）：</w:t>
      </w:r>
    </w:p>
    <w:p w14:paraId="0AA55FBE">
      <w:pPr>
        <w:spacing w:line="440" w:lineRule="exact"/>
        <w:contextualSpacing/>
        <w:jc w:val="center"/>
        <w:rPr>
          <w:rFonts w:ascii="宋体" w:hAnsi="宋体"/>
          <w:color w:val="auto"/>
          <w:sz w:val="24"/>
          <w:highlight w:val="none"/>
        </w:rPr>
      </w:pPr>
      <w:r>
        <w:rPr>
          <w:rFonts w:hint="eastAsia" w:ascii="宋体" w:hAnsi="宋体"/>
          <w:color w:val="auto"/>
          <w:sz w:val="24"/>
          <w:highlight w:val="none"/>
        </w:rPr>
        <w:t xml:space="preserve">                                              年    月    日</w:t>
      </w:r>
    </w:p>
    <w:p w14:paraId="41814EBA">
      <w:pPr>
        <w:spacing w:line="440" w:lineRule="exact"/>
        <w:contextualSpacing/>
        <w:rPr>
          <w:rFonts w:ascii="宋体" w:hAnsi="宋体" w:cs="仿宋_GB2312"/>
          <w:color w:val="auto"/>
          <w:sz w:val="24"/>
          <w:highlight w:val="none"/>
        </w:rPr>
      </w:pPr>
      <w:r>
        <w:rPr>
          <w:rFonts w:hint="eastAsia" w:ascii="宋体" w:hAnsi="宋体" w:cs="仿宋_GB2312"/>
          <w:color w:val="auto"/>
          <w:sz w:val="24"/>
          <w:highlight w:val="none"/>
        </w:rPr>
        <w:t>注：1.法定代表人必须在授权委托书上签字或者盖章</w:t>
      </w:r>
      <w:r>
        <w:rPr>
          <w:rFonts w:hint="eastAsia" w:ascii="宋体" w:hAnsi="宋体"/>
          <w:color w:val="auto"/>
          <w:sz w:val="24"/>
          <w:highlight w:val="none"/>
        </w:rPr>
        <w:t>或者电子签名</w:t>
      </w:r>
      <w:r>
        <w:rPr>
          <w:rFonts w:hint="eastAsia" w:ascii="宋体" w:hAnsi="宋体" w:cs="仿宋_GB2312"/>
          <w:color w:val="auto"/>
          <w:sz w:val="24"/>
          <w:highlight w:val="none"/>
        </w:rPr>
        <w:t>，委托代理人必须在授权委托书上签字</w:t>
      </w:r>
      <w:r>
        <w:rPr>
          <w:rFonts w:hint="eastAsia" w:ascii="宋体" w:hAnsi="宋体"/>
          <w:color w:val="auto"/>
          <w:sz w:val="24"/>
          <w:highlight w:val="none"/>
        </w:rPr>
        <w:t>或者电子签名</w:t>
      </w:r>
      <w:r>
        <w:rPr>
          <w:rFonts w:hint="eastAsia" w:ascii="宋体" w:hAnsi="宋体" w:cs="仿宋_GB2312"/>
          <w:color w:val="auto"/>
          <w:sz w:val="24"/>
          <w:highlight w:val="none"/>
        </w:rPr>
        <w:t>，</w:t>
      </w:r>
      <w:r>
        <w:rPr>
          <w:rFonts w:hint="eastAsia" w:ascii="宋体" w:hAnsi="宋体" w:cs="仿宋_GB2312"/>
          <w:b/>
          <w:bCs/>
          <w:color w:val="auto"/>
          <w:sz w:val="24"/>
          <w:highlight w:val="none"/>
        </w:rPr>
        <w:t>否则按无效投标处理</w:t>
      </w:r>
      <w:r>
        <w:rPr>
          <w:rFonts w:hint="eastAsia" w:ascii="宋体" w:hAnsi="宋体" w:cs="仿宋_GB2312"/>
          <w:color w:val="auto"/>
          <w:sz w:val="24"/>
          <w:highlight w:val="none"/>
        </w:rPr>
        <w:t>；</w:t>
      </w:r>
    </w:p>
    <w:p w14:paraId="16CB82D7">
      <w:pPr>
        <w:spacing w:line="440" w:lineRule="exact"/>
        <w:ind w:firstLine="480"/>
        <w:contextualSpacing/>
        <w:jc w:val="left"/>
        <w:rPr>
          <w:rFonts w:ascii="宋体" w:hAnsi="宋体"/>
          <w:color w:val="auto"/>
          <w:sz w:val="24"/>
          <w:highlight w:val="none"/>
        </w:rPr>
      </w:pPr>
      <w:r>
        <w:rPr>
          <w:rFonts w:hint="eastAsia" w:ascii="宋体" w:hAnsi="宋体" w:cs="仿宋_GB2312"/>
          <w:color w:val="auto"/>
          <w:sz w:val="24"/>
          <w:highlight w:val="none"/>
        </w:rPr>
        <w:t>2.法人、其他组织投标时“我方”是指“我单位”，自然人投标时“我方”是指“本人”。</w:t>
      </w:r>
      <w:r>
        <w:rPr>
          <w:rFonts w:hint="eastAsia" w:ascii="宋体" w:hAnsi="宋体"/>
          <w:color w:val="auto"/>
          <w:sz w:val="24"/>
          <w:highlight w:val="none"/>
        </w:rPr>
        <w:t xml:space="preserve"> </w:t>
      </w:r>
    </w:p>
    <w:p w14:paraId="1058E4DF">
      <w:pPr>
        <w:spacing w:before="50"/>
        <w:ind w:firstLine="480"/>
        <w:jc w:val="left"/>
        <w:rPr>
          <w:rFonts w:ascii="宋体" w:hAnsi="宋体"/>
          <w:color w:val="auto"/>
          <w:sz w:val="24"/>
          <w:highlight w:val="none"/>
        </w:rPr>
        <w:sectPr>
          <w:footerReference r:id="rId9" w:type="default"/>
          <w:pgSz w:w="11906" w:h="16838"/>
          <w:pgMar w:top="1701" w:right="1701" w:bottom="1701" w:left="1701" w:header="851" w:footer="992" w:gutter="0"/>
          <w:pgNumType w:start="1"/>
          <w:cols w:space="720" w:num="1"/>
        </w:sectPr>
      </w:pPr>
    </w:p>
    <w:p w14:paraId="5DAB8F17">
      <w:pPr>
        <w:rPr>
          <w:rFonts w:ascii="宋体" w:hAnsi="宋体"/>
          <w:color w:val="auto"/>
          <w:sz w:val="24"/>
          <w:highlight w:val="none"/>
        </w:rPr>
      </w:pPr>
    </w:p>
    <w:p w14:paraId="0E3F1CF5">
      <w:pPr>
        <w:rPr>
          <w:rFonts w:ascii="宋体" w:hAnsi="宋体"/>
          <w:b/>
          <w:color w:val="auto"/>
          <w:sz w:val="24"/>
          <w:szCs w:val="20"/>
          <w:highlight w:val="none"/>
        </w:rPr>
      </w:pPr>
      <w:r>
        <w:rPr>
          <w:rFonts w:hint="eastAsia" w:ascii="宋体" w:hAnsi="宋体"/>
          <w:b/>
          <w:color w:val="auto"/>
          <w:sz w:val="24"/>
          <w:highlight w:val="none"/>
        </w:rPr>
        <w:t>6.商务要求偏离表格式（注：按项目需求表具体项目修改）</w:t>
      </w:r>
    </w:p>
    <w:p w14:paraId="0A1C7C6F">
      <w:pPr>
        <w:spacing w:before="50"/>
        <w:jc w:val="left"/>
        <w:rPr>
          <w:rFonts w:ascii="宋体" w:hAnsi="宋体"/>
          <w:color w:val="auto"/>
          <w:sz w:val="24"/>
          <w:highlight w:val="none"/>
        </w:rPr>
      </w:pPr>
    </w:p>
    <w:p w14:paraId="152C4CC9">
      <w:pPr>
        <w:pStyle w:val="25"/>
        <w:rPr>
          <w:rFonts w:hAnsi="宋体"/>
          <w:color w:val="auto"/>
          <w:sz w:val="24"/>
          <w:szCs w:val="24"/>
          <w:highlight w:val="none"/>
        </w:rPr>
      </w:pPr>
      <w:r>
        <w:rPr>
          <w:rFonts w:hint="eastAsia" w:hAnsi="宋体"/>
          <w:color w:val="auto"/>
          <w:sz w:val="24"/>
          <w:szCs w:val="24"/>
          <w:highlight w:val="none"/>
        </w:rPr>
        <w:t>所投分标：</w:t>
      </w:r>
      <w:r>
        <w:rPr>
          <w:rFonts w:hint="eastAsia" w:hAnsi="宋体"/>
          <w:color w:val="auto"/>
          <w:sz w:val="24"/>
          <w:szCs w:val="24"/>
          <w:highlight w:val="none"/>
          <w:u w:val="single"/>
        </w:rPr>
        <w:t xml:space="preserve">     </w:t>
      </w:r>
      <w:r>
        <w:rPr>
          <w:rFonts w:hint="eastAsia" w:hAnsi="宋体"/>
          <w:color w:val="auto"/>
          <w:sz w:val="24"/>
          <w:szCs w:val="24"/>
          <w:highlight w:val="none"/>
        </w:rPr>
        <w:t>分标</w:t>
      </w:r>
    </w:p>
    <w:p w14:paraId="266FA865">
      <w:pPr>
        <w:spacing w:before="50"/>
        <w:jc w:val="left"/>
        <w:rPr>
          <w:rFonts w:ascii="宋体" w:hAnsi="宋体"/>
          <w:color w:val="auto"/>
          <w:sz w:val="24"/>
          <w:highlight w:val="none"/>
          <w:u w:val="single"/>
        </w:rPr>
      </w:pPr>
    </w:p>
    <w:tbl>
      <w:tblPr>
        <w:tblStyle w:val="50"/>
        <w:tblW w:w="0" w:type="auto"/>
        <w:tblInd w:w="-119"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10"/>
        <w:gridCol w:w="3336"/>
        <w:gridCol w:w="1760"/>
        <w:gridCol w:w="2035"/>
      </w:tblGrid>
      <w:tr w14:paraId="0D74AF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1510" w:type="dxa"/>
            <w:tcBorders>
              <w:top w:val="single" w:color="auto" w:sz="4" w:space="0"/>
              <w:left w:val="single" w:color="auto" w:sz="4" w:space="0"/>
              <w:bottom w:val="single" w:color="auto" w:sz="4" w:space="0"/>
              <w:right w:val="single" w:color="auto" w:sz="4" w:space="0"/>
            </w:tcBorders>
          </w:tcPr>
          <w:p w14:paraId="6DA94494">
            <w:pPr>
              <w:jc w:val="center"/>
              <w:rPr>
                <w:rFonts w:ascii="宋体" w:hAnsi="宋体"/>
                <w:color w:val="auto"/>
                <w:sz w:val="24"/>
                <w:highlight w:val="none"/>
              </w:rPr>
            </w:pPr>
            <w:r>
              <w:rPr>
                <w:rFonts w:hint="eastAsia" w:ascii="宋体" w:hAnsi="宋体"/>
                <w:color w:val="auto"/>
                <w:sz w:val="24"/>
                <w:highlight w:val="none"/>
              </w:rPr>
              <w:t>项目</w:t>
            </w:r>
          </w:p>
        </w:tc>
        <w:tc>
          <w:tcPr>
            <w:tcW w:w="3336" w:type="dxa"/>
            <w:tcBorders>
              <w:top w:val="single" w:color="auto" w:sz="4" w:space="0"/>
              <w:left w:val="single" w:color="auto" w:sz="4" w:space="0"/>
              <w:bottom w:val="single" w:color="auto" w:sz="4" w:space="0"/>
              <w:right w:val="single" w:color="auto" w:sz="4" w:space="0"/>
            </w:tcBorders>
          </w:tcPr>
          <w:p w14:paraId="304588BF">
            <w:pPr>
              <w:jc w:val="center"/>
              <w:rPr>
                <w:rFonts w:ascii="宋体" w:hAnsi="宋体"/>
                <w:color w:val="auto"/>
                <w:sz w:val="24"/>
                <w:highlight w:val="none"/>
              </w:rPr>
            </w:pPr>
            <w:r>
              <w:rPr>
                <w:rFonts w:hint="eastAsia" w:ascii="宋体" w:hAnsi="宋体"/>
                <w:color w:val="auto"/>
                <w:sz w:val="24"/>
                <w:highlight w:val="none"/>
              </w:rPr>
              <w:t>招标文件商务要求</w:t>
            </w:r>
          </w:p>
        </w:tc>
        <w:tc>
          <w:tcPr>
            <w:tcW w:w="1760" w:type="dxa"/>
            <w:tcBorders>
              <w:top w:val="single" w:color="auto" w:sz="4" w:space="0"/>
              <w:left w:val="single" w:color="auto" w:sz="4" w:space="0"/>
              <w:bottom w:val="single" w:color="auto" w:sz="4" w:space="0"/>
              <w:right w:val="single" w:color="auto" w:sz="4" w:space="0"/>
            </w:tcBorders>
          </w:tcPr>
          <w:p w14:paraId="1FE224F0">
            <w:pPr>
              <w:jc w:val="center"/>
              <w:rPr>
                <w:rFonts w:ascii="宋体" w:hAnsi="宋体"/>
                <w:color w:val="auto"/>
                <w:sz w:val="24"/>
                <w:highlight w:val="none"/>
              </w:rPr>
            </w:pPr>
            <w:r>
              <w:rPr>
                <w:rFonts w:hint="eastAsia" w:ascii="宋体" w:hAnsi="宋体"/>
                <w:color w:val="auto"/>
                <w:sz w:val="24"/>
                <w:highlight w:val="none"/>
              </w:rPr>
              <w:t>投标人的承诺</w:t>
            </w:r>
          </w:p>
        </w:tc>
        <w:tc>
          <w:tcPr>
            <w:tcW w:w="2035" w:type="dxa"/>
            <w:tcBorders>
              <w:top w:val="single" w:color="auto" w:sz="4" w:space="0"/>
              <w:left w:val="single" w:color="auto" w:sz="4" w:space="0"/>
              <w:bottom w:val="single" w:color="auto" w:sz="4" w:space="0"/>
              <w:right w:val="single" w:color="auto" w:sz="4" w:space="0"/>
            </w:tcBorders>
          </w:tcPr>
          <w:p w14:paraId="292F5E86">
            <w:pPr>
              <w:jc w:val="center"/>
              <w:rPr>
                <w:rFonts w:ascii="宋体" w:hAnsi="宋体"/>
                <w:color w:val="auto"/>
                <w:sz w:val="24"/>
                <w:highlight w:val="none"/>
              </w:rPr>
            </w:pPr>
            <w:r>
              <w:rPr>
                <w:rFonts w:hint="eastAsia" w:ascii="宋体" w:hAnsi="宋体"/>
                <w:color w:val="auto"/>
                <w:sz w:val="24"/>
                <w:highlight w:val="none"/>
              </w:rPr>
              <w:t>偏离说明</w:t>
            </w:r>
          </w:p>
        </w:tc>
      </w:tr>
      <w:tr w14:paraId="6E0F3E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1510" w:type="dxa"/>
            <w:tcBorders>
              <w:top w:val="single" w:color="auto" w:sz="4" w:space="0"/>
              <w:left w:val="single" w:color="auto" w:sz="4" w:space="0"/>
              <w:bottom w:val="single" w:color="auto" w:sz="4" w:space="0"/>
              <w:right w:val="single" w:color="auto" w:sz="4" w:space="0"/>
            </w:tcBorders>
            <w:vAlign w:val="center"/>
          </w:tcPr>
          <w:p w14:paraId="7DB80AC6">
            <w:pPr>
              <w:jc w:val="center"/>
              <w:rPr>
                <w:rFonts w:ascii="宋体" w:hAnsi="宋体"/>
                <w:color w:val="auto"/>
                <w:sz w:val="24"/>
                <w:highlight w:val="none"/>
              </w:rPr>
            </w:pPr>
            <w:r>
              <w:rPr>
                <w:rFonts w:hint="eastAsia" w:ascii="宋体" w:hAnsi="宋体"/>
                <w:color w:val="auto"/>
                <w:sz w:val="24"/>
                <w:highlight w:val="none"/>
              </w:rPr>
              <w:t>质保期</w:t>
            </w:r>
          </w:p>
        </w:tc>
        <w:tc>
          <w:tcPr>
            <w:tcW w:w="3336" w:type="dxa"/>
            <w:tcBorders>
              <w:top w:val="single" w:color="auto" w:sz="4" w:space="0"/>
              <w:left w:val="single" w:color="auto" w:sz="4" w:space="0"/>
              <w:bottom w:val="single" w:color="auto" w:sz="4" w:space="0"/>
              <w:right w:val="single" w:color="auto" w:sz="4" w:space="0"/>
            </w:tcBorders>
          </w:tcPr>
          <w:p w14:paraId="54763D13">
            <w:pPr>
              <w:jc w:val="center"/>
              <w:rPr>
                <w:rFonts w:ascii="宋体" w:hAnsi="宋体"/>
                <w:color w:val="auto"/>
                <w:sz w:val="24"/>
                <w:highlight w:val="none"/>
              </w:rPr>
            </w:pPr>
          </w:p>
        </w:tc>
        <w:tc>
          <w:tcPr>
            <w:tcW w:w="1760" w:type="dxa"/>
            <w:tcBorders>
              <w:top w:val="single" w:color="auto" w:sz="4" w:space="0"/>
              <w:left w:val="single" w:color="auto" w:sz="4" w:space="0"/>
              <w:bottom w:val="single" w:color="auto" w:sz="4" w:space="0"/>
              <w:right w:val="single" w:color="auto" w:sz="4" w:space="0"/>
            </w:tcBorders>
          </w:tcPr>
          <w:p w14:paraId="54148F5F">
            <w:pPr>
              <w:jc w:val="center"/>
              <w:rPr>
                <w:rFonts w:ascii="宋体" w:hAnsi="宋体"/>
                <w:color w:val="auto"/>
                <w:sz w:val="24"/>
                <w:highlight w:val="none"/>
              </w:rPr>
            </w:pPr>
          </w:p>
        </w:tc>
        <w:tc>
          <w:tcPr>
            <w:tcW w:w="2035" w:type="dxa"/>
            <w:tcBorders>
              <w:top w:val="single" w:color="auto" w:sz="4" w:space="0"/>
              <w:left w:val="single" w:color="auto" w:sz="4" w:space="0"/>
              <w:bottom w:val="single" w:color="auto" w:sz="4" w:space="0"/>
              <w:right w:val="single" w:color="auto" w:sz="4" w:space="0"/>
            </w:tcBorders>
          </w:tcPr>
          <w:p w14:paraId="40D9A6AF">
            <w:pPr>
              <w:jc w:val="center"/>
              <w:rPr>
                <w:rFonts w:ascii="宋体" w:hAnsi="宋体"/>
                <w:color w:val="auto"/>
                <w:sz w:val="24"/>
                <w:highlight w:val="none"/>
              </w:rPr>
            </w:pPr>
          </w:p>
        </w:tc>
      </w:tr>
      <w:tr w14:paraId="4760BF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1510" w:type="dxa"/>
            <w:tcBorders>
              <w:top w:val="single" w:color="auto" w:sz="4" w:space="0"/>
              <w:left w:val="single" w:color="auto" w:sz="4" w:space="0"/>
              <w:bottom w:val="single" w:color="auto" w:sz="4" w:space="0"/>
              <w:right w:val="single" w:color="auto" w:sz="4" w:space="0"/>
            </w:tcBorders>
            <w:vAlign w:val="center"/>
          </w:tcPr>
          <w:p w14:paraId="4A34E6C9">
            <w:pPr>
              <w:jc w:val="center"/>
              <w:rPr>
                <w:rFonts w:ascii="宋体" w:hAnsi="宋体"/>
                <w:color w:val="auto"/>
                <w:sz w:val="24"/>
                <w:highlight w:val="none"/>
              </w:rPr>
            </w:pPr>
            <w:r>
              <w:rPr>
                <w:rFonts w:hint="eastAsia" w:ascii="宋体" w:hAnsi="宋体"/>
                <w:color w:val="auto"/>
                <w:sz w:val="24"/>
                <w:highlight w:val="none"/>
              </w:rPr>
              <w:t>售后服务要求</w:t>
            </w:r>
          </w:p>
        </w:tc>
        <w:tc>
          <w:tcPr>
            <w:tcW w:w="3336" w:type="dxa"/>
            <w:tcBorders>
              <w:top w:val="single" w:color="auto" w:sz="4" w:space="0"/>
              <w:left w:val="single" w:color="auto" w:sz="4" w:space="0"/>
              <w:bottom w:val="single" w:color="auto" w:sz="4" w:space="0"/>
              <w:right w:val="single" w:color="auto" w:sz="4" w:space="0"/>
            </w:tcBorders>
          </w:tcPr>
          <w:p w14:paraId="6AF3A8EB">
            <w:pPr>
              <w:rPr>
                <w:rFonts w:ascii="宋体" w:hAnsi="宋体"/>
                <w:color w:val="auto"/>
                <w:sz w:val="24"/>
                <w:highlight w:val="none"/>
                <w:u w:val="single"/>
              </w:rPr>
            </w:pPr>
          </w:p>
        </w:tc>
        <w:tc>
          <w:tcPr>
            <w:tcW w:w="1760" w:type="dxa"/>
            <w:tcBorders>
              <w:top w:val="single" w:color="auto" w:sz="4" w:space="0"/>
              <w:left w:val="single" w:color="auto" w:sz="4" w:space="0"/>
              <w:bottom w:val="single" w:color="auto" w:sz="4" w:space="0"/>
              <w:right w:val="single" w:color="auto" w:sz="4" w:space="0"/>
            </w:tcBorders>
          </w:tcPr>
          <w:p w14:paraId="10F7224C">
            <w:pPr>
              <w:ind w:left="43"/>
              <w:jc w:val="center"/>
              <w:rPr>
                <w:rFonts w:ascii="宋体" w:hAnsi="宋体"/>
                <w:color w:val="auto"/>
                <w:sz w:val="24"/>
                <w:highlight w:val="none"/>
              </w:rPr>
            </w:pPr>
          </w:p>
        </w:tc>
        <w:tc>
          <w:tcPr>
            <w:tcW w:w="2035" w:type="dxa"/>
            <w:tcBorders>
              <w:top w:val="single" w:color="auto" w:sz="4" w:space="0"/>
              <w:left w:val="single" w:color="auto" w:sz="4" w:space="0"/>
              <w:bottom w:val="single" w:color="auto" w:sz="4" w:space="0"/>
              <w:right w:val="single" w:color="auto" w:sz="4" w:space="0"/>
            </w:tcBorders>
          </w:tcPr>
          <w:p w14:paraId="2862E6B2">
            <w:pPr>
              <w:ind w:left="43"/>
              <w:jc w:val="center"/>
              <w:rPr>
                <w:rFonts w:ascii="宋体" w:hAnsi="宋体"/>
                <w:color w:val="auto"/>
                <w:sz w:val="24"/>
                <w:highlight w:val="none"/>
              </w:rPr>
            </w:pPr>
          </w:p>
        </w:tc>
      </w:tr>
      <w:tr w14:paraId="0B9894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510" w:type="dxa"/>
            <w:tcBorders>
              <w:top w:val="single" w:color="auto" w:sz="4" w:space="0"/>
              <w:left w:val="single" w:color="auto" w:sz="4" w:space="0"/>
              <w:bottom w:val="single" w:color="auto" w:sz="4" w:space="0"/>
              <w:right w:val="single" w:color="auto" w:sz="4" w:space="0"/>
            </w:tcBorders>
          </w:tcPr>
          <w:p w14:paraId="3221FBD0">
            <w:pPr>
              <w:jc w:val="center"/>
              <w:rPr>
                <w:rFonts w:ascii="宋体" w:hAnsi="宋体"/>
                <w:color w:val="auto"/>
                <w:sz w:val="24"/>
                <w:highlight w:val="none"/>
              </w:rPr>
            </w:pPr>
            <w:r>
              <w:rPr>
                <w:rFonts w:hint="eastAsia" w:ascii="宋体" w:hAnsi="宋体"/>
                <w:color w:val="auto"/>
                <w:sz w:val="24"/>
                <w:highlight w:val="none"/>
              </w:rPr>
              <w:t>…</w:t>
            </w:r>
          </w:p>
        </w:tc>
        <w:tc>
          <w:tcPr>
            <w:tcW w:w="3336" w:type="dxa"/>
            <w:tcBorders>
              <w:top w:val="single" w:color="auto" w:sz="4" w:space="0"/>
              <w:left w:val="single" w:color="auto" w:sz="4" w:space="0"/>
              <w:bottom w:val="single" w:color="auto" w:sz="4" w:space="0"/>
              <w:right w:val="single" w:color="auto" w:sz="4" w:space="0"/>
            </w:tcBorders>
          </w:tcPr>
          <w:p w14:paraId="0CA793CC">
            <w:pPr>
              <w:jc w:val="center"/>
              <w:rPr>
                <w:rFonts w:ascii="宋体" w:hAnsi="宋体"/>
                <w:color w:val="auto"/>
                <w:sz w:val="24"/>
                <w:highlight w:val="none"/>
              </w:rPr>
            </w:pPr>
          </w:p>
        </w:tc>
        <w:tc>
          <w:tcPr>
            <w:tcW w:w="1760" w:type="dxa"/>
            <w:tcBorders>
              <w:top w:val="single" w:color="auto" w:sz="4" w:space="0"/>
              <w:left w:val="single" w:color="auto" w:sz="4" w:space="0"/>
              <w:bottom w:val="single" w:color="auto" w:sz="4" w:space="0"/>
              <w:right w:val="single" w:color="auto" w:sz="4" w:space="0"/>
            </w:tcBorders>
          </w:tcPr>
          <w:p w14:paraId="505F2831">
            <w:pPr>
              <w:jc w:val="center"/>
              <w:rPr>
                <w:rFonts w:ascii="宋体" w:hAnsi="宋体"/>
                <w:color w:val="auto"/>
                <w:sz w:val="24"/>
                <w:highlight w:val="none"/>
              </w:rPr>
            </w:pPr>
          </w:p>
        </w:tc>
        <w:tc>
          <w:tcPr>
            <w:tcW w:w="2035" w:type="dxa"/>
            <w:tcBorders>
              <w:top w:val="single" w:color="auto" w:sz="4" w:space="0"/>
              <w:left w:val="single" w:color="auto" w:sz="4" w:space="0"/>
              <w:bottom w:val="single" w:color="auto" w:sz="4" w:space="0"/>
              <w:right w:val="single" w:color="auto" w:sz="4" w:space="0"/>
            </w:tcBorders>
          </w:tcPr>
          <w:p w14:paraId="00E702F0">
            <w:pPr>
              <w:jc w:val="center"/>
              <w:rPr>
                <w:rFonts w:ascii="宋体" w:hAnsi="宋体"/>
                <w:color w:val="auto"/>
                <w:sz w:val="24"/>
                <w:highlight w:val="none"/>
              </w:rPr>
            </w:pPr>
          </w:p>
        </w:tc>
      </w:tr>
    </w:tbl>
    <w:p w14:paraId="4EFFCF39">
      <w:pPr>
        <w:pStyle w:val="18"/>
        <w:rPr>
          <w:rFonts w:ascii="宋体" w:hAnsi="宋体"/>
          <w:color w:val="auto"/>
          <w:highlight w:val="none"/>
        </w:rPr>
      </w:pPr>
      <w:r>
        <w:rPr>
          <w:rFonts w:hint="eastAsia" w:ascii="宋体" w:hAnsi="宋体"/>
          <w:color w:val="auto"/>
          <w:highlight w:val="none"/>
        </w:rPr>
        <w:t>注：</w:t>
      </w:r>
    </w:p>
    <w:p w14:paraId="7F13109F">
      <w:pPr>
        <w:pStyle w:val="20"/>
        <w:spacing w:line="520" w:lineRule="exact"/>
        <w:ind w:firstLine="0"/>
        <w:rPr>
          <w:rFonts w:hAnsi="仿宋_GB2312" w:cs="仿宋_GB2312"/>
          <w:color w:val="auto"/>
          <w:szCs w:val="32"/>
          <w:highlight w:val="none"/>
        </w:rPr>
      </w:pPr>
      <w:r>
        <w:rPr>
          <w:rFonts w:hint="eastAsia" w:ascii="宋体" w:hAnsi="宋体" w:eastAsia="宋体"/>
          <w:color w:val="auto"/>
          <w:sz w:val="24"/>
          <w:szCs w:val="24"/>
          <w:highlight w:val="none"/>
        </w:rPr>
        <w:t>1.</w:t>
      </w:r>
      <w:r>
        <w:rPr>
          <w:rFonts w:hint="eastAsia"/>
          <w:color w:val="auto"/>
          <w:highlight w:val="none"/>
        </w:rPr>
        <w:t xml:space="preserve"> </w:t>
      </w:r>
      <w:r>
        <w:rPr>
          <w:rFonts w:hint="eastAsia" w:ascii="宋体" w:hAnsi="宋体" w:eastAsia="宋体"/>
          <w:color w:val="auto"/>
          <w:sz w:val="24"/>
          <w:szCs w:val="24"/>
          <w:highlight w:val="none"/>
        </w:rPr>
        <w:t>说明：应对照招标文件“第二章 采购需求”中的商务要求逐条作明确的投标响应，并作出偏离说明。</w:t>
      </w:r>
    </w:p>
    <w:p w14:paraId="479E0210">
      <w:pPr>
        <w:pStyle w:val="18"/>
        <w:rPr>
          <w:rFonts w:ascii="宋体" w:hAnsi="宋体"/>
          <w:b w:val="0"/>
          <w:bCs w:val="0"/>
          <w:color w:val="auto"/>
          <w:highlight w:val="none"/>
        </w:rPr>
      </w:pPr>
      <w:r>
        <w:rPr>
          <w:rFonts w:ascii="宋体" w:hAnsi="宋体"/>
          <w:b w:val="0"/>
          <w:bCs w:val="0"/>
          <w:color w:val="auto"/>
          <w:highlight w:val="none"/>
        </w:rPr>
        <w:t>2.</w:t>
      </w:r>
      <w:r>
        <w:rPr>
          <w:rFonts w:hint="eastAsia" w:ascii="宋体" w:hAnsi="宋体"/>
          <w:b w:val="0"/>
          <w:bCs w:val="0"/>
          <w:color w:val="auto"/>
          <w:highlight w:val="none"/>
        </w:rPr>
        <w:t>投标人应根据自身的承诺，对照招标文件要求在“偏离说明”中注明“</w:t>
      </w:r>
      <w:r>
        <w:rPr>
          <w:rFonts w:hint="eastAsia" w:ascii="宋体" w:hAnsi="宋体"/>
          <w:color w:val="auto"/>
          <w:highlight w:val="none"/>
        </w:rPr>
        <w:t>正偏离</w:t>
      </w:r>
      <w:r>
        <w:rPr>
          <w:rFonts w:hint="eastAsia" w:ascii="宋体" w:hAnsi="宋体"/>
          <w:b w:val="0"/>
          <w:bCs w:val="0"/>
          <w:color w:val="auto"/>
          <w:highlight w:val="none"/>
        </w:rPr>
        <w:t>”、“</w:t>
      </w:r>
      <w:r>
        <w:rPr>
          <w:rFonts w:hint="eastAsia" w:ascii="宋体" w:hAnsi="宋体"/>
          <w:color w:val="auto"/>
          <w:highlight w:val="none"/>
        </w:rPr>
        <w:t>负偏离</w:t>
      </w:r>
      <w:r>
        <w:rPr>
          <w:rFonts w:hint="eastAsia" w:ascii="宋体" w:hAnsi="宋体"/>
          <w:b w:val="0"/>
          <w:bCs w:val="0"/>
          <w:color w:val="auto"/>
          <w:highlight w:val="none"/>
        </w:rPr>
        <w:t>”或者“</w:t>
      </w:r>
      <w:r>
        <w:rPr>
          <w:rFonts w:hint="eastAsia" w:ascii="宋体" w:hAnsi="宋体"/>
          <w:color w:val="auto"/>
          <w:highlight w:val="none"/>
        </w:rPr>
        <w:t>无偏离</w:t>
      </w:r>
      <w:r>
        <w:rPr>
          <w:rFonts w:hint="eastAsia" w:ascii="宋体" w:hAnsi="宋体"/>
          <w:b w:val="0"/>
          <w:bCs w:val="0"/>
          <w:color w:val="auto"/>
          <w:highlight w:val="none"/>
        </w:rPr>
        <w:t>”。既不属于“</w:t>
      </w:r>
      <w:r>
        <w:rPr>
          <w:rFonts w:hint="eastAsia" w:ascii="宋体" w:hAnsi="宋体"/>
          <w:color w:val="auto"/>
          <w:highlight w:val="none"/>
        </w:rPr>
        <w:t>正偏离</w:t>
      </w:r>
      <w:r>
        <w:rPr>
          <w:rFonts w:hint="eastAsia" w:ascii="宋体" w:hAnsi="宋体"/>
          <w:b w:val="0"/>
          <w:bCs w:val="0"/>
          <w:color w:val="auto"/>
          <w:highlight w:val="none"/>
        </w:rPr>
        <w:t>”也不属于“</w:t>
      </w:r>
      <w:r>
        <w:rPr>
          <w:rFonts w:hint="eastAsia" w:ascii="宋体" w:hAnsi="宋体"/>
          <w:color w:val="auto"/>
          <w:highlight w:val="none"/>
        </w:rPr>
        <w:t>负偏离</w:t>
      </w:r>
      <w:r>
        <w:rPr>
          <w:rFonts w:hint="eastAsia" w:ascii="宋体" w:hAnsi="宋体"/>
          <w:b w:val="0"/>
          <w:bCs w:val="0"/>
          <w:color w:val="auto"/>
          <w:highlight w:val="none"/>
        </w:rPr>
        <w:t>”即为“</w:t>
      </w:r>
      <w:r>
        <w:rPr>
          <w:rFonts w:hint="eastAsia" w:ascii="宋体" w:hAnsi="宋体"/>
          <w:color w:val="auto"/>
          <w:highlight w:val="none"/>
        </w:rPr>
        <w:t>无偏离</w:t>
      </w:r>
      <w:r>
        <w:rPr>
          <w:rFonts w:hint="eastAsia" w:ascii="宋体" w:hAnsi="宋体"/>
          <w:b w:val="0"/>
          <w:bCs w:val="0"/>
          <w:color w:val="auto"/>
          <w:highlight w:val="none"/>
        </w:rPr>
        <w:t>”。</w:t>
      </w:r>
    </w:p>
    <w:p w14:paraId="2903E5D3">
      <w:pPr>
        <w:spacing w:before="50" w:after="50"/>
        <w:rPr>
          <w:rFonts w:ascii="宋体" w:hAnsi="宋体"/>
          <w:color w:val="auto"/>
          <w:sz w:val="24"/>
          <w:highlight w:val="none"/>
        </w:rPr>
      </w:pPr>
    </w:p>
    <w:p w14:paraId="05DC3A49">
      <w:pPr>
        <w:spacing w:before="50" w:after="50"/>
        <w:rPr>
          <w:rFonts w:ascii="宋体" w:hAnsi="宋体"/>
          <w:color w:val="auto"/>
          <w:spacing w:val="20"/>
          <w:sz w:val="24"/>
          <w:highlight w:val="none"/>
          <w:u w:val="single"/>
        </w:rPr>
      </w:pPr>
      <w:r>
        <w:rPr>
          <w:rFonts w:hint="eastAsia" w:ascii="宋体" w:hAnsi="宋体"/>
          <w:color w:val="auto"/>
          <w:sz w:val="24"/>
          <w:highlight w:val="none"/>
        </w:rPr>
        <w:t>法定代表人或者委托代理人</w:t>
      </w:r>
      <w:r>
        <w:rPr>
          <w:rFonts w:hint="eastAsia" w:ascii="宋体" w:hAnsi="宋体"/>
          <w:color w:val="auto"/>
          <w:spacing w:val="20"/>
          <w:sz w:val="24"/>
          <w:highlight w:val="none"/>
        </w:rPr>
        <w:t>（签字或者电子签名）：</w:t>
      </w:r>
      <w:r>
        <w:rPr>
          <w:rFonts w:hint="eastAsia" w:ascii="宋体" w:hAnsi="宋体"/>
          <w:color w:val="auto"/>
          <w:spacing w:val="20"/>
          <w:sz w:val="24"/>
          <w:highlight w:val="none"/>
          <w:u w:val="single"/>
        </w:rPr>
        <w:t xml:space="preserve">        </w:t>
      </w:r>
    </w:p>
    <w:p w14:paraId="5ED629D5">
      <w:pPr>
        <w:rPr>
          <w:rFonts w:ascii="宋体" w:hAnsi="宋体"/>
          <w:color w:val="auto"/>
          <w:spacing w:val="20"/>
          <w:sz w:val="24"/>
          <w:highlight w:val="none"/>
        </w:rPr>
      </w:pPr>
      <w:r>
        <w:rPr>
          <w:rFonts w:hint="eastAsia" w:ascii="宋体" w:hAnsi="宋体"/>
          <w:color w:val="auto"/>
          <w:spacing w:val="20"/>
          <w:sz w:val="24"/>
          <w:highlight w:val="none"/>
        </w:rPr>
        <w:t>投标人名称（电子签章）：</w:t>
      </w:r>
      <w:r>
        <w:rPr>
          <w:rFonts w:hint="eastAsia" w:ascii="宋体" w:hAnsi="宋体"/>
          <w:color w:val="auto"/>
          <w:spacing w:val="20"/>
          <w:sz w:val="24"/>
          <w:highlight w:val="none"/>
          <w:u w:val="single"/>
        </w:rPr>
        <w:t xml:space="preserve">            </w:t>
      </w:r>
      <w:r>
        <w:rPr>
          <w:rFonts w:hint="eastAsia" w:ascii="宋体" w:hAnsi="宋体"/>
          <w:color w:val="auto"/>
          <w:spacing w:val="20"/>
          <w:sz w:val="24"/>
          <w:highlight w:val="none"/>
        </w:rPr>
        <w:t xml:space="preserve">   </w:t>
      </w:r>
    </w:p>
    <w:p w14:paraId="47772C86">
      <w:pPr>
        <w:rPr>
          <w:rFonts w:ascii="宋体" w:hAnsi="宋体"/>
          <w:color w:val="auto"/>
          <w:sz w:val="24"/>
          <w:szCs w:val="20"/>
          <w:highlight w:val="none"/>
        </w:rPr>
      </w:pPr>
      <w:r>
        <w:rPr>
          <w:rFonts w:hint="eastAsia" w:ascii="宋体" w:hAnsi="宋体"/>
          <w:color w:val="auto"/>
          <w:spacing w:val="20"/>
          <w:sz w:val="24"/>
          <w:highlight w:val="none"/>
        </w:rPr>
        <w:t>日  期：</w:t>
      </w:r>
      <w:r>
        <w:rPr>
          <w:rFonts w:hint="eastAsia" w:ascii="宋体" w:hAnsi="宋体"/>
          <w:color w:val="auto"/>
          <w:spacing w:val="20"/>
          <w:sz w:val="24"/>
          <w:highlight w:val="none"/>
          <w:u w:val="single"/>
        </w:rPr>
        <w:t xml:space="preserve">         </w:t>
      </w:r>
    </w:p>
    <w:p w14:paraId="1DAF29A2">
      <w:pPr>
        <w:rPr>
          <w:rFonts w:ascii="宋体" w:hAnsi="宋体"/>
          <w:color w:val="auto"/>
          <w:sz w:val="24"/>
          <w:szCs w:val="20"/>
          <w:highlight w:val="none"/>
        </w:rPr>
      </w:pPr>
    </w:p>
    <w:p w14:paraId="774DF0C5">
      <w:pPr>
        <w:spacing w:after="50"/>
        <w:jc w:val="left"/>
        <w:rPr>
          <w:rFonts w:ascii="宋体" w:hAnsi="宋体"/>
          <w:color w:val="auto"/>
          <w:sz w:val="24"/>
          <w:szCs w:val="20"/>
          <w:highlight w:val="none"/>
        </w:rPr>
      </w:pPr>
    </w:p>
    <w:p w14:paraId="5B4D0DC2">
      <w:pPr>
        <w:spacing w:after="50"/>
        <w:jc w:val="left"/>
        <w:rPr>
          <w:rFonts w:ascii="宋体" w:hAnsi="宋体"/>
          <w:b/>
          <w:color w:val="auto"/>
          <w:sz w:val="24"/>
          <w:highlight w:val="none"/>
        </w:rPr>
      </w:pPr>
      <w:r>
        <w:rPr>
          <w:rFonts w:ascii="宋体" w:hAnsi="宋体"/>
          <w:color w:val="auto"/>
          <w:sz w:val="24"/>
          <w:szCs w:val="20"/>
          <w:highlight w:val="none"/>
        </w:rPr>
        <w:br w:type="page" w:clear="all"/>
      </w:r>
      <w:r>
        <w:rPr>
          <w:rFonts w:hint="eastAsia" w:ascii="宋体" w:hAnsi="宋体"/>
          <w:b/>
          <w:color w:val="auto"/>
          <w:sz w:val="24"/>
          <w:highlight w:val="none"/>
        </w:rPr>
        <w:t>7.投标人业绩证明材料</w:t>
      </w:r>
    </w:p>
    <w:p w14:paraId="1522C1E5">
      <w:pPr>
        <w:pStyle w:val="36"/>
        <w:ind w:left="480" w:hanging="480"/>
        <w:rPr>
          <w:rFonts w:ascii="宋体" w:hAnsi="宋体"/>
          <w:color w:val="auto"/>
          <w:sz w:val="24"/>
          <w:highlight w:val="none"/>
        </w:rPr>
      </w:pPr>
    </w:p>
    <w:p w14:paraId="5EDCC031">
      <w:pPr>
        <w:pStyle w:val="36"/>
        <w:ind w:left="480" w:hanging="480"/>
        <w:rPr>
          <w:rFonts w:ascii="宋体" w:hAnsi="宋体"/>
          <w:color w:val="auto"/>
          <w:sz w:val="24"/>
          <w:highlight w:val="none"/>
        </w:rPr>
      </w:pPr>
      <w:r>
        <w:rPr>
          <w:rFonts w:hint="eastAsia" w:ascii="宋体" w:hAnsi="宋体"/>
          <w:color w:val="auto"/>
          <w:sz w:val="24"/>
          <w:highlight w:val="none"/>
        </w:rPr>
        <w:t xml:space="preserve">投标人业绩情况一览表格式： </w:t>
      </w:r>
    </w:p>
    <w:tbl>
      <w:tblPr>
        <w:tblStyle w:val="50"/>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2076"/>
        <w:gridCol w:w="1723"/>
        <w:gridCol w:w="1723"/>
        <w:gridCol w:w="2780"/>
      </w:tblGrid>
      <w:tr w14:paraId="634EA2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1250" w:type="pct"/>
            <w:vMerge w:val="restart"/>
            <w:tcBorders>
              <w:top w:val="single" w:color="auto" w:sz="4" w:space="0"/>
              <w:left w:val="single" w:color="auto" w:sz="4" w:space="0"/>
              <w:bottom w:val="single" w:color="auto" w:sz="4" w:space="0"/>
              <w:right w:val="single" w:color="auto" w:sz="4" w:space="0"/>
            </w:tcBorders>
            <w:vAlign w:val="center"/>
          </w:tcPr>
          <w:p w14:paraId="0935F548">
            <w:pPr>
              <w:spacing w:line="240" w:lineRule="exact"/>
              <w:jc w:val="center"/>
              <w:rPr>
                <w:rFonts w:ascii="宋体" w:hAnsi="宋体"/>
                <w:color w:val="auto"/>
                <w:sz w:val="24"/>
                <w:highlight w:val="none"/>
              </w:rPr>
            </w:pPr>
            <w:r>
              <w:rPr>
                <w:rFonts w:hint="eastAsia" w:ascii="宋体" w:hAnsi="宋体"/>
                <w:color w:val="auto"/>
                <w:sz w:val="24"/>
                <w:highlight w:val="none"/>
              </w:rPr>
              <w:t>采购人名称</w:t>
            </w:r>
          </w:p>
        </w:tc>
        <w:tc>
          <w:tcPr>
            <w:tcW w:w="1038" w:type="pct"/>
            <w:vMerge w:val="restart"/>
            <w:tcBorders>
              <w:top w:val="single" w:color="auto" w:sz="4" w:space="0"/>
              <w:left w:val="single" w:color="auto" w:sz="4" w:space="0"/>
              <w:bottom w:val="single" w:color="auto" w:sz="4" w:space="0"/>
              <w:right w:val="single" w:color="auto" w:sz="4" w:space="0"/>
            </w:tcBorders>
            <w:vAlign w:val="center"/>
          </w:tcPr>
          <w:p w14:paraId="252A5738">
            <w:pPr>
              <w:spacing w:line="240" w:lineRule="exact"/>
              <w:jc w:val="center"/>
              <w:rPr>
                <w:rFonts w:ascii="宋体" w:hAnsi="宋体"/>
                <w:color w:val="auto"/>
                <w:sz w:val="24"/>
                <w:highlight w:val="none"/>
              </w:rPr>
            </w:pPr>
            <w:r>
              <w:rPr>
                <w:rFonts w:hint="eastAsia" w:ascii="宋体" w:hAnsi="宋体"/>
                <w:color w:val="auto"/>
                <w:sz w:val="24"/>
                <w:highlight w:val="none"/>
              </w:rPr>
              <w:t>项目名称</w:t>
            </w:r>
          </w:p>
        </w:tc>
        <w:tc>
          <w:tcPr>
            <w:tcW w:w="1038" w:type="pct"/>
            <w:vMerge w:val="restart"/>
            <w:tcBorders>
              <w:top w:val="single" w:color="auto" w:sz="4" w:space="0"/>
              <w:left w:val="single" w:color="auto" w:sz="4" w:space="0"/>
              <w:bottom w:val="single" w:color="auto" w:sz="4" w:space="0"/>
              <w:right w:val="single" w:color="auto" w:sz="4" w:space="0"/>
            </w:tcBorders>
            <w:vAlign w:val="center"/>
          </w:tcPr>
          <w:p w14:paraId="450DABB2">
            <w:pPr>
              <w:spacing w:line="240" w:lineRule="exact"/>
              <w:jc w:val="center"/>
              <w:rPr>
                <w:rFonts w:ascii="宋体" w:hAnsi="宋体"/>
                <w:color w:val="auto"/>
                <w:sz w:val="24"/>
                <w:highlight w:val="none"/>
              </w:rPr>
            </w:pPr>
            <w:r>
              <w:rPr>
                <w:rFonts w:hint="eastAsia" w:ascii="宋体" w:hAnsi="宋体"/>
                <w:color w:val="auto"/>
                <w:sz w:val="24"/>
                <w:highlight w:val="none"/>
              </w:rPr>
              <w:t>合同金额</w:t>
            </w:r>
          </w:p>
          <w:p w14:paraId="6D60DCDC">
            <w:pPr>
              <w:spacing w:line="240" w:lineRule="exact"/>
              <w:jc w:val="center"/>
              <w:rPr>
                <w:rFonts w:ascii="宋体" w:hAnsi="宋体"/>
                <w:color w:val="auto"/>
                <w:sz w:val="24"/>
                <w:highlight w:val="none"/>
              </w:rPr>
            </w:pPr>
            <w:r>
              <w:rPr>
                <w:rFonts w:hint="eastAsia" w:ascii="宋体" w:hAnsi="宋体"/>
                <w:color w:val="auto"/>
                <w:sz w:val="24"/>
                <w:highlight w:val="none"/>
              </w:rPr>
              <w:t>（万元）</w:t>
            </w:r>
          </w:p>
        </w:tc>
        <w:tc>
          <w:tcPr>
            <w:tcW w:w="1674" w:type="pct"/>
            <w:vMerge w:val="restart"/>
            <w:tcBorders>
              <w:top w:val="single" w:color="auto" w:sz="4" w:space="0"/>
              <w:left w:val="single" w:color="auto" w:sz="4" w:space="0"/>
              <w:bottom w:val="single" w:color="auto" w:sz="4" w:space="0"/>
              <w:right w:val="single" w:color="auto" w:sz="4" w:space="0"/>
            </w:tcBorders>
            <w:vAlign w:val="center"/>
          </w:tcPr>
          <w:p w14:paraId="02F7ADF2">
            <w:pPr>
              <w:spacing w:line="240" w:lineRule="exact"/>
              <w:jc w:val="center"/>
              <w:rPr>
                <w:rFonts w:ascii="宋体" w:hAnsi="宋体"/>
                <w:color w:val="auto"/>
                <w:sz w:val="24"/>
                <w:highlight w:val="none"/>
              </w:rPr>
            </w:pPr>
            <w:r>
              <w:rPr>
                <w:rFonts w:hint="eastAsia" w:ascii="宋体" w:hAnsi="宋体"/>
                <w:color w:val="auto"/>
                <w:sz w:val="24"/>
                <w:highlight w:val="none"/>
              </w:rPr>
              <w:t>采购人联系人及</w:t>
            </w:r>
          </w:p>
          <w:p w14:paraId="760088CA">
            <w:pPr>
              <w:spacing w:line="240" w:lineRule="exact"/>
              <w:jc w:val="center"/>
              <w:rPr>
                <w:rFonts w:ascii="宋体" w:hAnsi="宋体"/>
                <w:color w:val="auto"/>
                <w:sz w:val="24"/>
                <w:highlight w:val="none"/>
              </w:rPr>
            </w:pPr>
            <w:r>
              <w:rPr>
                <w:rFonts w:hint="eastAsia" w:ascii="宋体" w:hAnsi="宋体"/>
                <w:color w:val="auto"/>
                <w:sz w:val="24"/>
                <w:highlight w:val="none"/>
              </w:rPr>
              <w:t>联系电话</w:t>
            </w:r>
          </w:p>
        </w:tc>
      </w:tr>
      <w:tr w14:paraId="7D0534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250" w:type="pct"/>
            <w:tcBorders>
              <w:top w:val="single" w:color="auto" w:sz="4" w:space="0"/>
              <w:left w:val="single" w:color="auto" w:sz="4" w:space="0"/>
              <w:bottom w:val="single" w:color="auto" w:sz="4" w:space="0"/>
              <w:right w:val="single" w:color="auto" w:sz="4" w:space="0"/>
            </w:tcBorders>
          </w:tcPr>
          <w:p w14:paraId="345B10F2">
            <w:pPr>
              <w:spacing w:line="240" w:lineRule="exact"/>
              <w:jc w:val="left"/>
              <w:rPr>
                <w:rFonts w:ascii="宋体" w:hAnsi="宋体"/>
                <w:color w:val="auto"/>
                <w:sz w:val="24"/>
                <w:highlight w:val="none"/>
              </w:rPr>
            </w:pPr>
          </w:p>
        </w:tc>
        <w:tc>
          <w:tcPr>
            <w:tcW w:w="1038" w:type="pct"/>
            <w:tcBorders>
              <w:top w:val="single" w:color="auto" w:sz="4" w:space="0"/>
              <w:left w:val="single" w:color="auto" w:sz="4" w:space="0"/>
              <w:bottom w:val="single" w:color="auto" w:sz="4" w:space="0"/>
              <w:right w:val="single" w:color="auto" w:sz="4" w:space="0"/>
            </w:tcBorders>
          </w:tcPr>
          <w:p w14:paraId="64FE6EA4">
            <w:pPr>
              <w:spacing w:line="240" w:lineRule="exact"/>
              <w:jc w:val="left"/>
              <w:rPr>
                <w:rFonts w:ascii="宋体" w:hAnsi="宋体"/>
                <w:color w:val="auto"/>
                <w:sz w:val="24"/>
                <w:highlight w:val="none"/>
              </w:rPr>
            </w:pPr>
          </w:p>
        </w:tc>
        <w:tc>
          <w:tcPr>
            <w:tcW w:w="1038" w:type="pct"/>
            <w:tcBorders>
              <w:top w:val="single" w:color="auto" w:sz="4" w:space="0"/>
              <w:left w:val="single" w:color="auto" w:sz="4" w:space="0"/>
              <w:bottom w:val="single" w:color="auto" w:sz="4" w:space="0"/>
              <w:right w:val="single" w:color="auto" w:sz="4" w:space="0"/>
            </w:tcBorders>
          </w:tcPr>
          <w:p w14:paraId="5C998A4A">
            <w:pPr>
              <w:spacing w:line="240" w:lineRule="exact"/>
              <w:jc w:val="left"/>
              <w:rPr>
                <w:rFonts w:ascii="宋体" w:hAnsi="宋体"/>
                <w:color w:val="auto"/>
                <w:sz w:val="24"/>
                <w:highlight w:val="none"/>
              </w:rPr>
            </w:pPr>
          </w:p>
        </w:tc>
        <w:tc>
          <w:tcPr>
            <w:tcW w:w="1674" w:type="pct"/>
            <w:tcBorders>
              <w:top w:val="single" w:color="auto" w:sz="4" w:space="0"/>
              <w:left w:val="single" w:color="auto" w:sz="4" w:space="0"/>
              <w:bottom w:val="single" w:color="auto" w:sz="4" w:space="0"/>
              <w:right w:val="single" w:color="auto" w:sz="4" w:space="0"/>
            </w:tcBorders>
          </w:tcPr>
          <w:p w14:paraId="598235A5">
            <w:pPr>
              <w:spacing w:line="240" w:lineRule="exact"/>
              <w:jc w:val="left"/>
              <w:rPr>
                <w:rFonts w:ascii="宋体" w:hAnsi="宋体"/>
                <w:color w:val="auto"/>
                <w:sz w:val="24"/>
                <w:highlight w:val="none"/>
              </w:rPr>
            </w:pPr>
          </w:p>
        </w:tc>
      </w:tr>
      <w:tr w14:paraId="73B7A3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50" w:type="pct"/>
            <w:tcBorders>
              <w:top w:val="single" w:color="auto" w:sz="4" w:space="0"/>
              <w:left w:val="single" w:color="auto" w:sz="4" w:space="0"/>
              <w:bottom w:val="single" w:color="auto" w:sz="4" w:space="0"/>
              <w:right w:val="single" w:color="auto" w:sz="4" w:space="0"/>
            </w:tcBorders>
          </w:tcPr>
          <w:p w14:paraId="70E70E58">
            <w:pPr>
              <w:spacing w:before="50" w:line="400" w:lineRule="exact"/>
              <w:jc w:val="left"/>
              <w:rPr>
                <w:rFonts w:ascii="宋体" w:hAnsi="宋体"/>
                <w:color w:val="auto"/>
                <w:sz w:val="24"/>
                <w:highlight w:val="none"/>
              </w:rPr>
            </w:pPr>
          </w:p>
        </w:tc>
        <w:tc>
          <w:tcPr>
            <w:tcW w:w="1038" w:type="pct"/>
            <w:tcBorders>
              <w:top w:val="single" w:color="auto" w:sz="4" w:space="0"/>
              <w:left w:val="single" w:color="auto" w:sz="4" w:space="0"/>
              <w:bottom w:val="single" w:color="auto" w:sz="4" w:space="0"/>
              <w:right w:val="single" w:color="auto" w:sz="4" w:space="0"/>
            </w:tcBorders>
          </w:tcPr>
          <w:p w14:paraId="65160AAD">
            <w:pPr>
              <w:spacing w:before="50" w:line="400" w:lineRule="exact"/>
              <w:jc w:val="left"/>
              <w:rPr>
                <w:rFonts w:ascii="宋体" w:hAnsi="宋体"/>
                <w:color w:val="auto"/>
                <w:sz w:val="24"/>
                <w:highlight w:val="none"/>
              </w:rPr>
            </w:pPr>
          </w:p>
        </w:tc>
        <w:tc>
          <w:tcPr>
            <w:tcW w:w="1038" w:type="pct"/>
            <w:tcBorders>
              <w:top w:val="single" w:color="auto" w:sz="4" w:space="0"/>
              <w:left w:val="single" w:color="auto" w:sz="4" w:space="0"/>
              <w:bottom w:val="single" w:color="auto" w:sz="4" w:space="0"/>
              <w:right w:val="single" w:color="auto" w:sz="4" w:space="0"/>
            </w:tcBorders>
          </w:tcPr>
          <w:p w14:paraId="6EAED76A">
            <w:pPr>
              <w:spacing w:before="50" w:line="400" w:lineRule="exact"/>
              <w:jc w:val="left"/>
              <w:rPr>
                <w:rFonts w:ascii="宋体" w:hAnsi="宋体"/>
                <w:color w:val="auto"/>
                <w:sz w:val="24"/>
                <w:highlight w:val="none"/>
              </w:rPr>
            </w:pPr>
          </w:p>
        </w:tc>
        <w:tc>
          <w:tcPr>
            <w:tcW w:w="1674" w:type="pct"/>
            <w:tcBorders>
              <w:top w:val="single" w:color="auto" w:sz="4" w:space="0"/>
              <w:left w:val="single" w:color="auto" w:sz="4" w:space="0"/>
              <w:bottom w:val="single" w:color="auto" w:sz="4" w:space="0"/>
              <w:right w:val="single" w:color="auto" w:sz="4" w:space="0"/>
            </w:tcBorders>
          </w:tcPr>
          <w:p w14:paraId="361ACCDA">
            <w:pPr>
              <w:spacing w:before="50" w:line="400" w:lineRule="exact"/>
              <w:jc w:val="left"/>
              <w:rPr>
                <w:rFonts w:ascii="宋体" w:hAnsi="宋体"/>
                <w:color w:val="auto"/>
                <w:sz w:val="24"/>
                <w:highlight w:val="none"/>
              </w:rPr>
            </w:pPr>
          </w:p>
        </w:tc>
      </w:tr>
      <w:tr w14:paraId="7655F9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250" w:type="pct"/>
            <w:tcBorders>
              <w:top w:val="single" w:color="auto" w:sz="4" w:space="0"/>
              <w:left w:val="single" w:color="auto" w:sz="4" w:space="0"/>
              <w:bottom w:val="single" w:color="auto" w:sz="4" w:space="0"/>
              <w:right w:val="single" w:color="auto" w:sz="4" w:space="0"/>
            </w:tcBorders>
          </w:tcPr>
          <w:p w14:paraId="5D69ADD2">
            <w:pPr>
              <w:spacing w:before="50" w:line="400" w:lineRule="exact"/>
              <w:jc w:val="left"/>
              <w:rPr>
                <w:rFonts w:ascii="宋体" w:hAnsi="宋体"/>
                <w:color w:val="auto"/>
                <w:sz w:val="24"/>
                <w:highlight w:val="none"/>
              </w:rPr>
            </w:pPr>
          </w:p>
        </w:tc>
        <w:tc>
          <w:tcPr>
            <w:tcW w:w="1038" w:type="pct"/>
            <w:tcBorders>
              <w:top w:val="single" w:color="auto" w:sz="4" w:space="0"/>
              <w:left w:val="single" w:color="auto" w:sz="4" w:space="0"/>
              <w:bottom w:val="single" w:color="auto" w:sz="4" w:space="0"/>
              <w:right w:val="single" w:color="auto" w:sz="4" w:space="0"/>
            </w:tcBorders>
          </w:tcPr>
          <w:p w14:paraId="503277FF">
            <w:pPr>
              <w:spacing w:before="50" w:line="400" w:lineRule="exact"/>
              <w:jc w:val="left"/>
              <w:rPr>
                <w:rFonts w:ascii="宋体" w:hAnsi="宋体"/>
                <w:color w:val="auto"/>
                <w:sz w:val="24"/>
                <w:highlight w:val="none"/>
              </w:rPr>
            </w:pPr>
          </w:p>
        </w:tc>
        <w:tc>
          <w:tcPr>
            <w:tcW w:w="1038" w:type="pct"/>
            <w:tcBorders>
              <w:top w:val="single" w:color="auto" w:sz="4" w:space="0"/>
              <w:left w:val="single" w:color="auto" w:sz="4" w:space="0"/>
              <w:bottom w:val="single" w:color="auto" w:sz="4" w:space="0"/>
              <w:right w:val="single" w:color="auto" w:sz="4" w:space="0"/>
            </w:tcBorders>
          </w:tcPr>
          <w:p w14:paraId="6AFB6976">
            <w:pPr>
              <w:spacing w:before="50" w:line="400" w:lineRule="exact"/>
              <w:jc w:val="left"/>
              <w:rPr>
                <w:rFonts w:ascii="宋体" w:hAnsi="宋体"/>
                <w:color w:val="auto"/>
                <w:sz w:val="24"/>
                <w:highlight w:val="none"/>
              </w:rPr>
            </w:pPr>
          </w:p>
        </w:tc>
        <w:tc>
          <w:tcPr>
            <w:tcW w:w="1674" w:type="pct"/>
            <w:tcBorders>
              <w:top w:val="single" w:color="auto" w:sz="4" w:space="0"/>
              <w:left w:val="single" w:color="auto" w:sz="4" w:space="0"/>
              <w:bottom w:val="single" w:color="auto" w:sz="4" w:space="0"/>
              <w:right w:val="single" w:color="auto" w:sz="4" w:space="0"/>
            </w:tcBorders>
          </w:tcPr>
          <w:p w14:paraId="762A9812">
            <w:pPr>
              <w:spacing w:before="50" w:line="400" w:lineRule="exact"/>
              <w:jc w:val="left"/>
              <w:rPr>
                <w:rFonts w:ascii="宋体" w:hAnsi="宋体"/>
                <w:color w:val="auto"/>
                <w:sz w:val="24"/>
                <w:highlight w:val="none"/>
              </w:rPr>
            </w:pPr>
          </w:p>
        </w:tc>
      </w:tr>
      <w:tr w14:paraId="2B8841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50" w:type="pct"/>
            <w:tcBorders>
              <w:top w:val="single" w:color="auto" w:sz="4" w:space="0"/>
              <w:left w:val="single" w:color="auto" w:sz="4" w:space="0"/>
              <w:bottom w:val="single" w:color="auto" w:sz="4" w:space="0"/>
              <w:right w:val="single" w:color="auto" w:sz="4" w:space="0"/>
            </w:tcBorders>
          </w:tcPr>
          <w:p w14:paraId="443976AD">
            <w:pPr>
              <w:spacing w:before="50" w:line="400" w:lineRule="exact"/>
              <w:jc w:val="left"/>
              <w:rPr>
                <w:rFonts w:ascii="宋体" w:hAnsi="宋体"/>
                <w:color w:val="auto"/>
                <w:sz w:val="24"/>
                <w:highlight w:val="none"/>
              </w:rPr>
            </w:pPr>
          </w:p>
        </w:tc>
        <w:tc>
          <w:tcPr>
            <w:tcW w:w="1038" w:type="pct"/>
            <w:tcBorders>
              <w:top w:val="single" w:color="auto" w:sz="4" w:space="0"/>
              <w:left w:val="single" w:color="auto" w:sz="4" w:space="0"/>
              <w:bottom w:val="single" w:color="auto" w:sz="4" w:space="0"/>
              <w:right w:val="single" w:color="auto" w:sz="4" w:space="0"/>
            </w:tcBorders>
          </w:tcPr>
          <w:p w14:paraId="2FDF9CBC">
            <w:pPr>
              <w:spacing w:before="50" w:line="400" w:lineRule="exact"/>
              <w:jc w:val="left"/>
              <w:rPr>
                <w:rFonts w:ascii="宋体" w:hAnsi="宋体"/>
                <w:color w:val="auto"/>
                <w:sz w:val="24"/>
                <w:highlight w:val="none"/>
              </w:rPr>
            </w:pPr>
          </w:p>
        </w:tc>
        <w:tc>
          <w:tcPr>
            <w:tcW w:w="1038" w:type="pct"/>
            <w:tcBorders>
              <w:top w:val="single" w:color="auto" w:sz="4" w:space="0"/>
              <w:left w:val="single" w:color="auto" w:sz="4" w:space="0"/>
              <w:bottom w:val="single" w:color="auto" w:sz="4" w:space="0"/>
              <w:right w:val="single" w:color="auto" w:sz="4" w:space="0"/>
            </w:tcBorders>
          </w:tcPr>
          <w:p w14:paraId="32D5620B">
            <w:pPr>
              <w:spacing w:before="50" w:line="400" w:lineRule="exact"/>
              <w:jc w:val="left"/>
              <w:rPr>
                <w:rFonts w:ascii="宋体" w:hAnsi="宋体"/>
                <w:color w:val="auto"/>
                <w:sz w:val="24"/>
                <w:highlight w:val="none"/>
              </w:rPr>
            </w:pPr>
          </w:p>
        </w:tc>
        <w:tc>
          <w:tcPr>
            <w:tcW w:w="1674" w:type="pct"/>
            <w:tcBorders>
              <w:top w:val="single" w:color="auto" w:sz="4" w:space="0"/>
              <w:left w:val="single" w:color="auto" w:sz="4" w:space="0"/>
              <w:bottom w:val="single" w:color="auto" w:sz="4" w:space="0"/>
              <w:right w:val="single" w:color="auto" w:sz="4" w:space="0"/>
            </w:tcBorders>
          </w:tcPr>
          <w:p w14:paraId="54C833F4">
            <w:pPr>
              <w:spacing w:before="50" w:line="400" w:lineRule="exact"/>
              <w:jc w:val="left"/>
              <w:rPr>
                <w:rFonts w:ascii="宋体" w:hAnsi="宋体"/>
                <w:color w:val="auto"/>
                <w:sz w:val="24"/>
                <w:highlight w:val="none"/>
              </w:rPr>
            </w:pPr>
          </w:p>
        </w:tc>
      </w:tr>
      <w:tr w14:paraId="7240AC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50" w:type="pct"/>
            <w:tcBorders>
              <w:top w:val="single" w:color="auto" w:sz="4" w:space="0"/>
              <w:left w:val="single" w:color="auto" w:sz="4" w:space="0"/>
              <w:bottom w:val="single" w:color="auto" w:sz="4" w:space="0"/>
              <w:right w:val="single" w:color="auto" w:sz="4" w:space="0"/>
            </w:tcBorders>
          </w:tcPr>
          <w:p w14:paraId="3C7EE4DC">
            <w:pPr>
              <w:spacing w:before="50" w:line="400" w:lineRule="exact"/>
              <w:jc w:val="left"/>
              <w:rPr>
                <w:rFonts w:ascii="宋体" w:hAnsi="宋体"/>
                <w:color w:val="auto"/>
                <w:sz w:val="24"/>
                <w:highlight w:val="none"/>
              </w:rPr>
            </w:pPr>
          </w:p>
        </w:tc>
        <w:tc>
          <w:tcPr>
            <w:tcW w:w="1038" w:type="pct"/>
            <w:tcBorders>
              <w:top w:val="single" w:color="auto" w:sz="4" w:space="0"/>
              <w:left w:val="single" w:color="auto" w:sz="4" w:space="0"/>
              <w:bottom w:val="single" w:color="auto" w:sz="4" w:space="0"/>
              <w:right w:val="single" w:color="auto" w:sz="4" w:space="0"/>
            </w:tcBorders>
          </w:tcPr>
          <w:p w14:paraId="0C9F3AC4">
            <w:pPr>
              <w:spacing w:before="50" w:line="400" w:lineRule="exact"/>
              <w:jc w:val="left"/>
              <w:rPr>
                <w:rFonts w:ascii="宋体" w:hAnsi="宋体"/>
                <w:color w:val="auto"/>
                <w:sz w:val="24"/>
                <w:highlight w:val="none"/>
              </w:rPr>
            </w:pPr>
          </w:p>
        </w:tc>
        <w:tc>
          <w:tcPr>
            <w:tcW w:w="1038" w:type="pct"/>
            <w:tcBorders>
              <w:top w:val="single" w:color="auto" w:sz="4" w:space="0"/>
              <w:left w:val="single" w:color="auto" w:sz="4" w:space="0"/>
              <w:bottom w:val="single" w:color="auto" w:sz="4" w:space="0"/>
              <w:right w:val="single" w:color="auto" w:sz="4" w:space="0"/>
            </w:tcBorders>
          </w:tcPr>
          <w:p w14:paraId="3329119C">
            <w:pPr>
              <w:spacing w:before="50" w:line="400" w:lineRule="exact"/>
              <w:jc w:val="left"/>
              <w:rPr>
                <w:rFonts w:ascii="宋体" w:hAnsi="宋体"/>
                <w:color w:val="auto"/>
                <w:sz w:val="24"/>
                <w:highlight w:val="none"/>
              </w:rPr>
            </w:pPr>
          </w:p>
        </w:tc>
        <w:tc>
          <w:tcPr>
            <w:tcW w:w="1674" w:type="pct"/>
            <w:tcBorders>
              <w:top w:val="single" w:color="auto" w:sz="4" w:space="0"/>
              <w:left w:val="single" w:color="auto" w:sz="4" w:space="0"/>
              <w:bottom w:val="single" w:color="auto" w:sz="4" w:space="0"/>
              <w:right w:val="single" w:color="auto" w:sz="4" w:space="0"/>
            </w:tcBorders>
          </w:tcPr>
          <w:p w14:paraId="53CFDC88">
            <w:pPr>
              <w:spacing w:before="50" w:line="400" w:lineRule="exact"/>
              <w:jc w:val="left"/>
              <w:rPr>
                <w:rFonts w:ascii="宋体" w:hAnsi="宋体"/>
                <w:color w:val="auto"/>
                <w:sz w:val="24"/>
                <w:highlight w:val="none"/>
              </w:rPr>
            </w:pPr>
          </w:p>
        </w:tc>
      </w:tr>
    </w:tbl>
    <w:p w14:paraId="3059A715">
      <w:pPr>
        <w:pStyle w:val="15"/>
        <w:spacing w:before="0" w:after="0" w:line="360" w:lineRule="auto"/>
        <w:contextualSpacing/>
        <w:rPr>
          <w:rFonts w:ascii="宋体" w:hAnsi="宋体" w:eastAsia="宋体"/>
          <w:color w:val="auto"/>
          <w:sz w:val="24"/>
          <w:szCs w:val="24"/>
          <w:highlight w:val="none"/>
        </w:rPr>
      </w:pPr>
    </w:p>
    <w:p w14:paraId="4B628D80">
      <w:pPr>
        <w:pStyle w:val="15"/>
        <w:spacing w:before="0" w:after="0" w:line="360" w:lineRule="auto"/>
        <w:contextualSpacing/>
        <w:rPr>
          <w:rFonts w:ascii="宋体" w:hAnsi="宋体" w:eastAsia="宋体"/>
          <w:color w:val="auto"/>
          <w:sz w:val="24"/>
          <w:szCs w:val="24"/>
          <w:highlight w:val="none"/>
        </w:rPr>
      </w:pPr>
      <w:r>
        <w:rPr>
          <w:rFonts w:hint="eastAsia" w:ascii="宋体" w:hAnsi="宋体" w:eastAsia="宋体"/>
          <w:color w:val="auto"/>
          <w:sz w:val="24"/>
          <w:szCs w:val="24"/>
          <w:highlight w:val="none"/>
        </w:rPr>
        <w:t>注：</w:t>
      </w:r>
      <w:r>
        <w:rPr>
          <w:rFonts w:hint="eastAsia" w:ascii="宋体" w:hAnsi="宋体"/>
          <w:color w:val="auto"/>
          <w:sz w:val="24"/>
          <w:highlight w:val="none"/>
        </w:rPr>
        <w:t>投标人根据评标标准具体要求附业绩证明材料。</w:t>
      </w:r>
    </w:p>
    <w:p w14:paraId="51DAB219">
      <w:pPr>
        <w:pStyle w:val="15"/>
        <w:spacing w:before="0" w:after="0" w:line="360" w:lineRule="auto"/>
        <w:contextualSpacing/>
        <w:jc w:val="left"/>
        <w:rPr>
          <w:rFonts w:ascii="宋体" w:hAnsi="宋体" w:eastAsia="宋体"/>
          <w:color w:val="auto"/>
          <w:sz w:val="24"/>
          <w:szCs w:val="24"/>
          <w:highlight w:val="none"/>
          <w:u w:val="single"/>
        </w:rPr>
      </w:pPr>
      <w:r>
        <w:rPr>
          <w:rFonts w:hint="eastAsia" w:ascii="宋体" w:hAnsi="宋体" w:eastAsia="宋体"/>
          <w:color w:val="auto"/>
          <w:sz w:val="24"/>
          <w:szCs w:val="24"/>
          <w:highlight w:val="none"/>
        </w:rPr>
        <w:t>法定代表人或者委托代理人（签字或者电子签名）：</w:t>
      </w:r>
      <w:r>
        <w:rPr>
          <w:rFonts w:hint="eastAsia" w:ascii="宋体" w:hAnsi="宋体" w:eastAsia="宋体"/>
          <w:color w:val="auto"/>
          <w:sz w:val="24"/>
          <w:szCs w:val="24"/>
          <w:highlight w:val="none"/>
          <w:u w:val="single"/>
        </w:rPr>
        <w:t>　　　　　</w:t>
      </w:r>
    </w:p>
    <w:p w14:paraId="00ECDCE4">
      <w:pPr>
        <w:spacing w:line="360" w:lineRule="auto"/>
        <w:ind w:right="480"/>
        <w:contextualSpacing/>
        <w:jc w:val="left"/>
        <w:rPr>
          <w:rFonts w:ascii="宋体" w:hAnsi="宋体"/>
          <w:color w:val="auto"/>
          <w:sz w:val="24"/>
          <w:szCs w:val="20"/>
          <w:highlight w:val="none"/>
        </w:rPr>
      </w:pPr>
      <w:r>
        <w:rPr>
          <w:rFonts w:hint="eastAsia" w:ascii="宋体" w:hAnsi="宋体" w:cs="Arial"/>
          <w:color w:val="auto"/>
          <w:sz w:val="24"/>
          <w:highlight w:val="none"/>
        </w:rPr>
        <w:t xml:space="preserve">投标人名称（电子签章）： </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年    月    日</w:t>
      </w:r>
    </w:p>
    <w:p w14:paraId="3E0B443C">
      <w:pPr>
        <w:spacing w:before="50"/>
        <w:ind w:firstLine="480"/>
        <w:jc w:val="left"/>
        <w:rPr>
          <w:rFonts w:ascii="宋体" w:hAnsi="宋体"/>
          <w:color w:val="auto"/>
          <w:sz w:val="24"/>
          <w:szCs w:val="20"/>
          <w:highlight w:val="none"/>
        </w:rPr>
      </w:pPr>
    </w:p>
    <w:p w14:paraId="68857B69">
      <w:pPr>
        <w:spacing w:after="50"/>
        <w:jc w:val="left"/>
        <w:rPr>
          <w:rFonts w:ascii="方正小标宋简体" w:hAnsi="方正小标宋简体" w:eastAsia="方正小标宋简体" w:cs="方正小标宋简体"/>
          <w:bCs/>
          <w:color w:val="auto"/>
          <w:szCs w:val="21"/>
          <w:highlight w:val="none"/>
        </w:rPr>
      </w:pPr>
      <w:r>
        <w:rPr>
          <w:rFonts w:ascii="宋体" w:hAnsi="宋体"/>
          <w:color w:val="auto"/>
          <w:sz w:val="24"/>
          <w:highlight w:val="none"/>
        </w:rPr>
        <w:br w:type="page" w:clear="all"/>
      </w:r>
      <w:r>
        <w:rPr>
          <w:rFonts w:hint="eastAsia" w:ascii="宋体" w:hAnsi="宋体"/>
          <w:color w:val="auto"/>
          <w:sz w:val="24"/>
          <w:highlight w:val="none"/>
        </w:rPr>
        <w:t>8.</w:t>
      </w:r>
      <w:r>
        <w:rPr>
          <w:rFonts w:hint="eastAsia" w:ascii="方正小标宋简体" w:hAnsi="方正小标宋简体" w:eastAsia="方正小标宋简体" w:cs="方正小标宋简体"/>
          <w:bCs/>
          <w:color w:val="auto"/>
          <w:szCs w:val="21"/>
          <w:highlight w:val="none"/>
        </w:rPr>
        <w:t xml:space="preserve"> 代理服务费承诺书（如本项目为采购人支付代理服务费的，无需提供）</w:t>
      </w:r>
    </w:p>
    <w:p w14:paraId="6DD1058A">
      <w:pPr>
        <w:spacing w:after="50"/>
        <w:jc w:val="left"/>
        <w:rPr>
          <w:rFonts w:ascii="方正小标宋简体" w:hAnsi="方正小标宋简体" w:eastAsia="方正小标宋简体" w:cs="方正小标宋简体"/>
          <w:bCs/>
          <w:color w:val="auto"/>
          <w:szCs w:val="21"/>
          <w:highlight w:val="none"/>
        </w:rPr>
      </w:pPr>
    </w:p>
    <w:p w14:paraId="20028CB8">
      <w:pPr>
        <w:spacing w:after="50"/>
        <w:jc w:val="center"/>
        <w:rPr>
          <w:rFonts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代理服务费承诺书</w:t>
      </w:r>
    </w:p>
    <w:p w14:paraId="424CAF43">
      <w:pPr>
        <w:spacing w:after="50"/>
        <w:jc w:val="center"/>
        <w:rPr>
          <w:rFonts w:ascii="宋体" w:hAnsi="宋体"/>
          <w:b/>
          <w:color w:val="auto"/>
          <w:sz w:val="24"/>
          <w:highlight w:val="none"/>
        </w:rPr>
      </w:pPr>
    </w:p>
    <w:p w14:paraId="3E6B5835">
      <w:pPr>
        <w:spacing w:line="360" w:lineRule="auto"/>
        <w:rPr>
          <w:rFonts w:ascii="宋体" w:hAnsi="宋体"/>
          <w:b/>
          <w:bCs/>
          <w:color w:val="auto"/>
          <w:sz w:val="24"/>
          <w:highlight w:val="none"/>
        </w:rPr>
      </w:pPr>
      <w:r>
        <w:rPr>
          <w:rFonts w:hint="eastAsia" w:ascii="宋体" w:hAnsi="宋体"/>
          <w:bCs/>
          <w:color w:val="auto"/>
          <w:sz w:val="24"/>
          <w:highlight w:val="none"/>
        </w:rPr>
        <w:t>致：</w:t>
      </w:r>
      <w:r>
        <w:rPr>
          <w:rFonts w:hint="eastAsia" w:ascii="宋体" w:hAnsi="宋体"/>
          <w:color w:val="auto"/>
          <w:sz w:val="24"/>
          <w:highlight w:val="none"/>
          <w:u w:val="single"/>
        </w:rPr>
        <w:t>招标代理机构名称</w:t>
      </w:r>
      <w:r>
        <w:rPr>
          <w:rFonts w:hint="eastAsia" w:ascii="宋体" w:hAnsi="宋体"/>
          <w:color w:val="auto"/>
          <w:sz w:val="24"/>
          <w:highlight w:val="none"/>
        </w:rPr>
        <w:t>：</w:t>
      </w:r>
    </w:p>
    <w:p w14:paraId="1FCE53DA">
      <w:pPr>
        <w:spacing w:line="360" w:lineRule="auto"/>
        <w:ind w:firstLine="480"/>
        <w:rPr>
          <w:rFonts w:ascii="宋体" w:hAnsi="宋体"/>
          <w:color w:val="auto"/>
          <w:sz w:val="24"/>
          <w:highlight w:val="none"/>
        </w:rPr>
      </w:pPr>
      <w:r>
        <w:rPr>
          <w:rFonts w:hint="eastAsia" w:ascii="宋体" w:hAnsi="宋体"/>
          <w:color w:val="auto"/>
          <w:sz w:val="24"/>
          <w:highlight w:val="none"/>
        </w:rPr>
        <w:t>本单位参加了贵方组织的</w:t>
      </w:r>
      <w:r>
        <w:rPr>
          <w:rFonts w:hint="eastAsia" w:ascii="宋体" w:hAnsi="宋体"/>
          <w:color w:val="auto"/>
          <w:sz w:val="24"/>
          <w:highlight w:val="none"/>
          <w:u w:val="single"/>
        </w:rPr>
        <w:t xml:space="preserve">  项目名称（项目编号）  </w:t>
      </w:r>
      <w:r>
        <w:rPr>
          <w:rFonts w:hint="eastAsia" w:ascii="宋体" w:hAnsi="宋体"/>
          <w:color w:val="auto"/>
          <w:sz w:val="24"/>
          <w:highlight w:val="none"/>
        </w:rPr>
        <w:t>项目， 在此说明如下：</w:t>
      </w:r>
    </w:p>
    <w:p w14:paraId="355D90DA">
      <w:pPr>
        <w:spacing w:line="360" w:lineRule="auto"/>
        <w:ind w:firstLine="360"/>
        <w:rPr>
          <w:rFonts w:ascii="宋体" w:hAnsi="宋体"/>
          <w:color w:val="auto"/>
          <w:sz w:val="24"/>
          <w:highlight w:val="none"/>
        </w:rPr>
      </w:pPr>
      <w:r>
        <w:rPr>
          <w:rFonts w:hint="eastAsia" w:ascii="宋体" w:hAnsi="宋体"/>
          <w:color w:val="auto"/>
          <w:sz w:val="24"/>
          <w:highlight w:val="none"/>
        </w:rPr>
        <w:t>1.我方承诺，若本单位中标，保证在发出中标通知书之后，按本项目招标文件的规定标准向贵单位一次性足额支付代理服务费, 在领取中标通知书后，由于被质疑、投诉或者其他原因而导致中标结果改变，我方将放弃对已缴纳的中标服务费追还的一切权利。</w:t>
      </w:r>
    </w:p>
    <w:p w14:paraId="3A8540FD">
      <w:pPr>
        <w:spacing w:line="360" w:lineRule="auto"/>
        <w:ind w:firstLine="360"/>
        <w:rPr>
          <w:rFonts w:ascii="宋体" w:hAnsi="宋体"/>
          <w:color w:val="auto"/>
          <w:sz w:val="24"/>
          <w:highlight w:val="none"/>
        </w:rPr>
      </w:pPr>
      <w:r>
        <w:rPr>
          <w:rFonts w:hint="eastAsia" w:ascii="宋体" w:hAnsi="宋体"/>
          <w:color w:val="auto"/>
          <w:sz w:val="24"/>
          <w:highlight w:val="none"/>
        </w:rPr>
        <w:t>2.本单位选择第</w:t>
      </w:r>
      <w:r>
        <w:rPr>
          <w:rFonts w:hint="eastAsia" w:ascii="宋体" w:hAnsi="宋体"/>
          <w:color w:val="auto"/>
          <w:sz w:val="24"/>
          <w:highlight w:val="none"/>
          <w:u w:val="single"/>
        </w:rPr>
        <w:t xml:space="preserve">     </w:t>
      </w:r>
      <w:r>
        <w:rPr>
          <w:rFonts w:hint="eastAsia" w:ascii="宋体" w:hAnsi="宋体"/>
          <w:color w:val="auto"/>
          <w:sz w:val="24"/>
          <w:highlight w:val="none"/>
        </w:rPr>
        <w:t>种方式作为代理服务费开票类型：</w:t>
      </w:r>
    </w:p>
    <w:p w14:paraId="3A6E3CFC">
      <w:pPr>
        <w:spacing w:line="360" w:lineRule="auto"/>
        <w:ind w:firstLine="360"/>
        <w:rPr>
          <w:rFonts w:ascii="宋体" w:hAnsi="宋体"/>
          <w:color w:val="auto"/>
          <w:sz w:val="24"/>
          <w:highlight w:val="none"/>
        </w:rPr>
      </w:pPr>
      <w:r>
        <w:rPr>
          <w:rFonts w:hint="eastAsia" w:ascii="宋体" w:hAnsi="宋体"/>
          <w:color w:val="auto"/>
          <w:sz w:val="24"/>
          <w:highlight w:val="none"/>
        </w:rPr>
        <w:t>第一种方式：开具增值税普通发票。开票信息如下：</w:t>
      </w:r>
    </w:p>
    <w:p w14:paraId="26D672B4">
      <w:pPr>
        <w:spacing w:line="360" w:lineRule="auto"/>
        <w:ind w:firstLine="360"/>
        <w:rPr>
          <w:rFonts w:ascii="宋体" w:hAnsi="宋体"/>
          <w:color w:val="auto"/>
          <w:sz w:val="24"/>
          <w:highlight w:val="none"/>
        </w:rPr>
      </w:pPr>
      <w:r>
        <w:rPr>
          <w:rFonts w:hint="eastAsia" w:ascii="宋体" w:hAnsi="宋体"/>
          <w:color w:val="auto"/>
          <w:sz w:val="24"/>
          <w:highlight w:val="none"/>
        </w:rPr>
        <w:t>（1）公司名称</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1ACD9C88">
      <w:pPr>
        <w:spacing w:line="360" w:lineRule="auto"/>
        <w:ind w:firstLine="360"/>
        <w:rPr>
          <w:rFonts w:ascii="宋体" w:hAnsi="宋体"/>
          <w:color w:val="auto"/>
          <w:sz w:val="24"/>
          <w:highlight w:val="none"/>
        </w:rPr>
      </w:pPr>
      <w:r>
        <w:rPr>
          <w:rFonts w:hint="eastAsia" w:ascii="宋体" w:hAnsi="宋体"/>
          <w:color w:val="auto"/>
          <w:sz w:val="24"/>
          <w:highlight w:val="none"/>
        </w:rPr>
        <w:t>（2）纳税人识别号</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4347BFBF">
      <w:pPr>
        <w:spacing w:line="360" w:lineRule="auto"/>
        <w:ind w:firstLine="360"/>
        <w:rPr>
          <w:rFonts w:ascii="宋体" w:hAnsi="宋体"/>
          <w:color w:val="auto"/>
          <w:sz w:val="24"/>
          <w:highlight w:val="none"/>
        </w:rPr>
      </w:pPr>
      <w:r>
        <w:rPr>
          <w:rFonts w:hint="eastAsia" w:ascii="宋体" w:hAnsi="宋体"/>
          <w:color w:val="auto"/>
          <w:sz w:val="24"/>
          <w:highlight w:val="none"/>
        </w:rPr>
        <w:t>第二种方式：开具增值税专用发票，开票信息如下：</w:t>
      </w:r>
    </w:p>
    <w:p w14:paraId="79D1F38E">
      <w:pPr>
        <w:spacing w:line="360" w:lineRule="auto"/>
        <w:ind w:firstLine="360"/>
        <w:rPr>
          <w:rFonts w:ascii="宋体" w:hAnsi="宋体"/>
          <w:color w:val="auto"/>
          <w:sz w:val="24"/>
          <w:highlight w:val="none"/>
        </w:rPr>
      </w:pPr>
      <w:r>
        <w:rPr>
          <w:rFonts w:hint="eastAsia" w:ascii="宋体" w:hAnsi="宋体"/>
          <w:color w:val="auto"/>
          <w:sz w:val="24"/>
          <w:highlight w:val="none"/>
        </w:rPr>
        <w:t>（1）公司名称</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44ACA45A">
      <w:pPr>
        <w:spacing w:line="360" w:lineRule="auto"/>
        <w:ind w:firstLine="360"/>
        <w:rPr>
          <w:rFonts w:ascii="宋体" w:hAnsi="宋体"/>
          <w:color w:val="auto"/>
          <w:sz w:val="24"/>
          <w:highlight w:val="none"/>
        </w:rPr>
      </w:pPr>
      <w:r>
        <w:rPr>
          <w:rFonts w:hint="eastAsia" w:ascii="宋体" w:hAnsi="宋体"/>
          <w:color w:val="auto"/>
          <w:sz w:val="24"/>
          <w:highlight w:val="none"/>
        </w:rPr>
        <w:t>（2）纳税人识别号</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55BDD8F9">
      <w:pPr>
        <w:spacing w:line="360" w:lineRule="auto"/>
        <w:ind w:firstLine="360"/>
        <w:rPr>
          <w:rFonts w:ascii="宋体" w:hAnsi="宋体"/>
          <w:color w:val="auto"/>
          <w:sz w:val="24"/>
          <w:highlight w:val="none"/>
        </w:rPr>
      </w:pPr>
      <w:r>
        <w:rPr>
          <w:rFonts w:hint="eastAsia" w:ascii="宋体" w:hAnsi="宋体"/>
          <w:color w:val="auto"/>
          <w:sz w:val="24"/>
          <w:highlight w:val="none"/>
        </w:rPr>
        <w:t>（3）在税务局登记的地址</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0A6F6AB3">
      <w:pPr>
        <w:spacing w:line="360" w:lineRule="auto"/>
        <w:ind w:firstLine="360"/>
        <w:rPr>
          <w:rFonts w:ascii="宋体" w:hAnsi="宋体"/>
          <w:color w:val="auto"/>
          <w:sz w:val="24"/>
          <w:highlight w:val="none"/>
        </w:rPr>
      </w:pPr>
      <w:r>
        <w:rPr>
          <w:rFonts w:hint="eastAsia" w:ascii="宋体" w:hAnsi="宋体"/>
          <w:color w:val="auto"/>
          <w:sz w:val="24"/>
          <w:highlight w:val="none"/>
        </w:rPr>
        <w:t>（4）在税务局登记的电话</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7160D354">
      <w:pPr>
        <w:spacing w:line="360" w:lineRule="auto"/>
        <w:ind w:firstLine="360"/>
        <w:rPr>
          <w:rFonts w:ascii="宋体" w:hAnsi="宋体"/>
          <w:color w:val="auto"/>
          <w:sz w:val="24"/>
          <w:highlight w:val="none"/>
        </w:rPr>
      </w:pPr>
      <w:r>
        <w:rPr>
          <w:rFonts w:hint="eastAsia" w:ascii="宋体" w:hAnsi="宋体"/>
          <w:color w:val="auto"/>
          <w:sz w:val="24"/>
          <w:highlight w:val="none"/>
        </w:rPr>
        <w:t>（5）开户银行</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2B916F6E">
      <w:pPr>
        <w:spacing w:line="360" w:lineRule="auto"/>
        <w:ind w:firstLine="360"/>
        <w:rPr>
          <w:rFonts w:ascii="宋体" w:hAnsi="宋体"/>
          <w:color w:val="auto"/>
          <w:sz w:val="24"/>
          <w:highlight w:val="none"/>
        </w:rPr>
      </w:pPr>
      <w:r>
        <w:rPr>
          <w:rFonts w:hint="eastAsia" w:ascii="宋体" w:hAnsi="宋体"/>
          <w:color w:val="auto"/>
          <w:sz w:val="24"/>
          <w:highlight w:val="none"/>
        </w:rPr>
        <w:t>（6）银行账户</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110B335D">
      <w:pPr>
        <w:spacing w:line="440" w:lineRule="exact"/>
        <w:rPr>
          <w:rFonts w:ascii="宋体" w:hAnsi="宋体"/>
          <w:color w:val="auto"/>
          <w:sz w:val="24"/>
          <w:highlight w:val="none"/>
        </w:rPr>
      </w:pPr>
    </w:p>
    <w:p w14:paraId="60A5C3CC">
      <w:pPr>
        <w:spacing w:line="440" w:lineRule="exact"/>
        <w:rPr>
          <w:rFonts w:ascii="宋体" w:hAnsi="宋体"/>
          <w:color w:val="auto"/>
          <w:sz w:val="24"/>
          <w:highlight w:val="none"/>
        </w:rPr>
      </w:pPr>
    </w:p>
    <w:p w14:paraId="75A5C939">
      <w:pPr>
        <w:spacing w:line="440" w:lineRule="exact"/>
        <w:rPr>
          <w:rFonts w:ascii="宋体" w:hAnsi="宋体"/>
          <w:color w:val="auto"/>
          <w:sz w:val="24"/>
          <w:highlight w:val="none"/>
        </w:rPr>
      </w:pPr>
    </w:p>
    <w:p w14:paraId="77066004">
      <w:pPr>
        <w:spacing w:line="360" w:lineRule="auto"/>
        <w:ind w:left="-2" w:right="-817" w:firstLine="1920"/>
        <w:rPr>
          <w:rFonts w:ascii="宋体" w:hAnsi="宋体"/>
          <w:color w:val="auto"/>
          <w:sz w:val="24"/>
          <w:highlight w:val="none"/>
        </w:rPr>
      </w:pPr>
      <w:r>
        <w:rPr>
          <w:rFonts w:hint="eastAsia" w:ascii="宋体" w:hAnsi="宋体"/>
          <w:color w:val="auto"/>
          <w:sz w:val="24"/>
          <w:highlight w:val="none"/>
        </w:rPr>
        <w:t xml:space="preserve">法定代表人或者委托代理人（签字或者电子签名）： </w:t>
      </w:r>
    </w:p>
    <w:p w14:paraId="3580AF2B">
      <w:pPr>
        <w:spacing w:line="360" w:lineRule="auto"/>
        <w:ind w:left="-3" w:right="-817" w:hanging="28"/>
        <w:rPr>
          <w:rFonts w:ascii="宋体" w:hAnsi="宋体"/>
          <w:color w:val="auto"/>
          <w:sz w:val="24"/>
          <w:highlight w:val="none"/>
        </w:rPr>
      </w:pPr>
      <w:r>
        <w:rPr>
          <w:rFonts w:hint="eastAsia" w:ascii="宋体" w:hAnsi="宋体"/>
          <w:color w:val="auto"/>
          <w:sz w:val="24"/>
          <w:highlight w:val="none"/>
        </w:rPr>
        <w:t xml:space="preserve">                                      供应商公章（电子签章）：</w:t>
      </w:r>
    </w:p>
    <w:p w14:paraId="60BB9B21">
      <w:pPr>
        <w:spacing w:line="360" w:lineRule="auto"/>
        <w:ind w:right="480" w:firstLine="240"/>
        <w:jc w:val="left"/>
        <w:rPr>
          <w:rFonts w:ascii="宋体" w:hAnsi="宋体"/>
          <w:color w:val="auto"/>
          <w:szCs w:val="21"/>
          <w:highlight w:val="none"/>
        </w:rPr>
      </w:pPr>
      <w:r>
        <w:rPr>
          <w:rFonts w:hint="eastAsia" w:ascii="宋体" w:hAnsi="宋体"/>
          <w:color w:val="auto"/>
          <w:sz w:val="24"/>
          <w:highlight w:val="none"/>
        </w:rPr>
        <w:t xml:space="preserve">                                    日期：    年   月   日</w:t>
      </w:r>
    </w:p>
    <w:p w14:paraId="662CA083">
      <w:pPr>
        <w:rPr>
          <w:color w:val="auto"/>
          <w:highlight w:val="none"/>
        </w:rPr>
      </w:pPr>
    </w:p>
    <w:p w14:paraId="4F24A21D">
      <w:pPr>
        <w:spacing w:before="50"/>
        <w:jc w:val="left"/>
        <w:rPr>
          <w:rFonts w:ascii="宋体" w:hAnsi="宋体"/>
          <w:color w:val="auto"/>
          <w:sz w:val="24"/>
          <w:highlight w:val="none"/>
        </w:rPr>
      </w:pPr>
    </w:p>
    <w:p w14:paraId="36198A77">
      <w:pPr>
        <w:rPr>
          <w:rFonts w:ascii="宋体" w:hAnsi="宋体"/>
          <w:color w:val="auto"/>
          <w:sz w:val="24"/>
          <w:szCs w:val="20"/>
          <w:highlight w:val="none"/>
        </w:rPr>
        <w:sectPr>
          <w:pgSz w:w="11906" w:h="16838"/>
          <w:pgMar w:top="1440" w:right="1797" w:bottom="1440" w:left="1797" w:header="851" w:footer="992" w:gutter="0"/>
          <w:cols w:space="720" w:num="1"/>
        </w:sectPr>
      </w:pPr>
    </w:p>
    <w:p w14:paraId="48D5EB52">
      <w:pPr>
        <w:spacing w:after="50"/>
        <w:jc w:val="left"/>
        <w:rPr>
          <w:rFonts w:ascii="宋体" w:hAnsi="宋体"/>
          <w:b/>
          <w:color w:val="auto"/>
          <w:sz w:val="24"/>
          <w:highlight w:val="none"/>
        </w:rPr>
      </w:pPr>
      <w:r>
        <w:rPr>
          <w:rFonts w:hint="eastAsia" w:ascii="宋体" w:hAnsi="宋体"/>
          <w:b/>
          <w:color w:val="auto"/>
          <w:sz w:val="24"/>
          <w:highlight w:val="none"/>
        </w:rPr>
        <w:t>9. 设备性能配置清单格式</w:t>
      </w:r>
    </w:p>
    <w:p w14:paraId="220C52DD">
      <w:pPr>
        <w:spacing w:after="50"/>
        <w:ind w:left="142"/>
        <w:jc w:val="left"/>
        <w:rPr>
          <w:rFonts w:ascii="宋体" w:hAnsi="宋体"/>
          <w:b/>
          <w:color w:val="auto"/>
          <w:sz w:val="24"/>
          <w:highlight w:val="none"/>
        </w:rPr>
      </w:pPr>
    </w:p>
    <w:p w14:paraId="3A1610D7">
      <w:pPr>
        <w:spacing w:after="50"/>
        <w:ind w:left="142"/>
        <w:jc w:val="center"/>
        <w:rPr>
          <w:rFonts w:ascii="宋体" w:hAnsi="宋体"/>
          <w:b/>
          <w:color w:val="auto"/>
          <w:sz w:val="32"/>
          <w:szCs w:val="32"/>
          <w:highlight w:val="none"/>
        </w:rPr>
      </w:pPr>
      <w:r>
        <w:rPr>
          <w:rFonts w:hint="eastAsia" w:ascii="宋体" w:hAnsi="宋体"/>
          <w:b/>
          <w:color w:val="auto"/>
          <w:sz w:val="32"/>
          <w:szCs w:val="32"/>
          <w:highlight w:val="none"/>
        </w:rPr>
        <w:t>设备性能配置清单</w:t>
      </w:r>
    </w:p>
    <w:p w14:paraId="28BCBA16">
      <w:pPr>
        <w:pStyle w:val="25"/>
        <w:rPr>
          <w:color w:val="auto"/>
          <w:sz w:val="24"/>
          <w:szCs w:val="24"/>
          <w:highlight w:val="none"/>
        </w:rPr>
      </w:pPr>
      <w:r>
        <w:rPr>
          <w:rFonts w:hint="eastAsia"/>
          <w:color w:val="auto"/>
          <w:sz w:val="24"/>
          <w:szCs w:val="24"/>
          <w:highlight w:val="none"/>
        </w:rPr>
        <w:t>所投分标：</w:t>
      </w:r>
      <w:r>
        <w:rPr>
          <w:rFonts w:hint="eastAsia"/>
          <w:color w:val="auto"/>
          <w:sz w:val="24"/>
          <w:szCs w:val="24"/>
          <w:highlight w:val="none"/>
          <w:u w:val="single"/>
        </w:rPr>
        <w:t xml:space="preserve">     </w:t>
      </w:r>
      <w:r>
        <w:rPr>
          <w:rFonts w:hint="eastAsia"/>
          <w:color w:val="auto"/>
          <w:sz w:val="24"/>
          <w:szCs w:val="24"/>
          <w:highlight w:val="none"/>
        </w:rPr>
        <w:t>分标</w:t>
      </w:r>
    </w:p>
    <w:tbl>
      <w:tblPr>
        <w:tblStyle w:val="50"/>
        <w:tblW w:w="500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456"/>
        <w:gridCol w:w="1454"/>
        <w:gridCol w:w="964"/>
        <w:gridCol w:w="687"/>
        <w:gridCol w:w="1517"/>
        <w:gridCol w:w="1154"/>
        <w:gridCol w:w="683"/>
        <w:gridCol w:w="1387"/>
      </w:tblGrid>
      <w:tr w14:paraId="52730E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267" w:type="pct"/>
            <w:tcBorders>
              <w:top w:val="single" w:color="auto" w:sz="4" w:space="0"/>
              <w:left w:val="single" w:color="auto" w:sz="4" w:space="0"/>
              <w:bottom w:val="single" w:color="auto" w:sz="4" w:space="0"/>
              <w:right w:val="single" w:color="auto" w:sz="4" w:space="0"/>
            </w:tcBorders>
            <w:vAlign w:val="center"/>
          </w:tcPr>
          <w:p w14:paraId="1B5F7592">
            <w:pPr>
              <w:spacing w:before="50" w:after="50"/>
              <w:jc w:val="center"/>
              <w:rPr>
                <w:rFonts w:ascii="宋体" w:hAnsi="宋体"/>
                <w:color w:val="auto"/>
                <w:sz w:val="24"/>
                <w:highlight w:val="none"/>
              </w:rPr>
            </w:pPr>
            <w:r>
              <w:rPr>
                <w:rFonts w:hint="eastAsia" w:ascii="宋体" w:hAnsi="宋体"/>
                <w:color w:val="auto"/>
                <w:sz w:val="24"/>
                <w:highlight w:val="none"/>
              </w:rPr>
              <w:t>序号</w:t>
            </w:r>
          </w:p>
        </w:tc>
        <w:tc>
          <w:tcPr>
            <w:tcW w:w="877" w:type="pct"/>
            <w:tcBorders>
              <w:top w:val="single" w:color="auto" w:sz="4" w:space="0"/>
              <w:left w:val="single" w:color="auto" w:sz="4" w:space="0"/>
              <w:bottom w:val="single" w:color="auto" w:sz="4" w:space="0"/>
              <w:right w:val="single" w:color="auto" w:sz="4" w:space="0"/>
            </w:tcBorders>
            <w:vAlign w:val="center"/>
          </w:tcPr>
          <w:p w14:paraId="0CCDD678">
            <w:pPr>
              <w:spacing w:before="50" w:after="50"/>
              <w:jc w:val="center"/>
              <w:rPr>
                <w:rFonts w:ascii="宋体" w:hAnsi="宋体"/>
                <w:color w:val="auto"/>
                <w:sz w:val="24"/>
                <w:highlight w:val="none"/>
              </w:rPr>
            </w:pPr>
            <w:r>
              <w:rPr>
                <w:rFonts w:hint="eastAsia" w:hAnsi="宋体" w:cs="Courier New"/>
                <w:color w:val="auto"/>
                <w:sz w:val="24"/>
                <w:highlight w:val="none"/>
              </w:rPr>
              <w:t>标的的名称</w:t>
            </w:r>
          </w:p>
        </w:tc>
        <w:tc>
          <w:tcPr>
            <w:tcW w:w="582" w:type="pct"/>
            <w:tcBorders>
              <w:top w:val="single" w:color="auto" w:sz="4" w:space="0"/>
              <w:left w:val="single" w:color="auto" w:sz="4" w:space="0"/>
              <w:bottom w:val="single" w:color="auto" w:sz="4" w:space="0"/>
              <w:right w:val="single" w:color="auto" w:sz="4" w:space="0"/>
            </w:tcBorders>
            <w:vAlign w:val="center"/>
          </w:tcPr>
          <w:p w14:paraId="5442CEFA">
            <w:pPr>
              <w:spacing w:before="50" w:after="50"/>
              <w:jc w:val="center"/>
              <w:rPr>
                <w:rFonts w:ascii="宋体" w:hAnsi="宋体"/>
                <w:color w:val="auto"/>
                <w:sz w:val="24"/>
                <w:highlight w:val="none"/>
              </w:rPr>
            </w:pPr>
            <w:r>
              <w:rPr>
                <w:rFonts w:hint="eastAsia" w:ascii="宋体" w:hAnsi="宋体"/>
                <w:color w:val="auto"/>
                <w:sz w:val="24"/>
                <w:highlight w:val="none"/>
              </w:rPr>
              <w:t>数量及单位</w:t>
            </w:r>
          </w:p>
        </w:tc>
        <w:tc>
          <w:tcPr>
            <w:tcW w:w="415" w:type="pct"/>
            <w:tcBorders>
              <w:top w:val="single" w:color="auto" w:sz="4" w:space="0"/>
              <w:left w:val="single" w:color="auto" w:sz="4" w:space="0"/>
              <w:bottom w:val="single" w:color="auto" w:sz="4" w:space="0"/>
              <w:right w:val="single" w:color="auto" w:sz="4" w:space="0"/>
            </w:tcBorders>
            <w:vAlign w:val="center"/>
          </w:tcPr>
          <w:p w14:paraId="687835D6">
            <w:pPr>
              <w:spacing w:before="50" w:after="50"/>
              <w:jc w:val="center"/>
              <w:rPr>
                <w:rFonts w:ascii="宋体" w:hAnsi="宋体"/>
                <w:color w:val="auto"/>
                <w:sz w:val="24"/>
                <w:highlight w:val="none"/>
              </w:rPr>
            </w:pPr>
            <w:r>
              <w:rPr>
                <w:rFonts w:hint="eastAsia" w:ascii="宋体" w:hAnsi="宋体"/>
                <w:color w:val="auto"/>
                <w:sz w:val="24"/>
                <w:highlight w:val="none"/>
              </w:rPr>
              <w:t>品牌</w:t>
            </w:r>
          </w:p>
        </w:tc>
        <w:tc>
          <w:tcPr>
            <w:tcW w:w="915" w:type="pct"/>
            <w:tcBorders>
              <w:top w:val="single" w:color="auto" w:sz="4" w:space="0"/>
              <w:left w:val="single" w:color="auto" w:sz="4" w:space="0"/>
              <w:bottom w:val="single" w:color="auto" w:sz="4" w:space="0"/>
              <w:right w:val="single" w:color="auto" w:sz="4" w:space="0"/>
            </w:tcBorders>
          </w:tcPr>
          <w:p w14:paraId="03AF0C66">
            <w:pPr>
              <w:spacing w:before="50" w:after="50"/>
              <w:jc w:val="center"/>
              <w:rPr>
                <w:rFonts w:ascii="宋体" w:hAnsi="宋体"/>
                <w:color w:val="auto"/>
                <w:sz w:val="24"/>
                <w:highlight w:val="none"/>
              </w:rPr>
            </w:pPr>
          </w:p>
          <w:p w14:paraId="2B6E28F4">
            <w:pPr>
              <w:spacing w:before="50" w:after="50"/>
              <w:jc w:val="center"/>
              <w:rPr>
                <w:rFonts w:ascii="宋体" w:hAnsi="宋体"/>
                <w:color w:val="auto"/>
                <w:sz w:val="24"/>
                <w:highlight w:val="none"/>
              </w:rPr>
            </w:pPr>
            <w:r>
              <w:rPr>
                <w:rFonts w:hint="eastAsia" w:ascii="宋体" w:hAnsi="宋体"/>
                <w:color w:val="auto"/>
                <w:sz w:val="24"/>
                <w:highlight w:val="none"/>
              </w:rPr>
              <w:t>规格型号</w:t>
            </w:r>
          </w:p>
        </w:tc>
        <w:tc>
          <w:tcPr>
            <w:tcW w:w="696" w:type="pct"/>
            <w:tcBorders>
              <w:top w:val="single" w:color="auto" w:sz="4" w:space="0"/>
              <w:left w:val="single" w:color="auto" w:sz="4" w:space="0"/>
              <w:bottom w:val="single" w:color="auto" w:sz="4" w:space="0"/>
              <w:right w:val="single" w:color="auto" w:sz="4" w:space="0"/>
            </w:tcBorders>
            <w:vAlign w:val="center"/>
          </w:tcPr>
          <w:p w14:paraId="26AE1BCA">
            <w:pPr>
              <w:spacing w:before="50" w:after="50"/>
              <w:jc w:val="center"/>
              <w:rPr>
                <w:rFonts w:ascii="宋体" w:hAnsi="宋体"/>
                <w:color w:val="auto"/>
                <w:sz w:val="24"/>
                <w:highlight w:val="none"/>
              </w:rPr>
            </w:pPr>
            <w:r>
              <w:rPr>
                <w:rFonts w:hint="eastAsia" w:ascii="宋体" w:hAnsi="宋体"/>
                <w:color w:val="auto"/>
                <w:sz w:val="24"/>
                <w:highlight w:val="none"/>
              </w:rPr>
              <w:t>生产厂家</w:t>
            </w:r>
          </w:p>
        </w:tc>
        <w:tc>
          <w:tcPr>
            <w:tcW w:w="412" w:type="pct"/>
            <w:tcBorders>
              <w:top w:val="single" w:color="auto" w:sz="4" w:space="0"/>
              <w:left w:val="single" w:color="auto" w:sz="4" w:space="0"/>
              <w:bottom w:val="single" w:color="auto" w:sz="4" w:space="0"/>
              <w:right w:val="single" w:color="auto" w:sz="4" w:space="0"/>
            </w:tcBorders>
            <w:vAlign w:val="center"/>
          </w:tcPr>
          <w:p w14:paraId="60D5A9A2">
            <w:pPr>
              <w:spacing w:before="50" w:after="50"/>
              <w:jc w:val="center"/>
              <w:rPr>
                <w:rFonts w:ascii="宋体" w:hAnsi="宋体"/>
                <w:color w:val="auto"/>
                <w:sz w:val="24"/>
                <w:highlight w:val="none"/>
              </w:rPr>
            </w:pPr>
            <w:r>
              <w:rPr>
                <w:rFonts w:hint="eastAsia" w:ascii="宋体" w:hAnsi="宋体"/>
                <w:color w:val="auto"/>
                <w:sz w:val="24"/>
                <w:highlight w:val="none"/>
              </w:rPr>
              <w:t>原产地</w:t>
            </w:r>
          </w:p>
        </w:tc>
        <w:tc>
          <w:tcPr>
            <w:tcW w:w="836" w:type="pct"/>
            <w:tcBorders>
              <w:top w:val="single" w:color="auto" w:sz="4" w:space="0"/>
              <w:left w:val="single" w:color="auto" w:sz="4" w:space="0"/>
              <w:bottom w:val="single" w:color="auto" w:sz="4" w:space="0"/>
              <w:right w:val="single" w:color="auto" w:sz="4" w:space="0"/>
            </w:tcBorders>
            <w:vAlign w:val="center"/>
          </w:tcPr>
          <w:p w14:paraId="26665A03">
            <w:pPr>
              <w:spacing w:before="50" w:after="50"/>
              <w:jc w:val="center"/>
              <w:rPr>
                <w:rFonts w:ascii="宋体" w:hAnsi="宋体"/>
                <w:color w:val="auto"/>
                <w:sz w:val="24"/>
                <w:highlight w:val="none"/>
              </w:rPr>
            </w:pPr>
            <w:r>
              <w:rPr>
                <w:rFonts w:hint="eastAsia" w:ascii="宋体" w:hAnsi="宋体"/>
                <w:color w:val="auto"/>
                <w:sz w:val="24"/>
                <w:highlight w:val="none"/>
              </w:rPr>
              <w:t>参数性能、指标及配置</w:t>
            </w:r>
          </w:p>
        </w:tc>
      </w:tr>
      <w:tr w14:paraId="087C09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267" w:type="pct"/>
            <w:tcBorders>
              <w:top w:val="single" w:color="auto" w:sz="4" w:space="0"/>
              <w:left w:val="single" w:color="auto" w:sz="4" w:space="0"/>
              <w:bottom w:val="single" w:color="auto" w:sz="4" w:space="0"/>
              <w:right w:val="single" w:color="auto" w:sz="4" w:space="0"/>
            </w:tcBorders>
            <w:vAlign w:val="center"/>
          </w:tcPr>
          <w:p w14:paraId="5AC6A51F">
            <w:pPr>
              <w:spacing w:before="50" w:after="50"/>
              <w:jc w:val="center"/>
              <w:rPr>
                <w:rFonts w:ascii="宋体" w:hAnsi="宋体"/>
                <w:color w:val="auto"/>
                <w:sz w:val="24"/>
                <w:highlight w:val="none"/>
              </w:rPr>
            </w:pPr>
          </w:p>
        </w:tc>
        <w:tc>
          <w:tcPr>
            <w:tcW w:w="877" w:type="pct"/>
            <w:tcBorders>
              <w:top w:val="single" w:color="auto" w:sz="4" w:space="0"/>
              <w:left w:val="single" w:color="auto" w:sz="4" w:space="0"/>
              <w:bottom w:val="single" w:color="auto" w:sz="4" w:space="0"/>
              <w:right w:val="single" w:color="auto" w:sz="4" w:space="0"/>
            </w:tcBorders>
            <w:vAlign w:val="center"/>
          </w:tcPr>
          <w:p w14:paraId="27F2BEC8">
            <w:pPr>
              <w:spacing w:before="50" w:after="50"/>
              <w:jc w:val="center"/>
              <w:rPr>
                <w:rFonts w:ascii="宋体" w:hAnsi="宋体"/>
                <w:color w:val="auto"/>
                <w:sz w:val="24"/>
                <w:highlight w:val="none"/>
              </w:rPr>
            </w:pPr>
          </w:p>
        </w:tc>
        <w:tc>
          <w:tcPr>
            <w:tcW w:w="582" w:type="pct"/>
            <w:tcBorders>
              <w:top w:val="single" w:color="auto" w:sz="4" w:space="0"/>
              <w:left w:val="single" w:color="auto" w:sz="4" w:space="0"/>
              <w:bottom w:val="single" w:color="auto" w:sz="4" w:space="0"/>
              <w:right w:val="single" w:color="auto" w:sz="4" w:space="0"/>
            </w:tcBorders>
            <w:vAlign w:val="center"/>
          </w:tcPr>
          <w:p w14:paraId="2910C60B">
            <w:pPr>
              <w:spacing w:before="50" w:after="50"/>
              <w:jc w:val="center"/>
              <w:rPr>
                <w:rFonts w:ascii="宋体" w:hAnsi="宋体"/>
                <w:color w:val="auto"/>
                <w:sz w:val="24"/>
                <w:highlight w:val="none"/>
              </w:rPr>
            </w:pPr>
          </w:p>
        </w:tc>
        <w:tc>
          <w:tcPr>
            <w:tcW w:w="415" w:type="pct"/>
            <w:tcBorders>
              <w:top w:val="single" w:color="auto" w:sz="4" w:space="0"/>
              <w:left w:val="single" w:color="auto" w:sz="4" w:space="0"/>
              <w:bottom w:val="single" w:color="auto" w:sz="4" w:space="0"/>
              <w:right w:val="single" w:color="auto" w:sz="4" w:space="0"/>
            </w:tcBorders>
            <w:vAlign w:val="center"/>
          </w:tcPr>
          <w:p w14:paraId="6728C7C5">
            <w:pPr>
              <w:spacing w:before="50" w:after="50"/>
              <w:jc w:val="center"/>
              <w:rPr>
                <w:rFonts w:ascii="宋体" w:hAnsi="宋体"/>
                <w:color w:val="auto"/>
                <w:sz w:val="24"/>
                <w:highlight w:val="none"/>
              </w:rPr>
            </w:pPr>
          </w:p>
        </w:tc>
        <w:tc>
          <w:tcPr>
            <w:tcW w:w="915" w:type="pct"/>
            <w:tcBorders>
              <w:top w:val="single" w:color="auto" w:sz="4" w:space="0"/>
              <w:left w:val="single" w:color="auto" w:sz="4" w:space="0"/>
              <w:bottom w:val="single" w:color="auto" w:sz="4" w:space="0"/>
              <w:right w:val="single" w:color="auto" w:sz="4" w:space="0"/>
            </w:tcBorders>
          </w:tcPr>
          <w:p w14:paraId="36FBCEC7">
            <w:pPr>
              <w:spacing w:before="50" w:after="50"/>
              <w:jc w:val="center"/>
              <w:rPr>
                <w:rFonts w:ascii="宋体" w:hAnsi="宋体"/>
                <w:color w:val="auto"/>
                <w:sz w:val="24"/>
                <w:highlight w:val="none"/>
              </w:rPr>
            </w:pPr>
          </w:p>
        </w:tc>
        <w:tc>
          <w:tcPr>
            <w:tcW w:w="696" w:type="pct"/>
            <w:tcBorders>
              <w:top w:val="single" w:color="auto" w:sz="4" w:space="0"/>
              <w:left w:val="single" w:color="auto" w:sz="4" w:space="0"/>
              <w:bottom w:val="single" w:color="auto" w:sz="4" w:space="0"/>
              <w:right w:val="single" w:color="auto" w:sz="4" w:space="0"/>
            </w:tcBorders>
            <w:vAlign w:val="center"/>
          </w:tcPr>
          <w:p w14:paraId="03C3F95B">
            <w:pPr>
              <w:spacing w:before="50" w:after="50"/>
              <w:jc w:val="center"/>
              <w:rPr>
                <w:rFonts w:ascii="宋体" w:hAnsi="宋体"/>
                <w:color w:val="auto"/>
                <w:sz w:val="24"/>
                <w:highlight w:val="none"/>
              </w:rPr>
            </w:pPr>
          </w:p>
        </w:tc>
        <w:tc>
          <w:tcPr>
            <w:tcW w:w="412" w:type="pct"/>
            <w:tcBorders>
              <w:top w:val="single" w:color="auto" w:sz="4" w:space="0"/>
              <w:left w:val="single" w:color="auto" w:sz="4" w:space="0"/>
              <w:bottom w:val="single" w:color="auto" w:sz="4" w:space="0"/>
              <w:right w:val="single" w:color="auto" w:sz="4" w:space="0"/>
            </w:tcBorders>
            <w:vAlign w:val="center"/>
          </w:tcPr>
          <w:p w14:paraId="5B31B86B">
            <w:pPr>
              <w:spacing w:before="50" w:after="50"/>
              <w:jc w:val="center"/>
              <w:rPr>
                <w:rFonts w:ascii="宋体" w:hAnsi="宋体"/>
                <w:color w:val="auto"/>
                <w:sz w:val="24"/>
                <w:highlight w:val="none"/>
              </w:rPr>
            </w:pPr>
          </w:p>
        </w:tc>
        <w:tc>
          <w:tcPr>
            <w:tcW w:w="836" w:type="pct"/>
            <w:tcBorders>
              <w:top w:val="single" w:color="auto" w:sz="4" w:space="0"/>
              <w:left w:val="single" w:color="auto" w:sz="4" w:space="0"/>
              <w:bottom w:val="single" w:color="auto" w:sz="4" w:space="0"/>
              <w:right w:val="single" w:color="auto" w:sz="4" w:space="0"/>
            </w:tcBorders>
            <w:vAlign w:val="center"/>
          </w:tcPr>
          <w:p w14:paraId="66E39BE9">
            <w:pPr>
              <w:spacing w:before="50" w:after="50"/>
              <w:jc w:val="center"/>
              <w:rPr>
                <w:rFonts w:ascii="宋体" w:hAnsi="宋体"/>
                <w:color w:val="auto"/>
                <w:sz w:val="24"/>
                <w:highlight w:val="none"/>
              </w:rPr>
            </w:pPr>
          </w:p>
        </w:tc>
      </w:tr>
      <w:tr w14:paraId="3141D4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267" w:type="pct"/>
            <w:tcBorders>
              <w:top w:val="single" w:color="auto" w:sz="4" w:space="0"/>
              <w:left w:val="single" w:color="auto" w:sz="4" w:space="0"/>
              <w:bottom w:val="single" w:color="auto" w:sz="4" w:space="0"/>
              <w:right w:val="single" w:color="auto" w:sz="4" w:space="0"/>
            </w:tcBorders>
            <w:vAlign w:val="center"/>
          </w:tcPr>
          <w:p w14:paraId="7148CF86">
            <w:pPr>
              <w:spacing w:before="50" w:after="50"/>
              <w:jc w:val="center"/>
              <w:rPr>
                <w:rFonts w:ascii="宋体" w:hAnsi="宋体"/>
                <w:color w:val="auto"/>
                <w:sz w:val="24"/>
                <w:highlight w:val="none"/>
              </w:rPr>
            </w:pPr>
          </w:p>
        </w:tc>
        <w:tc>
          <w:tcPr>
            <w:tcW w:w="877" w:type="pct"/>
            <w:tcBorders>
              <w:top w:val="single" w:color="auto" w:sz="4" w:space="0"/>
              <w:left w:val="single" w:color="auto" w:sz="4" w:space="0"/>
              <w:bottom w:val="single" w:color="auto" w:sz="4" w:space="0"/>
              <w:right w:val="single" w:color="auto" w:sz="4" w:space="0"/>
            </w:tcBorders>
            <w:vAlign w:val="center"/>
          </w:tcPr>
          <w:p w14:paraId="2741B7BD">
            <w:pPr>
              <w:spacing w:before="50" w:after="50"/>
              <w:jc w:val="center"/>
              <w:rPr>
                <w:rFonts w:ascii="宋体" w:hAnsi="宋体"/>
                <w:color w:val="auto"/>
                <w:sz w:val="24"/>
                <w:highlight w:val="none"/>
              </w:rPr>
            </w:pPr>
          </w:p>
        </w:tc>
        <w:tc>
          <w:tcPr>
            <w:tcW w:w="582" w:type="pct"/>
            <w:tcBorders>
              <w:top w:val="single" w:color="auto" w:sz="4" w:space="0"/>
              <w:left w:val="single" w:color="auto" w:sz="4" w:space="0"/>
              <w:bottom w:val="single" w:color="auto" w:sz="4" w:space="0"/>
              <w:right w:val="single" w:color="auto" w:sz="4" w:space="0"/>
            </w:tcBorders>
            <w:vAlign w:val="center"/>
          </w:tcPr>
          <w:p w14:paraId="01B4FF95">
            <w:pPr>
              <w:spacing w:before="50" w:after="50"/>
              <w:jc w:val="center"/>
              <w:rPr>
                <w:rFonts w:ascii="宋体" w:hAnsi="宋体"/>
                <w:color w:val="auto"/>
                <w:sz w:val="24"/>
                <w:highlight w:val="none"/>
              </w:rPr>
            </w:pPr>
          </w:p>
        </w:tc>
        <w:tc>
          <w:tcPr>
            <w:tcW w:w="415" w:type="pct"/>
            <w:tcBorders>
              <w:top w:val="single" w:color="auto" w:sz="4" w:space="0"/>
              <w:left w:val="single" w:color="auto" w:sz="4" w:space="0"/>
              <w:bottom w:val="single" w:color="auto" w:sz="4" w:space="0"/>
              <w:right w:val="single" w:color="auto" w:sz="4" w:space="0"/>
            </w:tcBorders>
            <w:vAlign w:val="center"/>
          </w:tcPr>
          <w:p w14:paraId="65BEFC55">
            <w:pPr>
              <w:spacing w:before="50" w:after="50"/>
              <w:jc w:val="center"/>
              <w:rPr>
                <w:rFonts w:ascii="宋体" w:hAnsi="宋体"/>
                <w:color w:val="auto"/>
                <w:sz w:val="24"/>
                <w:highlight w:val="none"/>
              </w:rPr>
            </w:pPr>
          </w:p>
        </w:tc>
        <w:tc>
          <w:tcPr>
            <w:tcW w:w="915" w:type="pct"/>
            <w:tcBorders>
              <w:top w:val="single" w:color="auto" w:sz="4" w:space="0"/>
              <w:left w:val="single" w:color="auto" w:sz="4" w:space="0"/>
              <w:bottom w:val="single" w:color="auto" w:sz="4" w:space="0"/>
              <w:right w:val="single" w:color="auto" w:sz="4" w:space="0"/>
            </w:tcBorders>
          </w:tcPr>
          <w:p w14:paraId="14915D1F">
            <w:pPr>
              <w:spacing w:before="50" w:after="50"/>
              <w:jc w:val="center"/>
              <w:rPr>
                <w:rFonts w:ascii="宋体" w:hAnsi="宋体"/>
                <w:color w:val="auto"/>
                <w:sz w:val="24"/>
                <w:highlight w:val="none"/>
              </w:rPr>
            </w:pPr>
          </w:p>
        </w:tc>
        <w:tc>
          <w:tcPr>
            <w:tcW w:w="696" w:type="pct"/>
            <w:tcBorders>
              <w:top w:val="single" w:color="auto" w:sz="4" w:space="0"/>
              <w:left w:val="single" w:color="auto" w:sz="4" w:space="0"/>
              <w:bottom w:val="single" w:color="auto" w:sz="4" w:space="0"/>
              <w:right w:val="single" w:color="auto" w:sz="4" w:space="0"/>
            </w:tcBorders>
            <w:vAlign w:val="center"/>
          </w:tcPr>
          <w:p w14:paraId="6BF969C7">
            <w:pPr>
              <w:spacing w:before="50" w:after="50"/>
              <w:jc w:val="center"/>
              <w:rPr>
                <w:rFonts w:ascii="宋体" w:hAnsi="宋体"/>
                <w:color w:val="auto"/>
                <w:sz w:val="24"/>
                <w:highlight w:val="none"/>
              </w:rPr>
            </w:pPr>
          </w:p>
        </w:tc>
        <w:tc>
          <w:tcPr>
            <w:tcW w:w="412" w:type="pct"/>
            <w:tcBorders>
              <w:top w:val="single" w:color="auto" w:sz="4" w:space="0"/>
              <w:left w:val="single" w:color="auto" w:sz="4" w:space="0"/>
              <w:bottom w:val="single" w:color="auto" w:sz="4" w:space="0"/>
              <w:right w:val="single" w:color="auto" w:sz="4" w:space="0"/>
            </w:tcBorders>
            <w:vAlign w:val="center"/>
          </w:tcPr>
          <w:p w14:paraId="52DCA4C7">
            <w:pPr>
              <w:spacing w:before="50" w:after="50"/>
              <w:jc w:val="center"/>
              <w:rPr>
                <w:rFonts w:ascii="宋体" w:hAnsi="宋体"/>
                <w:color w:val="auto"/>
                <w:sz w:val="24"/>
                <w:highlight w:val="none"/>
              </w:rPr>
            </w:pPr>
          </w:p>
        </w:tc>
        <w:tc>
          <w:tcPr>
            <w:tcW w:w="836" w:type="pct"/>
            <w:tcBorders>
              <w:top w:val="single" w:color="auto" w:sz="4" w:space="0"/>
              <w:left w:val="single" w:color="auto" w:sz="4" w:space="0"/>
              <w:bottom w:val="single" w:color="auto" w:sz="4" w:space="0"/>
              <w:right w:val="single" w:color="auto" w:sz="4" w:space="0"/>
            </w:tcBorders>
            <w:vAlign w:val="center"/>
          </w:tcPr>
          <w:p w14:paraId="743AA125">
            <w:pPr>
              <w:spacing w:before="50" w:after="50"/>
              <w:jc w:val="center"/>
              <w:rPr>
                <w:rFonts w:ascii="宋体" w:hAnsi="宋体"/>
                <w:color w:val="auto"/>
                <w:sz w:val="24"/>
                <w:highlight w:val="none"/>
              </w:rPr>
            </w:pPr>
          </w:p>
        </w:tc>
      </w:tr>
      <w:tr w14:paraId="692FFA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5" w:hRule="atLeast"/>
          <w:jc w:val="center"/>
        </w:trPr>
        <w:tc>
          <w:tcPr>
            <w:tcW w:w="267" w:type="pct"/>
            <w:tcBorders>
              <w:top w:val="single" w:color="auto" w:sz="4" w:space="0"/>
              <w:left w:val="single" w:color="auto" w:sz="4" w:space="0"/>
              <w:bottom w:val="single" w:color="auto" w:sz="4" w:space="0"/>
              <w:right w:val="single" w:color="auto" w:sz="4" w:space="0"/>
            </w:tcBorders>
            <w:vAlign w:val="center"/>
          </w:tcPr>
          <w:p w14:paraId="4FEC6C6A">
            <w:pPr>
              <w:spacing w:before="50" w:after="50"/>
              <w:jc w:val="center"/>
              <w:rPr>
                <w:rFonts w:ascii="宋体" w:hAnsi="宋体"/>
                <w:color w:val="auto"/>
                <w:sz w:val="24"/>
                <w:highlight w:val="none"/>
              </w:rPr>
            </w:pPr>
          </w:p>
        </w:tc>
        <w:tc>
          <w:tcPr>
            <w:tcW w:w="877" w:type="pct"/>
            <w:tcBorders>
              <w:top w:val="single" w:color="auto" w:sz="4" w:space="0"/>
              <w:left w:val="single" w:color="auto" w:sz="4" w:space="0"/>
              <w:bottom w:val="single" w:color="auto" w:sz="4" w:space="0"/>
              <w:right w:val="single" w:color="auto" w:sz="4" w:space="0"/>
            </w:tcBorders>
            <w:vAlign w:val="center"/>
          </w:tcPr>
          <w:p w14:paraId="3DAF48EF">
            <w:pPr>
              <w:spacing w:before="50" w:after="50"/>
              <w:jc w:val="center"/>
              <w:rPr>
                <w:rFonts w:ascii="宋体" w:hAnsi="宋体"/>
                <w:color w:val="auto"/>
                <w:sz w:val="24"/>
                <w:highlight w:val="none"/>
              </w:rPr>
            </w:pPr>
          </w:p>
        </w:tc>
        <w:tc>
          <w:tcPr>
            <w:tcW w:w="582" w:type="pct"/>
            <w:tcBorders>
              <w:top w:val="single" w:color="auto" w:sz="4" w:space="0"/>
              <w:left w:val="single" w:color="auto" w:sz="4" w:space="0"/>
              <w:bottom w:val="single" w:color="auto" w:sz="4" w:space="0"/>
              <w:right w:val="single" w:color="auto" w:sz="4" w:space="0"/>
            </w:tcBorders>
            <w:vAlign w:val="center"/>
          </w:tcPr>
          <w:p w14:paraId="2AA7D885">
            <w:pPr>
              <w:spacing w:before="50" w:after="50"/>
              <w:jc w:val="center"/>
              <w:rPr>
                <w:rFonts w:ascii="宋体" w:hAnsi="宋体"/>
                <w:color w:val="auto"/>
                <w:sz w:val="24"/>
                <w:highlight w:val="none"/>
              </w:rPr>
            </w:pPr>
          </w:p>
        </w:tc>
        <w:tc>
          <w:tcPr>
            <w:tcW w:w="415" w:type="pct"/>
            <w:tcBorders>
              <w:top w:val="single" w:color="auto" w:sz="4" w:space="0"/>
              <w:left w:val="single" w:color="auto" w:sz="4" w:space="0"/>
              <w:bottom w:val="single" w:color="auto" w:sz="4" w:space="0"/>
              <w:right w:val="single" w:color="auto" w:sz="4" w:space="0"/>
            </w:tcBorders>
            <w:vAlign w:val="center"/>
          </w:tcPr>
          <w:p w14:paraId="4EE0719C">
            <w:pPr>
              <w:spacing w:before="50" w:after="50"/>
              <w:jc w:val="center"/>
              <w:rPr>
                <w:rFonts w:ascii="宋体" w:hAnsi="宋体"/>
                <w:color w:val="auto"/>
                <w:sz w:val="24"/>
                <w:highlight w:val="none"/>
              </w:rPr>
            </w:pPr>
          </w:p>
        </w:tc>
        <w:tc>
          <w:tcPr>
            <w:tcW w:w="915" w:type="pct"/>
            <w:tcBorders>
              <w:top w:val="single" w:color="auto" w:sz="4" w:space="0"/>
              <w:left w:val="single" w:color="auto" w:sz="4" w:space="0"/>
              <w:bottom w:val="single" w:color="auto" w:sz="4" w:space="0"/>
              <w:right w:val="single" w:color="auto" w:sz="4" w:space="0"/>
            </w:tcBorders>
          </w:tcPr>
          <w:p w14:paraId="524C7B83">
            <w:pPr>
              <w:spacing w:before="50" w:after="50"/>
              <w:jc w:val="center"/>
              <w:rPr>
                <w:rFonts w:ascii="宋体" w:hAnsi="宋体"/>
                <w:color w:val="auto"/>
                <w:sz w:val="24"/>
                <w:highlight w:val="none"/>
              </w:rPr>
            </w:pPr>
          </w:p>
        </w:tc>
        <w:tc>
          <w:tcPr>
            <w:tcW w:w="696" w:type="pct"/>
            <w:tcBorders>
              <w:top w:val="single" w:color="auto" w:sz="4" w:space="0"/>
              <w:left w:val="single" w:color="auto" w:sz="4" w:space="0"/>
              <w:bottom w:val="single" w:color="auto" w:sz="4" w:space="0"/>
              <w:right w:val="single" w:color="auto" w:sz="4" w:space="0"/>
            </w:tcBorders>
            <w:vAlign w:val="center"/>
          </w:tcPr>
          <w:p w14:paraId="1D4B7855">
            <w:pPr>
              <w:spacing w:before="50" w:after="50"/>
              <w:jc w:val="center"/>
              <w:rPr>
                <w:rFonts w:ascii="宋体" w:hAnsi="宋体"/>
                <w:color w:val="auto"/>
                <w:sz w:val="24"/>
                <w:highlight w:val="none"/>
              </w:rPr>
            </w:pPr>
          </w:p>
        </w:tc>
        <w:tc>
          <w:tcPr>
            <w:tcW w:w="412" w:type="pct"/>
            <w:tcBorders>
              <w:top w:val="single" w:color="auto" w:sz="4" w:space="0"/>
              <w:left w:val="single" w:color="auto" w:sz="4" w:space="0"/>
              <w:bottom w:val="single" w:color="auto" w:sz="4" w:space="0"/>
              <w:right w:val="single" w:color="auto" w:sz="4" w:space="0"/>
            </w:tcBorders>
            <w:vAlign w:val="center"/>
          </w:tcPr>
          <w:p w14:paraId="2BE35A1D">
            <w:pPr>
              <w:spacing w:before="50" w:after="50"/>
              <w:jc w:val="center"/>
              <w:rPr>
                <w:rFonts w:ascii="宋体" w:hAnsi="宋体"/>
                <w:color w:val="auto"/>
                <w:sz w:val="24"/>
                <w:highlight w:val="none"/>
              </w:rPr>
            </w:pPr>
          </w:p>
        </w:tc>
        <w:tc>
          <w:tcPr>
            <w:tcW w:w="836" w:type="pct"/>
            <w:tcBorders>
              <w:top w:val="single" w:color="auto" w:sz="4" w:space="0"/>
              <w:left w:val="single" w:color="auto" w:sz="4" w:space="0"/>
              <w:bottom w:val="single" w:color="auto" w:sz="4" w:space="0"/>
              <w:right w:val="single" w:color="auto" w:sz="4" w:space="0"/>
            </w:tcBorders>
            <w:vAlign w:val="center"/>
          </w:tcPr>
          <w:p w14:paraId="6299CA21">
            <w:pPr>
              <w:spacing w:before="50" w:after="50"/>
              <w:jc w:val="center"/>
              <w:rPr>
                <w:rFonts w:ascii="宋体" w:hAnsi="宋体"/>
                <w:color w:val="auto"/>
                <w:sz w:val="24"/>
                <w:highlight w:val="none"/>
              </w:rPr>
            </w:pPr>
          </w:p>
        </w:tc>
      </w:tr>
    </w:tbl>
    <w:p w14:paraId="406AC585">
      <w:pPr>
        <w:spacing w:line="360" w:lineRule="auto"/>
        <w:contextualSpacing/>
        <w:rPr>
          <w:rFonts w:ascii="宋体" w:hAnsi="宋体"/>
          <w:color w:val="auto"/>
          <w:sz w:val="24"/>
          <w:highlight w:val="none"/>
        </w:rPr>
      </w:pPr>
      <w:r>
        <w:rPr>
          <w:rFonts w:hint="eastAsia" w:ascii="宋体" w:hAnsi="宋体"/>
          <w:color w:val="auto"/>
          <w:sz w:val="24"/>
          <w:highlight w:val="none"/>
        </w:rPr>
        <w:t>备注：</w:t>
      </w:r>
    </w:p>
    <w:p w14:paraId="2C0825B3">
      <w:pPr>
        <w:spacing w:line="360" w:lineRule="auto"/>
        <w:ind w:firstLine="480"/>
        <w:contextualSpacing/>
        <w:rPr>
          <w:rFonts w:ascii="宋体" w:hAnsi="宋体"/>
          <w:b/>
          <w:color w:val="auto"/>
          <w:sz w:val="24"/>
          <w:highlight w:val="none"/>
        </w:rPr>
      </w:pPr>
      <w:r>
        <w:rPr>
          <w:rFonts w:hint="eastAsia" w:ascii="宋体" w:hAnsi="宋体"/>
          <w:color w:val="auto"/>
          <w:sz w:val="24"/>
          <w:highlight w:val="none"/>
        </w:rPr>
        <w:t>以上设备性能配置清单中“货物名称、数量及单位、品牌、规格型号、生产厂家、原产地、参数性能、指标及配置”必须如实填写完整，品牌、规格型号没有则填无，填写有缺漏</w:t>
      </w:r>
      <w:r>
        <w:rPr>
          <w:rFonts w:hint="eastAsia" w:ascii="宋体" w:hAnsi="宋体"/>
          <w:bCs/>
          <w:color w:val="auto"/>
          <w:sz w:val="24"/>
          <w:highlight w:val="none"/>
        </w:rPr>
        <w:t>的，</w:t>
      </w:r>
      <w:r>
        <w:rPr>
          <w:rFonts w:hint="eastAsia" w:ascii="宋体" w:hAnsi="宋体"/>
          <w:b/>
          <w:color w:val="auto"/>
          <w:sz w:val="24"/>
          <w:highlight w:val="none"/>
        </w:rPr>
        <w:t>作无效投标处理。</w:t>
      </w:r>
      <w:r>
        <w:rPr>
          <w:rFonts w:hint="eastAsia" w:hAnsi="宋体" w:cs="Courier New"/>
          <w:color w:val="auto"/>
          <w:sz w:val="24"/>
          <w:highlight w:val="none"/>
        </w:rPr>
        <w:t>标的的名称</w:t>
      </w:r>
      <w:r>
        <w:rPr>
          <w:rFonts w:hint="eastAsia" w:ascii="宋体" w:hAnsi="宋体"/>
          <w:color w:val="auto"/>
          <w:sz w:val="24"/>
          <w:highlight w:val="none"/>
        </w:rPr>
        <w:t>、数量及单位、品牌必须与“开标一览表”一致，</w:t>
      </w:r>
      <w:r>
        <w:rPr>
          <w:rFonts w:hint="eastAsia" w:ascii="宋体" w:hAnsi="宋体"/>
          <w:b/>
          <w:color w:val="auto"/>
          <w:sz w:val="24"/>
          <w:highlight w:val="none"/>
        </w:rPr>
        <w:t>否则按无效投标处理。</w:t>
      </w:r>
    </w:p>
    <w:p w14:paraId="57582373">
      <w:pPr>
        <w:spacing w:line="360" w:lineRule="auto"/>
        <w:ind w:firstLine="480"/>
        <w:contextualSpacing/>
        <w:rPr>
          <w:rFonts w:ascii="宋体" w:hAnsi="宋体"/>
          <w:color w:val="auto"/>
          <w:sz w:val="24"/>
          <w:highlight w:val="none"/>
        </w:rPr>
      </w:pPr>
    </w:p>
    <w:p w14:paraId="1D6DB09D">
      <w:pPr>
        <w:spacing w:line="360" w:lineRule="auto"/>
        <w:contextualSpacing/>
        <w:rPr>
          <w:rFonts w:ascii="宋体" w:hAnsi="宋体"/>
          <w:color w:val="auto"/>
          <w:spacing w:val="20"/>
          <w:sz w:val="24"/>
          <w:highlight w:val="none"/>
          <w:u w:val="single"/>
        </w:rPr>
      </w:pPr>
      <w:r>
        <w:rPr>
          <w:rFonts w:hint="eastAsia" w:ascii="宋体" w:hAnsi="宋体"/>
          <w:color w:val="auto"/>
          <w:sz w:val="24"/>
          <w:highlight w:val="none"/>
        </w:rPr>
        <w:t>法定代表人或者委托代理人</w:t>
      </w:r>
      <w:r>
        <w:rPr>
          <w:rFonts w:hint="eastAsia" w:ascii="宋体" w:hAnsi="宋体"/>
          <w:color w:val="auto"/>
          <w:spacing w:val="20"/>
          <w:sz w:val="24"/>
          <w:highlight w:val="none"/>
        </w:rPr>
        <w:t>（签字或者电子签名）：</w:t>
      </w:r>
      <w:r>
        <w:rPr>
          <w:rFonts w:hint="eastAsia" w:ascii="宋体" w:hAnsi="宋体"/>
          <w:color w:val="auto"/>
          <w:spacing w:val="20"/>
          <w:sz w:val="24"/>
          <w:highlight w:val="none"/>
          <w:u w:val="single"/>
        </w:rPr>
        <w:t xml:space="preserve">        </w:t>
      </w:r>
    </w:p>
    <w:p w14:paraId="68A099CE">
      <w:pPr>
        <w:spacing w:line="360" w:lineRule="auto"/>
        <w:contextualSpacing/>
        <w:rPr>
          <w:rFonts w:ascii="宋体" w:hAnsi="宋体"/>
          <w:color w:val="auto"/>
          <w:spacing w:val="20"/>
          <w:sz w:val="24"/>
          <w:highlight w:val="none"/>
        </w:rPr>
      </w:pPr>
      <w:r>
        <w:rPr>
          <w:rFonts w:hint="eastAsia" w:ascii="宋体" w:hAnsi="宋体"/>
          <w:color w:val="auto"/>
          <w:spacing w:val="20"/>
          <w:sz w:val="24"/>
          <w:highlight w:val="none"/>
        </w:rPr>
        <w:t>投标人名称（电子签章）：</w:t>
      </w:r>
      <w:r>
        <w:rPr>
          <w:rFonts w:hint="eastAsia" w:ascii="宋体" w:hAnsi="宋体"/>
          <w:color w:val="auto"/>
          <w:spacing w:val="20"/>
          <w:sz w:val="24"/>
          <w:highlight w:val="none"/>
          <w:u w:val="single"/>
        </w:rPr>
        <w:t xml:space="preserve">            </w:t>
      </w:r>
      <w:r>
        <w:rPr>
          <w:rFonts w:hint="eastAsia" w:ascii="宋体" w:hAnsi="宋体"/>
          <w:color w:val="auto"/>
          <w:spacing w:val="20"/>
          <w:sz w:val="24"/>
          <w:highlight w:val="none"/>
        </w:rPr>
        <w:t xml:space="preserve">              </w:t>
      </w:r>
    </w:p>
    <w:p w14:paraId="4EE3B420">
      <w:pPr>
        <w:spacing w:line="360" w:lineRule="auto"/>
        <w:contextualSpacing/>
        <w:rPr>
          <w:rFonts w:ascii="宋体" w:hAnsi="宋体"/>
          <w:color w:val="auto"/>
          <w:sz w:val="24"/>
          <w:szCs w:val="20"/>
          <w:highlight w:val="none"/>
        </w:rPr>
      </w:pPr>
      <w:r>
        <w:rPr>
          <w:rFonts w:hint="eastAsia" w:ascii="宋体" w:hAnsi="宋体"/>
          <w:color w:val="auto"/>
          <w:spacing w:val="20"/>
          <w:sz w:val="24"/>
          <w:highlight w:val="none"/>
        </w:rPr>
        <w:t>日  期：</w:t>
      </w:r>
      <w:r>
        <w:rPr>
          <w:rFonts w:hint="eastAsia" w:ascii="宋体" w:hAnsi="宋体"/>
          <w:color w:val="auto"/>
          <w:spacing w:val="20"/>
          <w:sz w:val="24"/>
          <w:highlight w:val="none"/>
          <w:u w:val="single"/>
        </w:rPr>
        <w:t xml:space="preserve">          </w:t>
      </w:r>
    </w:p>
    <w:p w14:paraId="6DFF289A">
      <w:pPr>
        <w:spacing w:before="50"/>
        <w:jc w:val="left"/>
        <w:rPr>
          <w:rFonts w:ascii="宋体" w:hAnsi="宋体"/>
          <w:color w:val="auto"/>
          <w:sz w:val="24"/>
          <w:szCs w:val="20"/>
          <w:highlight w:val="none"/>
        </w:rPr>
      </w:pPr>
    </w:p>
    <w:p w14:paraId="7FAFA8C2">
      <w:pPr>
        <w:spacing w:before="50"/>
        <w:jc w:val="left"/>
        <w:rPr>
          <w:rFonts w:ascii="宋体" w:hAnsi="宋体"/>
          <w:color w:val="auto"/>
          <w:sz w:val="24"/>
          <w:szCs w:val="20"/>
          <w:highlight w:val="none"/>
        </w:rPr>
      </w:pPr>
    </w:p>
    <w:p w14:paraId="090906ED">
      <w:pPr>
        <w:spacing w:after="50"/>
        <w:ind w:left="142"/>
        <w:jc w:val="left"/>
        <w:rPr>
          <w:rFonts w:ascii="宋体" w:hAnsi="宋体"/>
          <w:b/>
          <w:color w:val="auto"/>
          <w:sz w:val="24"/>
          <w:highlight w:val="none"/>
        </w:rPr>
      </w:pPr>
      <w:r>
        <w:rPr>
          <w:rFonts w:ascii="宋体" w:hAnsi="宋体"/>
          <w:b/>
          <w:color w:val="auto"/>
          <w:sz w:val="24"/>
          <w:highlight w:val="none"/>
        </w:rPr>
        <w:br w:type="page" w:clear="all"/>
      </w:r>
      <w:r>
        <w:rPr>
          <w:rFonts w:hint="eastAsia" w:ascii="宋体" w:hAnsi="宋体"/>
          <w:b/>
          <w:color w:val="auto"/>
          <w:sz w:val="24"/>
          <w:highlight w:val="none"/>
        </w:rPr>
        <w:t>10. 技术要求偏离表格式</w:t>
      </w:r>
    </w:p>
    <w:p w14:paraId="6FE66157">
      <w:pPr>
        <w:spacing w:after="50"/>
        <w:ind w:left="142"/>
        <w:jc w:val="left"/>
        <w:rPr>
          <w:rFonts w:ascii="宋体" w:hAnsi="宋体"/>
          <w:b/>
          <w:color w:val="auto"/>
          <w:sz w:val="24"/>
          <w:highlight w:val="none"/>
        </w:rPr>
      </w:pPr>
    </w:p>
    <w:p w14:paraId="40A8F4FC">
      <w:pPr>
        <w:spacing w:after="50"/>
        <w:ind w:left="142"/>
        <w:jc w:val="center"/>
        <w:rPr>
          <w:rFonts w:ascii="宋体" w:hAnsi="宋体"/>
          <w:b/>
          <w:color w:val="auto"/>
          <w:sz w:val="32"/>
          <w:szCs w:val="32"/>
          <w:highlight w:val="none"/>
        </w:rPr>
      </w:pPr>
      <w:r>
        <w:rPr>
          <w:rFonts w:hint="eastAsia" w:ascii="宋体" w:hAnsi="宋体"/>
          <w:b/>
          <w:color w:val="auto"/>
          <w:sz w:val="32"/>
          <w:szCs w:val="32"/>
          <w:highlight w:val="none"/>
        </w:rPr>
        <w:t>技术要求偏离表</w:t>
      </w:r>
    </w:p>
    <w:p w14:paraId="06724C35">
      <w:pPr>
        <w:pStyle w:val="25"/>
        <w:rPr>
          <w:rFonts w:hAnsi="宋体"/>
          <w:color w:val="auto"/>
          <w:sz w:val="24"/>
          <w:szCs w:val="24"/>
          <w:highlight w:val="none"/>
        </w:rPr>
      </w:pPr>
      <w:r>
        <w:rPr>
          <w:rFonts w:hint="eastAsia" w:hAnsi="宋体"/>
          <w:color w:val="auto"/>
          <w:sz w:val="24"/>
          <w:szCs w:val="24"/>
          <w:highlight w:val="none"/>
        </w:rPr>
        <w:t>所投分标：</w:t>
      </w:r>
      <w:r>
        <w:rPr>
          <w:rFonts w:hint="eastAsia" w:hAnsi="宋体"/>
          <w:color w:val="auto"/>
          <w:sz w:val="24"/>
          <w:szCs w:val="24"/>
          <w:highlight w:val="none"/>
          <w:u w:val="single"/>
        </w:rPr>
        <w:t xml:space="preserve">     </w:t>
      </w:r>
      <w:r>
        <w:rPr>
          <w:rFonts w:hint="eastAsia" w:hAnsi="宋体"/>
          <w:color w:val="auto"/>
          <w:sz w:val="24"/>
          <w:szCs w:val="24"/>
          <w:highlight w:val="none"/>
        </w:rPr>
        <w:t>分标</w:t>
      </w:r>
    </w:p>
    <w:tbl>
      <w:tblPr>
        <w:tblStyle w:val="50"/>
        <w:tblW w:w="89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2143"/>
        <w:gridCol w:w="1834"/>
        <w:gridCol w:w="2181"/>
        <w:gridCol w:w="1934"/>
      </w:tblGrid>
      <w:tr w14:paraId="2C134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852" w:type="dxa"/>
            <w:vAlign w:val="center"/>
          </w:tcPr>
          <w:p w14:paraId="3F2FF3F8">
            <w:pPr>
              <w:pStyle w:val="25"/>
              <w:spacing w:line="400" w:lineRule="exact"/>
              <w:jc w:val="center"/>
              <w:rPr>
                <w:rFonts w:hAnsi="宋体" w:cs="Courier New"/>
                <w:color w:val="auto"/>
                <w:sz w:val="24"/>
                <w:szCs w:val="24"/>
                <w:highlight w:val="none"/>
              </w:rPr>
            </w:pPr>
            <w:r>
              <w:rPr>
                <w:rFonts w:hint="eastAsia" w:hAnsi="宋体" w:cs="Courier New"/>
                <w:color w:val="auto"/>
                <w:sz w:val="24"/>
                <w:szCs w:val="24"/>
                <w:highlight w:val="none"/>
              </w:rPr>
              <w:t>项号</w:t>
            </w:r>
          </w:p>
        </w:tc>
        <w:tc>
          <w:tcPr>
            <w:tcW w:w="2143" w:type="dxa"/>
            <w:vAlign w:val="center"/>
          </w:tcPr>
          <w:p w14:paraId="6DF24199">
            <w:pPr>
              <w:pStyle w:val="25"/>
              <w:spacing w:line="400" w:lineRule="exact"/>
              <w:jc w:val="center"/>
              <w:rPr>
                <w:rFonts w:hAnsi="宋体" w:cs="Courier New"/>
                <w:color w:val="auto"/>
                <w:sz w:val="24"/>
                <w:szCs w:val="24"/>
                <w:highlight w:val="none"/>
              </w:rPr>
            </w:pPr>
            <w:r>
              <w:rPr>
                <w:rFonts w:hint="eastAsia" w:hAnsi="宋体" w:cs="Courier New"/>
                <w:color w:val="auto"/>
                <w:sz w:val="24"/>
                <w:szCs w:val="24"/>
                <w:highlight w:val="none"/>
              </w:rPr>
              <w:t>标的的名称</w:t>
            </w:r>
          </w:p>
        </w:tc>
        <w:tc>
          <w:tcPr>
            <w:tcW w:w="1834" w:type="dxa"/>
            <w:vAlign w:val="center"/>
          </w:tcPr>
          <w:p w14:paraId="5918C7DE">
            <w:pPr>
              <w:pStyle w:val="25"/>
              <w:spacing w:line="400" w:lineRule="exact"/>
              <w:jc w:val="center"/>
              <w:rPr>
                <w:rFonts w:hAnsi="宋体" w:cs="Courier New"/>
                <w:color w:val="auto"/>
                <w:sz w:val="24"/>
                <w:szCs w:val="24"/>
                <w:highlight w:val="none"/>
              </w:rPr>
            </w:pPr>
            <w:r>
              <w:rPr>
                <w:rFonts w:hint="eastAsia" w:hAnsi="宋体" w:cs="Courier New"/>
                <w:color w:val="auto"/>
                <w:sz w:val="24"/>
                <w:szCs w:val="24"/>
                <w:highlight w:val="none"/>
              </w:rPr>
              <w:t>技术要求</w:t>
            </w:r>
          </w:p>
        </w:tc>
        <w:tc>
          <w:tcPr>
            <w:tcW w:w="2181" w:type="dxa"/>
            <w:vAlign w:val="center"/>
          </w:tcPr>
          <w:p w14:paraId="71EE2640">
            <w:pPr>
              <w:pStyle w:val="25"/>
              <w:spacing w:line="400" w:lineRule="exact"/>
              <w:jc w:val="center"/>
              <w:rPr>
                <w:rFonts w:hAnsi="宋体" w:cs="Courier New"/>
                <w:color w:val="auto"/>
                <w:sz w:val="24"/>
                <w:szCs w:val="24"/>
                <w:highlight w:val="none"/>
              </w:rPr>
            </w:pPr>
            <w:r>
              <w:rPr>
                <w:rFonts w:hint="eastAsia" w:hAnsi="宋体" w:cs="Courier New"/>
                <w:color w:val="auto"/>
                <w:sz w:val="24"/>
                <w:szCs w:val="24"/>
                <w:highlight w:val="none"/>
              </w:rPr>
              <w:t>投标响应</w:t>
            </w:r>
          </w:p>
        </w:tc>
        <w:tc>
          <w:tcPr>
            <w:tcW w:w="1934" w:type="dxa"/>
            <w:vAlign w:val="center"/>
          </w:tcPr>
          <w:p w14:paraId="75C6B357">
            <w:pPr>
              <w:pStyle w:val="25"/>
              <w:spacing w:line="400" w:lineRule="exact"/>
              <w:jc w:val="center"/>
              <w:rPr>
                <w:rFonts w:hAnsi="宋体" w:cs="Courier New"/>
                <w:color w:val="auto"/>
                <w:sz w:val="24"/>
                <w:szCs w:val="24"/>
                <w:highlight w:val="none"/>
              </w:rPr>
            </w:pPr>
            <w:r>
              <w:rPr>
                <w:rFonts w:hint="eastAsia" w:hAnsi="宋体" w:cs="Courier New"/>
                <w:color w:val="auto"/>
                <w:sz w:val="24"/>
                <w:szCs w:val="24"/>
                <w:highlight w:val="none"/>
              </w:rPr>
              <w:t>偏离说明</w:t>
            </w:r>
          </w:p>
        </w:tc>
      </w:tr>
      <w:tr w14:paraId="6C77D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52727C8D">
            <w:pPr>
              <w:pStyle w:val="25"/>
              <w:spacing w:line="600" w:lineRule="exact"/>
              <w:jc w:val="center"/>
              <w:rPr>
                <w:rFonts w:hAnsi="宋体" w:cs="Courier New"/>
                <w:color w:val="auto"/>
                <w:sz w:val="24"/>
                <w:szCs w:val="24"/>
                <w:highlight w:val="none"/>
              </w:rPr>
            </w:pPr>
          </w:p>
        </w:tc>
        <w:tc>
          <w:tcPr>
            <w:tcW w:w="2143" w:type="dxa"/>
            <w:vAlign w:val="center"/>
          </w:tcPr>
          <w:p w14:paraId="5C2822F9">
            <w:pPr>
              <w:pStyle w:val="25"/>
              <w:spacing w:line="600" w:lineRule="exact"/>
              <w:jc w:val="center"/>
              <w:rPr>
                <w:rFonts w:hAnsi="宋体" w:cs="Courier New"/>
                <w:color w:val="auto"/>
                <w:sz w:val="24"/>
                <w:szCs w:val="24"/>
                <w:highlight w:val="none"/>
              </w:rPr>
            </w:pPr>
          </w:p>
        </w:tc>
        <w:tc>
          <w:tcPr>
            <w:tcW w:w="1834" w:type="dxa"/>
            <w:vAlign w:val="center"/>
          </w:tcPr>
          <w:p w14:paraId="4F4B4496">
            <w:pPr>
              <w:pStyle w:val="25"/>
              <w:spacing w:line="600" w:lineRule="exact"/>
              <w:jc w:val="center"/>
              <w:rPr>
                <w:rFonts w:hAnsi="宋体" w:cs="Courier New"/>
                <w:color w:val="auto"/>
                <w:sz w:val="24"/>
                <w:szCs w:val="24"/>
                <w:highlight w:val="none"/>
              </w:rPr>
            </w:pPr>
          </w:p>
        </w:tc>
        <w:tc>
          <w:tcPr>
            <w:tcW w:w="2181" w:type="dxa"/>
            <w:vAlign w:val="center"/>
          </w:tcPr>
          <w:p w14:paraId="24FD6604">
            <w:pPr>
              <w:pStyle w:val="25"/>
              <w:spacing w:line="600" w:lineRule="exact"/>
              <w:jc w:val="center"/>
              <w:rPr>
                <w:rFonts w:hAnsi="宋体" w:cs="Courier New"/>
                <w:color w:val="auto"/>
                <w:sz w:val="24"/>
                <w:szCs w:val="24"/>
                <w:highlight w:val="none"/>
              </w:rPr>
            </w:pPr>
          </w:p>
        </w:tc>
        <w:tc>
          <w:tcPr>
            <w:tcW w:w="1934" w:type="dxa"/>
            <w:vAlign w:val="center"/>
          </w:tcPr>
          <w:p w14:paraId="45C9E53E">
            <w:pPr>
              <w:pStyle w:val="25"/>
              <w:spacing w:line="600" w:lineRule="exact"/>
              <w:jc w:val="center"/>
              <w:rPr>
                <w:rFonts w:hAnsi="宋体" w:cs="Courier New"/>
                <w:color w:val="auto"/>
                <w:sz w:val="24"/>
                <w:szCs w:val="24"/>
                <w:highlight w:val="none"/>
              </w:rPr>
            </w:pPr>
          </w:p>
        </w:tc>
      </w:tr>
      <w:tr w14:paraId="6E2C6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60C741CC">
            <w:pPr>
              <w:pStyle w:val="25"/>
              <w:spacing w:line="600" w:lineRule="exact"/>
              <w:rPr>
                <w:rFonts w:hAnsi="宋体" w:cs="Courier New"/>
                <w:color w:val="auto"/>
                <w:sz w:val="24"/>
                <w:szCs w:val="24"/>
                <w:highlight w:val="none"/>
              </w:rPr>
            </w:pPr>
          </w:p>
        </w:tc>
        <w:tc>
          <w:tcPr>
            <w:tcW w:w="2143" w:type="dxa"/>
          </w:tcPr>
          <w:p w14:paraId="3E8FB2C0">
            <w:pPr>
              <w:pStyle w:val="25"/>
              <w:spacing w:line="600" w:lineRule="exact"/>
              <w:rPr>
                <w:rFonts w:hAnsi="宋体" w:cs="Courier New"/>
                <w:color w:val="auto"/>
                <w:sz w:val="24"/>
                <w:szCs w:val="24"/>
                <w:highlight w:val="none"/>
              </w:rPr>
            </w:pPr>
          </w:p>
        </w:tc>
        <w:tc>
          <w:tcPr>
            <w:tcW w:w="1834" w:type="dxa"/>
          </w:tcPr>
          <w:p w14:paraId="352406F7">
            <w:pPr>
              <w:pStyle w:val="25"/>
              <w:spacing w:line="600" w:lineRule="exact"/>
              <w:rPr>
                <w:rFonts w:hAnsi="宋体" w:cs="Courier New"/>
                <w:color w:val="auto"/>
                <w:sz w:val="24"/>
                <w:szCs w:val="24"/>
                <w:highlight w:val="none"/>
              </w:rPr>
            </w:pPr>
          </w:p>
        </w:tc>
        <w:tc>
          <w:tcPr>
            <w:tcW w:w="2181" w:type="dxa"/>
          </w:tcPr>
          <w:p w14:paraId="0DC2B63F">
            <w:pPr>
              <w:pStyle w:val="25"/>
              <w:spacing w:line="600" w:lineRule="exact"/>
              <w:rPr>
                <w:rFonts w:hAnsi="宋体" w:cs="Courier New"/>
                <w:color w:val="auto"/>
                <w:sz w:val="24"/>
                <w:szCs w:val="24"/>
                <w:highlight w:val="none"/>
              </w:rPr>
            </w:pPr>
          </w:p>
        </w:tc>
        <w:tc>
          <w:tcPr>
            <w:tcW w:w="1934" w:type="dxa"/>
          </w:tcPr>
          <w:p w14:paraId="4AD1E16B">
            <w:pPr>
              <w:pStyle w:val="25"/>
              <w:spacing w:line="600" w:lineRule="exact"/>
              <w:rPr>
                <w:rFonts w:hAnsi="宋体" w:cs="Courier New"/>
                <w:color w:val="auto"/>
                <w:sz w:val="24"/>
                <w:szCs w:val="24"/>
                <w:highlight w:val="none"/>
              </w:rPr>
            </w:pPr>
          </w:p>
        </w:tc>
      </w:tr>
      <w:tr w14:paraId="6CA3A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1152BCDE">
            <w:pPr>
              <w:pStyle w:val="25"/>
              <w:spacing w:line="600" w:lineRule="exact"/>
              <w:rPr>
                <w:rFonts w:hAnsi="宋体" w:cs="Courier New"/>
                <w:color w:val="auto"/>
                <w:sz w:val="24"/>
                <w:szCs w:val="24"/>
                <w:highlight w:val="none"/>
              </w:rPr>
            </w:pPr>
          </w:p>
        </w:tc>
        <w:tc>
          <w:tcPr>
            <w:tcW w:w="2143" w:type="dxa"/>
          </w:tcPr>
          <w:p w14:paraId="026AE685">
            <w:pPr>
              <w:pStyle w:val="25"/>
              <w:spacing w:line="600" w:lineRule="exact"/>
              <w:rPr>
                <w:rFonts w:hAnsi="宋体" w:cs="Courier New"/>
                <w:color w:val="auto"/>
                <w:sz w:val="24"/>
                <w:szCs w:val="24"/>
                <w:highlight w:val="none"/>
              </w:rPr>
            </w:pPr>
          </w:p>
        </w:tc>
        <w:tc>
          <w:tcPr>
            <w:tcW w:w="1834" w:type="dxa"/>
          </w:tcPr>
          <w:p w14:paraId="3B786E36">
            <w:pPr>
              <w:pStyle w:val="25"/>
              <w:spacing w:line="600" w:lineRule="exact"/>
              <w:rPr>
                <w:rFonts w:hAnsi="宋体" w:cs="Courier New"/>
                <w:color w:val="auto"/>
                <w:sz w:val="24"/>
                <w:szCs w:val="24"/>
                <w:highlight w:val="none"/>
              </w:rPr>
            </w:pPr>
          </w:p>
        </w:tc>
        <w:tc>
          <w:tcPr>
            <w:tcW w:w="2181" w:type="dxa"/>
          </w:tcPr>
          <w:p w14:paraId="58CFB295">
            <w:pPr>
              <w:pStyle w:val="25"/>
              <w:spacing w:line="600" w:lineRule="exact"/>
              <w:rPr>
                <w:rFonts w:hAnsi="宋体" w:cs="Courier New"/>
                <w:color w:val="auto"/>
                <w:sz w:val="24"/>
                <w:szCs w:val="24"/>
                <w:highlight w:val="none"/>
              </w:rPr>
            </w:pPr>
          </w:p>
        </w:tc>
        <w:tc>
          <w:tcPr>
            <w:tcW w:w="1934" w:type="dxa"/>
          </w:tcPr>
          <w:p w14:paraId="2B74DAE1">
            <w:pPr>
              <w:pStyle w:val="25"/>
              <w:spacing w:line="600" w:lineRule="exact"/>
              <w:rPr>
                <w:rFonts w:hAnsi="宋体" w:cs="Courier New"/>
                <w:color w:val="auto"/>
                <w:sz w:val="24"/>
                <w:szCs w:val="24"/>
                <w:highlight w:val="none"/>
              </w:rPr>
            </w:pPr>
          </w:p>
        </w:tc>
      </w:tr>
      <w:tr w14:paraId="26DBA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0E02C8D6">
            <w:pPr>
              <w:pStyle w:val="25"/>
              <w:spacing w:line="600" w:lineRule="exact"/>
              <w:rPr>
                <w:rFonts w:hAnsi="宋体" w:cs="Courier New"/>
                <w:color w:val="auto"/>
                <w:sz w:val="24"/>
                <w:szCs w:val="24"/>
                <w:highlight w:val="none"/>
              </w:rPr>
            </w:pPr>
          </w:p>
        </w:tc>
        <w:tc>
          <w:tcPr>
            <w:tcW w:w="2143" w:type="dxa"/>
          </w:tcPr>
          <w:p w14:paraId="46AF0388">
            <w:pPr>
              <w:pStyle w:val="25"/>
              <w:spacing w:line="600" w:lineRule="exact"/>
              <w:rPr>
                <w:rFonts w:hAnsi="宋体" w:cs="Courier New"/>
                <w:color w:val="auto"/>
                <w:sz w:val="24"/>
                <w:szCs w:val="24"/>
                <w:highlight w:val="none"/>
              </w:rPr>
            </w:pPr>
          </w:p>
        </w:tc>
        <w:tc>
          <w:tcPr>
            <w:tcW w:w="1834" w:type="dxa"/>
          </w:tcPr>
          <w:p w14:paraId="22BBDA44">
            <w:pPr>
              <w:pStyle w:val="25"/>
              <w:spacing w:line="600" w:lineRule="exact"/>
              <w:rPr>
                <w:rFonts w:hAnsi="宋体" w:cs="Courier New"/>
                <w:color w:val="auto"/>
                <w:sz w:val="24"/>
                <w:szCs w:val="24"/>
                <w:highlight w:val="none"/>
              </w:rPr>
            </w:pPr>
          </w:p>
        </w:tc>
        <w:tc>
          <w:tcPr>
            <w:tcW w:w="2181" w:type="dxa"/>
          </w:tcPr>
          <w:p w14:paraId="42D0A3BC">
            <w:pPr>
              <w:pStyle w:val="25"/>
              <w:spacing w:line="600" w:lineRule="exact"/>
              <w:rPr>
                <w:rFonts w:hAnsi="宋体" w:cs="Courier New"/>
                <w:color w:val="auto"/>
                <w:sz w:val="24"/>
                <w:szCs w:val="24"/>
                <w:highlight w:val="none"/>
              </w:rPr>
            </w:pPr>
          </w:p>
        </w:tc>
        <w:tc>
          <w:tcPr>
            <w:tcW w:w="1934" w:type="dxa"/>
          </w:tcPr>
          <w:p w14:paraId="37A3D161">
            <w:pPr>
              <w:pStyle w:val="25"/>
              <w:spacing w:line="600" w:lineRule="exact"/>
              <w:rPr>
                <w:rFonts w:hAnsi="宋体" w:cs="Courier New"/>
                <w:color w:val="auto"/>
                <w:sz w:val="24"/>
                <w:szCs w:val="24"/>
                <w:highlight w:val="none"/>
              </w:rPr>
            </w:pPr>
          </w:p>
        </w:tc>
      </w:tr>
      <w:tr w14:paraId="71A72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35DFDD45">
            <w:pPr>
              <w:pStyle w:val="25"/>
              <w:spacing w:line="600" w:lineRule="exact"/>
              <w:rPr>
                <w:rFonts w:hAnsi="宋体" w:cs="Courier New"/>
                <w:color w:val="auto"/>
                <w:sz w:val="24"/>
                <w:szCs w:val="24"/>
                <w:highlight w:val="none"/>
              </w:rPr>
            </w:pPr>
          </w:p>
        </w:tc>
        <w:tc>
          <w:tcPr>
            <w:tcW w:w="2143" w:type="dxa"/>
          </w:tcPr>
          <w:p w14:paraId="43C77263">
            <w:pPr>
              <w:pStyle w:val="25"/>
              <w:spacing w:line="600" w:lineRule="exact"/>
              <w:rPr>
                <w:rFonts w:hAnsi="宋体" w:cs="Courier New"/>
                <w:color w:val="auto"/>
                <w:sz w:val="24"/>
                <w:szCs w:val="24"/>
                <w:highlight w:val="none"/>
              </w:rPr>
            </w:pPr>
          </w:p>
        </w:tc>
        <w:tc>
          <w:tcPr>
            <w:tcW w:w="1834" w:type="dxa"/>
          </w:tcPr>
          <w:p w14:paraId="7F702EDA">
            <w:pPr>
              <w:pStyle w:val="25"/>
              <w:spacing w:line="600" w:lineRule="exact"/>
              <w:rPr>
                <w:rFonts w:hAnsi="宋体" w:cs="Courier New"/>
                <w:color w:val="auto"/>
                <w:sz w:val="24"/>
                <w:szCs w:val="24"/>
                <w:highlight w:val="none"/>
              </w:rPr>
            </w:pPr>
          </w:p>
        </w:tc>
        <w:tc>
          <w:tcPr>
            <w:tcW w:w="2181" w:type="dxa"/>
          </w:tcPr>
          <w:p w14:paraId="0266646E">
            <w:pPr>
              <w:pStyle w:val="25"/>
              <w:spacing w:line="600" w:lineRule="exact"/>
              <w:rPr>
                <w:rFonts w:hAnsi="宋体" w:cs="Courier New"/>
                <w:color w:val="auto"/>
                <w:sz w:val="24"/>
                <w:szCs w:val="24"/>
                <w:highlight w:val="none"/>
              </w:rPr>
            </w:pPr>
          </w:p>
        </w:tc>
        <w:tc>
          <w:tcPr>
            <w:tcW w:w="1934" w:type="dxa"/>
          </w:tcPr>
          <w:p w14:paraId="70AD3449">
            <w:pPr>
              <w:pStyle w:val="25"/>
              <w:spacing w:line="600" w:lineRule="exact"/>
              <w:rPr>
                <w:rFonts w:hAnsi="宋体" w:cs="Courier New"/>
                <w:color w:val="auto"/>
                <w:sz w:val="24"/>
                <w:szCs w:val="24"/>
                <w:highlight w:val="none"/>
              </w:rPr>
            </w:pPr>
          </w:p>
        </w:tc>
      </w:tr>
      <w:tr w14:paraId="1F2A5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17B5A3B4">
            <w:pPr>
              <w:pStyle w:val="25"/>
              <w:spacing w:line="600" w:lineRule="exact"/>
              <w:rPr>
                <w:rFonts w:hAnsi="宋体" w:cs="Courier New"/>
                <w:color w:val="auto"/>
                <w:sz w:val="24"/>
                <w:szCs w:val="24"/>
                <w:highlight w:val="none"/>
              </w:rPr>
            </w:pPr>
          </w:p>
        </w:tc>
        <w:tc>
          <w:tcPr>
            <w:tcW w:w="2143" w:type="dxa"/>
          </w:tcPr>
          <w:p w14:paraId="62907DB0">
            <w:pPr>
              <w:pStyle w:val="25"/>
              <w:spacing w:line="600" w:lineRule="exact"/>
              <w:rPr>
                <w:rFonts w:hAnsi="宋体" w:cs="Courier New"/>
                <w:color w:val="auto"/>
                <w:sz w:val="24"/>
                <w:szCs w:val="24"/>
                <w:highlight w:val="none"/>
              </w:rPr>
            </w:pPr>
          </w:p>
        </w:tc>
        <w:tc>
          <w:tcPr>
            <w:tcW w:w="1834" w:type="dxa"/>
          </w:tcPr>
          <w:p w14:paraId="4FB666F9">
            <w:pPr>
              <w:pStyle w:val="25"/>
              <w:spacing w:line="600" w:lineRule="exact"/>
              <w:rPr>
                <w:rFonts w:hAnsi="宋体" w:cs="Courier New"/>
                <w:color w:val="auto"/>
                <w:sz w:val="24"/>
                <w:szCs w:val="24"/>
                <w:highlight w:val="none"/>
              </w:rPr>
            </w:pPr>
          </w:p>
        </w:tc>
        <w:tc>
          <w:tcPr>
            <w:tcW w:w="2181" w:type="dxa"/>
          </w:tcPr>
          <w:p w14:paraId="4F9D2FBA">
            <w:pPr>
              <w:pStyle w:val="25"/>
              <w:spacing w:line="600" w:lineRule="exact"/>
              <w:rPr>
                <w:rFonts w:hAnsi="宋体" w:cs="Courier New"/>
                <w:color w:val="auto"/>
                <w:sz w:val="24"/>
                <w:szCs w:val="24"/>
                <w:highlight w:val="none"/>
              </w:rPr>
            </w:pPr>
          </w:p>
        </w:tc>
        <w:tc>
          <w:tcPr>
            <w:tcW w:w="1934" w:type="dxa"/>
          </w:tcPr>
          <w:p w14:paraId="1BCF3E9B">
            <w:pPr>
              <w:pStyle w:val="25"/>
              <w:spacing w:line="600" w:lineRule="exact"/>
              <w:rPr>
                <w:rFonts w:hAnsi="宋体" w:cs="Courier New"/>
                <w:color w:val="auto"/>
                <w:sz w:val="24"/>
                <w:szCs w:val="24"/>
                <w:highlight w:val="none"/>
              </w:rPr>
            </w:pPr>
          </w:p>
        </w:tc>
      </w:tr>
    </w:tbl>
    <w:p w14:paraId="2FF1758B">
      <w:pPr>
        <w:pStyle w:val="18"/>
        <w:rPr>
          <w:rFonts w:ascii="宋体" w:hAnsi="宋体"/>
          <w:color w:val="auto"/>
          <w:highlight w:val="none"/>
        </w:rPr>
      </w:pPr>
      <w:r>
        <w:rPr>
          <w:rFonts w:hint="eastAsia" w:ascii="宋体" w:hAnsi="宋体"/>
          <w:color w:val="auto"/>
          <w:highlight w:val="none"/>
        </w:rPr>
        <w:t>注：</w:t>
      </w:r>
    </w:p>
    <w:p w14:paraId="51368772">
      <w:pPr>
        <w:pStyle w:val="20"/>
        <w:spacing w:line="360" w:lineRule="auto"/>
        <w:ind w:firstLine="0"/>
        <w:rPr>
          <w:rFonts w:hAnsi="仿宋_GB2312" w:cs="仿宋_GB2312"/>
          <w:color w:val="auto"/>
          <w:szCs w:val="32"/>
          <w:highlight w:val="none"/>
        </w:rPr>
      </w:pPr>
      <w:r>
        <w:rPr>
          <w:rFonts w:hint="eastAsia" w:ascii="宋体" w:hAnsi="宋体" w:eastAsia="宋体"/>
          <w:color w:val="auto"/>
          <w:sz w:val="24"/>
          <w:szCs w:val="24"/>
          <w:highlight w:val="none"/>
        </w:rPr>
        <w:t>1. 说明：应对照招标文件“第二章 采购需求”中的“技术要求”逐条作明确的投标响应，并作出偏离说明。</w:t>
      </w:r>
    </w:p>
    <w:p w14:paraId="11BAFCC7">
      <w:pPr>
        <w:pStyle w:val="18"/>
        <w:spacing w:line="360" w:lineRule="auto"/>
        <w:rPr>
          <w:rFonts w:ascii="宋体" w:hAnsi="宋体"/>
          <w:b w:val="0"/>
          <w:bCs w:val="0"/>
          <w:color w:val="auto"/>
          <w:highlight w:val="none"/>
        </w:rPr>
      </w:pPr>
      <w:r>
        <w:rPr>
          <w:rFonts w:ascii="宋体" w:hAnsi="宋体"/>
          <w:b w:val="0"/>
          <w:bCs w:val="0"/>
          <w:color w:val="auto"/>
          <w:highlight w:val="none"/>
        </w:rPr>
        <w:t>2.</w:t>
      </w:r>
      <w:r>
        <w:rPr>
          <w:rFonts w:hint="eastAsia" w:ascii="宋体" w:hAnsi="宋体"/>
          <w:b w:val="0"/>
          <w:bCs w:val="0"/>
          <w:color w:val="auto"/>
          <w:highlight w:val="none"/>
        </w:rPr>
        <w:t>投标人根据投标货物的性能指标，对照招标文件技术要求，在“偏离说明”中注明“</w:t>
      </w:r>
      <w:r>
        <w:rPr>
          <w:rFonts w:hint="eastAsia" w:ascii="宋体" w:hAnsi="宋体"/>
          <w:color w:val="auto"/>
          <w:highlight w:val="none"/>
        </w:rPr>
        <w:t>正偏离</w:t>
      </w:r>
      <w:r>
        <w:rPr>
          <w:rFonts w:hint="eastAsia" w:ascii="宋体" w:hAnsi="宋体"/>
          <w:b w:val="0"/>
          <w:bCs w:val="0"/>
          <w:color w:val="auto"/>
          <w:highlight w:val="none"/>
        </w:rPr>
        <w:t>”、“</w:t>
      </w:r>
      <w:r>
        <w:rPr>
          <w:rFonts w:hint="eastAsia" w:ascii="宋体" w:hAnsi="宋体"/>
          <w:color w:val="auto"/>
          <w:highlight w:val="none"/>
        </w:rPr>
        <w:t>负偏离</w:t>
      </w:r>
      <w:r>
        <w:rPr>
          <w:rFonts w:hint="eastAsia" w:ascii="宋体" w:hAnsi="宋体"/>
          <w:b w:val="0"/>
          <w:bCs w:val="0"/>
          <w:color w:val="auto"/>
          <w:highlight w:val="none"/>
        </w:rPr>
        <w:t>”或者“</w:t>
      </w:r>
      <w:r>
        <w:rPr>
          <w:rFonts w:hint="eastAsia" w:ascii="宋体" w:hAnsi="宋体"/>
          <w:color w:val="auto"/>
          <w:highlight w:val="none"/>
        </w:rPr>
        <w:t>无偏离</w:t>
      </w:r>
      <w:r>
        <w:rPr>
          <w:rFonts w:hint="eastAsia" w:ascii="宋体" w:hAnsi="宋体"/>
          <w:b w:val="0"/>
          <w:bCs w:val="0"/>
          <w:color w:val="auto"/>
          <w:highlight w:val="none"/>
        </w:rPr>
        <w:t>”。既不属于“</w:t>
      </w:r>
      <w:r>
        <w:rPr>
          <w:rFonts w:hint="eastAsia" w:ascii="宋体" w:hAnsi="宋体"/>
          <w:color w:val="auto"/>
          <w:highlight w:val="none"/>
        </w:rPr>
        <w:t>正偏离</w:t>
      </w:r>
      <w:r>
        <w:rPr>
          <w:rFonts w:hint="eastAsia" w:ascii="宋体" w:hAnsi="宋体"/>
          <w:b w:val="0"/>
          <w:bCs w:val="0"/>
          <w:color w:val="auto"/>
          <w:highlight w:val="none"/>
        </w:rPr>
        <w:t>”也不属于“</w:t>
      </w:r>
      <w:r>
        <w:rPr>
          <w:rFonts w:hint="eastAsia" w:ascii="宋体" w:hAnsi="宋体"/>
          <w:color w:val="auto"/>
          <w:highlight w:val="none"/>
        </w:rPr>
        <w:t>负偏离</w:t>
      </w:r>
      <w:r>
        <w:rPr>
          <w:rFonts w:hint="eastAsia" w:ascii="宋体" w:hAnsi="宋体"/>
          <w:b w:val="0"/>
          <w:bCs w:val="0"/>
          <w:color w:val="auto"/>
          <w:highlight w:val="none"/>
        </w:rPr>
        <w:t>”即为“</w:t>
      </w:r>
      <w:r>
        <w:rPr>
          <w:rFonts w:hint="eastAsia" w:ascii="宋体" w:hAnsi="宋体"/>
          <w:color w:val="auto"/>
          <w:highlight w:val="none"/>
        </w:rPr>
        <w:t>无偏离</w:t>
      </w:r>
      <w:r>
        <w:rPr>
          <w:rFonts w:hint="eastAsia" w:ascii="宋体" w:hAnsi="宋体"/>
          <w:b w:val="0"/>
          <w:bCs w:val="0"/>
          <w:color w:val="auto"/>
          <w:highlight w:val="none"/>
        </w:rPr>
        <w:t>”。</w:t>
      </w:r>
    </w:p>
    <w:p w14:paraId="66D715D7">
      <w:pPr>
        <w:pStyle w:val="20"/>
        <w:spacing w:line="360" w:lineRule="auto"/>
        <w:ind w:firstLine="0"/>
        <w:rPr>
          <w:rFonts w:ascii="宋体" w:hAnsi="宋体" w:eastAsia="宋体"/>
          <w:color w:val="auto"/>
          <w:sz w:val="24"/>
          <w:szCs w:val="24"/>
          <w:highlight w:val="none"/>
        </w:rPr>
      </w:pPr>
      <w:r>
        <w:rPr>
          <w:rFonts w:hint="eastAsia" w:ascii="宋体" w:hAnsi="宋体" w:eastAsia="宋体"/>
          <w:color w:val="auto"/>
          <w:sz w:val="24"/>
          <w:szCs w:val="24"/>
          <w:highlight w:val="none"/>
        </w:rPr>
        <w:t>3</w:t>
      </w:r>
      <w:r>
        <w:rPr>
          <w:rFonts w:ascii="宋体" w:hAnsi="宋体" w:eastAsia="宋体"/>
          <w:color w:val="auto"/>
          <w:sz w:val="24"/>
          <w:szCs w:val="24"/>
          <w:highlight w:val="none"/>
        </w:rPr>
        <w:t>.</w:t>
      </w:r>
      <w:r>
        <w:rPr>
          <w:rFonts w:hint="eastAsia" w:ascii="宋体" w:hAnsi="宋体" w:eastAsia="宋体"/>
          <w:color w:val="auto"/>
          <w:sz w:val="24"/>
          <w:szCs w:val="24"/>
          <w:highlight w:val="none"/>
        </w:rPr>
        <w:t xml:space="preserve"> 如技术要求偏离表中的投标响应与佐证材料不一致的，以佐证材料为准。</w:t>
      </w:r>
    </w:p>
    <w:p w14:paraId="74DE2D66">
      <w:pPr>
        <w:spacing w:before="50" w:after="50" w:line="360" w:lineRule="auto"/>
        <w:rPr>
          <w:rFonts w:ascii="宋体" w:hAnsi="宋体"/>
          <w:color w:val="auto"/>
          <w:sz w:val="24"/>
          <w:highlight w:val="none"/>
        </w:rPr>
      </w:pPr>
    </w:p>
    <w:p w14:paraId="316F6BF4">
      <w:pPr>
        <w:spacing w:before="50" w:after="50" w:line="360" w:lineRule="auto"/>
        <w:rPr>
          <w:rFonts w:ascii="宋体" w:hAnsi="宋体"/>
          <w:color w:val="auto"/>
          <w:spacing w:val="20"/>
          <w:sz w:val="24"/>
          <w:highlight w:val="none"/>
          <w:u w:val="single"/>
        </w:rPr>
      </w:pPr>
      <w:r>
        <w:rPr>
          <w:rFonts w:hint="eastAsia" w:ascii="宋体" w:hAnsi="宋体"/>
          <w:color w:val="auto"/>
          <w:sz w:val="24"/>
          <w:highlight w:val="none"/>
        </w:rPr>
        <w:t>法定代表人或者委托代理人</w:t>
      </w:r>
      <w:r>
        <w:rPr>
          <w:rFonts w:hint="eastAsia" w:ascii="宋体" w:hAnsi="宋体"/>
          <w:color w:val="auto"/>
          <w:spacing w:val="20"/>
          <w:sz w:val="24"/>
          <w:highlight w:val="none"/>
        </w:rPr>
        <w:t>（签字或者电子签名）：</w:t>
      </w:r>
      <w:r>
        <w:rPr>
          <w:rFonts w:hint="eastAsia" w:ascii="宋体" w:hAnsi="宋体"/>
          <w:color w:val="auto"/>
          <w:spacing w:val="20"/>
          <w:sz w:val="24"/>
          <w:highlight w:val="none"/>
          <w:u w:val="single"/>
        </w:rPr>
        <w:t xml:space="preserve">        </w:t>
      </w:r>
    </w:p>
    <w:p w14:paraId="01523E9D">
      <w:pPr>
        <w:spacing w:before="50" w:after="50" w:line="360" w:lineRule="auto"/>
        <w:rPr>
          <w:rFonts w:ascii="宋体" w:hAnsi="宋体"/>
          <w:color w:val="auto"/>
          <w:spacing w:val="20"/>
          <w:sz w:val="24"/>
          <w:highlight w:val="none"/>
        </w:rPr>
      </w:pPr>
      <w:r>
        <w:rPr>
          <w:rFonts w:hint="eastAsia" w:ascii="宋体" w:hAnsi="宋体"/>
          <w:color w:val="auto"/>
          <w:spacing w:val="20"/>
          <w:sz w:val="24"/>
          <w:highlight w:val="none"/>
        </w:rPr>
        <w:t>投标人名称（电子签章）：</w:t>
      </w:r>
      <w:r>
        <w:rPr>
          <w:rFonts w:hint="eastAsia" w:ascii="宋体" w:hAnsi="宋体"/>
          <w:color w:val="auto"/>
          <w:spacing w:val="20"/>
          <w:sz w:val="24"/>
          <w:highlight w:val="none"/>
          <w:u w:val="single"/>
        </w:rPr>
        <w:t xml:space="preserve">            </w:t>
      </w:r>
      <w:r>
        <w:rPr>
          <w:rFonts w:hint="eastAsia" w:ascii="宋体" w:hAnsi="宋体"/>
          <w:color w:val="auto"/>
          <w:spacing w:val="20"/>
          <w:sz w:val="24"/>
          <w:highlight w:val="none"/>
        </w:rPr>
        <w:t xml:space="preserve">              </w:t>
      </w:r>
    </w:p>
    <w:p w14:paraId="43C9576E">
      <w:pPr>
        <w:spacing w:before="50" w:after="50" w:line="360" w:lineRule="auto"/>
        <w:rPr>
          <w:rFonts w:ascii="宋体" w:hAnsi="宋体"/>
          <w:color w:val="auto"/>
          <w:spacing w:val="20"/>
          <w:sz w:val="24"/>
          <w:highlight w:val="none"/>
          <w:u w:val="single"/>
        </w:rPr>
      </w:pPr>
      <w:r>
        <w:rPr>
          <w:rFonts w:hint="eastAsia" w:ascii="宋体" w:hAnsi="宋体"/>
          <w:color w:val="auto"/>
          <w:spacing w:val="20"/>
          <w:sz w:val="24"/>
          <w:highlight w:val="none"/>
        </w:rPr>
        <w:t>日 期：</w:t>
      </w:r>
      <w:r>
        <w:rPr>
          <w:rFonts w:hint="eastAsia" w:ascii="宋体" w:hAnsi="宋体"/>
          <w:color w:val="auto"/>
          <w:spacing w:val="20"/>
          <w:sz w:val="24"/>
          <w:highlight w:val="none"/>
          <w:u w:val="single"/>
        </w:rPr>
        <w:t xml:space="preserve">        </w:t>
      </w:r>
    </w:p>
    <w:p w14:paraId="39EC2154">
      <w:pPr>
        <w:spacing w:before="50" w:after="50" w:line="360" w:lineRule="auto"/>
        <w:rPr>
          <w:rFonts w:ascii="宋体" w:hAnsi="宋体"/>
          <w:color w:val="auto"/>
          <w:sz w:val="24"/>
          <w:szCs w:val="20"/>
          <w:highlight w:val="none"/>
        </w:rPr>
      </w:pPr>
    </w:p>
    <w:p w14:paraId="5CC3EB24">
      <w:pPr>
        <w:spacing w:after="50"/>
        <w:ind w:left="142"/>
        <w:jc w:val="left"/>
        <w:rPr>
          <w:rFonts w:ascii="宋体" w:hAnsi="宋体"/>
          <w:b/>
          <w:color w:val="auto"/>
          <w:sz w:val="24"/>
          <w:highlight w:val="none"/>
        </w:rPr>
      </w:pPr>
      <w:r>
        <w:rPr>
          <w:rFonts w:ascii="宋体" w:hAnsi="宋体"/>
          <w:b/>
          <w:color w:val="auto"/>
          <w:sz w:val="24"/>
          <w:highlight w:val="none"/>
        </w:rPr>
        <w:br w:type="page" w:clear="all"/>
      </w:r>
      <w:r>
        <w:rPr>
          <w:rFonts w:hint="eastAsia" w:ascii="宋体" w:hAnsi="宋体"/>
          <w:b/>
          <w:color w:val="auto"/>
          <w:sz w:val="24"/>
          <w:highlight w:val="none"/>
        </w:rPr>
        <w:t>11. 项目实施人员一览表格式</w:t>
      </w:r>
    </w:p>
    <w:p w14:paraId="2FA68F9D">
      <w:pPr>
        <w:spacing w:after="50"/>
        <w:ind w:left="142"/>
        <w:jc w:val="left"/>
        <w:rPr>
          <w:rFonts w:ascii="宋体" w:hAnsi="宋体"/>
          <w:b/>
          <w:color w:val="auto"/>
          <w:sz w:val="24"/>
          <w:highlight w:val="none"/>
        </w:rPr>
      </w:pPr>
    </w:p>
    <w:p w14:paraId="112CBF25">
      <w:pPr>
        <w:spacing w:after="50"/>
        <w:ind w:left="142"/>
        <w:jc w:val="center"/>
        <w:rPr>
          <w:rFonts w:ascii="宋体" w:hAnsi="宋体"/>
          <w:b/>
          <w:color w:val="auto"/>
          <w:sz w:val="32"/>
          <w:szCs w:val="32"/>
          <w:highlight w:val="none"/>
        </w:rPr>
      </w:pPr>
      <w:r>
        <w:rPr>
          <w:rFonts w:hint="eastAsia" w:ascii="宋体" w:hAnsi="宋体"/>
          <w:b/>
          <w:color w:val="auto"/>
          <w:sz w:val="32"/>
          <w:szCs w:val="32"/>
          <w:highlight w:val="none"/>
        </w:rPr>
        <w:t>项目实施人员一览表</w:t>
      </w:r>
    </w:p>
    <w:p w14:paraId="5028C40B">
      <w:pPr>
        <w:pStyle w:val="25"/>
        <w:rPr>
          <w:color w:val="auto"/>
          <w:sz w:val="24"/>
          <w:szCs w:val="24"/>
          <w:highlight w:val="none"/>
        </w:rPr>
      </w:pPr>
      <w:r>
        <w:rPr>
          <w:rFonts w:hint="eastAsia"/>
          <w:color w:val="auto"/>
          <w:sz w:val="24"/>
          <w:szCs w:val="24"/>
          <w:highlight w:val="none"/>
        </w:rPr>
        <w:t>所投分标：</w:t>
      </w:r>
      <w:r>
        <w:rPr>
          <w:rFonts w:hint="eastAsia"/>
          <w:color w:val="auto"/>
          <w:sz w:val="24"/>
          <w:szCs w:val="24"/>
          <w:highlight w:val="none"/>
          <w:u w:val="single"/>
        </w:rPr>
        <w:t xml:space="preserve">     </w:t>
      </w:r>
      <w:r>
        <w:rPr>
          <w:rFonts w:hint="eastAsia"/>
          <w:color w:val="auto"/>
          <w:sz w:val="24"/>
          <w:szCs w:val="24"/>
          <w:highlight w:val="none"/>
        </w:rPr>
        <w:t>分标</w:t>
      </w:r>
    </w:p>
    <w:tbl>
      <w:tblPr>
        <w:tblStyle w:val="5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709"/>
        <w:gridCol w:w="1701"/>
        <w:gridCol w:w="1420"/>
        <w:gridCol w:w="1698"/>
        <w:gridCol w:w="1843"/>
      </w:tblGrid>
      <w:tr w14:paraId="1C659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426AFF9C">
            <w:pPr>
              <w:spacing w:before="50"/>
              <w:jc w:val="center"/>
              <w:rPr>
                <w:rFonts w:ascii="宋体" w:hAnsi="宋体"/>
                <w:color w:val="auto"/>
                <w:sz w:val="24"/>
                <w:szCs w:val="20"/>
                <w:highlight w:val="none"/>
              </w:rPr>
            </w:pPr>
            <w:r>
              <w:rPr>
                <w:rFonts w:hint="eastAsia" w:ascii="宋体" w:hAnsi="宋体"/>
                <w:color w:val="auto"/>
                <w:sz w:val="24"/>
                <w:szCs w:val="20"/>
                <w:highlight w:val="none"/>
              </w:rPr>
              <w:t>姓名</w:t>
            </w:r>
          </w:p>
        </w:tc>
        <w:tc>
          <w:tcPr>
            <w:tcW w:w="709" w:type="dxa"/>
            <w:vAlign w:val="center"/>
          </w:tcPr>
          <w:p w14:paraId="017E42F9">
            <w:pPr>
              <w:spacing w:before="50"/>
              <w:jc w:val="center"/>
              <w:rPr>
                <w:rFonts w:ascii="宋体" w:hAnsi="宋体"/>
                <w:color w:val="auto"/>
                <w:sz w:val="24"/>
                <w:szCs w:val="20"/>
                <w:highlight w:val="none"/>
              </w:rPr>
            </w:pPr>
            <w:r>
              <w:rPr>
                <w:rFonts w:hint="eastAsia" w:ascii="宋体" w:hAnsi="宋体"/>
                <w:color w:val="auto"/>
                <w:sz w:val="24"/>
                <w:szCs w:val="20"/>
                <w:highlight w:val="none"/>
              </w:rPr>
              <w:t>职务</w:t>
            </w:r>
          </w:p>
        </w:tc>
        <w:tc>
          <w:tcPr>
            <w:tcW w:w="1701" w:type="dxa"/>
            <w:vAlign w:val="center"/>
          </w:tcPr>
          <w:p w14:paraId="74D9FAF6">
            <w:pPr>
              <w:spacing w:before="50"/>
              <w:jc w:val="center"/>
              <w:rPr>
                <w:rFonts w:ascii="宋体" w:hAnsi="宋体"/>
                <w:color w:val="auto"/>
                <w:sz w:val="24"/>
                <w:szCs w:val="20"/>
                <w:highlight w:val="none"/>
              </w:rPr>
            </w:pPr>
            <w:r>
              <w:rPr>
                <w:rFonts w:hint="eastAsia" w:ascii="宋体" w:hAnsi="宋体"/>
                <w:color w:val="auto"/>
                <w:sz w:val="24"/>
                <w:szCs w:val="20"/>
                <w:highlight w:val="none"/>
              </w:rPr>
              <w:t>专业技术资格（职称）或者职业资格或者执业资格证或者其他证书</w:t>
            </w:r>
          </w:p>
        </w:tc>
        <w:tc>
          <w:tcPr>
            <w:tcW w:w="1420" w:type="dxa"/>
            <w:vAlign w:val="center"/>
          </w:tcPr>
          <w:p w14:paraId="337FA701">
            <w:pPr>
              <w:spacing w:before="50"/>
              <w:jc w:val="center"/>
              <w:rPr>
                <w:rFonts w:ascii="宋体" w:hAnsi="宋体"/>
                <w:color w:val="auto"/>
                <w:sz w:val="24"/>
                <w:szCs w:val="20"/>
                <w:highlight w:val="none"/>
              </w:rPr>
            </w:pPr>
            <w:r>
              <w:rPr>
                <w:rFonts w:hint="eastAsia" w:ascii="宋体" w:hAnsi="宋体"/>
                <w:color w:val="auto"/>
                <w:sz w:val="24"/>
                <w:szCs w:val="20"/>
                <w:highlight w:val="none"/>
              </w:rPr>
              <w:t>证书编号</w:t>
            </w:r>
          </w:p>
        </w:tc>
        <w:tc>
          <w:tcPr>
            <w:tcW w:w="1698" w:type="dxa"/>
            <w:vAlign w:val="center"/>
          </w:tcPr>
          <w:p w14:paraId="39CD6804">
            <w:pPr>
              <w:spacing w:before="50"/>
              <w:jc w:val="center"/>
              <w:rPr>
                <w:rFonts w:ascii="宋体" w:hAnsi="宋体"/>
                <w:color w:val="auto"/>
                <w:sz w:val="24"/>
                <w:szCs w:val="20"/>
                <w:highlight w:val="none"/>
              </w:rPr>
            </w:pPr>
            <w:r>
              <w:rPr>
                <w:rFonts w:hint="eastAsia" w:ascii="宋体" w:hAnsi="宋体"/>
                <w:color w:val="auto"/>
                <w:sz w:val="24"/>
                <w:szCs w:val="20"/>
                <w:highlight w:val="none"/>
              </w:rPr>
              <w:t>参加本单位</w:t>
            </w:r>
          </w:p>
          <w:p w14:paraId="334C80D9">
            <w:pPr>
              <w:spacing w:before="50"/>
              <w:jc w:val="center"/>
              <w:rPr>
                <w:rFonts w:ascii="宋体" w:hAnsi="宋体"/>
                <w:color w:val="auto"/>
                <w:sz w:val="24"/>
                <w:szCs w:val="20"/>
                <w:highlight w:val="none"/>
              </w:rPr>
            </w:pPr>
            <w:r>
              <w:rPr>
                <w:rFonts w:hint="eastAsia" w:ascii="宋体" w:hAnsi="宋体"/>
                <w:color w:val="auto"/>
                <w:sz w:val="24"/>
                <w:szCs w:val="20"/>
                <w:highlight w:val="none"/>
              </w:rPr>
              <w:t>工作时间</w:t>
            </w:r>
          </w:p>
        </w:tc>
        <w:tc>
          <w:tcPr>
            <w:tcW w:w="1843" w:type="dxa"/>
            <w:vAlign w:val="center"/>
          </w:tcPr>
          <w:p w14:paraId="1E9C32BE">
            <w:pPr>
              <w:spacing w:before="50"/>
              <w:jc w:val="center"/>
              <w:rPr>
                <w:rFonts w:ascii="宋体" w:hAnsi="宋体"/>
                <w:color w:val="auto"/>
                <w:sz w:val="24"/>
                <w:szCs w:val="20"/>
                <w:highlight w:val="none"/>
              </w:rPr>
            </w:pPr>
            <w:r>
              <w:rPr>
                <w:rFonts w:hint="eastAsia" w:ascii="宋体" w:hAnsi="宋体"/>
                <w:color w:val="auto"/>
                <w:sz w:val="24"/>
                <w:szCs w:val="20"/>
                <w:highlight w:val="none"/>
              </w:rPr>
              <w:t>劳动合同编号</w:t>
            </w:r>
          </w:p>
        </w:tc>
      </w:tr>
      <w:tr w14:paraId="55902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34894CEE">
            <w:pPr>
              <w:spacing w:before="50"/>
              <w:jc w:val="center"/>
              <w:rPr>
                <w:rFonts w:ascii="宋体" w:hAnsi="宋体"/>
                <w:color w:val="auto"/>
                <w:sz w:val="24"/>
                <w:szCs w:val="20"/>
                <w:highlight w:val="none"/>
              </w:rPr>
            </w:pPr>
          </w:p>
        </w:tc>
        <w:tc>
          <w:tcPr>
            <w:tcW w:w="709" w:type="dxa"/>
            <w:vAlign w:val="center"/>
          </w:tcPr>
          <w:p w14:paraId="22D17755">
            <w:pPr>
              <w:spacing w:before="50"/>
              <w:jc w:val="center"/>
              <w:rPr>
                <w:rFonts w:ascii="宋体" w:hAnsi="宋体"/>
                <w:color w:val="auto"/>
                <w:sz w:val="24"/>
                <w:szCs w:val="20"/>
                <w:highlight w:val="none"/>
              </w:rPr>
            </w:pPr>
          </w:p>
        </w:tc>
        <w:tc>
          <w:tcPr>
            <w:tcW w:w="1701" w:type="dxa"/>
            <w:vAlign w:val="center"/>
          </w:tcPr>
          <w:p w14:paraId="2DB001C9">
            <w:pPr>
              <w:spacing w:before="50"/>
              <w:jc w:val="center"/>
              <w:rPr>
                <w:rFonts w:ascii="宋体" w:hAnsi="宋体"/>
                <w:color w:val="auto"/>
                <w:sz w:val="24"/>
                <w:szCs w:val="20"/>
                <w:highlight w:val="none"/>
              </w:rPr>
            </w:pPr>
          </w:p>
        </w:tc>
        <w:tc>
          <w:tcPr>
            <w:tcW w:w="1420" w:type="dxa"/>
            <w:vAlign w:val="center"/>
          </w:tcPr>
          <w:p w14:paraId="69570D6C">
            <w:pPr>
              <w:spacing w:before="50"/>
              <w:jc w:val="center"/>
              <w:rPr>
                <w:rFonts w:ascii="宋体" w:hAnsi="宋体"/>
                <w:color w:val="auto"/>
                <w:sz w:val="24"/>
                <w:szCs w:val="20"/>
                <w:highlight w:val="none"/>
              </w:rPr>
            </w:pPr>
          </w:p>
        </w:tc>
        <w:tc>
          <w:tcPr>
            <w:tcW w:w="1698" w:type="dxa"/>
            <w:vAlign w:val="center"/>
          </w:tcPr>
          <w:p w14:paraId="651CB1C5">
            <w:pPr>
              <w:spacing w:before="50"/>
              <w:jc w:val="center"/>
              <w:rPr>
                <w:rFonts w:ascii="宋体" w:hAnsi="宋体"/>
                <w:color w:val="auto"/>
                <w:sz w:val="24"/>
                <w:szCs w:val="20"/>
                <w:highlight w:val="none"/>
              </w:rPr>
            </w:pPr>
          </w:p>
        </w:tc>
        <w:tc>
          <w:tcPr>
            <w:tcW w:w="1843" w:type="dxa"/>
            <w:vAlign w:val="center"/>
          </w:tcPr>
          <w:p w14:paraId="419F022F">
            <w:pPr>
              <w:spacing w:before="50"/>
              <w:jc w:val="center"/>
              <w:rPr>
                <w:rFonts w:ascii="宋体" w:hAnsi="宋体"/>
                <w:color w:val="auto"/>
                <w:sz w:val="24"/>
                <w:szCs w:val="20"/>
                <w:highlight w:val="none"/>
              </w:rPr>
            </w:pPr>
          </w:p>
        </w:tc>
      </w:tr>
      <w:tr w14:paraId="6EE8C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15B7B135">
            <w:pPr>
              <w:spacing w:before="50"/>
              <w:jc w:val="center"/>
              <w:rPr>
                <w:rFonts w:ascii="宋体" w:hAnsi="宋体"/>
                <w:color w:val="auto"/>
                <w:sz w:val="24"/>
                <w:szCs w:val="20"/>
                <w:highlight w:val="none"/>
              </w:rPr>
            </w:pPr>
          </w:p>
        </w:tc>
        <w:tc>
          <w:tcPr>
            <w:tcW w:w="709" w:type="dxa"/>
            <w:vAlign w:val="center"/>
          </w:tcPr>
          <w:p w14:paraId="5BA00FF7">
            <w:pPr>
              <w:spacing w:before="50"/>
              <w:jc w:val="center"/>
              <w:rPr>
                <w:rFonts w:ascii="宋体" w:hAnsi="宋体"/>
                <w:color w:val="auto"/>
                <w:sz w:val="24"/>
                <w:szCs w:val="20"/>
                <w:highlight w:val="none"/>
              </w:rPr>
            </w:pPr>
          </w:p>
        </w:tc>
        <w:tc>
          <w:tcPr>
            <w:tcW w:w="1701" w:type="dxa"/>
            <w:vAlign w:val="center"/>
          </w:tcPr>
          <w:p w14:paraId="702A6251">
            <w:pPr>
              <w:spacing w:before="50"/>
              <w:jc w:val="center"/>
              <w:rPr>
                <w:rFonts w:ascii="宋体" w:hAnsi="宋体"/>
                <w:color w:val="auto"/>
                <w:sz w:val="24"/>
                <w:szCs w:val="20"/>
                <w:highlight w:val="none"/>
              </w:rPr>
            </w:pPr>
          </w:p>
        </w:tc>
        <w:tc>
          <w:tcPr>
            <w:tcW w:w="1420" w:type="dxa"/>
            <w:vAlign w:val="center"/>
          </w:tcPr>
          <w:p w14:paraId="35EB1ED6">
            <w:pPr>
              <w:spacing w:before="50"/>
              <w:jc w:val="center"/>
              <w:rPr>
                <w:rFonts w:ascii="宋体" w:hAnsi="宋体"/>
                <w:color w:val="auto"/>
                <w:sz w:val="24"/>
                <w:szCs w:val="20"/>
                <w:highlight w:val="none"/>
              </w:rPr>
            </w:pPr>
          </w:p>
        </w:tc>
        <w:tc>
          <w:tcPr>
            <w:tcW w:w="1698" w:type="dxa"/>
            <w:vAlign w:val="center"/>
          </w:tcPr>
          <w:p w14:paraId="452C83AF">
            <w:pPr>
              <w:spacing w:before="50"/>
              <w:jc w:val="center"/>
              <w:rPr>
                <w:rFonts w:ascii="宋体" w:hAnsi="宋体"/>
                <w:color w:val="auto"/>
                <w:sz w:val="24"/>
                <w:szCs w:val="20"/>
                <w:highlight w:val="none"/>
              </w:rPr>
            </w:pPr>
          </w:p>
        </w:tc>
        <w:tc>
          <w:tcPr>
            <w:tcW w:w="1843" w:type="dxa"/>
            <w:vAlign w:val="center"/>
          </w:tcPr>
          <w:p w14:paraId="2FBC02CE">
            <w:pPr>
              <w:spacing w:before="50"/>
              <w:jc w:val="center"/>
              <w:rPr>
                <w:rFonts w:ascii="宋体" w:hAnsi="宋体"/>
                <w:color w:val="auto"/>
                <w:sz w:val="24"/>
                <w:szCs w:val="20"/>
                <w:highlight w:val="none"/>
              </w:rPr>
            </w:pPr>
          </w:p>
        </w:tc>
      </w:tr>
      <w:tr w14:paraId="58858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3CC69E7F">
            <w:pPr>
              <w:spacing w:before="50"/>
              <w:jc w:val="center"/>
              <w:rPr>
                <w:rFonts w:ascii="宋体" w:hAnsi="宋体"/>
                <w:color w:val="auto"/>
                <w:sz w:val="24"/>
                <w:szCs w:val="20"/>
                <w:highlight w:val="none"/>
              </w:rPr>
            </w:pPr>
          </w:p>
        </w:tc>
        <w:tc>
          <w:tcPr>
            <w:tcW w:w="709" w:type="dxa"/>
            <w:vAlign w:val="center"/>
          </w:tcPr>
          <w:p w14:paraId="467801EB">
            <w:pPr>
              <w:spacing w:before="50"/>
              <w:jc w:val="center"/>
              <w:rPr>
                <w:rFonts w:ascii="宋体" w:hAnsi="宋体"/>
                <w:color w:val="auto"/>
                <w:sz w:val="24"/>
                <w:szCs w:val="20"/>
                <w:highlight w:val="none"/>
              </w:rPr>
            </w:pPr>
          </w:p>
        </w:tc>
        <w:tc>
          <w:tcPr>
            <w:tcW w:w="1701" w:type="dxa"/>
            <w:vAlign w:val="center"/>
          </w:tcPr>
          <w:p w14:paraId="7A3BCDE5">
            <w:pPr>
              <w:spacing w:before="50"/>
              <w:jc w:val="center"/>
              <w:rPr>
                <w:rFonts w:ascii="宋体" w:hAnsi="宋体"/>
                <w:color w:val="auto"/>
                <w:sz w:val="24"/>
                <w:szCs w:val="20"/>
                <w:highlight w:val="none"/>
              </w:rPr>
            </w:pPr>
          </w:p>
        </w:tc>
        <w:tc>
          <w:tcPr>
            <w:tcW w:w="1420" w:type="dxa"/>
            <w:vAlign w:val="center"/>
          </w:tcPr>
          <w:p w14:paraId="64F2B7F9">
            <w:pPr>
              <w:spacing w:before="50"/>
              <w:jc w:val="center"/>
              <w:rPr>
                <w:rFonts w:ascii="宋体" w:hAnsi="宋体"/>
                <w:color w:val="auto"/>
                <w:sz w:val="24"/>
                <w:szCs w:val="20"/>
                <w:highlight w:val="none"/>
              </w:rPr>
            </w:pPr>
          </w:p>
        </w:tc>
        <w:tc>
          <w:tcPr>
            <w:tcW w:w="1698" w:type="dxa"/>
            <w:vAlign w:val="center"/>
          </w:tcPr>
          <w:p w14:paraId="54071B75">
            <w:pPr>
              <w:spacing w:before="50"/>
              <w:jc w:val="center"/>
              <w:rPr>
                <w:rFonts w:ascii="宋体" w:hAnsi="宋体"/>
                <w:color w:val="auto"/>
                <w:sz w:val="24"/>
                <w:szCs w:val="20"/>
                <w:highlight w:val="none"/>
              </w:rPr>
            </w:pPr>
          </w:p>
        </w:tc>
        <w:tc>
          <w:tcPr>
            <w:tcW w:w="1843" w:type="dxa"/>
            <w:vAlign w:val="center"/>
          </w:tcPr>
          <w:p w14:paraId="59A3C42C">
            <w:pPr>
              <w:spacing w:before="50"/>
              <w:jc w:val="center"/>
              <w:rPr>
                <w:rFonts w:ascii="宋体" w:hAnsi="宋体"/>
                <w:color w:val="auto"/>
                <w:sz w:val="24"/>
                <w:szCs w:val="20"/>
                <w:highlight w:val="none"/>
              </w:rPr>
            </w:pPr>
          </w:p>
        </w:tc>
      </w:tr>
    </w:tbl>
    <w:p w14:paraId="4A828629">
      <w:pPr>
        <w:spacing w:before="50"/>
        <w:jc w:val="left"/>
        <w:rPr>
          <w:rFonts w:ascii="宋体" w:hAnsi="宋体"/>
          <w:color w:val="auto"/>
          <w:sz w:val="24"/>
          <w:szCs w:val="20"/>
          <w:highlight w:val="none"/>
        </w:rPr>
      </w:pPr>
    </w:p>
    <w:p w14:paraId="38A9CB03">
      <w:pPr>
        <w:spacing w:line="360" w:lineRule="auto"/>
        <w:contextualSpacing/>
        <w:jc w:val="left"/>
        <w:rPr>
          <w:rFonts w:ascii="宋体" w:hAnsi="宋体"/>
          <w:color w:val="auto"/>
          <w:sz w:val="24"/>
          <w:szCs w:val="20"/>
          <w:highlight w:val="none"/>
        </w:rPr>
      </w:pPr>
      <w:r>
        <w:rPr>
          <w:rFonts w:hint="eastAsia" w:ascii="宋体" w:hAnsi="宋体"/>
          <w:color w:val="auto"/>
          <w:sz w:val="24"/>
          <w:szCs w:val="20"/>
          <w:highlight w:val="none"/>
        </w:rPr>
        <w:t>注：</w:t>
      </w:r>
    </w:p>
    <w:p w14:paraId="3C258BEC">
      <w:pPr>
        <w:spacing w:line="360" w:lineRule="auto"/>
        <w:contextualSpacing/>
        <w:jc w:val="left"/>
        <w:rPr>
          <w:rFonts w:ascii="宋体" w:hAnsi="宋体"/>
          <w:color w:val="auto"/>
          <w:sz w:val="24"/>
          <w:szCs w:val="20"/>
          <w:highlight w:val="none"/>
        </w:rPr>
      </w:pPr>
      <w:r>
        <w:rPr>
          <w:rFonts w:hint="eastAsia" w:ascii="宋体" w:hAnsi="宋体"/>
          <w:color w:val="auto"/>
          <w:sz w:val="24"/>
          <w:szCs w:val="20"/>
          <w:highlight w:val="none"/>
        </w:rPr>
        <w:t>1</w:t>
      </w:r>
      <w:r>
        <w:rPr>
          <w:rFonts w:ascii="宋体" w:hAnsi="宋体"/>
          <w:color w:val="auto"/>
          <w:sz w:val="24"/>
          <w:szCs w:val="20"/>
          <w:highlight w:val="none"/>
        </w:rPr>
        <w:t>.</w:t>
      </w:r>
      <w:r>
        <w:rPr>
          <w:rFonts w:hint="eastAsia" w:ascii="宋体" w:hAnsi="宋体"/>
          <w:color w:val="auto"/>
          <w:sz w:val="24"/>
          <w:szCs w:val="20"/>
          <w:highlight w:val="none"/>
        </w:rPr>
        <w:t>在填写时，如本表格不适合投标单位的实际情况，可根据本表格式自行制表填写。</w:t>
      </w:r>
    </w:p>
    <w:p w14:paraId="417BCF16">
      <w:pPr>
        <w:spacing w:line="360" w:lineRule="auto"/>
        <w:contextualSpacing/>
        <w:jc w:val="left"/>
        <w:rPr>
          <w:rFonts w:ascii="宋体" w:hAnsi="宋体"/>
          <w:color w:val="auto"/>
          <w:sz w:val="24"/>
          <w:szCs w:val="20"/>
          <w:highlight w:val="none"/>
        </w:rPr>
      </w:pPr>
      <w:r>
        <w:rPr>
          <w:rFonts w:ascii="宋体" w:hAnsi="宋体"/>
          <w:color w:val="auto"/>
          <w:sz w:val="24"/>
          <w:szCs w:val="20"/>
          <w:highlight w:val="none"/>
        </w:rPr>
        <w:t>2.</w:t>
      </w:r>
      <w:r>
        <w:rPr>
          <w:rFonts w:hint="eastAsia" w:ascii="宋体" w:hAnsi="宋体"/>
          <w:color w:val="auto"/>
          <w:sz w:val="24"/>
          <w:szCs w:val="20"/>
          <w:highlight w:val="none"/>
        </w:rPr>
        <w:t>投标人应当附本表所列证书的复印件并加盖投标人电子签章。</w:t>
      </w:r>
    </w:p>
    <w:p w14:paraId="2C62EE26">
      <w:pPr>
        <w:spacing w:line="360" w:lineRule="auto"/>
        <w:contextualSpacing/>
        <w:jc w:val="left"/>
        <w:rPr>
          <w:rFonts w:ascii="宋体" w:hAnsi="宋体"/>
          <w:color w:val="auto"/>
          <w:sz w:val="24"/>
          <w:szCs w:val="20"/>
          <w:highlight w:val="none"/>
        </w:rPr>
      </w:pPr>
    </w:p>
    <w:p w14:paraId="77125BC5">
      <w:pPr>
        <w:spacing w:line="360" w:lineRule="auto"/>
        <w:contextualSpacing/>
        <w:jc w:val="left"/>
        <w:rPr>
          <w:rFonts w:ascii="宋体" w:hAnsi="宋体"/>
          <w:color w:val="auto"/>
          <w:sz w:val="24"/>
          <w:szCs w:val="20"/>
          <w:highlight w:val="none"/>
        </w:rPr>
      </w:pPr>
    </w:p>
    <w:p w14:paraId="18D0D9A6">
      <w:pPr>
        <w:spacing w:line="360" w:lineRule="auto"/>
        <w:contextualSpacing/>
        <w:rPr>
          <w:rFonts w:ascii="宋体" w:hAnsi="宋体"/>
          <w:color w:val="auto"/>
          <w:spacing w:val="20"/>
          <w:sz w:val="24"/>
          <w:szCs w:val="20"/>
          <w:highlight w:val="none"/>
          <w:u w:val="single"/>
        </w:rPr>
      </w:pPr>
      <w:r>
        <w:rPr>
          <w:rFonts w:hint="eastAsia" w:ascii="宋体" w:hAnsi="宋体"/>
          <w:color w:val="auto"/>
          <w:sz w:val="24"/>
          <w:highlight w:val="none"/>
        </w:rPr>
        <w:t>法定代表人或者委托代理人</w:t>
      </w:r>
      <w:r>
        <w:rPr>
          <w:rFonts w:hint="eastAsia" w:ascii="宋体" w:hAnsi="宋体"/>
          <w:color w:val="auto"/>
          <w:spacing w:val="20"/>
          <w:sz w:val="24"/>
          <w:highlight w:val="none"/>
        </w:rPr>
        <w:t>（签字或者电子签名）：</w:t>
      </w:r>
      <w:r>
        <w:rPr>
          <w:rFonts w:hint="eastAsia" w:ascii="宋体" w:hAnsi="宋体"/>
          <w:color w:val="auto"/>
          <w:spacing w:val="20"/>
          <w:sz w:val="24"/>
          <w:highlight w:val="none"/>
          <w:u w:val="single"/>
        </w:rPr>
        <w:t xml:space="preserve">        </w:t>
      </w:r>
    </w:p>
    <w:p w14:paraId="7AF8FC54">
      <w:pPr>
        <w:spacing w:line="360" w:lineRule="auto"/>
        <w:contextualSpacing/>
        <w:jc w:val="left"/>
        <w:rPr>
          <w:rFonts w:ascii="宋体" w:hAnsi="宋体"/>
          <w:color w:val="auto"/>
          <w:spacing w:val="20"/>
          <w:sz w:val="24"/>
          <w:highlight w:val="none"/>
        </w:rPr>
      </w:pPr>
      <w:r>
        <w:rPr>
          <w:rFonts w:hint="eastAsia" w:ascii="宋体" w:hAnsi="宋体"/>
          <w:color w:val="auto"/>
          <w:spacing w:val="20"/>
          <w:sz w:val="24"/>
          <w:highlight w:val="none"/>
        </w:rPr>
        <w:t>投标人名称（电子签章）：</w:t>
      </w:r>
      <w:r>
        <w:rPr>
          <w:rFonts w:hint="eastAsia" w:ascii="宋体" w:hAnsi="宋体"/>
          <w:color w:val="auto"/>
          <w:spacing w:val="20"/>
          <w:sz w:val="24"/>
          <w:highlight w:val="none"/>
          <w:u w:val="single"/>
        </w:rPr>
        <w:t xml:space="preserve">            </w:t>
      </w:r>
      <w:r>
        <w:rPr>
          <w:rFonts w:hint="eastAsia" w:ascii="宋体" w:hAnsi="宋体"/>
          <w:color w:val="auto"/>
          <w:spacing w:val="20"/>
          <w:sz w:val="24"/>
          <w:highlight w:val="none"/>
        </w:rPr>
        <w:t xml:space="preserve">              </w:t>
      </w:r>
    </w:p>
    <w:p w14:paraId="6CC191E3">
      <w:pPr>
        <w:spacing w:line="360" w:lineRule="auto"/>
        <w:contextualSpacing/>
        <w:jc w:val="left"/>
        <w:rPr>
          <w:rFonts w:ascii="宋体" w:hAnsi="宋体"/>
          <w:color w:val="auto"/>
          <w:sz w:val="24"/>
          <w:szCs w:val="20"/>
          <w:highlight w:val="none"/>
        </w:rPr>
      </w:pPr>
      <w:r>
        <w:rPr>
          <w:rFonts w:hint="eastAsia" w:ascii="宋体" w:hAnsi="宋体"/>
          <w:color w:val="auto"/>
          <w:spacing w:val="20"/>
          <w:sz w:val="24"/>
          <w:highlight w:val="none"/>
        </w:rPr>
        <w:t>日 期：</w:t>
      </w:r>
      <w:r>
        <w:rPr>
          <w:rFonts w:hint="eastAsia" w:ascii="宋体" w:hAnsi="宋体"/>
          <w:color w:val="auto"/>
          <w:spacing w:val="20"/>
          <w:sz w:val="24"/>
          <w:highlight w:val="none"/>
          <w:u w:val="single"/>
        </w:rPr>
        <w:t xml:space="preserve">         </w:t>
      </w:r>
    </w:p>
    <w:p w14:paraId="79D73628">
      <w:pPr>
        <w:spacing w:before="50"/>
        <w:jc w:val="left"/>
        <w:rPr>
          <w:rFonts w:ascii="宋体" w:hAnsi="宋体"/>
          <w:color w:val="auto"/>
          <w:sz w:val="24"/>
          <w:szCs w:val="20"/>
          <w:highlight w:val="none"/>
        </w:rPr>
      </w:pPr>
    </w:p>
    <w:p w14:paraId="0E52C887">
      <w:pPr>
        <w:spacing w:line="360" w:lineRule="auto"/>
        <w:contextualSpacing/>
        <w:jc w:val="left"/>
        <w:rPr>
          <w:rFonts w:ascii="宋体" w:hAnsi="宋体"/>
          <w:color w:val="auto"/>
          <w:sz w:val="24"/>
          <w:szCs w:val="20"/>
          <w:highlight w:val="none"/>
        </w:rPr>
      </w:pPr>
      <w:r>
        <w:rPr>
          <w:rFonts w:ascii="宋体" w:hAnsi="宋体"/>
          <w:b/>
          <w:color w:val="auto"/>
          <w:sz w:val="24"/>
          <w:highlight w:val="none"/>
        </w:rPr>
        <w:br w:type="page" w:clear="all"/>
      </w:r>
    </w:p>
    <w:p w14:paraId="4E9EBFAD">
      <w:pPr>
        <w:spacing w:before="50"/>
        <w:jc w:val="left"/>
        <w:rPr>
          <w:rFonts w:ascii="宋体" w:hAnsi="宋体"/>
          <w:color w:val="auto"/>
          <w:sz w:val="24"/>
          <w:szCs w:val="20"/>
          <w:highlight w:val="none"/>
        </w:rPr>
      </w:pPr>
    </w:p>
    <w:p w14:paraId="11F697B6">
      <w:pPr>
        <w:rPr>
          <w:b/>
          <w:color w:val="auto"/>
          <w:sz w:val="28"/>
          <w:szCs w:val="28"/>
          <w:highlight w:val="none"/>
        </w:rPr>
      </w:pPr>
      <w:r>
        <w:rPr>
          <w:rFonts w:hint="eastAsia"/>
          <w:b/>
          <w:color w:val="auto"/>
          <w:sz w:val="28"/>
          <w:szCs w:val="28"/>
          <w:highlight w:val="none"/>
        </w:rPr>
        <w:t>四、其他文书、文件格式</w:t>
      </w:r>
    </w:p>
    <w:p w14:paraId="49686549">
      <w:pPr>
        <w:spacing w:after="50"/>
        <w:jc w:val="left"/>
        <w:rPr>
          <w:color w:val="auto"/>
          <w:highlight w:val="none"/>
        </w:rPr>
      </w:pPr>
      <w:r>
        <w:rPr>
          <w:rFonts w:hint="eastAsia" w:ascii="宋体" w:hAnsi="宋体"/>
          <w:b/>
          <w:color w:val="auto"/>
          <w:sz w:val="24"/>
          <w:highlight w:val="none"/>
        </w:rPr>
        <w:t>1.中小企业声明函格式</w:t>
      </w:r>
    </w:p>
    <w:p w14:paraId="74469FC2">
      <w:pPr>
        <w:rPr>
          <w:color w:val="auto"/>
          <w:highlight w:val="none"/>
        </w:rPr>
      </w:pPr>
    </w:p>
    <w:p w14:paraId="0DD1DFA2">
      <w:pPr>
        <w:jc w:val="center"/>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中小企业声明函（货物）</w:t>
      </w:r>
    </w:p>
    <w:p w14:paraId="7C7BCAB5">
      <w:pPr>
        <w:spacing w:before="2" w:line="500" w:lineRule="exact"/>
        <w:rPr>
          <w:rFonts w:ascii="宋体" w:hAnsi="宋体" w:cs="宋体"/>
          <w:b/>
          <w:bCs/>
          <w:color w:val="auto"/>
          <w:sz w:val="27"/>
          <w:szCs w:val="27"/>
          <w:highlight w:val="none"/>
        </w:rPr>
      </w:pPr>
    </w:p>
    <w:p w14:paraId="184438A9">
      <w:pPr>
        <w:pStyle w:val="19"/>
        <w:spacing w:line="360" w:lineRule="auto"/>
        <w:ind w:left="-426" w:right="142" w:firstLine="480"/>
        <w:contextualSpacing/>
        <w:rPr>
          <w:rFonts w:ascii="宋体" w:hAnsi="宋体"/>
          <w:color w:val="auto"/>
          <w:highlight w:val="none"/>
        </w:rPr>
      </w:pPr>
      <w:r>
        <w:rPr>
          <w:rFonts w:ascii="宋体" w:hAnsi="宋体"/>
          <w:color w:val="auto"/>
          <w:highlight w:val="none"/>
        </w:rPr>
        <w:t>本公司（联合体）郑重声明，根据《政府采购促进中小企业发展管理办法》（财库﹝2020﹞46号）的规定，本公司（联合体）参加</w:t>
      </w:r>
      <w:r>
        <w:rPr>
          <w:rFonts w:ascii="宋体" w:hAnsi="宋体"/>
          <w:color w:val="auto"/>
          <w:highlight w:val="none"/>
          <w:u w:val="single"/>
        </w:rPr>
        <w:t>（单位名称）</w:t>
      </w:r>
      <w:r>
        <w:rPr>
          <w:rFonts w:ascii="宋体" w:hAnsi="宋体"/>
          <w:color w:val="auto"/>
          <w:highlight w:val="none"/>
        </w:rPr>
        <w:t>的</w:t>
      </w:r>
      <w:r>
        <w:rPr>
          <w:rFonts w:ascii="宋体" w:hAnsi="宋体"/>
          <w:color w:val="auto"/>
          <w:highlight w:val="none"/>
          <w:u w:val="single"/>
        </w:rPr>
        <w:t>（项目名称）</w:t>
      </w:r>
      <w:r>
        <w:rPr>
          <w:rFonts w:ascii="宋体" w:hAnsi="宋体"/>
          <w:color w:val="auto"/>
          <w:highlight w:val="none"/>
        </w:rPr>
        <w:t>采购活动，提供的货物全部由符合政策要求的中小企业制造。相关企业（含联合体中的中小企业、签订分包意向协议的中小企业）的具体情况如下：</w:t>
      </w:r>
    </w:p>
    <w:p w14:paraId="56BBF300">
      <w:pPr>
        <w:tabs>
          <w:tab w:val="left" w:pos="1384"/>
          <w:tab w:val="left" w:pos="4562"/>
          <w:tab w:val="left" w:pos="6803"/>
        </w:tabs>
        <w:spacing w:line="360" w:lineRule="auto"/>
        <w:ind w:left="-426" w:right="-58" w:firstLine="655"/>
        <w:contextualSpacing/>
        <w:rPr>
          <w:rFonts w:ascii="宋体" w:hAnsi="宋体"/>
          <w:color w:val="auto"/>
          <w:sz w:val="24"/>
          <w:highlight w:val="none"/>
        </w:rPr>
      </w:pPr>
      <w:r>
        <w:rPr>
          <w:rFonts w:ascii="宋体" w:hAnsi="宋体"/>
          <w:color w:val="auto"/>
          <w:sz w:val="24"/>
          <w:highlight w:val="none"/>
        </w:rPr>
        <w:t>1.</w:t>
      </w:r>
      <w:r>
        <w:rPr>
          <w:rFonts w:ascii="宋体" w:hAnsi="宋体"/>
          <w:color w:val="auto"/>
          <w:sz w:val="24"/>
          <w:highlight w:val="none"/>
          <w:u w:val="single"/>
        </w:rPr>
        <w:t>（标的名称）</w:t>
      </w:r>
      <w:r>
        <w:rPr>
          <w:rFonts w:ascii="宋体" w:hAnsi="宋体"/>
          <w:color w:val="auto"/>
          <w:sz w:val="24"/>
          <w:highlight w:val="none"/>
        </w:rPr>
        <w:t>，属于</w:t>
      </w:r>
      <w:r>
        <w:rPr>
          <w:rFonts w:ascii="宋体" w:hAnsi="宋体"/>
          <w:color w:val="auto"/>
          <w:sz w:val="24"/>
          <w:highlight w:val="none"/>
          <w:u w:val="single"/>
        </w:rPr>
        <w:t>（采购文件中明确的所属行业）</w:t>
      </w:r>
      <w:r>
        <w:rPr>
          <w:rFonts w:ascii="宋体" w:hAnsi="宋体"/>
          <w:color w:val="auto"/>
          <w:sz w:val="24"/>
          <w:highlight w:val="none"/>
        </w:rPr>
        <w:t>行业；制造商为</w:t>
      </w:r>
      <w:r>
        <w:rPr>
          <w:rFonts w:ascii="宋体" w:hAnsi="宋体"/>
          <w:color w:val="auto"/>
          <w:sz w:val="24"/>
          <w:highlight w:val="none"/>
          <w:u w:val="single"/>
        </w:rPr>
        <w:t>（企业名称）</w:t>
      </w:r>
      <w:r>
        <w:rPr>
          <w:rFonts w:ascii="宋体" w:hAnsi="宋体"/>
          <w:color w:val="auto"/>
          <w:sz w:val="24"/>
          <w:highlight w:val="none"/>
        </w:rPr>
        <w:t>，从业人员</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人，营业收入为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万元，资产总额为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万元，属于</w:t>
      </w:r>
      <w:r>
        <w:rPr>
          <w:rFonts w:ascii="宋体" w:hAnsi="宋体"/>
          <w:color w:val="auto"/>
          <w:sz w:val="24"/>
          <w:highlight w:val="none"/>
          <w:u w:val="single"/>
        </w:rPr>
        <w:t>（中型企业、小型企业、微型企业）</w:t>
      </w:r>
      <w:r>
        <w:rPr>
          <w:rFonts w:ascii="宋体" w:hAnsi="宋体"/>
          <w:color w:val="auto"/>
          <w:sz w:val="24"/>
          <w:highlight w:val="none"/>
        </w:rPr>
        <w:t>；</w:t>
      </w:r>
    </w:p>
    <w:p w14:paraId="7D5C32BC">
      <w:pPr>
        <w:tabs>
          <w:tab w:val="left" w:pos="1065"/>
          <w:tab w:val="left" w:pos="6477"/>
        </w:tabs>
        <w:spacing w:line="360" w:lineRule="auto"/>
        <w:ind w:left="-426" w:right="-58" w:firstLine="655"/>
        <w:contextualSpacing/>
        <w:rPr>
          <w:rFonts w:ascii="宋体" w:hAnsi="宋体"/>
          <w:color w:val="auto"/>
          <w:sz w:val="24"/>
          <w:highlight w:val="none"/>
        </w:rPr>
      </w:pPr>
      <w:r>
        <w:rPr>
          <w:rFonts w:ascii="宋体" w:hAnsi="宋体"/>
          <w:color w:val="auto"/>
          <w:sz w:val="24"/>
          <w:highlight w:val="none"/>
        </w:rPr>
        <w:t>2.</w:t>
      </w:r>
      <w:r>
        <w:rPr>
          <w:rFonts w:ascii="宋体" w:hAnsi="宋体"/>
          <w:color w:val="auto"/>
          <w:sz w:val="24"/>
          <w:highlight w:val="none"/>
          <w:u w:val="single"/>
        </w:rPr>
        <w:t>（标的名称）</w:t>
      </w:r>
      <w:r>
        <w:rPr>
          <w:rFonts w:ascii="宋体" w:hAnsi="宋体"/>
          <w:color w:val="auto"/>
          <w:sz w:val="24"/>
          <w:highlight w:val="none"/>
        </w:rPr>
        <w:t>，属于</w:t>
      </w:r>
      <w:r>
        <w:rPr>
          <w:rFonts w:ascii="宋体" w:hAnsi="宋体"/>
          <w:color w:val="auto"/>
          <w:sz w:val="24"/>
          <w:highlight w:val="none"/>
          <w:u w:val="single"/>
        </w:rPr>
        <w:t>（采购文件中明确的所属行业）</w:t>
      </w:r>
      <w:r>
        <w:rPr>
          <w:rFonts w:ascii="宋体" w:hAnsi="宋体"/>
          <w:color w:val="auto"/>
          <w:sz w:val="24"/>
          <w:highlight w:val="none"/>
        </w:rPr>
        <w:t>行业；制造商为</w:t>
      </w:r>
      <w:r>
        <w:rPr>
          <w:rFonts w:ascii="宋体" w:hAnsi="宋体"/>
          <w:color w:val="auto"/>
          <w:sz w:val="24"/>
          <w:highlight w:val="none"/>
          <w:u w:val="single"/>
        </w:rPr>
        <w:t>（企业名称）</w:t>
      </w:r>
      <w:r>
        <w:rPr>
          <w:rFonts w:ascii="宋体" w:hAnsi="宋体"/>
          <w:color w:val="auto"/>
          <w:sz w:val="24"/>
          <w:highlight w:val="none"/>
        </w:rPr>
        <w:t>，从业人员</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人，营业收入为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万元，资产总额为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万元，属于</w:t>
      </w:r>
      <w:r>
        <w:rPr>
          <w:rFonts w:ascii="宋体" w:hAnsi="宋体"/>
          <w:color w:val="auto"/>
          <w:sz w:val="24"/>
          <w:highlight w:val="none"/>
          <w:u w:val="single"/>
        </w:rPr>
        <w:t>（中型企业、小型企业、微型企业）</w:t>
      </w:r>
      <w:r>
        <w:rPr>
          <w:rFonts w:ascii="宋体" w:hAnsi="宋体"/>
          <w:color w:val="auto"/>
          <w:sz w:val="24"/>
          <w:highlight w:val="none"/>
        </w:rPr>
        <w:t>；</w:t>
      </w:r>
    </w:p>
    <w:p w14:paraId="63A25AF1">
      <w:pPr>
        <w:pStyle w:val="19"/>
        <w:spacing w:line="360" w:lineRule="auto"/>
        <w:ind w:left="142" w:right="142"/>
        <w:contextualSpacing/>
        <w:rPr>
          <w:rFonts w:ascii="宋体" w:hAnsi="宋体"/>
          <w:color w:val="auto"/>
          <w:highlight w:val="none"/>
        </w:rPr>
      </w:pPr>
      <w:r>
        <w:rPr>
          <w:rFonts w:ascii="宋体" w:hAnsi="宋体"/>
          <w:color w:val="auto"/>
          <w:highlight w:val="none"/>
        </w:rPr>
        <w:t xml:space="preserve">…… </w:t>
      </w:r>
    </w:p>
    <w:p w14:paraId="1D5B8AD3">
      <w:pPr>
        <w:pStyle w:val="19"/>
        <w:spacing w:line="360" w:lineRule="auto"/>
        <w:ind w:left="-405" w:right="142" w:firstLine="453"/>
        <w:contextualSpacing/>
        <w:rPr>
          <w:rFonts w:ascii="宋体" w:hAnsi="宋体"/>
          <w:color w:val="auto"/>
          <w:highlight w:val="none"/>
        </w:rPr>
      </w:pPr>
      <w:r>
        <w:rPr>
          <w:rFonts w:ascii="宋体" w:hAnsi="宋体"/>
          <w:color w:val="auto"/>
          <w:highlight w:val="none"/>
        </w:rPr>
        <w:t>以上企业，不属于大企业的分支机构，不存在控股股东为大企业的情形，也不存在与大企业的负责人为同一人的情形。</w:t>
      </w:r>
    </w:p>
    <w:p w14:paraId="6C2A22E3">
      <w:pPr>
        <w:pStyle w:val="19"/>
        <w:spacing w:line="360" w:lineRule="auto"/>
        <w:ind w:left="-426" w:right="142" w:firstLine="567"/>
        <w:contextualSpacing/>
        <w:rPr>
          <w:rFonts w:ascii="宋体" w:hAnsi="宋体"/>
          <w:color w:val="auto"/>
          <w:highlight w:val="none"/>
        </w:rPr>
      </w:pPr>
      <w:r>
        <w:rPr>
          <w:rFonts w:ascii="宋体" w:hAnsi="宋体"/>
          <w:color w:val="auto"/>
          <w:highlight w:val="none"/>
        </w:rPr>
        <w:t>本企业对上述声明内容的真实性负责。如有虚假，将依法承担相应责任。</w:t>
      </w:r>
    </w:p>
    <w:p w14:paraId="1AA1E0D0">
      <w:pPr>
        <w:pStyle w:val="19"/>
        <w:spacing w:line="360" w:lineRule="auto"/>
        <w:ind w:left="3960" w:right="1808"/>
        <w:contextualSpacing/>
        <w:rPr>
          <w:rFonts w:ascii="宋体" w:hAnsi="宋体"/>
          <w:color w:val="auto"/>
          <w:highlight w:val="none"/>
        </w:rPr>
      </w:pPr>
    </w:p>
    <w:p w14:paraId="4C1F924F">
      <w:pPr>
        <w:pStyle w:val="19"/>
        <w:spacing w:line="360" w:lineRule="auto"/>
        <w:ind w:left="3960" w:right="1808"/>
        <w:contextualSpacing/>
        <w:rPr>
          <w:rFonts w:ascii="宋体" w:hAnsi="宋体"/>
          <w:color w:val="auto"/>
          <w:highlight w:val="none"/>
        </w:rPr>
      </w:pPr>
      <w:r>
        <w:rPr>
          <w:rFonts w:ascii="宋体" w:hAnsi="宋体"/>
          <w:color w:val="auto"/>
          <w:highlight w:val="none"/>
        </w:rPr>
        <w:t>企业名称（</w:t>
      </w:r>
      <w:r>
        <w:rPr>
          <w:rFonts w:hint="eastAsia" w:ascii="宋体" w:hAnsi="宋体"/>
          <w:color w:val="auto"/>
          <w:highlight w:val="none"/>
        </w:rPr>
        <w:t>电子签章</w:t>
      </w:r>
      <w:r>
        <w:rPr>
          <w:rFonts w:ascii="宋体" w:hAnsi="宋体"/>
          <w:color w:val="auto"/>
          <w:highlight w:val="none"/>
        </w:rPr>
        <w:t xml:space="preserve">）： </w:t>
      </w:r>
    </w:p>
    <w:p w14:paraId="39505FA2">
      <w:pPr>
        <w:pStyle w:val="19"/>
        <w:spacing w:line="360" w:lineRule="auto"/>
        <w:ind w:left="3960" w:right="1808"/>
        <w:contextualSpacing/>
        <w:rPr>
          <w:rFonts w:ascii="宋体" w:hAnsi="宋体"/>
          <w:color w:val="auto"/>
          <w:highlight w:val="none"/>
        </w:rPr>
      </w:pPr>
      <w:r>
        <w:rPr>
          <w:rFonts w:ascii="宋体" w:hAnsi="宋体"/>
          <w:color w:val="auto"/>
          <w:highlight w:val="none"/>
        </w:rPr>
        <w:t>日</w:t>
      </w:r>
      <w:r>
        <w:rPr>
          <w:rFonts w:hint="eastAsia" w:ascii="宋体" w:hAnsi="宋体"/>
          <w:color w:val="auto"/>
          <w:highlight w:val="none"/>
        </w:rPr>
        <w:t xml:space="preserve"> </w:t>
      </w:r>
      <w:r>
        <w:rPr>
          <w:rFonts w:ascii="宋体" w:hAnsi="宋体"/>
          <w:color w:val="auto"/>
          <w:highlight w:val="none"/>
        </w:rPr>
        <w:t>期：</w:t>
      </w:r>
    </w:p>
    <w:p w14:paraId="35DB01DC">
      <w:pPr>
        <w:pStyle w:val="19"/>
        <w:spacing w:line="360" w:lineRule="auto"/>
        <w:ind w:left="3960" w:right="1808"/>
        <w:contextualSpacing/>
        <w:rPr>
          <w:rFonts w:ascii="宋体" w:hAnsi="宋体"/>
          <w:color w:val="auto"/>
          <w:highlight w:val="none"/>
        </w:rPr>
      </w:pPr>
    </w:p>
    <w:p w14:paraId="4F4B9D09">
      <w:pPr>
        <w:pStyle w:val="19"/>
        <w:spacing w:line="360" w:lineRule="auto"/>
        <w:ind w:left="3960" w:right="1808"/>
        <w:contextualSpacing/>
        <w:rPr>
          <w:rFonts w:ascii="宋体" w:hAnsi="宋体"/>
          <w:color w:val="auto"/>
          <w:highlight w:val="none"/>
        </w:rPr>
      </w:pPr>
    </w:p>
    <w:p w14:paraId="0544B875">
      <w:pPr>
        <w:pStyle w:val="19"/>
        <w:spacing w:line="360" w:lineRule="auto"/>
        <w:ind w:left="-426" w:right="142" w:firstLine="567"/>
        <w:contextualSpacing/>
        <w:rPr>
          <w:rFonts w:ascii="宋体" w:hAnsi="宋体"/>
          <w:color w:val="auto"/>
          <w:highlight w:val="none"/>
        </w:rPr>
      </w:pPr>
      <w:r>
        <w:rPr>
          <w:rFonts w:hint="eastAsia" w:ascii="宋体" w:hAnsi="宋体"/>
          <w:color w:val="auto"/>
          <w:highlight w:val="none"/>
        </w:rPr>
        <w:t>注：享受《政府采购促进中小企业发展管理办法》（财库〔2020〕46号）规定的中小企业扶持政策的，采购人、采购代理机构应当随中标结果公开中标人的《中小企业声明函》。从业人员、营业收入、资产总额填报上一年度数据，无上一年度数据的新成立企业可不填报。</w:t>
      </w:r>
    </w:p>
    <w:p w14:paraId="298133AC">
      <w:pPr>
        <w:spacing w:after="50"/>
        <w:ind w:left="142"/>
        <w:jc w:val="left"/>
        <w:rPr>
          <w:rFonts w:ascii="宋体" w:hAnsi="宋体"/>
          <w:b/>
          <w:color w:val="auto"/>
          <w:sz w:val="24"/>
          <w:highlight w:val="none"/>
        </w:rPr>
      </w:pPr>
      <w:r>
        <w:rPr>
          <w:rFonts w:ascii="宋体" w:hAnsi="宋体"/>
          <w:b/>
          <w:color w:val="auto"/>
          <w:sz w:val="24"/>
          <w:highlight w:val="none"/>
        </w:rPr>
        <w:br w:type="page" w:clear="all"/>
      </w:r>
      <w:r>
        <w:rPr>
          <w:rFonts w:hint="eastAsia" w:ascii="宋体" w:hAnsi="宋体"/>
          <w:b/>
          <w:color w:val="auto"/>
          <w:sz w:val="24"/>
          <w:highlight w:val="none"/>
        </w:rPr>
        <w:t>2.残疾人福利性单位声明函格式</w:t>
      </w:r>
    </w:p>
    <w:p w14:paraId="68DB31D5">
      <w:pPr>
        <w:spacing w:line="588" w:lineRule="exact"/>
        <w:jc w:val="center"/>
        <w:rPr>
          <w:rFonts w:ascii="仿宋_GB2312" w:eastAsia="仿宋_GB2312"/>
          <w:b/>
          <w:color w:val="auto"/>
          <w:spacing w:val="6"/>
          <w:sz w:val="32"/>
          <w:szCs w:val="32"/>
          <w:highlight w:val="none"/>
        </w:rPr>
      </w:pPr>
    </w:p>
    <w:p w14:paraId="24610792">
      <w:pPr>
        <w:spacing w:line="588" w:lineRule="exact"/>
        <w:jc w:val="center"/>
        <w:rPr>
          <w:rFonts w:ascii="方正小标宋简体" w:hAnsi="方正小标宋简体" w:eastAsia="方正小标宋简体" w:cs="方正小标宋简体"/>
          <w:bCs/>
          <w:color w:val="auto"/>
          <w:spacing w:val="6"/>
          <w:sz w:val="44"/>
          <w:szCs w:val="44"/>
          <w:highlight w:val="none"/>
        </w:rPr>
      </w:pPr>
      <w:r>
        <w:rPr>
          <w:rFonts w:hint="eastAsia" w:ascii="方正小标宋简体" w:hAnsi="方正小标宋简体" w:eastAsia="方正小标宋简体" w:cs="方正小标宋简体"/>
          <w:bCs/>
          <w:color w:val="auto"/>
          <w:spacing w:val="6"/>
          <w:sz w:val="44"/>
          <w:szCs w:val="44"/>
          <w:highlight w:val="none"/>
        </w:rPr>
        <w:t>残疾人福利性单位声明函</w:t>
      </w:r>
    </w:p>
    <w:p w14:paraId="1CCF3B5D">
      <w:pPr>
        <w:spacing w:line="360" w:lineRule="auto"/>
        <w:contextualSpacing/>
        <w:rPr>
          <w:rFonts w:ascii="仿宋_GB2312" w:eastAsia="仿宋_GB2312"/>
          <w:bCs/>
          <w:color w:val="auto"/>
          <w:spacing w:val="6"/>
          <w:sz w:val="30"/>
          <w:szCs w:val="30"/>
          <w:highlight w:val="none"/>
        </w:rPr>
      </w:pPr>
    </w:p>
    <w:p w14:paraId="63A28639">
      <w:pPr>
        <w:spacing w:line="360" w:lineRule="auto"/>
        <w:ind w:firstLine="504"/>
        <w:contextualSpacing/>
        <w:rPr>
          <w:rFonts w:ascii="宋体" w:hAnsi="宋体"/>
          <w:color w:val="auto"/>
          <w:spacing w:val="6"/>
          <w:sz w:val="24"/>
          <w:highlight w:val="none"/>
        </w:rPr>
      </w:pPr>
      <w:r>
        <w:rPr>
          <w:rFonts w:hint="eastAsia" w:ascii="宋体" w:hAnsi="宋体"/>
          <w:color w:val="auto"/>
          <w:spacing w:val="6"/>
          <w:sz w:val="24"/>
          <w:highlight w:val="none"/>
        </w:rPr>
        <w:t>本单位郑重声明，根据《财政部 民政部 中国残疾人联合会关于促进残疾人就业政府采购政策的通知》（财库</w:t>
      </w:r>
      <w:r>
        <w:rPr>
          <w:rFonts w:hint="eastAsia" w:ascii="宋体" w:hAnsi="宋体"/>
          <w:color w:val="auto"/>
          <w:sz w:val="24"/>
          <w:highlight w:val="none"/>
        </w:rPr>
        <w:t>〔2017〕 141</w:t>
      </w:r>
      <w:r>
        <w:rPr>
          <w:rFonts w:hint="eastAsia" w:ascii="宋体" w:hAnsi="宋体"/>
          <w:color w:val="auto"/>
          <w:spacing w:val="6"/>
          <w:sz w:val="24"/>
          <w:highlight w:val="none"/>
        </w:rPr>
        <w:t>号）的规定，本单位为符合条件的残疾人福利性单位，且本单位参加______单位的______项目采购活动提供本单位制造的货物（由本单位承担工程/提供服务），或者提供其他残</w:t>
      </w:r>
      <w:r>
        <w:rPr>
          <w:rFonts w:hint="eastAsia" w:ascii="宋体" w:hAnsi="宋体"/>
          <w:color w:val="auto"/>
          <w:spacing w:val="-6"/>
          <w:sz w:val="24"/>
          <w:highlight w:val="none"/>
        </w:rPr>
        <w:t>疾人福利性单位制造的货物（不包括使用非残疾人福利性单位注册商标的货物）。</w:t>
      </w:r>
    </w:p>
    <w:p w14:paraId="5A3C00D1">
      <w:pPr>
        <w:spacing w:line="360" w:lineRule="auto"/>
        <w:ind w:firstLine="504"/>
        <w:contextualSpacing/>
        <w:rPr>
          <w:rFonts w:ascii="宋体" w:hAnsi="宋体"/>
          <w:color w:val="auto"/>
          <w:spacing w:val="6"/>
          <w:sz w:val="24"/>
          <w:highlight w:val="none"/>
        </w:rPr>
      </w:pPr>
      <w:r>
        <w:rPr>
          <w:rFonts w:hint="eastAsia" w:ascii="宋体" w:hAnsi="宋体"/>
          <w:color w:val="auto"/>
          <w:spacing w:val="6"/>
          <w:sz w:val="24"/>
          <w:highlight w:val="none"/>
        </w:rPr>
        <w:t>本单位对上述声明的真实性负责。如有虚假，将依法承担相应责任。</w:t>
      </w:r>
    </w:p>
    <w:p w14:paraId="16BB0EF7">
      <w:pPr>
        <w:spacing w:line="360" w:lineRule="auto"/>
        <w:ind w:firstLine="504"/>
        <w:contextualSpacing/>
        <w:rPr>
          <w:rFonts w:ascii="宋体" w:hAnsi="宋体"/>
          <w:color w:val="auto"/>
          <w:spacing w:val="6"/>
          <w:sz w:val="24"/>
          <w:highlight w:val="none"/>
        </w:rPr>
      </w:pPr>
    </w:p>
    <w:p w14:paraId="0A89DECF">
      <w:pPr>
        <w:spacing w:line="360" w:lineRule="auto"/>
        <w:ind w:firstLine="504"/>
        <w:contextualSpacing/>
        <w:rPr>
          <w:rFonts w:ascii="宋体" w:hAnsi="宋体"/>
          <w:color w:val="auto"/>
          <w:spacing w:val="6"/>
          <w:sz w:val="24"/>
          <w:highlight w:val="none"/>
        </w:rPr>
      </w:pPr>
    </w:p>
    <w:p w14:paraId="4CF5B152">
      <w:pPr>
        <w:tabs>
          <w:tab w:val="left" w:pos="4860"/>
        </w:tabs>
        <w:spacing w:line="360" w:lineRule="auto"/>
        <w:ind w:right="1560" w:firstLine="504"/>
        <w:contextualSpacing/>
        <w:jc w:val="center"/>
        <w:rPr>
          <w:rFonts w:ascii="宋体" w:hAnsi="宋体"/>
          <w:color w:val="auto"/>
          <w:spacing w:val="6"/>
          <w:sz w:val="24"/>
          <w:highlight w:val="none"/>
        </w:rPr>
      </w:pPr>
      <w:r>
        <w:rPr>
          <w:rFonts w:hint="eastAsia" w:ascii="宋体" w:hAnsi="宋体"/>
          <w:color w:val="auto"/>
          <w:spacing w:val="6"/>
          <w:sz w:val="24"/>
          <w:highlight w:val="none"/>
        </w:rPr>
        <w:t>单位名称（电子签章）：</w:t>
      </w:r>
    </w:p>
    <w:p w14:paraId="4A8C401B">
      <w:pPr>
        <w:tabs>
          <w:tab w:val="left" w:pos="4860"/>
        </w:tabs>
        <w:spacing w:line="360" w:lineRule="auto"/>
        <w:ind w:right="1560" w:firstLine="504"/>
        <w:contextualSpacing/>
        <w:jc w:val="center"/>
        <w:rPr>
          <w:rFonts w:ascii="宋体" w:hAnsi="宋体"/>
          <w:color w:val="auto"/>
          <w:spacing w:val="6"/>
          <w:sz w:val="24"/>
          <w:highlight w:val="none"/>
        </w:rPr>
      </w:pPr>
      <w:r>
        <w:rPr>
          <w:rFonts w:hint="eastAsia" w:ascii="宋体" w:hAnsi="宋体"/>
          <w:color w:val="auto"/>
          <w:spacing w:val="6"/>
          <w:sz w:val="24"/>
          <w:highlight w:val="none"/>
        </w:rPr>
        <w:t>日  期：</w:t>
      </w:r>
    </w:p>
    <w:p w14:paraId="361076D9">
      <w:pPr>
        <w:spacing w:line="360" w:lineRule="auto"/>
        <w:contextualSpacing/>
        <w:rPr>
          <w:rFonts w:ascii="宋体" w:hAnsi="宋体"/>
          <w:color w:val="auto"/>
          <w:sz w:val="24"/>
          <w:highlight w:val="none"/>
        </w:rPr>
      </w:pPr>
    </w:p>
    <w:p w14:paraId="4E027C86">
      <w:pPr>
        <w:spacing w:line="360" w:lineRule="auto"/>
        <w:contextualSpacing/>
        <w:rPr>
          <w:rFonts w:ascii="宋体" w:hAnsi="宋体"/>
          <w:color w:val="auto"/>
          <w:sz w:val="24"/>
          <w:highlight w:val="none"/>
        </w:rPr>
      </w:pPr>
    </w:p>
    <w:p w14:paraId="5F545E37">
      <w:pPr>
        <w:spacing w:line="360" w:lineRule="auto"/>
        <w:contextualSpacing/>
        <w:rPr>
          <w:rFonts w:ascii="宋体" w:hAnsi="宋体"/>
          <w:color w:val="auto"/>
          <w:sz w:val="24"/>
          <w:highlight w:val="none"/>
        </w:rPr>
      </w:pPr>
    </w:p>
    <w:p w14:paraId="098C3692">
      <w:pPr>
        <w:spacing w:line="360" w:lineRule="auto"/>
        <w:contextualSpacing/>
        <w:rPr>
          <w:rFonts w:ascii="宋体" w:hAnsi="宋体"/>
          <w:color w:val="auto"/>
          <w:sz w:val="24"/>
          <w:highlight w:val="none"/>
        </w:rPr>
      </w:pPr>
      <w:r>
        <w:rPr>
          <w:rFonts w:hint="eastAsia" w:ascii="宋体" w:hAnsi="宋体"/>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w:t>
      </w:r>
    </w:p>
    <w:p w14:paraId="2AC6D3FB">
      <w:pPr>
        <w:rPr>
          <w:rFonts w:ascii="宋体" w:hAnsi="宋体"/>
          <w:color w:val="auto"/>
          <w:sz w:val="24"/>
          <w:highlight w:val="none"/>
        </w:rPr>
      </w:pPr>
      <w:r>
        <w:rPr>
          <w:rFonts w:ascii="宋体" w:hAnsi="宋体"/>
          <w:color w:val="auto"/>
          <w:sz w:val="24"/>
          <w:highlight w:val="none"/>
        </w:rPr>
        <w:br w:type="page" w:clear="all"/>
      </w:r>
    </w:p>
    <w:p w14:paraId="0D34C0BC">
      <w:pPr>
        <w:pStyle w:val="19"/>
        <w:rPr>
          <w:rFonts w:ascii="宋体" w:hAnsi="宋体"/>
          <w:b/>
          <w:color w:val="auto"/>
          <w:highlight w:val="none"/>
        </w:rPr>
      </w:pPr>
      <w:r>
        <w:rPr>
          <w:rFonts w:hint="eastAsia" w:ascii="宋体" w:hAnsi="宋体"/>
          <w:b/>
          <w:color w:val="auto"/>
          <w:highlight w:val="none"/>
        </w:rPr>
        <w:t>3.</w:t>
      </w:r>
      <w:r>
        <w:rPr>
          <w:rFonts w:hint="eastAsia"/>
          <w:color w:val="auto"/>
          <w:highlight w:val="none"/>
        </w:rPr>
        <w:t xml:space="preserve"> </w:t>
      </w:r>
      <w:r>
        <w:rPr>
          <w:rFonts w:hint="eastAsia" w:ascii="宋体" w:hAnsi="宋体"/>
          <w:b/>
          <w:color w:val="auto"/>
          <w:highlight w:val="none"/>
        </w:rPr>
        <w:t>关于符合本国产品标准的声明函格式</w:t>
      </w:r>
    </w:p>
    <w:p w14:paraId="3A44D2C5">
      <w:pPr>
        <w:pStyle w:val="19"/>
        <w:rPr>
          <w:color w:val="auto"/>
          <w:highlight w:val="none"/>
        </w:rPr>
      </w:pPr>
    </w:p>
    <w:p w14:paraId="0EBEEFB9">
      <w:pPr>
        <w:widowControl/>
        <w:shd w:val="clear" w:color="auto" w:fill="FFFFFF"/>
        <w:jc w:val="center"/>
        <w:rPr>
          <w:rFonts w:ascii="宋体" w:hAnsi="宋体" w:cs="宋体"/>
          <w:color w:val="auto"/>
          <w:sz w:val="36"/>
          <w:szCs w:val="36"/>
          <w:highlight w:val="none"/>
        </w:rPr>
      </w:pPr>
      <w:r>
        <w:rPr>
          <w:rFonts w:hint="eastAsia" w:ascii="宋体" w:hAnsi="宋体" w:cs="宋体"/>
          <w:b/>
          <w:bCs/>
          <w:color w:val="auto"/>
          <w:sz w:val="36"/>
          <w:szCs w:val="36"/>
          <w:highlight w:val="none"/>
        </w:rPr>
        <w:t>关于符合本国产品标准的声明函</w:t>
      </w:r>
    </w:p>
    <w:p w14:paraId="35A88F43">
      <w:pPr>
        <w:widowControl/>
        <w:shd w:val="clear" w:color="auto" w:fill="FFFFFF"/>
        <w:spacing w:before="30" w:after="30"/>
        <w:ind w:firstLine="480"/>
        <w:jc w:val="left"/>
        <w:rPr>
          <w:rFonts w:ascii="宋体" w:hAnsi="宋体" w:cs="宋体"/>
          <w:color w:val="auto"/>
          <w:sz w:val="24"/>
          <w:highlight w:val="none"/>
        </w:rPr>
      </w:pPr>
      <w:r>
        <w:rPr>
          <w:rFonts w:hint="eastAsia" w:ascii="宋体" w:hAnsi="宋体" w:cs="宋体"/>
          <w:color w:val="auto"/>
          <w:sz w:val="24"/>
          <w:highlight w:val="none"/>
        </w:rPr>
        <w:t> </w:t>
      </w:r>
    </w:p>
    <w:p w14:paraId="198906FA">
      <w:pPr>
        <w:widowControl/>
        <w:shd w:val="clear" w:color="auto" w:fill="FFFFFF"/>
        <w:spacing w:before="30" w:after="30"/>
        <w:ind w:firstLine="480"/>
        <w:jc w:val="left"/>
        <w:rPr>
          <w:rFonts w:ascii="宋体" w:hAnsi="宋体" w:cs="宋体"/>
          <w:color w:val="auto"/>
          <w:sz w:val="24"/>
          <w:highlight w:val="none"/>
        </w:rPr>
      </w:pPr>
      <w:r>
        <w:rPr>
          <w:rFonts w:hint="eastAsia" w:ascii="宋体" w:hAnsi="宋体" w:cs="宋体"/>
          <w:color w:val="auto"/>
          <w:sz w:val="24"/>
          <w:highlight w:val="none"/>
        </w:rPr>
        <w:t>本公司（单位）郑重声明，根据《国务院办公厅关于在政府采购中实施本国产品标准及相关政策的通知》（国办发〔2025〕34号）的规定，本公司（单位）提供的以下产品属于本国产品。具体情况如下：</w:t>
      </w:r>
    </w:p>
    <w:p w14:paraId="7D1B4EDF">
      <w:pPr>
        <w:widowControl/>
        <w:shd w:val="clear" w:color="auto" w:fill="FFFFFF"/>
        <w:ind w:firstLine="480"/>
        <w:jc w:val="left"/>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i/>
          <w:iCs/>
          <w:color w:val="auto"/>
          <w:sz w:val="24"/>
          <w:highlight w:val="none"/>
        </w:rPr>
        <w:t>（产品名称1）</w:t>
      </w:r>
      <w:r>
        <w:rPr>
          <w:rFonts w:hint="eastAsia" w:ascii="宋体" w:hAnsi="宋体" w:cs="宋体"/>
          <w:i/>
          <w:iCs/>
          <w:color w:val="auto"/>
          <w:sz w:val="18"/>
          <w:szCs w:val="18"/>
          <w:highlight w:val="none"/>
          <w:vertAlign w:val="superscript"/>
        </w:rPr>
        <w:t>1</w:t>
      </w:r>
      <w:r>
        <w:rPr>
          <w:rFonts w:hint="eastAsia" w:ascii="宋体" w:hAnsi="宋体" w:cs="宋体"/>
          <w:color w:val="auto"/>
          <w:sz w:val="24"/>
          <w:highlight w:val="none"/>
        </w:rPr>
        <w:t>，生产厂为</w:t>
      </w:r>
      <w:r>
        <w:rPr>
          <w:rFonts w:hint="eastAsia" w:ascii="宋体" w:hAnsi="宋体" w:cs="宋体"/>
          <w:i/>
          <w:iCs/>
          <w:color w:val="auto"/>
          <w:sz w:val="24"/>
          <w:highlight w:val="none"/>
        </w:rPr>
        <w:t>（厂名）</w:t>
      </w:r>
      <w:r>
        <w:rPr>
          <w:rFonts w:hint="eastAsia" w:ascii="宋体" w:hAnsi="宋体" w:cs="宋体"/>
          <w:i/>
          <w:iCs/>
          <w:color w:val="auto"/>
          <w:sz w:val="18"/>
          <w:szCs w:val="18"/>
          <w:highlight w:val="none"/>
          <w:vertAlign w:val="superscript"/>
        </w:rPr>
        <w:t>2</w:t>
      </w:r>
      <w:r>
        <w:rPr>
          <w:rFonts w:hint="eastAsia" w:ascii="宋体" w:hAnsi="宋体" w:cs="宋体"/>
          <w:color w:val="auto"/>
          <w:sz w:val="24"/>
          <w:highlight w:val="none"/>
        </w:rPr>
        <w:t>，厂址为</w:t>
      </w:r>
      <w:r>
        <w:rPr>
          <w:rFonts w:hint="eastAsia" w:ascii="宋体" w:hAnsi="宋体" w:cs="宋体"/>
          <w:i/>
          <w:iCs/>
          <w:color w:val="auto"/>
          <w:sz w:val="24"/>
          <w:highlight w:val="none"/>
        </w:rPr>
        <w:t>（生产厂址）</w:t>
      </w:r>
      <w:r>
        <w:rPr>
          <w:rFonts w:hint="eastAsia" w:ascii="宋体" w:hAnsi="宋体" w:cs="宋体"/>
          <w:color w:val="auto"/>
          <w:sz w:val="24"/>
          <w:highlight w:val="none"/>
        </w:rPr>
        <w:t>。</w:t>
      </w:r>
      <w:r>
        <w:rPr>
          <w:rFonts w:hint="eastAsia" w:ascii="宋体" w:hAnsi="宋体" w:cs="宋体"/>
          <w:i/>
          <w:iCs/>
          <w:color w:val="auto"/>
          <w:sz w:val="24"/>
          <w:highlight w:val="none"/>
        </w:rPr>
        <w:t>（产品名称1）</w:t>
      </w:r>
      <w:r>
        <w:rPr>
          <w:rFonts w:hint="eastAsia" w:ascii="宋体" w:hAnsi="宋体" w:cs="宋体"/>
          <w:color w:val="auto"/>
          <w:sz w:val="24"/>
          <w:highlight w:val="none"/>
        </w:rPr>
        <w:t>的中国境内生产的组件成本占比≥</w:t>
      </w:r>
      <w:r>
        <w:rPr>
          <w:rFonts w:hint="eastAsia" w:ascii="宋体" w:hAnsi="宋体" w:cs="宋体"/>
          <w:i/>
          <w:iCs/>
          <w:color w:val="auto"/>
          <w:sz w:val="24"/>
          <w:highlight w:val="none"/>
        </w:rPr>
        <w:t>（规定比例）</w:t>
      </w:r>
      <w:r>
        <w:rPr>
          <w:rFonts w:hint="eastAsia" w:ascii="宋体" w:hAnsi="宋体" w:cs="宋体"/>
          <w:i/>
          <w:iCs/>
          <w:color w:val="auto"/>
          <w:sz w:val="18"/>
          <w:szCs w:val="18"/>
          <w:highlight w:val="none"/>
          <w:vertAlign w:val="superscript"/>
        </w:rPr>
        <w:t>3</w:t>
      </w:r>
      <w:r>
        <w:rPr>
          <w:rFonts w:hint="eastAsia" w:ascii="宋体" w:hAnsi="宋体" w:cs="宋体"/>
          <w:color w:val="auto"/>
          <w:sz w:val="24"/>
          <w:highlight w:val="none"/>
        </w:rPr>
        <w:t>。</w:t>
      </w:r>
      <w:r>
        <w:rPr>
          <w:rFonts w:hint="eastAsia" w:ascii="宋体" w:hAnsi="宋体" w:cs="宋体"/>
          <w:i/>
          <w:iCs/>
          <w:color w:val="auto"/>
          <w:sz w:val="24"/>
          <w:highlight w:val="none"/>
        </w:rPr>
        <w:t>（产品名称1）</w:t>
      </w:r>
      <w:r>
        <w:rPr>
          <w:rFonts w:hint="eastAsia" w:ascii="宋体" w:hAnsi="宋体" w:cs="宋体"/>
          <w:color w:val="auto"/>
          <w:sz w:val="24"/>
          <w:highlight w:val="none"/>
        </w:rPr>
        <w:t>的</w:t>
      </w:r>
      <w:r>
        <w:rPr>
          <w:rFonts w:hint="eastAsia" w:ascii="宋体" w:hAnsi="宋体" w:cs="宋体"/>
          <w:i/>
          <w:iCs/>
          <w:color w:val="auto"/>
          <w:sz w:val="24"/>
          <w:highlight w:val="none"/>
        </w:rPr>
        <w:t>（关键组件）</w:t>
      </w:r>
      <w:r>
        <w:rPr>
          <w:rFonts w:hint="eastAsia" w:ascii="宋体" w:hAnsi="宋体" w:cs="宋体"/>
          <w:i/>
          <w:iCs/>
          <w:color w:val="auto"/>
          <w:sz w:val="18"/>
          <w:szCs w:val="18"/>
          <w:highlight w:val="none"/>
          <w:vertAlign w:val="superscript"/>
        </w:rPr>
        <w:t>4</w:t>
      </w:r>
      <w:r>
        <w:rPr>
          <w:rFonts w:hint="eastAsia" w:ascii="宋体" w:hAnsi="宋体" w:cs="宋体"/>
          <w:color w:val="auto"/>
          <w:sz w:val="24"/>
          <w:highlight w:val="none"/>
        </w:rPr>
        <w:t>在中国境内生产。</w:t>
      </w:r>
      <w:r>
        <w:rPr>
          <w:rFonts w:hint="eastAsia" w:ascii="宋体" w:hAnsi="宋体" w:cs="宋体"/>
          <w:i/>
          <w:iCs/>
          <w:color w:val="auto"/>
          <w:sz w:val="24"/>
          <w:highlight w:val="none"/>
        </w:rPr>
        <w:t>（产品名称1）</w:t>
      </w:r>
      <w:r>
        <w:rPr>
          <w:rFonts w:hint="eastAsia" w:ascii="宋体" w:hAnsi="宋体" w:cs="宋体"/>
          <w:color w:val="auto"/>
          <w:sz w:val="24"/>
          <w:highlight w:val="none"/>
        </w:rPr>
        <w:t>的</w:t>
      </w:r>
      <w:r>
        <w:rPr>
          <w:rFonts w:hint="eastAsia" w:ascii="宋体" w:hAnsi="宋体" w:cs="宋体"/>
          <w:i/>
          <w:iCs/>
          <w:color w:val="auto"/>
          <w:sz w:val="24"/>
          <w:highlight w:val="none"/>
        </w:rPr>
        <w:t>（关键工序）</w:t>
      </w:r>
      <w:r>
        <w:rPr>
          <w:rFonts w:hint="eastAsia" w:ascii="宋体" w:hAnsi="宋体" w:cs="宋体"/>
          <w:i/>
          <w:iCs/>
          <w:color w:val="auto"/>
          <w:sz w:val="18"/>
          <w:szCs w:val="18"/>
          <w:highlight w:val="none"/>
          <w:vertAlign w:val="superscript"/>
        </w:rPr>
        <w:t>5</w:t>
      </w:r>
      <w:r>
        <w:rPr>
          <w:rFonts w:hint="eastAsia" w:ascii="宋体" w:hAnsi="宋体" w:cs="宋体"/>
          <w:color w:val="auto"/>
          <w:sz w:val="24"/>
          <w:highlight w:val="none"/>
        </w:rPr>
        <w:t>在中国境内完成。</w:t>
      </w:r>
    </w:p>
    <w:p w14:paraId="0BBEB625">
      <w:pPr>
        <w:widowControl/>
        <w:shd w:val="clear" w:color="auto" w:fill="FFFFFF"/>
        <w:ind w:firstLine="480"/>
        <w:jc w:val="left"/>
        <w:rPr>
          <w:rFonts w:ascii="宋体" w:hAnsi="宋体" w:cs="宋体"/>
          <w:color w:val="auto"/>
          <w:sz w:val="24"/>
          <w:highlight w:val="none"/>
        </w:rPr>
      </w:pPr>
      <w:r>
        <w:rPr>
          <w:rFonts w:hint="eastAsia" w:ascii="宋体" w:hAnsi="宋体" w:cs="宋体"/>
          <w:color w:val="auto"/>
          <w:sz w:val="24"/>
          <w:highlight w:val="none"/>
        </w:rPr>
        <w:t>2.</w:t>
      </w:r>
      <w:r>
        <w:rPr>
          <w:rFonts w:hint="eastAsia" w:ascii="宋体" w:hAnsi="宋体" w:cs="宋体"/>
          <w:i/>
          <w:iCs/>
          <w:color w:val="auto"/>
          <w:sz w:val="24"/>
          <w:highlight w:val="none"/>
        </w:rPr>
        <w:t>（产品名称2）</w:t>
      </w:r>
      <w:r>
        <w:rPr>
          <w:rFonts w:hint="eastAsia" w:ascii="宋体" w:hAnsi="宋体" w:cs="宋体"/>
          <w:color w:val="auto"/>
          <w:sz w:val="24"/>
          <w:highlight w:val="none"/>
        </w:rPr>
        <w:t>，生产厂为</w:t>
      </w:r>
      <w:r>
        <w:rPr>
          <w:rFonts w:hint="eastAsia" w:ascii="宋体" w:hAnsi="宋体" w:cs="宋体"/>
          <w:i/>
          <w:iCs/>
          <w:color w:val="auto"/>
          <w:sz w:val="24"/>
          <w:highlight w:val="none"/>
        </w:rPr>
        <w:t>（厂名）</w:t>
      </w:r>
      <w:r>
        <w:rPr>
          <w:rFonts w:hint="eastAsia" w:ascii="宋体" w:hAnsi="宋体" w:cs="宋体"/>
          <w:color w:val="auto"/>
          <w:sz w:val="24"/>
          <w:highlight w:val="none"/>
        </w:rPr>
        <w:t>，厂址为</w:t>
      </w:r>
      <w:r>
        <w:rPr>
          <w:rFonts w:hint="eastAsia" w:ascii="宋体" w:hAnsi="宋体" w:cs="宋体"/>
          <w:i/>
          <w:iCs/>
          <w:color w:val="auto"/>
          <w:sz w:val="24"/>
          <w:highlight w:val="none"/>
        </w:rPr>
        <w:t>（生产厂址）</w:t>
      </w:r>
      <w:r>
        <w:rPr>
          <w:rFonts w:hint="eastAsia" w:ascii="宋体" w:hAnsi="宋体" w:cs="宋体"/>
          <w:color w:val="auto"/>
          <w:sz w:val="24"/>
          <w:highlight w:val="none"/>
        </w:rPr>
        <w:t>。</w:t>
      </w:r>
      <w:r>
        <w:rPr>
          <w:rFonts w:hint="eastAsia" w:ascii="宋体" w:hAnsi="宋体" w:cs="宋体"/>
          <w:i/>
          <w:iCs/>
          <w:color w:val="auto"/>
          <w:sz w:val="24"/>
          <w:highlight w:val="none"/>
        </w:rPr>
        <w:t>（产品名称2）</w:t>
      </w:r>
      <w:r>
        <w:rPr>
          <w:rFonts w:hint="eastAsia" w:ascii="宋体" w:hAnsi="宋体" w:cs="宋体"/>
          <w:color w:val="auto"/>
          <w:sz w:val="24"/>
          <w:highlight w:val="none"/>
        </w:rPr>
        <w:t>的中国境内生产的组件成本占比≥</w:t>
      </w:r>
      <w:r>
        <w:rPr>
          <w:rFonts w:hint="eastAsia" w:ascii="宋体" w:hAnsi="宋体" w:cs="宋体"/>
          <w:i/>
          <w:iCs/>
          <w:color w:val="auto"/>
          <w:sz w:val="24"/>
          <w:highlight w:val="none"/>
        </w:rPr>
        <w:t>（规定比例）</w:t>
      </w:r>
      <w:r>
        <w:rPr>
          <w:rFonts w:hint="eastAsia" w:ascii="宋体" w:hAnsi="宋体" w:cs="宋体"/>
          <w:color w:val="auto"/>
          <w:sz w:val="24"/>
          <w:highlight w:val="none"/>
        </w:rPr>
        <w:t>。</w:t>
      </w:r>
      <w:r>
        <w:rPr>
          <w:rFonts w:hint="eastAsia" w:ascii="宋体" w:hAnsi="宋体" w:cs="宋体"/>
          <w:i/>
          <w:iCs/>
          <w:color w:val="auto"/>
          <w:sz w:val="24"/>
          <w:highlight w:val="none"/>
        </w:rPr>
        <w:t>（产品名称2）</w:t>
      </w:r>
      <w:r>
        <w:rPr>
          <w:rFonts w:hint="eastAsia" w:ascii="宋体" w:hAnsi="宋体" w:cs="宋体"/>
          <w:color w:val="auto"/>
          <w:sz w:val="24"/>
          <w:highlight w:val="none"/>
        </w:rPr>
        <w:t>的</w:t>
      </w:r>
      <w:r>
        <w:rPr>
          <w:rFonts w:hint="eastAsia" w:ascii="宋体" w:hAnsi="宋体" w:cs="宋体"/>
          <w:i/>
          <w:iCs/>
          <w:color w:val="auto"/>
          <w:sz w:val="24"/>
          <w:highlight w:val="none"/>
        </w:rPr>
        <w:t>（关键组件）</w:t>
      </w:r>
      <w:r>
        <w:rPr>
          <w:rFonts w:hint="eastAsia" w:ascii="宋体" w:hAnsi="宋体" w:cs="宋体"/>
          <w:color w:val="auto"/>
          <w:sz w:val="24"/>
          <w:highlight w:val="none"/>
        </w:rPr>
        <w:t>在中国境内生产。</w:t>
      </w:r>
      <w:r>
        <w:rPr>
          <w:rFonts w:hint="eastAsia" w:ascii="宋体" w:hAnsi="宋体" w:cs="宋体"/>
          <w:i/>
          <w:iCs/>
          <w:color w:val="auto"/>
          <w:sz w:val="24"/>
          <w:highlight w:val="none"/>
        </w:rPr>
        <w:t>（产品名称2）</w:t>
      </w:r>
      <w:r>
        <w:rPr>
          <w:rFonts w:hint="eastAsia" w:ascii="宋体" w:hAnsi="宋体" w:cs="宋体"/>
          <w:color w:val="auto"/>
          <w:sz w:val="24"/>
          <w:highlight w:val="none"/>
        </w:rPr>
        <w:t>的</w:t>
      </w:r>
      <w:r>
        <w:rPr>
          <w:rFonts w:hint="eastAsia" w:ascii="宋体" w:hAnsi="宋体" w:cs="宋体"/>
          <w:i/>
          <w:iCs/>
          <w:color w:val="auto"/>
          <w:sz w:val="24"/>
          <w:highlight w:val="none"/>
        </w:rPr>
        <w:t>（关键工序）</w:t>
      </w:r>
      <w:r>
        <w:rPr>
          <w:rFonts w:hint="eastAsia" w:ascii="宋体" w:hAnsi="宋体" w:cs="宋体"/>
          <w:color w:val="auto"/>
          <w:sz w:val="24"/>
          <w:highlight w:val="none"/>
        </w:rPr>
        <w:t>在中国境内完成。</w:t>
      </w:r>
    </w:p>
    <w:p w14:paraId="1791B524">
      <w:pPr>
        <w:widowControl/>
        <w:shd w:val="clear" w:color="auto" w:fill="FFFFFF"/>
        <w:spacing w:before="30" w:after="30"/>
        <w:ind w:firstLine="480"/>
        <w:jc w:val="left"/>
        <w:rPr>
          <w:rFonts w:ascii="宋体" w:hAnsi="宋体" w:cs="宋体"/>
          <w:color w:val="auto"/>
          <w:sz w:val="24"/>
          <w:highlight w:val="none"/>
        </w:rPr>
      </w:pPr>
      <w:r>
        <w:rPr>
          <w:rFonts w:hint="eastAsia" w:ascii="宋体" w:hAnsi="宋体" w:cs="宋体"/>
          <w:color w:val="auto"/>
          <w:sz w:val="24"/>
          <w:highlight w:val="none"/>
        </w:rPr>
        <w:t>……</w:t>
      </w:r>
    </w:p>
    <w:p w14:paraId="73F07045">
      <w:pPr>
        <w:widowControl/>
        <w:shd w:val="clear" w:color="auto" w:fill="FFFFFF"/>
        <w:spacing w:before="30" w:after="30"/>
        <w:ind w:firstLine="480"/>
        <w:jc w:val="left"/>
        <w:rPr>
          <w:rFonts w:ascii="宋体" w:hAnsi="宋体" w:cs="宋体"/>
          <w:color w:val="auto"/>
          <w:sz w:val="24"/>
          <w:highlight w:val="none"/>
        </w:rPr>
      </w:pPr>
      <w:r>
        <w:rPr>
          <w:rFonts w:hint="eastAsia" w:ascii="宋体" w:hAnsi="宋体" w:cs="宋体"/>
          <w:color w:val="auto"/>
          <w:sz w:val="24"/>
          <w:highlight w:val="none"/>
        </w:rPr>
        <w:t>本公司（单位）对上述声明内容的真实性负责。如有虚假，愿承担相应法律责任。</w:t>
      </w:r>
    </w:p>
    <w:p w14:paraId="4380913A">
      <w:pPr>
        <w:widowControl/>
        <w:shd w:val="clear" w:color="auto" w:fill="FFFFFF"/>
        <w:spacing w:before="30" w:after="30"/>
        <w:jc w:val="left"/>
        <w:rPr>
          <w:rFonts w:ascii="宋体" w:hAnsi="宋体" w:cs="宋体"/>
          <w:color w:val="auto"/>
          <w:sz w:val="24"/>
          <w:highlight w:val="none"/>
        </w:rPr>
      </w:pPr>
      <w:r>
        <w:rPr>
          <w:rFonts w:hint="eastAsia" w:ascii="宋体" w:hAnsi="宋体" w:cs="宋体"/>
          <w:color w:val="auto"/>
          <w:sz w:val="24"/>
          <w:highlight w:val="none"/>
        </w:rPr>
        <w:t> </w:t>
      </w:r>
    </w:p>
    <w:p w14:paraId="0788E59F">
      <w:pPr>
        <w:widowControl/>
        <w:shd w:val="clear" w:color="auto" w:fill="FFFFFF"/>
        <w:spacing w:before="30" w:after="30"/>
        <w:jc w:val="right"/>
        <w:rPr>
          <w:rFonts w:ascii="宋体" w:hAnsi="宋体" w:cs="宋体"/>
          <w:color w:val="auto"/>
          <w:sz w:val="24"/>
          <w:highlight w:val="none"/>
        </w:rPr>
      </w:pPr>
      <w:r>
        <w:rPr>
          <w:rFonts w:hint="eastAsia" w:ascii="宋体" w:hAnsi="宋体" w:cs="宋体"/>
          <w:color w:val="auto"/>
          <w:sz w:val="24"/>
          <w:highlight w:val="none"/>
        </w:rPr>
        <w:t>公司（单位）名称（盖章）：　        </w:t>
      </w:r>
    </w:p>
    <w:p w14:paraId="4717412A">
      <w:pPr>
        <w:widowControl/>
        <w:shd w:val="clear" w:color="auto" w:fill="FFFFFF"/>
        <w:jc w:val="right"/>
        <w:rPr>
          <w:rFonts w:ascii="宋体" w:hAnsi="宋体" w:cs="宋体"/>
          <w:color w:val="auto"/>
          <w:sz w:val="24"/>
          <w:highlight w:val="none"/>
        </w:rPr>
      </w:pPr>
      <w:r>
        <w:rPr>
          <w:rFonts w:hint="eastAsia" w:ascii="宋体" w:hAnsi="宋体" w:cs="宋体"/>
          <w:color w:val="auto"/>
          <w:sz w:val="24"/>
          <w:highlight w:val="none"/>
        </w:rPr>
        <w:t>日期：　     年　  月　  日         </w:t>
      </w:r>
    </w:p>
    <w:p w14:paraId="33741E8E">
      <w:pPr>
        <w:widowControl/>
        <w:shd w:val="clear" w:color="auto" w:fill="FFFFFF"/>
        <w:spacing w:before="30" w:after="30"/>
        <w:jc w:val="left"/>
        <w:rPr>
          <w:rFonts w:ascii="宋体" w:hAnsi="宋体" w:cs="宋体"/>
          <w:color w:val="auto"/>
          <w:sz w:val="24"/>
          <w:highlight w:val="none"/>
        </w:rPr>
      </w:pPr>
      <w:r>
        <w:rPr>
          <w:rFonts w:hint="eastAsia" w:ascii="宋体" w:hAnsi="宋体" w:cs="宋体"/>
          <w:color w:val="auto"/>
          <w:sz w:val="24"/>
          <w:highlight w:val="none"/>
        </w:rPr>
        <w:t>__________________</w:t>
      </w:r>
    </w:p>
    <w:p w14:paraId="213A6C33">
      <w:pPr>
        <w:widowControl/>
        <w:shd w:val="clear" w:color="auto" w:fill="FFFFFF"/>
        <w:ind w:firstLine="480"/>
        <w:jc w:val="left"/>
        <w:rPr>
          <w:rFonts w:ascii="宋体" w:hAnsi="宋体" w:cs="宋体"/>
          <w:color w:val="auto"/>
          <w:szCs w:val="21"/>
          <w:highlight w:val="none"/>
        </w:rPr>
      </w:pPr>
      <w:r>
        <w:rPr>
          <w:rFonts w:hint="eastAsia" w:ascii="宋体" w:hAnsi="宋体" w:cs="宋体"/>
          <w:color w:val="auto"/>
          <w:szCs w:val="21"/>
          <w:highlight w:val="none"/>
        </w:rPr>
        <w:t>1.产品如有型号，请在“产品名称”栏一并填写。</w:t>
      </w:r>
    </w:p>
    <w:p w14:paraId="31FC0E64">
      <w:pPr>
        <w:widowControl/>
        <w:shd w:val="clear" w:color="auto" w:fill="FFFFFF"/>
        <w:ind w:firstLine="480"/>
        <w:jc w:val="left"/>
        <w:rPr>
          <w:rFonts w:ascii="宋体" w:hAnsi="宋体" w:cs="宋体"/>
          <w:color w:val="auto"/>
          <w:szCs w:val="21"/>
          <w:highlight w:val="none"/>
        </w:rPr>
      </w:pPr>
      <w:r>
        <w:rPr>
          <w:rFonts w:hint="eastAsia" w:ascii="宋体" w:hAnsi="宋体" w:cs="宋体"/>
          <w:color w:val="auto"/>
          <w:szCs w:val="21"/>
          <w:highlight w:val="none"/>
        </w:rPr>
        <w:t>2.生产厂名与厂址应与生产厂营业执照载明的相关信息保持一致。</w:t>
      </w:r>
    </w:p>
    <w:p w14:paraId="2B3EE277">
      <w:pPr>
        <w:widowControl/>
        <w:shd w:val="clear" w:color="auto" w:fill="FFFFFF"/>
        <w:ind w:firstLine="480"/>
        <w:jc w:val="left"/>
        <w:rPr>
          <w:rFonts w:ascii="宋体" w:hAnsi="宋体" w:cs="宋体"/>
          <w:color w:val="auto"/>
          <w:szCs w:val="21"/>
          <w:highlight w:val="none"/>
        </w:rPr>
      </w:pPr>
      <w:r>
        <w:rPr>
          <w:rFonts w:hint="eastAsia" w:ascii="宋体" w:hAnsi="宋体" w:cs="宋体"/>
          <w:color w:val="auto"/>
          <w:szCs w:val="21"/>
          <w:highlight w:val="none"/>
        </w:rPr>
        <w:t>3.该产品的中国境内生产的组件成本占比相关要求实施前，“规定比例”栏可不填，下同。</w:t>
      </w:r>
    </w:p>
    <w:p w14:paraId="6D7B5A90">
      <w:pPr>
        <w:widowControl/>
        <w:shd w:val="clear" w:color="auto" w:fill="FFFFFF"/>
        <w:ind w:firstLine="480"/>
        <w:jc w:val="left"/>
        <w:rPr>
          <w:rFonts w:ascii="宋体" w:hAnsi="宋体" w:cs="宋体"/>
          <w:color w:val="auto"/>
          <w:szCs w:val="21"/>
          <w:highlight w:val="none"/>
        </w:rPr>
      </w:pPr>
      <w:r>
        <w:rPr>
          <w:rFonts w:hint="eastAsia" w:ascii="宋体" w:hAnsi="宋体" w:cs="宋体"/>
          <w:color w:val="auto"/>
          <w:szCs w:val="21"/>
          <w:highlight w:val="none"/>
        </w:rPr>
        <w:t>4.该产品的关键组件要求实施前，“关键组件”栏可不填，下同。</w:t>
      </w:r>
    </w:p>
    <w:p w14:paraId="70889967">
      <w:pPr>
        <w:widowControl/>
        <w:shd w:val="clear" w:color="auto" w:fill="FFFFFF"/>
        <w:ind w:firstLine="480"/>
        <w:jc w:val="left"/>
        <w:rPr>
          <w:rFonts w:ascii="宋体" w:hAnsi="宋体" w:cs="宋体"/>
          <w:color w:val="auto"/>
          <w:szCs w:val="21"/>
          <w:highlight w:val="none"/>
        </w:rPr>
      </w:pPr>
      <w:r>
        <w:rPr>
          <w:rFonts w:hint="eastAsia" w:ascii="宋体" w:hAnsi="宋体" w:cs="宋体"/>
          <w:color w:val="auto"/>
          <w:szCs w:val="21"/>
          <w:highlight w:val="none"/>
        </w:rPr>
        <w:t>5.该产品的关键工序要求实施前，“关键工序”栏可不填，下同。</w:t>
      </w:r>
    </w:p>
    <w:p w14:paraId="1B976F9C">
      <w:pPr>
        <w:spacing w:line="360" w:lineRule="auto"/>
        <w:jc w:val="left"/>
        <w:rPr>
          <w:rFonts w:ascii="宋体" w:hAnsi="宋体"/>
          <w:color w:val="auto"/>
          <w:sz w:val="24"/>
          <w:highlight w:val="none"/>
        </w:rPr>
      </w:pPr>
      <w:r>
        <w:rPr>
          <w:rFonts w:ascii="宋体" w:hAnsi="宋体"/>
          <w:color w:val="auto"/>
          <w:sz w:val="24"/>
          <w:highlight w:val="none"/>
        </w:rPr>
        <w:br w:type="page" w:clear="all"/>
      </w:r>
      <w:r>
        <w:rPr>
          <w:rFonts w:hint="eastAsia" w:ascii="宋体" w:hAnsi="宋体"/>
          <w:b/>
          <w:color w:val="auto"/>
          <w:sz w:val="24"/>
          <w:highlight w:val="none"/>
        </w:rPr>
        <w:t>4.质疑函（格式）</w:t>
      </w:r>
    </w:p>
    <w:p w14:paraId="2EE46DB9">
      <w:pPr>
        <w:spacing w:line="360" w:lineRule="auto"/>
        <w:jc w:val="center"/>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质疑函（格式）</w:t>
      </w:r>
    </w:p>
    <w:p w14:paraId="6A3F1F1C">
      <w:pPr>
        <w:pStyle w:val="25"/>
        <w:spacing w:line="360" w:lineRule="auto"/>
        <w:ind w:firstLine="482"/>
        <w:rPr>
          <w:rFonts w:hAnsi="宋体"/>
          <w:b/>
          <w:bCs/>
          <w:color w:val="auto"/>
          <w:sz w:val="24"/>
          <w:szCs w:val="24"/>
          <w:highlight w:val="none"/>
        </w:rPr>
      </w:pPr>
      <w:r>
        <w:rPr>
          <w:rFonts w:hint="eastAsia" w:hAnsi="宋体"/>
          <w:b/>
          <w:bCs/>
          <w:color w:val="auto"/>
          <w:sz w:val="24"/>
          <w:szCs w:val="24"/>
          <w:highlight w:val="none"/>
        </w:rPr>
        <w:t>一、质疑供应商基本信息：</w:t>
      </w:r>
    </w:p>
    <w:p w14:paraId="5A01FC3B">
      <w:pPr>
        <w:pStyle w:val="25"/>
        <w:spacing w:line="360" w:lineRule="auto"/>
        <w:ind w:firstLine="480"/>
        <w:rPr>
          <w:rFonts w:hAnsi="宋体"/>
          <w:bCs/>
          <w:color w:val="auto"/>
          <w:sz w:val="24"/>
          <w:szCs w:val="24"/>
          <w:highlight w:val="none"/>
          <w:u w:val="single"/>
        </w:rPr>
      </w:pPr>
      <w:r>
        <w:rPr>
          <w:rFonts w:hint="eastAsia" w:hAnsi="宋体"/>
          <w:bCs/>
          <w:color w:val="auto"/>
          <w:sz w:val="24"/>
          <w:szCs w:val="24"/>
          <w:highlight w:val="none"/>
        </w:rPr>
        <w:t>质疑供应商：</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2A8A1D14">
      <w:pPr>
        <w:pStyle w:val="25"/>
        <w:spacing w:line="360" w:lineRule="auto"/>
        <w:ind w:firstLine="480"/>
        <w:rPr>
          <w:rFonts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1731E00F">
      <w:pPr>
        <w:pStyle w:val="25"/>
        <w:spacing w:line="360" w:lineRule="auto"/>
        <w:ind w:firstLine="480"/>
        <w:rPr>
          <w:rFonts w:hAnsi="宋体"/>
          <w:bCs/>
          <w:color w:val="auto"/>
          <w:sz w:val="24"/>
          <w:szCs w:val="24"/>
          <w:highlight w:val="none"/>
        </w:rPr>
      </w:pPr>
      <w:r>
        <w:rPr>
          <w:rFonts w:hAnsi="宋体"/>
          <w:bCs/>
          <w:color w:val="auto"/>
          <w:sz w:val="24"/>
          <w:szCs w:val="24"/>
          <w:highlight w:val="none"/>
        </w:rPr>
        <w:t>联系人</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联系电话</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44CD57D9">
      <w:pPr>
        <w:pStyle w:val="25"/>
        <w:spacing w:line="360" w:lineRule="auto"/>
        <w:ind w:firstLine="480"/>
        <w:rPr>
          <w:rFonts w:hAnsi="宋体"/>
          <w:bCs/>
          <w:color w:val="auto"/>
          <w:sz w:val="24"/>
          <w:szCs w:val="24"/>
          <w:highlight w:val="none"/>
        </w:rPr>
      </w:pPr>
      <w:r>
        <w:rPr>
          <w:rFonts w:hint="eastAsia" w:hAnsi="宋体"/>
          <w:bCs/>
          <w:color w:val="auto"/>
          <w:sz w:val="24"/>
          <w:szCs w:val="24"/>
          <w:highlight w:val="none"/>
        </w:rPr>
        <w:t>授权代表：</w:t>
      </w:r>
      <w:r>
        <w:rPr>
          <w:rFonts w:hint="eastAsia" w:hAnsi="宋体"/>
          <w:bCs/>
          <w:color w:val="auto"/>
          <w:sz w:val="24"/>
          <w:szCs w:val="24"/>
          <w:highlight w:val="none"/>
          <w:u w:val="single"/>
        </w:rPr>
        <w:t xml:space="preserve">                      </w:t>
      </w:r>
    </w:p>
    <w:p w14:paraId="1E9F8AA7">
      <w:pPr>
        <w:pStyle w:val="25"/>
        <w:spacing w:line="360" w:lineRule="auto"/>
        <w:ind w:firstLine="480"/>
        <w:rPr>
          <w:rFonts w:hAnsi="宋体"/>
          <w:bCs/>
          <w:color w:val="auto"/>
          <w:sz w:val="24"/>
          <w:szCs w:val="24"/>
          <w:highlight w:val="none"/>
          <w:u w:val="single"/>
        </w:rPr>
      </w:pP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p>
    <w:p w14:paraId="1977F088">
      <w:pPr>
        <w:pStyle w:val="25"/>
        <w:spacing w:line="360" w:lineRule="auto"/>
        <w:ind w:firstLine="480"/>
        <w:rPr>
          <w:rFonts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3DE04B79">
      <w:pPr>
        <w:pStyle w:val="25"/>
        <w:spacing w:line="360" w:lineRule="auto"/>
        <w:ind w:firstLine="482"/>
        <w:rPr>
          <w:rFonts w:hAnsi="宋体"/>
          <w:b/>
          <w:bCs/>
          <w:color w:val="auto"/>
          <w:sz w:val="24"/>
          <w:szCs w:val="24"/>
          <w:highlight w:val="none"/>
        </w:rPr>
      </w:pPr>
      <w:r>
        <w:rPr>
          <w:rFonts w:hint="eastAsia" w:hAnsi="宋体"/>
          <w:b/>
          <w:bCs/>
          <w:color w:val="auto"/>
          <w:sz w:val="24"/>
          <w:szCs w:val="24"/>
          <w:highlight w:val="none"/>
        </w:rPr>
        <w:t>二、质疑项目基本情况：</w:t>
      </w:r>
    </w:p>
    <w:p w14:paraId="6CFB0D3E">
      <w:pPr>
        <w:pStyle w:val="25"/>
        <w:spacing w:line="360" w:lineRule="auto"/>
        <w:ind w:left="25" w:firstLine="472"/>
        <w:rPr>
          <w:rFonts w:hAnsi="宋体"/>
          <w:color w:val="auto"/>
          <w:sz w:val="24"/>
          <w:szCs w:val="24"/>
          <w:highlight w:val="none"/>
        </w:rPr>
      </w:pPr>
      <w:r>
        <w:rPr>
          <w:rFonts w:hint="eastAsia" w:hAnsi="宋体"/>
          <w:bCs/>
          <w:color w:val="auto"/>
          <w:sz w:val="24"/>
          <w:szCs w:val="24"/>
          <w:highlight w:val="none"/>
        </w:rPr>
        <w:t>质疑</w:t>
      </w:r>
      <w:r>
        <w:rPr>
          <w:rFonts w:hint="eastAsia" w:hAnsi="宋体"/>
          <w:color w:val="auto"/>
          <w:sz w:val="24"/>
          <w:szCs w:val="24"/>
          <w:highlight w:val="none"/>
        </w:rPr>
        <w:t>项目的名称：</w:t>
      </w:r>
      <w:r>
        <w:rPr>
          <w:rFonts w:hint="eastAsia" w:hAnsi="宋体"/>
          <w:bCs/>
          <w:color w:val="auto"/>
          <w:sz w:val="24"/>
          <w:szCs w:val="24"/>
          <w:highlight w:val="none"/>
          <w:u w:val="single"/>
        </w:rPr>
        <w:t xml:space="preserve">                                     </w:t>
      </w:r>
    </w:p>
    <w:p w14:paraId="24F6D0DF">
      <w:pPr>
        <w:pStyle w:val="25"/>
        <w:spacing w:line="360" w:lineRule="auto"/>
        <w:ind w:left="25" w:firstLine="472"/>
        <w:rPr>
          <w:rFonts w:hAnsi="宋体"/>
          <w:color w:val="auto"/>
          <w:sz w:val="24"/>
          <w:szCs w:val="24"/>
          <w:highlight w:val="none"/>
        </w:rPr>
      </w:pPr>
      <w:r>
        <w:rPr>
          <w:rFonts w:hint="eastAsia" w:hAnsi="宋体"/>
          <w:bCs/>
          <w:color w:val="auto"/>
          <w:sz w:val="24"/>
          <w:szCs w:val="24"/>
          <w:highlight w:val="none"/>
        </w:rPr>
        <w:t>质疑</w:t>
      </w:r>
      <w:r>
        <w:rPr>
          <w:rFonts w:hint="eastAsia" w:hAnsi="宋体"/>
          <w:color w:val="auto"/>
          <w:sz w:val="24"/>
          <w:szCs w:val="24"/>
          <w:highlight w:val="none"/>
        </w:rPr>
        <w:t>项目的编号：</w:t>
      </w:r>
      <w:r>
        <w:rPr>
          <w:rFonts w:hint="eastAsia" w:hAnsi="宋体"/>
          <w:bCs/>
          <w:color w:val="auto"/>
          <w:sz w:val="24"/>
          <w:szCs w:val="24"/>
          <w:highlight w:val="none"/>
          <w:u w:val="single"/>
        </w:rPr>
        <w:t xml:space="preserve">                                     </w:t>
      </w:r>
    </w:p>
    <w:p w14:paraId="23B93BA5">
      <w:pPr>
        <w:pStyle w:val="25"/>
        <w:spacing w:line="360" w:lineRule="auto"/>
        <w:ind w:left="25" w:firstLine="472"/>
        <w:rPr>
          <w:rFonts w:hAnsi="宋体"/>
          <w:color w:val="auto"/>
          <w:sz w:val="24"/>
          <w:szCs w:val="24"/>
          <w:highlight w:val="none"/>
        </w:rPr>
      </w:pPr>
      <w:r>
        <w:rPr>
          <w:rFonts w:hint="eastAsia" w:hAnsi="宋体"/>
          <w:color w:val="auto"/>
          <w:sz w:val="24"/>
          <w:szCs w:val="24"/>
          <w:highlight w:val="none"/>
        </w:rPr>
        <w:t>采购人名称：</w:t>
      </w:r>
      <w:r>
        <w:rPr>
          <w:rFonts w:hint="eastAsia" w:hAnsi="宋体"/>
          <w:bCs/>
          <w:color w:val="auto"/>
          <w:sz w:val="24"/>
          <w:szCs w:val="24"/>
          <w:highlight w:val="none"/>
          <w:u w:val="single"/>
        </w:rPr>
        <w:t xml:space="preserve">                                         </w:t>
      </w:r>
    </w:p>
    <w:p w14:paraId="660E6AD6">
      <w:pPr>
        <w:pStyle w:val="25"/>
        <w:spacing w:line="360" w:lineRule="auto"/>
        <w:ind w:left="25" w:firstLine="472"/>
        <w:rPr>
          <w:rFonts w:hAnsi="宋体"/>
          <w:color w:val="auto"/>
          <w:sz w:val="24"/>
          <w:szCs w:val="24"/>
          <w:highlight w:val="none"/>
        </w:rPr>
      </w:pPr>
      <w:r>
        <w:rPr>
          <w:rFonts w:hint="eastAsia" w:hAnsi="宋体"/>
          <w:color w:val="auto"/>
          <w:sz w:val="24"/>
          <w:szCs w:val="24"/>
          <w:highlight w:val="none"/>
        </w:rPr>
        <w:t>质疑事项：</w:t>
      </w:r>
    </w:p>
    <w:p w14:paraId="2DC754BD">
      <w:pPr>
        <w:pStyle w:val="25"/>
        <w:spacing w:line="360" w:lineRule="auto"/>
        <w:ind w:left="25" w:firstLine="352"/>
        <w:rPr>
          <w:rFonts w:hAnsi="宋体"/>
          <w:color w:val="auto"/>
          <w:sz w:val="24"/>
          <w:szCs w:val="24"/>
          <w:highlight w:val="none"/>
        </w:rPr>
      </w:pPr>
      <w:r>
        <w:rPr>
          <w:rFonts w:hint="eastAsia" w:hAnsi="宋体"/>
          <w:color w:val="auto"/>
          <w:sz w:val="24"/>
          <w:szCs w:val="24"/>
          <w:highlight w:val="none"/>
        </w:rPr>
        <w:t>□招标文件   招标文件获取日期：</w:t>
      </w:r>
      <w:r>
        <w:rPr>
          <w:rFonts w:hint="eastAsia" w:hAnsi="宋体"/>
          <w:bCs/>
          <w:color w:val="auto"/>
          <w:sz w:val="24"/>
          <w:szCs w:val="24"/>
          <w:highlight w:val="none"/>
          <w:u w:val="single"/>
        </w:rPr>
        <w:t xml:space="preserve">                                   </w:t>
      </w:r>
    </w:p>
    <w:p w14:paraId="2D29F6A6">
      <w:pPr>
        <w:pStyle w:val="25"/>
        <w:spacing w:line="360" w:lineRule="auto"/>
        <w:ind w:left="25" w:firstLine="352"/>
        <w:rPr>
          <w:rFonts w:hAnsi="宋体"/>
          <w:color w:val="auto"/>
          <w:sz w:val="24"/>
          <w:szCs w:val="24"/>
          <w:highlight w:val="none"/>
        </w:rPr>
      </w:pPr>
      <w:r>
        <w:rPr>
          <w:rFonts w:hint="eastAsia" w:hAnsi="宋体"/>
          <w:color w:val="auto"/>
          <w:sz w:val="24"/>
          <w:szCs w:val="24"/>
          <w:highlight w:val="none"/>
        </w:rPr>
        <w:t xml:space="preserve">□招标过程   </w:t>
      </w:r>
    </w:p>
    <w:p w14:paraId="7BA77A34">
      <w:pPr>
        <w:pStyle w:val="25"/>
        <w:spacing w:line="360" w:lineRule="auto"/>
        <w:ind w:left="25" w:firstLine="352"/>
        <w:rPr>
          <w:rFonts w:hAnsi="宋体"/>
          <w:bCs/>
          <w:color w:val="auto"/>
          <w:sz w:val="24"/>
          <w:szCs w:val="24"/>
          <w:highlight w:val="none"/>
          <w:u w:val="single"/>
        </w:rPr>
      </w:pPr>
      <w:r>
        <w:rPr>
          <w:rFonts w:hint="eastAsia" w:hAnsi="宋体"/>
          <w:color w:val="auto"/>
          <w:sz w:val="24"/>
          <w:szCs w:val="24"/>
          <w:highlight w:val="none"/>
        </w:rPr>
        <w:t xml:space="preserve">□招标结果   </w:t>
      </w:r>
    </w:p>
    <w:p w14:paraId="109A45E5">
      <w:pPr>
        <w:pStyle w:val="25"/>
        <w:spacing w:line="360" w:lineRule="auto"/>
        <w:ind w:left="25" w:firstLine="472"/>
        <w:rPr>
          <w:rFonts w:hAnsi="宋体"/>
          <w:b/>
          <w:color w:val="auto"/>
          <w:sz w:val="24"/>
          <w:szCs w:val="24"/>
          <w:highlight w:val="none"/>
        </w:rPr>
      </w:pPr>
      <w:r>
        <w:rPr>
          <w:rFonts w:hint="eastAsia" w:hAnsi="宋体"/>
          <w:b/>
          <w:color w:val="auto"/>
          <w:sz w:val="24"/>
          <w:szCs w:val="24"/>
          <w:highlight w:val="none"/>
        </w:rPr>
        <w:t>三、质疑事项具体内容</w:t>
      </w:r>
    </w:p>
    <w:p w14:paraId="75F6BF18">
      <w:pPr>
        <w:pStyle w:val="25"/>
        <w:spacing w:line="360" w:lineRule="auto"/>
        <w:ind w:left="25" w:firstLine="472"/>
        <w:rPr>
          <w:rFonts w:hAnsi="宋体"/>
          <w:color w:val="auto"/>
          <w:sz w:val="24"/>
          <w:szCs w:val="24"/>
          <w:highlight w:val="none"/>
        </w:rPr>
      </w:pPr>
      <w:r>
        <w:rPr>
          <w:rFonts w:hint="eastAsia" w:hAnsi="宋体"/>
          <w:color w:val="auto"/>
          <w:sz w:val="24"/>
          <w:szCs w:val="24"/>
          <w:highlight w:val="none"/>
        </w:rPr>
        <w:t>质疑事项1：</w:t>
      </w:r>
      <w:r>
        <w:rPr>
          <w:rFonts w:hint="eastAsia" w:hAnsi="宋体"/>
          <w:bCs/>
          <w:color w:val="auto"/>
          <w:sz w:val="24"/>
          <w:szCs w:val="24"/>
          <w:highlight w:val="none"/>
          <w:u w:val="single"/>
        </w:rPr>
        <w:t xml:space="preserve">                                                                    </w:t>
      </w:r>
    </w:p>
    <w:p w14:paraId="30B1BC68">
      <w:pPr>
        <w:pStyle w:val="25"/>
        <w:spacing w:line="360" w:lineRule="auto"/>
        <w:ind w:left="25" w:firstLine="472"/>
        <w:rPr>
          <w:rFonts w:hAnsi="宋体"/>
          <w:color w:val="auto"/>
          <w:sz w:val="24"/>
          <w:szCs w:val="24"/>
          <w:highlight w:val="none"/>
        </w:rPr>
      </w:pPr>
      <w:r>
        <w:rPr>
          <w:rFonts w:hint="eastAsia" w:hAnsi="宋体"/>
          <w:color w:val="auto"/>
          <w:sz w:val="24"/>
          <w:szCs w:val="24"/>
          <w:highlight w:val="none"/>
        </w:rPr>
        <w:t>事实依据：</w:t>
      </w:r>
      <w:r>
        <w:rPr>
          <w:rFonts w:hint="eastAsia" w:hAnsi="宋体"/>
          <w:bCs/>
          <w:color w:val="auto"/>
          <w:sz w:val="24"/>
          <w:szCs w:val="24"/>
          <w:highlight w:val="none"/>
          <w:u w:val="single"/>
        </w:rPr>
        <w:t xml:space="preserve">                                                                      </w:t>
      </w:r>
    </w:p>
    <w:p w14:paraId="19240878">
      <w:pPr>
        <w:pStyle w:val="25"/>
        <w:spacing w:line="360" w:lineRule="auto"/>
        <w:ind w:left="25" w:firstLine="472"/>
        <w:rPr>
          <w:rFonts w:hAnsi="宋体"/>
          <w:color w:val="auto"/>
          <w:sz w:val="24"/>
          <w:szCs w:val="24"/>
          <w:highlight w:val="none"/>
        </w:rPr>
      </w:pPr>
      <w:r>
        <w:rPr>
          <w:rFonts w:hint="eastAsia" w:hAnsi="宋体"/>
          <w:color w:val="auto"/>
          <w:sz w:val="24"/>
          <w:szCs w:val="24"/>
          <w:highlight w:val="none"/>
        </w:rPr>
        <w:t>法律依据：</w:t>
      </w:r>
      <w:r>
        <w:rPr>
          <w:rFonts w:hint="eastAsia" w:hAnsi="宋体"/>
          <w:color w:val="auto"/>
          <w:sz w:val="24"/>
          <w:szCs w:val="24"/>
          <w:highlight w:val="none"/>
          <w:u w:val="single"/>
        </w:rPr>
        <w:t xml:space="preserve">                                                        </w:t>
      </w:r>
      <w:r>
        <w:rPr>
          <w:rFonts w:hint="eastAsia" w:hAnsi="宋体"/>
          <w:bCs/>
          <w:color w:val="auto"/>
          <w:sz w:val="24"/>
          <w:szCs w:val="24"/>
          <w:highlight w:val="none"/>
          <w:u w:val="single"/>
        </w:rPr>
        <w:t xml:space="preserve">               </w:t>
      </w:r>
    </w:p>
    <w:p w14:paraId="785C79EB">
      <w:pPr>
        <w:pStyle w:val="25"/>
        <w:spacing w:line="360" w:lineRule="auto"/>
        <w:ind w:left="25" w:firstLine="472"/>
        <w:rPr>
          <w:rFonts w:hAnsi="宋体"/>
          <w:color w:val="auto"/>
          <w:sz w:val="24"/>
          <w:szCs w:val="24"/>
          <w:highlight w:val="none"/>
        </w:rPr>
      </w:pPr>
      <w:r>
        <w:rPr>
          <w:rFonts w:hint="eastAsia" w:hAnsi="宋体"/>
          <w:color w:val="auto"/>
          <w:sz w:val="24"/>
          <w:szCs w:val="24"/>
          <w:highlight w:val="none"/>
        </w:rPr>
        <w:t>质疑事项2</w:t>
      </w:r>
    </w:p>
    <w:p w14:paraId="25FD9D17">
      <w:pPr>
        <w:pStyle w:val="25"/>
        <w:spacing w:line="360" w:lineRule="auto"/>
        <w:ind w:left="25" w:firstLine="472"/>
        <w:rPr>
          <w:rFonts w:hAnsi="宋体"/>
          <w:color w:val="auto"/>
          <w:sz w:val="24"/>
          <w:szCs w:val="24"/>
          <w:highlight w:val="none"/>
        </w:rPr>
      </w:pPr>
      <w:r>
        <w:rPr>
          <w:rFonts w:hAnsi="宋体"/>
          <w:color w:val="auto"/>
          <w:sz w:val="24"/>
          <w:szCs w:val="24"/>
          <w:highlight w:val="none"/>
        </w:rPr>
        <w:t>……</w:t>
      </w:r>
    </w:p>
    <w:p w14:paraId="490D24AB">
      <w:pPr>
        <w:pStyle w:val="25"/>
        <w:spacing w:line="360" w:lineRule="auto"/>
        <w:ind w:left="25" w:firstLine="472"/>
        <w:rPr>
          <w:rFonts w:hAnsi="宋体"/>
          <w:color w:val="auto"/>
          <w:sz w:val="24"/>
          <w:szCs w:val="24"/>
          <w:highlight w:val="none"/>
        </w:rPr>
      </w:pPr>
      <w:r>
        <w:rPr>
          <w:rFonts w:hint="eastAsia" w:hAnsi="宋体"/>
          <w:color w:val="auto"/>
          <w:sz w:val="24"/>
          <w:szCs w:val="24"/>
          <w:highlight w:val="none"/>
        </w:rPr>
        <w:t>四、与质疑事项相关的质疑请求：</w:t>
      </w:r>
    </w:p>
    <w:p w14:paraId="3F9F1156">
      <w:pPr>
        <w:pStyle w:val="25"/>
        <w:spacing w:line="360" w:lineRule="auto"/>
        <w:ind w:left="25" w:firstLine="472"/>
        <w:rPr>
          <w:rFonts w:hAnsi="宋体"/>
          <w:color w:val="auto"/>
          <w:sz w:val="24"/>
          <w:szCs w:val="24"/>
          <w:highlight w:val="none"/>
        </w:rPr>
      </w:pPr>
      <w:r>
        <w:rPr>
          <w:rFonts w:hint="eastAsia" w:hAnsi="宋体"/>
          <w:color w:val="auto"/>
          <w:sz w:val="24"/>
          <w:szCs w:val="24"/>
          <w:highlight w:val="none"/>
        </w:rPr>
        <w:t>请求：</w:t>
      </w:r>
      <w:r>
        <w:rPr>
          <w:rFonts w:hint="eastAsia" w:hAnsi="宋体"/>
          <w:bCs/>
          <w:color w:val="auto"/>
          <w:sz w:val="24"/>
          <w:szCs w:val="24"/>
          <w:highlight w:val="none"/>
          <w:u w:val="single"/>
        </w:rPr>
        <w:t xml:space="preserve">                                                                </w:t>
      </w:r>
    </w:p>
    <w:p w14:paraId="34D66818">
      <w:pPr>
        <w:pStyle w:val="25"/>
        <w:spacing w:line="360" w:lineRule="auto"/>
        <w:ind w:left="25" w:firstLine="352"/>
        <w:rPr>
          <w:rFonts w:hAnsi="宋体"/>
          <w:color w:val="auto"/>
          <w:sz w:val="24"/>
          <w:szCs w:val="24"/>
          <w:highlight w:val="none"/>
        </w:rPr>
      </w:pPr>
    </w:p>
    <w:p w14:paraId="51744E7F">
      <w:pPr>
        <w:pStyle w:val="25"/>
        <w:spacing w:line="360" w:lineRule="auto"/>
        <w:ind w:left="25" w:firstLine="472"/>
        <w:rPr>
          <w:rFonts w:hAnsi="宋体"/>
          <w:color w:val="auto"/>
          <w:sz w:val="24"/>
          <w:szCs w:val="24"/>
          <w:highlight w:val="none"/>
        </w:rPr>
      </w:pPr>
      <w:r>
        <w:rPr>
          <w:rFonts w:hint="eastAsia" w:hAnsi="宋体"/>
          <w:color w:val="auto"/>
          <w:sz w:val="24"/>
          <w:szCs w:val="24"/>
          <w:highlight w:val="none"/>
        </w:rPr>
        <w:t>签字（签章）：                                       公章：</w:t>
      </w:r>
    </w:p>
    <w:p w14:paraId="2E82C4DC">
      <w:pPr>
        <w:pStyle w:val="25"/>
        <w:spacing w:line="360" w:lineRule="auto"/>
        <w:ind w:left="25" w:firstLine="352"/>
        <w:rPr>
          <w:rFonts w:hAnsi="宋体"/>
          <w:color w:val="auto"/>
          <w:sz w:val="24"/>
          <w:szCs w:val="24"/>
          <w:highlight w:val="none"/>
        </w:rPr>
      </w:pPr>
    </w:p>
    <w:p w14:paraId="30C02B60">
      <w:pPr>
        <w:pStyle w:val="25"/>
        <w:spacing w:line="360" w:lineRule="auto"/>
        <w:ind w:left="25" w:firstLine="472"/>
        <w:rPr>
          <w:rFonts w:hAnsi="宋体"/>
          <w:color w:val="auto"/>
          <w:sz w:val="24"/>
          <w:szCs w:val="24"/>
          <w:highlight w:val="none"/>
        </w:rPr>
      </w:pPr>
      <w:r>
        <w:rPr>
          <w:rFonts w:hint="eastAsia" w:hAnsi="宋体"/>
          <w:color w:val="auto"/>
          <w:sz w:val="24"/>
          <w:szCs w:val="24"/>
          <w:highlight w:val="none"/>
        </w:rPr>
        <w:t>日期：</w:t>
      </w:r>
    </w:p>
    <w:p w14:paraId="59EF6064">
      <w:pPr>
        <w:pStyle w:val="25"/>
        <w:spacing w:line="360" w:lineRule="auto"/>
        <w:rPr>
          <w:rFonts w:hAnsi="宋体"/>
          <w:b/>
          <w:color w:val="auto"/>
          <w:sz w:val="24"/>
          <w:szCs w:val="24"/>
          <w:highlight w:val="none"/>
        </w:rPr>
      </w:pPr>
    </w:p>
    <w:p w14:paraId="0BC53C85">
      <w:pPr>
        <w:pStyle w:val="25"/>
        <w:spacing w:line="360" w:lineRule="auto"/>
        <w:rPr>
          <w:rFonts w:hAnsi="宋体"/>
          <w:b/>
          <w:color w:val="auto"/>
          <w:sz w:val="24"/>
          <w:szCs w:val="24"/>
          <w:highlight w:val="none"/>
        </w:rPr>
      </w:pPr>
      <w:r>
        <w:rPr>
          <w:rFonts w:hint="eastAsia" w:hAnsi="宋体"/>
          <w:b/>
          <w:color w:val="auto"/>
          <w:sz w:val="24"/>
          <w:szCs w:val="24"/>
          <w:highlight w:val="none"/>
        </w:rPr>
        <w:t>说明：</w:t>
      </w:r>
    </w:p>
    <w:p w14:paraId="64028685">
      <w:pPr>
        <w:pStyle w:val="25"/>
        <w:spacing w:line="360" w:lineRule="auto"/>
        <w:ind w:left="25" w:firstLine="354"/>
        <w:rPr>
          <w:rFonts w:hAnsi="宋体"/>
          <w:b/>
          <w:bCs/>
          <w:color w:val="auto"/>
          <w:sz w:val="24"/>
          <w:szCs w:val="24"/>
          <w:highlight w:val="none"/>
        </w:rPr>
      </w:pPr>
      <w:r>
        <w:rPr>
          <w:rFonts w:hint="eastAsia" w:hAnsi="宋体"/>
          <w:b/>
          <w:color w:val="auto"/>
          <w:sz w:val="24"/>
          <w:szCs w:val="24"/>
          <w:highlight w:val="none"/>
        </w:rPr>
        <w:t>1.供应商提出质疑时，应提交质疑函和必要的证明材料</w:t>
      </w:r>
      <w:r>
        <w:rPr>
          <w:rFonts w:hint="eastAsia" w:hAnsi="宋体"/>
          <w:b/>
          <w:bCs/>
          <w:color w:val="auto"/>
          <w:sz w:val="24"/>
          <w:szCs w:val="24"/>
          <w:highlight w:val="none"/>
        </w:rPr>
        <w:t>。</w:t>
      </w:r>
    </w:p>
    <w:p w14:paraId="77859B06">
      <w:pPr>
        <w:pStyle w:val="25"/>
        <w:spacing w:line="360" w:lineRule="auto"/>
        <w:ind w:left="25" w:firstLine="354"/>
        <w:rPr>
          <w:rFonts w:hAnsi="宋体"/>
          <w:b/>
          <w:color w:val="auto"/>
          <w:sz w:val="24"/>
          <w:szCs w:val="24"/>
          <w:highlight w:val="none"/>
        </w:rPr>
      </w:pPr>
      <w:r>
        <w:rPr>
          <w:rFonts w:hint="eastAsia" w:hAnsi="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08A9AC0">
      <w:pPr>
        <w:pStyle w:val="25"/>
        <w:spacing w:line="360" w:lineRule="auto"/>
        <w:ind w:left="25" w:firstLine="354"/>
        <w:rPr>
          <w:rFonts w:hAnsi="宋体"/>
          <w:b/>
          <w:color w:val="auto"/>
          <w:sz w:val="24"/>
          <w:szCs w:val="24"/>
          <w:highlight w:val="none"/>
        </w:rPr>
      </w:pPr>
      <w:r>
        <w:rPr>
          <w:rFonts w:hint="eastAsia" w:hAnsi="宋体"/>
          <w:b/>
          <w:color w:val="auto"/>
          <w:sz w:val="24"/>
          <w:szCs w:val="24"/>
          <w:highlight w:val="none"/>
        </w:rPr>
        <w:t>3.质疑函的质疑事项应具体、明确，并有必要的事实依据和法律依据。</w:t>
      </w:r>
    </w:p>
    <w:p w14:paraId="6F7297CC">
      <w:pPr>
        <w:pStyle w:val="25"/>
        <w:spacing w:line="360" w:lineRule="auto"/>
        <w:ind w:left="25" w:firstLine="354"/>
        <w:rPr>
          <w:rFonts w:hAnsi="宋体"/>
          <w:b/>
          <w:color w:val="auto"/>
          <w:sz w:val="24"/>
          <w:szCs w:val="24"/>
          <w:highlight w:val="none"/>
        </w:rPr>
      </w:pPr>
      <w:r>
        <w:rPr>
          <w:rFonts w:hint="eastAsia" w:hAnsi="宋体"/>
          <w:b/>
          <w:color w:val="auto"/>
          <w:sz w:val="24"/>
          <w:szCs w:val="24"/>
          <w:highlight w:val="none"/>
        </w:rPr>
        <w:t>4.质疑函的质疑请求应与质疑事项相关。</w:t>
      </w:r>
    </w:p>
    <w:p w14:paraId="23AFA282">
      <w:pPr>
        <w:pStyle w:val="25"/>
        <w:spacing w:line="360" w:lineRule="auto"/>
        <w:ind w:left="25" w:firstLine="354"/>
        <w:rPr>
          <w:rFonts w:hAnsi="宋体"/>
          <w:b/>
          <w:color w:val="auto"/>
          <w:highlight w:val="none"/>
        </w:rPr>
      </w:pPr>
      <w:r>
        <w:rPr>
          <w:rFonts w:hint="eastAsia" w:hAnsi="宋体"/>
          <w:b/>
          <w:color w:val="auto"/>
          <w:sz w:val="24"/>
          <w:szCs w:val="24"/>
          <w:highlight w:val="none"/>
        </w:rPr>
        <w:t>5.质疑供应商为法人或者其他组织的，质疑函应由法定代表人、主要负责人，或者其授权代表签字或者盖章，并加盖公章。</w:t>
      </w:r>
    </w:p>
    <w:p w14:paraId="05D980B0">
      <w:pPr>
        <w:pStyle w:val="25"/>
        <w:rPr>
          <w:b/>
          <w:color w:val="auto"/>
          <w:sz w:val="24"/>
          <w:szCs w:val="24"/>
          <w:highlight w:val="none"/>
        </w:rPr>
      </w:pPr>
    </w:p>
    <w:p w14:paraId="534F5131">
      <w:pPr>
        <w:spacing w:line="360" w:lineRule="auto"/>
        <w:jc w:val="left"/>
        <w:rPr>
          <w:rFonts w:ascii="宋体" w:hAnsi="宋体"/>
          <w:b/>
          <w:bCs/>
          <w:color w:val="auto"/>
          <w:sz w:val="32"/>
          <w:szCs w:val="32"/>
          <w:highlight w:val="none"/>
        </w:rPr>
      </w:pPr>
      <w:r>
        <w:rPr>
          <w:rFonts w:eastAsia="隶书"/>
          <w:color w:val="auto"/>
          <w:sz w:val="44"/>
          <w:highlight w:val="none"/>
        </w:rPr>
        <w:br w:type="page" w:clear="all"/>
      </w:r>
      <w:r>
        <w:rPr>
          <w:rFonts w:hint="eastAsia" w:ascii="宋体" w:hAnsi="宋体" w:eastAsia="隶书"/>
          <w:b/>
          <w:color w:val="auto"/>
          <w:sz w:val="24"/>
          <w:highlight w:val="none"/>
        </w:rPr>
        <w:t>5</w:t>
      </w:r>
      <w:r>
        <w:rPr>
          <w:rFonts w:hint="eastAsia" w:ascii="宋体" w:hAnsi="宋体"/>
          <w:b/>
          <w:color w:val="auto"/>
          <w:sz w:val="24"/>
          <w:highlight w:val="none"/>
        </w:rPr>
        <w:t>.投诉书（格式）</w:t>
      </w:r>
    </w:p>
    <w:p w14:paraId="5DA258DF">
      <w:pPr>
        <w:spacing w:line="360" w:lineRule="auto"/>
        <w:jc w:val="center"/>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投诉书（格式）</w:t>
      </w:r>
    </w:p>
    <w:p w14:paraId="35CF801C">
      <w:pPr>
        <w:pStyle w:val="25"/>
        <w:spacing w:line="360" w:lineRule="auto"/>
        <w:ind w:firstLine="482"/>
        <w:rPr>
          <w:rFonts w:hAnsi="宋体"/>
          <w:b/>
          <w:bCs/>
          <w:color w:val="auto"/>
          <w:sz w:val="24"/>
          <w:szCs w:val="24"/>
          <w:highlight w:val="none"/>
        </w:rPr>
      </w:pPr>
      <w:r>
        <w:rPr>
          <w:rFonts w:hint="eastAsia" w:hAnsi="宋体"/>
          <w:b/>
          <w:bCs/>
          <w:color w:val="auto"/>
          <w:sz w:val="24"/>
          <w:szCs w:val="24"/>
          <w:highlight w:val="none"/>
        </w:rPr>
        <w:t>一、投诉相关主体基本情况：</w:t>
      </w:r>
    </w:p>
    <w:p w14:paraId="6DB26774">
      <w:pPr>
        <w:pStyle w:val="25"/>
        <w:spacing w:line="360" w:lineRule="auto"/>
        <w:ind w:firstLine="480"/>
        <w:jc w:val="left"/>
        <w:rPr>
          <w:rFonts w:hAnsi="宋体"/>
          <w:bCs/>
          <w:color w:val="auto"/>
          <w:sz w:val="24"/>
          <w:szCs w:val="24"/>
          <w:highlight w:val="none"/>
          <w:u w:val="single"/>
        </w:rPr>
      </w:pPr>
      <w:r>
        <w:rPr>
          <w:rFonts w:hint="eastAsia" w:hAnsi="宋体"/>
          <w:bCs/>
          <w:color w:val="auto"/>
          <w:sz w:val="24"/>
          <w:szCs w:val="24"/>
          <w:highlight w:val="none"/>
        </w:rPr>
        <w:t>投标人：</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39A1D8C8">
      <w:pPr>
        <w:pStyle w:val="25"/>
        <w:spacing w:line="360" w:lineRule="auto"/>
        <w:ind w:firstLine="480"/>
        <w:jc w:val="left"/>
        <w:rPr>
          <w:rFonts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3600D3E2">
      <w:pPr>
        <w:pStyle w:val="25"/>
        <w:spacing w:line="360" w:lineRule="auto"/>
        <w:ind w:firstLine="480"/>
        <w:jc w:val="left"/>
        <w:rPr>
          <w:rFonts w:hAnsi="宋体"/>
          <w:bCs/>
          <w:color w:val="auto"/>
          <w:sz w:val="24"/>
          <w:szCs w:val="24"/>
          <w:highlight w:val="none"/>
          <w:u w:val="single"/>
        </w:rPr>
      </w:pPr>
      <w:r>
        <w:rPr>
          <w:rFonts w:hint="eastAsia" w:hAnsi="宋体"/>
          <w:bCs/>
          <w:color w:val="auto"/>
          <w:sz w:val="24"/>
          <w:szCs w:val="24"/>
          <w:highlight w:val="none"/>
        </w:rPr>
        <w:t>法定代表人/主要负责人：</w:t>
      </w:r>
      <w:r>
        <w:rPr>
          <w:rFonts w:hint="eastAsia" w:hAnsi="宋体"/>
          <w:bCs/>
          <w:color w:val="auto"/>
          <w:sz w:val="24"/>
          <w:szCs w:val="24"/>
          <w:highlight w:val="none"/>
          <w:u w:val="single"/>
        </w:rPr>
        <w:t xml:space="preserve">                                                         </w:t>
      </w:r>
    </w:p>
    <w:p w14:paraId="4DB540F0">
      <w:pPr>
        <w:pStyle w:val="25"/>
        <w:spacing w:line="360" w:lineRule="auto"/>
        <w:ind w:firstLine="480"/>
        <w:jc w:val="left"/>
        <w:rPr>
          <w:rFonts w:hAnsi="宋体"/>
          <w:bCs/>
          <w:color w:val="auto"/>
          <w:sz w:val="24"/>
          <w:szCs w:val="24"/>
          <w:highlight w:val="none"/>
        </w:rPr>
      </w:pPr>
      <w:r>
        <w:rPr>
          <w:rFonts w:hAnsi="宋体"/>
          <w:bCs/>
          <w:color w:val="auto"/>
          <w:sz w:val="24"/>
          <w:szCs w:val="24"/>
          <w:highlight w:val="none"/>
        </w:rPr>
        <w:t>联系电话</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784949CF">
      <w:pPr>
        <w:pStyle w:val="25"/>
        <w:spacing w:line="360" w:lineRule="auto"/>
        <w:ind w:firstLine="480"/>
        <w:jc w:val="left"/>
        <w:rPr>
          <w:rFonts w:hAnsi="宋体"/>
          <w:bCs/>
          <w:color w:val="auto"/>
          <w:sz w:val="24"/>
          <w:szCs w:val="24"/>
          <w:highlight w:val="none"/>
          <w:u w:val="single"/>
        </w:rPr>
      </w:pPr>
      <w:r>
        <w:rPr>
          <w:rFonts w:hint="eastAsia" w:hAnsi="宋体"/>
          <w:bCs/>
          <w:color w:val="auto"/>
          <w:sz w:val="24"/>
          <w:szCs w:val="24"/>
          <w:highlight w:val="none"/>
        </w:rPr>
        <w:t>授权代表：</w:t>
      </w:r>
      <w:r>
        <w:rPr>
          <w:rFonts w:hint="eastAsia" w:hAnsi="宋体"/>
          <w:bCs/>
          <w:color w:val="auto"/>
          <w:sz w:val="24"/>
          <w:szCs w:val="24"/>
          <w:highlight w:val="none"/>
          <w:u w:val="single"/>
        </w:rPr>
        <w:t xml:space="preserve">                                         </w:t>
      </w: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p>
    <w:p w14:paraId="2589CFED">
      <w:pPr>
        <w:pStyle w:val="25"/>
        <w:spacing w:line="360" w:lineRule="auto"/>
        <w:ind w:firstLine="480"/>
        <w:jc w:val="left"/>
        <w:rPr>
          <w:rFonts w:hAnsi="宋体"/>
          <w:bCs/>
          <w:color w:val="auto"/>
          <w:sz w:val="24"/>
          <w:szCs w:val="24"/>
          <w:highlight w:val="none"/>
          <w:u w:val="singl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63F3523A">
      <w:pPr>
        <w:pStyle w:val="25"/>
        <w:spacing w:line="360" w:lineRule="auto"/>
        <w:ind w:firstLine="480"/>
        <w:jc w:val="left"/>
        <w:rPr>
          <w:rFonts w:hAnsi="宋体"/>
          <w:bCs/>
          <w:color w:val="auto"/>
          <w:sz w:val="24"/>
          <w:szCs w:val="24"/>
          <w:highlight w:val="none"/>
        </w:rPr>
      </w:pP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1F42A543">
      <w:pPr>
        <w:pStyle w:val="25"/>
        <w:spacing w:line="360" w:lineRule="auto"/>
        <w:ind w:firstLine="480"/>
        <w:jc w:val="left"/>
        <w:rPr>
          <w:rFonts w:hAnsi="宋体"/>
          <w:bCs/>
          <w:color w:val="auto"/>
          <w:sz w:val="24"/>
          <w:szCs w:val="24"/>
          <w:highlight w:val="none"/>
        </w:rPr>
      </w:pPr>
      <w:r>
        <w:rPr>
          <w:rFonts w:hint="eastAsia" w:hAnsi="宋体"/>
          <w:bCs/>
          <w:color w:val="auto"/>
          <w:sz w:val="24"/>
          <w:szCs w:val="24"/>
          <w:highlight w:val="none"/>
        </w:rPr>
        <w:t>被投诉人1：</w:t>
      </w:r>
    </w:p>
    <w:p w14:paraId="2621B7F7">
      <w:pPr>
        <w:pStyle w:val="25"/>
        <w:spacing w:line="360" w:lineRule="auto"/>
        <w:ind w:firstLine="480"/>
        <w:jc w:val="left"/>
        <w:rPr>
          <w:rFonts w:hAnsi="宋体"/>
          <w:bCs/>
          <w:color w:val="auto"/>
          <w:sz w:val="24"/>
          <w:szCs w:val="24"/>
          <w:highlight w:val="none"/>
          <w:u w:val="single"/>
        </w:rPr>
      </w:pPr>
      <w:r>
        <w:rPr>
          <w:rFonts w:hint="eastAsia" w:hAnsi="宋体"/>
          <w:bCs/>
          <w:color w:val="auto"/>
          <w:sz w:val="24"/>
          <w:szCs w:val="24"/>
          <w:highlight w:val="none"/>
        </w:rPr>
        <w:t>地址：</w:t>
      </w:r>
      <w:r>
        <w:rPr>
          <w:rFonts w:hint="eastAsia" w:hAnsi="宋体"/>
          <w:bCs/>
          <w:color w:val="auto"/>
          <w:sz w:val="24"/>
          <w:szCs w:val="24"/>
          <w:highlight w:val="none"/>
          <w:u w:val="single"/>
        </w:rPr>
        <w:t xml:space="preserve">                                                            </w:t>
      </w:r>
    </w:p>
    <w:p w14:paraId="4CBD7F21">
      <w:pPr>
        <w:pStyle w:val="25"/>
        <w:spacing w:line="360" w:lineRule="auto"/>
        <w:ind w:firstLine="480"/>
        <w:jc w:val="left"/>
        <w:rPr>
          <w:rFonts w:hAnsi="宋体"/>
          <w:bCs/>
          <w:color w:val="auto"/>
          <w:sz w:val="24"/>
          <w:szCs w:val="24"/>
          <w:highlight w:val="none"/>
        </w:rPr>
      </w:pP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102210A6">
      <w:pPr>
        <w:pStyle w:val="25"/>
        <w:spacing w:line="360" w:lineRule="auto"/>
        <w:ind w:firstLine="480"/>
        <w:jc w:val="left"/>
        <w:rPr>
          <w:rFonts w:hAnsi="宋体"/>
          <w:bCs/>
          <w:color w:val="auto"/>
          <w:sz w:val="24"/>
          <w:szCs w:val="24"/>
          <w:highlight w:val="none"/>
          <w:u w:val="single"/>
        </w:rPr>
      </w:pPr>
      <w:r>
        <w:rPr>
          <w:rFonts w:hint="eastAsia" w:hAnsi="宋体"/>
          <w:bCs/>
          <w:color w:val="auto"/>
          <w:sz w:val="24"/>
          <w:szCs w:val="24"/>
          <w:highlight w:val="none"/>
        </w:rPr>
        <w:t>联系人：</w:t>
      </w:r>
      <w:r>
        <w:rPr>
          <w:rFonts w:hint="eastAsia" w:hAnsi="宋体"/>
          <w:bCs/>
          <w:color w:val="auto"/>
          <w:sz w:val="24"/>
          <w:szCs w:val="24"/>
          <w:highlight w:val="none"/>
          <w:u w:val="single"/>
        </w:rPr>
        <w:t xml:space="preserve">                            </w:t>
      </w: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p>
    <w:p w14:paraId="770910AC">
      <w:pPr>
        <w:pStyle w:val="25"/>
        <w:spacing w:line="360" w:lineRule="auto"/>
        <w:ind w:firstLine="480"/>
        <w:jc w:val="left"/>
        <w:rPr>
          <w:rFonts w:hAnsi="宋体"/>
          <w:bCs/>
          <w:color w:val="auto"/>
          <w:sz w:val="24"/>
          <w:szCs w:val="24"/>
          <w:highlight w:val="none"/>
        </w:rPr>
      </w:pPr>
      <w:r>
        <w:rPr>
          <w:rFonts w:hint="eastAsia" w:hAnsi="宋体"/>
          <w:bCs/>
          <w:color w:val="auto"/>
          <w:sz w:val="24"/>
          <w:szCs w:val="24"/>
          <w:highlight w:val="none"/>
        </w:rPr>
        <w:t>被投诉人2：</w:t>
      </w:r>
    </w:p>
    <w:p w14:paraId="0B5CC464">
      <w:pPr>
        <w:pStyle w:val="25"/>
        <w:spacing w:line="360" w:lineRule="auto"/>
        <w:ind w:firstLine="480"/>
        <w:jc w:val="left"/>
        <w:rPr>
          <w:rFonts w:hAnsi="宋体"/>
          <w:bCs/>
          <w:color w:val="auto"/>
          <w:sz w:val="24"/>
          <w:szCs w:val="24"/>
          <w:highlight w:val="none"/>
        </w:rPr>
      </w:pPr>
      <w:r>
        <w:rPr>
          <w:rFonts w:hAnsi="宋体"/>
          <w:bCs/>
          <w:color w:val="auto"/>
          <w:sz w:val="24"/>
          <w:szCs w:val="24"/>
          <w:highlight w:val="none"/>
        </w:rPr>
        <w:t>……</w:t>
      </w:r>
    </w:p>
    <w:p w14:paraId="6715CD21">
      <w:pPr>
        <w:pStyle w:val="25"/>
        <w:spacing w:line="360" w:lineRule="auto"/>
        <w:ind w:firstLine="480"/>
        <w:jc w:val="left"/>
        <w:rPr>
          <w:rFonts w:hAnsi="宋体"/>
          <w:bCs/>
          <w:color w:val="auto"/>
          <w:sz w:val="24"/>
          <w:szCs w:val="24"/>
          <w:highlight w:val="none"/>
          <w:u w:val="single"/>
        </w:rPr>
      </w:pPr>
      <w:r>
        <w:rPr>
          <w:rFonts w:hint="eastAsia" w:hAnsi="宋体"/>
          <w:bCs/>
          <w:color w:val="auto"/>
          <w:sz w:val="24"/>
          <w:szCs w:val="24"/>
          <w:highlight w:val="none"/>
        </w:rPr>
        <w:t>相关供应商：</w:t>
      </w:r>
      <w:r>
        <w:rPr>
          <w:rFonts w:hint="eastAsia" w:hAnsi="宋体"/>
          <w:bCs/>
          <w:color w:val="auto"/>
          <w:sz w:val="24"/>
          <w:szCs w:val="24"/>
          <w:highlight w:val="none"/>
          <w:u w:val="single"/>
        </w:rPr>
        <w:t xml:space="preserve">                                                                       </w:t>
      </w:r>
    </w:p>
    <w:p w14:paraId="7B5ADD75">
      <w:pPr>
        <w:pStyle w:val="25"/>
        <w:spacing w:line="360" w:lineRule="auto"/>
        <w:ind w:firstLine="480"/>
        <w:jc w:val="left"/>
        <w:rPr>
          <w:rFonts w:hAnsi="宋体"/>
          <w:bCs/>
          <w:color w:val="auto"/>
          <w:sz w:val="24"/>
          <w:szCs w:val="24"/>
          <w:highlight w:val="none"/>
          <w:u w:val="singl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0D2A10FE">
      <w:pPr>
        <w:pStyle w:val="25"/>
        <w:spacing w:line="360" w:lineRule="auto"/>
        <w:ind w:firstLine="480"/>
        <w:jc w:val="left"/>
        <w:rPr>
          <w:rFonts w:hAnsi="宋体"/>
          <w:bCs/>
          <w:color w:val="auto"/>
          <w:sz w:val="24"/>
          <w:szCs w:val="24"/>
          <w:highlight w:val="none"/>
        </w:rPr>
      </w:pPr>
      <w:r>
        <w:rPr>
          <w:rFonts w:hint="eastAsia" w:hAnsi="宋体"/>
          <w:bCs/>
          <w:color w:val="auto"/>
          <w:sz w:val="24"/>
          <w:szCs w:val="24"/>
          <w:highlight w:val="none"/>
        </w:rPr>
        <w:t>联系人：</w:t>
      </w:r>
      <w:r>
        <w:rPr>
          <w:rFonts w:hint="eastAsia" w:hAnsi="宋体"/>
          <w:bCs/>
          <w:color w:val="auto"/>
          <w:sz w:val="24"/>
          <w:szCs w:val="24"/>
          <w:highlight w:val="none"/>
          <w:u w:val="single"/>
        </w:rPr>
        <w:t xml:space="preserve">                                            </w:t>
      </w: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7A2FDF34">
      <w:pPr>
        <w:pStyle w:val="25"/>
        <w:spacing w:line="360" w:lineRule="auto"/>
        <w:ind w:firstLine="482"/>
        <w:rPr>
          <w:rFonts w:hAnsi="宋体"/>
          <w:b/>
          <w:bCs/>
          <w:color w:val="auto"/>
          <w:sz w:val="24"/>
          <w:szCs w:val="24"/>
          <w:highlight w:val="none"/>
        </w:rPr>
      </w:pPr>
      <w:r>
        <w:rPr>
          <w:rFonts w:hint="eastAsia" w:hAnsi="宋体"/>
          <w:b/>
          <w:bCs/>
          <w:color w:val="auto"/>
          <w:sz w:val="24"/>
          <w:szCs w:val="24"/>
          <w:highlight w:val="none"/>
        </w:rPr>
        <w:t>二、投诉项目基本情况：</w:t>
      </w:r>
    </w:p>
    <w:p w14:paraId="48D06B04">
      <w:pPr>
        <w:pStyle w:val="25"/>
        <w:spacing w:line="360" w:lineRule="auto"/>
        <w:ind w:left="25" w:firstLine="472"/>
        <w:rPr>
          <w:rFonts w:hAnsi="宋体"/>
          <w:color w:val="auto"/>
          <w:sz w:val="24"/>
          <w:szCs w:val="24"/>
          <w:highlight w:val="none"/>
        </w:rPr>
      </w:pPr>
      <w:r>
        <w:rPr>
          <w:rFonts w:hint="eastAsia" w:hAnsi="宋体"/>
          <w:color w:val="auto"/>
          <w:sz w:val="24"/>
          <w:szCs w:val="24"/>
          <w:highlight w:val="none"/>
        </w:rPr>
        <w:t>招标项目的名称：</w:t>
      </w:r>
      <w:r>
        <w:rPr>
          <w:rFonts w:hint="eastAsia" w:hAnsi="宋体"/>
          <w:bCs/>
          <w:color w:val="auto"/>
          <w:sz w:val="24"/>
          <w:szCs w:val="24"/>
          <w:highlight w:val="none"/>
          <w:u w:val="single"/>
        </w:rPr>
        <w:t xml:space="preserve">                                                                   </w:t>
      </w:r>
    </w:p>
    <w:p w14:paraId="47BD8B6D">
      <w:pPr>
        <w:pStyle w:val="25"/>
        <w:spacing w:line="360" w:lineRule="auto"/>
        <w:ind w:left="25" w:firstLine="472"/>
        <w:rPr>
          <w:rFonts w:hAnsi="宋体"/>
          <w:color w:val="auto"/>
          <w:sz w:val="24"/>
          <w:szCs w:val="24"/>
          <w:highlight w:val="none"/>
        </w:rPr>
      </w:pPr>
      <w:r>
        <w:rPr>
          <w:rFonts w:hint="eastAsia" w:hAnsi="宋体"/>
          <w:color w:val="auto"/>
          <w:sz w:val="24"/>
          <w:szCs w:val="24"/>
          <w:highlight w:val="none"/>
        </w:rPr>
        <w:t>招标项目的编号：</w:t>
      </w:r>
      <w:r>
        <w:rPr>
          <w:rFonts w:hint="eastAsia" w:hAnsi="宋体"/>
          <w:bCs/>
          <w:color w:val="auto"/>
          <w:sz w:val="24"/>
          <w:szCs w:val="24"/>
          <w:highlight w:val="none"/>
          <w:u w:val="single"/>
        </w:rPr>
        <w:t xml:space="preserve">                                          </w:t>
      </w:r>
    </w:p>
    <w:p w14:paraId="0AFA07C1">
      <w:pPr>
        <w:pStyle w:val="25"/>
        <w:spacing w:line="360" w:lineRule="auto"/>
        <w:ind w:left="25" w:firstLine="472"/>
        <w:rPr>
          <w:rFonts w:hAnsi="宋体"/>
          <w:bCs/>
          <w:color w:val="auto"/>
          <w:sz w:val="24"/>
          <w:szCs w:val="24"/>
          <w:highlight w:val="none"/>
          <w:u w:val="single"/>
        </w:rPr>
      </w:pPr>
      <w:r>
        <w:rPr>
          <w:rFonts w:hint="eastAsia" w:hAnsi="宋体"/>
          <w:color w:val="auto"/>
          <w:sz w:val="24"/>
          <w:szCs w:val="24"/>
          <w:highlight w:val="none"/>
        </w:rPr>
        <w:t>采购人名称：</w:t>
      </w:r>
      <w:r>
        <w:rPr>
          <w:rFonts w:hint="eastAsia" w:hAnsi="宋体"/>
          <w:bCs/>
          <w:color w:val="auto"/>
          <w:sz w:val="24"/>
          <w:szCs w:val="24"/>
          <w:highlight w:val="none"/>
          <w:u w:val="single"/>
        </w:rPr>
        <w:t xml:space="preserve">                                                                        </w:t>
      </w:r>
    </w:p>
    <w:p w14:paraId="484F1C27">
      <w:pPr>
        <w:pStyle w:val="25"/>
        <w:spacing w:line="360" w:lineRule="auto"/>
        <w:ind w:left="25" w:firstLine="472"/>
        <w:rPr>
          <w:rFonts w:hAnsi="宋体"/>
          <w:bCs/>
          <w:color w:val="auto"/>
          <w:sz w:val="24"/>
          <w:szCs w:val="24"/>
          <w:highlight w:val="none"/>
          <w:u w:val="single"/>
        </w:rPr>
      </w:pPr>
      <w:r>
        <w:rPr>
          <w:rFonts w:hint="eastAsia" w:hAnsi="宋体"/>
          <w:color w:val="auto"/>
          <w:sz w:val="24"/>
          <w:szCs w:val="24"/>
          <w:highlight w:val="none"/>
        </w:rPr>
        <w:t>代理机构名称：</w:t>
      </w:r>
      <w:r>
        <w:rPr>
          <w:rFonts w:hint="eastAsia" w:hAnsi="宋体"/>
          <w:bCs/>
          <w:color w:val="auto"/>
          <w:sz w:val="24"/>
          <w:szCs w:val="24"/>
          <w:highlight w:val="none"/>
          <w:u w:val="single"/>
        </w:rPr>
        <w:t xml:space="preserve">                                                                      </w:t>
      </w:r>
    </w:p>
    <w:p w14:paraId="0EB152B2">
      <w:pPr>
        <w:pStyle w:val="25"/>
        <w:spacing w:line="360" w:lineRule="auto"/>
        <w:ind w:left="25" w:firstLine="472"/>
        <w:rPr>
          <w:rFonts w:hAnsi="宋体"/>
          <w:bCs/>
          <w:color w:val="auto"/>
          <w:sz w:val="24"/>
          <w:szCs w:val="24"/>
          <w:highlight w:val="none"/>
          <w:u w:val="single"/>
        </w:rPr>
      </w:pPr>
      <w:r>
        <w:rPr>
          <w:rFonts w:hint="eastAsia" w:hAnsi="宋体"/>
          <w:color w:val="auto"/>
          <w:sz w:val="24"/>
          <w:szCs w:val="24"/>
          <w:highlight w:val="none"/>
        </w:rPr>
        <w:t>招标</w:t>
      </w:r>
      <w:r>
        <w:rPr>
          <w:rFonts w:hint="eastAsia" w:hAnsi="宋体"/>
          <w:bCs/>
          <w:color w:val="auto"/>
          <w:sz w:val="24"/>
          <w:szCs w:val="24"/>
          <w:highlight w:val="none"/>
        </w:rPr>
        <w:t>文件公告：</w:t>
      </w:r>
      <w:r>
        <w:rPr>
          <w:rFonts w:hint="eastAsia" w:hAnsi="宋体"/>
          <w:bCs/>
          <w:color w:val="auto"/>
          <w:sz w:val="24"/>
          <w:szCs w:val="24"/>
          <w:highlight w:val="none"/>
          <w:u w:val="single"/>
        </w:rPr>
        <w:t>是/否</w:t>
      </w:r>
      <w:r>
        <w:rPr>
          <w:rFonts w:hint="eastAsia" w:hAnsi="宋体"/>
          <w:bCs/>
          <w:color w:val="auto"/>
          <w:sz w:val="24"/>
          <w:szCs w:val="24"/>
          <w:highlight w:val="none"/>
        </w:rPr>
        <w:t>公告期限：</w:t>
      </w:r>
      <w:r>
        <w:rPr>
          <w:rFonts w:hint="eastAsia" w:hAnsi="宋体"/>
          <w:bCs/>
          <w:color w:val="auto"/>
          <w:sz w:val="24"/>
          <w:szCs w:val="24"/>
          <w:highlight w:val="none"/>
          <w:u w:val="single"/>
        </w:rPr>
        <w:t xml:space="preserve">                                                       </w:t>
      </w:r>
    </w:p>
    <w:p w14:paraId="7B763B3C">
      <w:pPr>
        <w:pStyle w:val="25"/>
        <w:spacing w:line="360" w:lineRule="auto"/>
        <w:ind w:left="25" w:firstLine="472"/>
        <w:rPr>
          <w:rFonts w:hAnsi="宋体"/>
          <w:b/>
          <w:color w:val="auto"/>
          <w:sz w:val="24"/>
          <w:szCs w:val="24"/>
          <w:highlight w:val="none"/>
        </w:rPr>
      </w:pPr>
      <w:r>
        <w:rPr>
          <w:rFonts w:hint="eastAsia" w:hAnsi="宋体"/>
          <w:color w:val="auto"/>
          <w:sz w:val="24"/>
          <w:szCs w:val="24"/>
          <w:highlight w:val="none"/>
        </w:rPr>
        <w:t>招标</w:t>
      </w:r>
      <w:r>
        <w:rPr>
          <w:rFonts w:hint="eastAsia" w:hAnsi="宋体"/>
          <w:bCs/>
          <w:color w:val="auto"/>
          <w:sz w:val="24"/>
          <w:szCs w:val="24"/>
          <w:highlight w:val="none"/>
        </w:rPr>
        <w:t>结果公告：</w:t>
      </w:r>
      <w:r>
        <w:rPr>
          <w:rFonts w:hint="eastAsia" w:hAnsi="宋体"/>
          <w:bCs/>
          <w:color w:val="auto"/>
          <w:sz w:val="24"/>
          <w:szCs w:val="24"/>
          <w:highlight w:val="none"/>
          <w:u w:val="single"/>
        </w:rPr>
        <w:t>是/否</w:t>
      </w:r>
      <w:r>
        <w:rPr>
          <w:rFonts w:hint="eastAsia" w:hAnsi="宋体"/>
          <w:bCs/>
          <w:color w:val="auto"/>
          <w:sz w:val="24"/>
          <w:szCs w:val="24"/>
          <w:highlight w:val="none"/>
        </w:rPr>
        <w:t>公告期限：</w:t>
      </w:r>
      <w:r>
        <w:rPr>
          <w:rFonts w:hint="eastAsia" w:hAnsi="宋体"/>
          <w:bCs/>
          <w:color w:val="auto"/>
          <w:sz w:val="24"/>
          <w:szCs w:val="24"/>
          <w:highlight w:val="none"/>
          <w:u w:val="single"/>
        </w:rPr>
        <w:t xml:space="preserve">                                                       </w:t>
      </w:r>
    </w:p>
    <w:p w14:paraId="4C7FF5FD">
      <w:pPr>
        <w:pStyle w:val="25"/>
        <w:spacing w:line="360" w:lineRule="auto"/>
        <w:ind w:left="25" w:firstLine="472"/>
        <w:rPr>
          <w:rFonts w:hAnsi="宋体"/>
          <w:b/>
          <w:color w:val="auto"/>
          <w:sz w:val="24"/>
          <w:szCs w:val="24"/>
          <w:highlight w:val="none"/>
        </w:rPr>
      </w:pPr>
      <w:r>
        <w:rPr>
          <w:rFonts w:hint="eastAsia" w:hAnsi="宋体"/>
          <w:b/>
          <w:color w:val="auto"/>
          <w:sz w:val="24"/>
          <w:szCs w:val="24"/>
          <w:highlight w:val="none"/>
        </w:rPr>
        <w:t>三、质疑基本情况</w:t>
      </w:r>
    </w:p>
    <w:p w14:paraId="09349D6B">
      <w:pPr>
        <w:pStyle w:val="25"/>
        <w:spacing w:line="360" w:lineRule="auto"/>
        <w:ind w:left="25" w:firstLine="480"/>
        <w:rPr>
          <w:rFonts w:hAnsi="宋体"/>
          <w:color w:val="auto"/>
          <w:sz w:val="24"/>
          <w:szCs w:val="24"/>
          <w:highlight w:val="none"/>
        </w:rPr>
      </w:pPr>
      <w:r>
        <w:rPr>
          <w:rFonts w:hint="eastAsia" w:hAnsi="宋体"/>
          <w:color w:val="auto"/>
          <w:sz w:val="24"/>
          <w:szCs w:val="24"/>
          <w:highlight w:val="none"/>
        </w:rPr>
        <w:t>投诉人于</w:t>
      </w:r>
      <w:r>
        <w:rPr>
          <w:rFonts w:hint="eastAsia" w:hAnsi="宋体"/>
          <w:color w:val="auto"/>
          <w:sz w:val="24"/>
          <w:szCs w:val="24"/>
          <w:highlight w:val="none"/>
          <w:u w:val="single"/>
        </w:rPr>
        <w:t xml:space="preserve">      </w:t>
      </w:r>
      <w:r>
        <w:rPr>
          <w:rFonts w:hint="eastAsia" w:hAnsi="宋体"/>
          <w:color w:val="auto"/>
          <w:sz w:val="24"/>
          <w:szCs w:val="24"/>
          <w:highlight w:val="none"/>
        </w:rPr>
        <w:t>年</w:t>
      </w:r>
      <w:r>
        <w:rPr>
          <w:rFonts w:hint="eastAsia" w:hAnsi="宋体"/>
          <w:color w:val="auto"/>
          <w:sz w:val="24"/>
          <w:szCs w:val="24"/>
          <w:highlight w:val="none"/>
          <w:u w:val="single"/>
        </w:rPr>
        <w:t xml:space="preserve">   </w:t>
      </w:r>
      <w:r>
        <w:rPr>
          <w:rFonts w:hint="eastAsia" w:hAnsi="宋体"/>
          <w:color w:val="auto"/>
          <w:sz w:val="24"/>
          <w:szCs w:val="24"/>
          <w:highlight w:val="none"/>
        </w:rPr>
        <w:t>月</w:t>
      </w:r>
      <w:r>
        <w:rPr>
          <w:rFonts w:hint="eastAsia" w:hAnsi="宋体"/>
          <w:color w:val="auto"/>
          <w:sz w:val="24"/>
          <w:szCs w:val="24"/>
          <w:highlight w:val="none"/>
          <w:u w:val="single"/>
        </w:rPr>
        <w:t xml:space="preserve">   </w:t>
      </w:r>
      <w:r>
        <w:rPr>
          <w:rFonts w:hint="eastAsia" w:hAnsi="宋体"/>
          <w:color w:val="auto"/>
          <w:sz w:val="24"/>
          <w:szCs w:val="24"/>
          <w:highlight w:val="none"/>
        </w:rPr>
        <w:t>日，向</w:t>
      </w:r>
      <w:r>
        <w:rPr>
          <w:rFonts w:hint="eastAsia" w:hAnsi="宋体"/>
          <w:color w:val="auto"/>
          <w:sz w:val="24"/>
          <w:szCs w:val="24"/>
          <w:highlight w:val="none"/>
          <w:u w:val="single"/>
        </w:rPr>
        <w:t xml:space="preserve">                                </w:t>
      </w:r>
      <w:r>
        <w:rPr>
          <w:rFonts w:hint="eastAsia" w:hAnsi="宋体"/>
          <w:color w:val="auto"/>
          <w:sz w:val="24"/>
          <w:szCs w:val="24"/>
          <w:highlight w:val="none"/>
        </w:rPr>
        <w:t>提出质疑，质疑事项为：</w:t>
      </w:r>
    </w:p>
    <w:p w14:paraId="27EE27C0">
      <w:pPr>
        <w:pStyle w:val="25"/>
        <w:spacing w:line="360" w:lineRule="auto"/>
        <w:ind w:firstLine="241"/>
        <w:rPr>
          <w:rFonts w:hAnsi="宋体"/>
          <w:bCs/>
          <w:color w:val="auto"/>
          <w:sz w:val="24"/>
          <w:szCs w:val="24"/>
          <w:highlight w:val="none"/>
          <w:u w:val="single"/>
        </w:rPr>
      </w:pPr>
      <w:r>
        <w:rPr>
          <w:rFonts w:hint="eastAsia" w:hAnsi="宋体"/>
          <w:color w:val="auto"/>
          <w:sz w:val="24"/>
          <w:szCs w:val="24"/>
          <w:highlight w:val="none"/>
        </w:rPr>
        <w:t xml:space="preserve">    </w:t>
      </w:r>
      <w:r>
        <w:rPr>
          <w:rFonts w:hint="eastAsia" w:hAnsi="宋体"/>
          <w:bCs/>
          <w:color w:val="auto"/>
          <w:sz w:val="24"/>
          <w:szCs w:val="24"/>
          <w:highlight w:val="none"/>
          <w:u w:val="single"/>
        </w:rPr>
        <w:t xml:space="preserve">                                                                                      </w:t>
      </w:r>
    </w:p>
    <w:p w14:paraId="62B452A8">
      <w:pPr>
        <w:pStyle w:val="25"/>
        <w:spacing w:line="360" w:lineRule="auto"/>
        <w:ind w:firstLine="241"/>
        <w:rPr>
          <w:rFonts w:hAnsi="宋体"/>
          <w:bCs/>
          <w:color w:val="auto"/>
          <w:sz w:val="24"/>
          <w:szCs w:val="24"/>
          <w:highlight w:val="none"/>
          <w:u w:val="single"/>
        </w:rPr>
      </w:pPr>
      <w:r>
        <w:rPr>
          <w:rFonts w:hint="eastAsia" w:hAnsi="宋体"/>
          <w:bCs/>
          <w:color w:val="auto"/>
          <w:sz w:val="24"/>
          <w:szCs w:val="24"/>
          <w:highlight w:val="none"/>
        </w:rPr>
        <w:t xml:space="preserve">    </w:t>
      </w:r>
      <w:r>
        <w:rPr>
          <w:rFonts w:hint="eastAsia" w:hAnsi="宋体"/>
          <w:bCs/>
          <w:color w:val="auto"/>
          <w:sz w:val="24"/>
          <w:szCs w:val="24"/>
          <w:highlight w:val="none"/>
          <w:u w:val="single"/>
        </w:rPr>
        <w:t xml:space="preserve">                                                                                      </w:t>
      </w:r>
    </w:p>
    <w:p w14:paraId="75B42C24">
      <w:pPr>
        <w:pStyle w:val="25"/>
        <w:spacing w:line="360" w:lineRule="auto"/>
        <w:ind w:firstLine="480"/>
        <w:rPr>
          <w:rFonts w:hAnsi="宋体"/>
          <w:color w:val="auto"/>
          <w:sz w:val="24"/>
          <w:szCs w:val="24"/>
          <w:highlight w:val="none"/>
        </w:rPr>
      </w:pPr>
      <w:r>
        <w:rPr>
          <w:rFonts w:hint="eastAsia" w:hAnsi="宋体"/>
          <w:bCs/>
          <w:color w:val="auto"/>
          <w:sz w:val="24"/>
          <w:szCs w:val="24"/>
          <w:highlight w:val="none"/>
          <w:u w:val="single"/>
        </w:rPr>
        <w:t>采购人/代理机构</w:t>
      </w:r>
      <w:r>
        <w:rPr>
          <w:rFonts w:hint="eastAsia" w:hAnsi="宋体"/>
          <w:bCs/>
          <w:color w:val="auto"/>
          <w:sz w:val="24"/>
          <w:szCs w:val="24"/>
          <w:highlight w:val="none"/>
        </w:rPr>
        <w:t>于</w:t>
      </w:r>
      <w:r>
        <w:rPr>
          <w:rFonts w:hint="eastAsia" w:hAnsi="宋体"/>
          <w:color w:val="auto"/>
          <w:sz w:val="24"/>
          <w:szCs w:val="24"/>
          <w:highlight w:val="none"/>
          <w:u w:val="single"/>
        </w:rPr>
        <w:t xml:space="preserve">      </w:t>
      </w:r>
      <w:r>
        <w:rPr>
          <w:rFonts w:hint="eastAsia" w:hAnsi="宋体"/>
          <w:color w:val="auto"/>
          <w:sz w:val="24"/>
          <w:szCs w:val="24"/>
          <w:highlight w:val="none"/>
        </w:rPr>
        <w:t>年</w:t>
      </w:r>
      <w:r>
        <w:rPr>
          <w:rFonts w:hint="eastAsia" w:hAnsi="宋体"/>
          <w:color w:val="auto"/>
          <w:sz w:val="24"/>
          <w:szCs w:val="24"/>
          <w:highlight w:val="none"/>
          <w:u w:val="single"/>
        </w:rPr>
        <w:t xml:space="preserve">   </w:t>
      </w:r>
      <w:r>
        <w:rPr>
          <w:rFonts w:hint="eastAsia" w:hAnsi="宋体"/>
          <w:color w:val="auto"/>
          <w:sz w:val="24"/>
          <w:szCs w:val="24"/>
          <w:highlight w:val="none"/>
        </w:rPr>
        <w:t>月</w:t>
      </w:r>
      <w:r>
        <w:rPr>
          <w:rFonts w:hint="eastAsia" w:hAnsi="宋体"/>
          <w:color w:val="auto"/>
          <w:sz w:val="24"/>
          <w:szCs w:val="24"/>
          <w:highlight w:val="none"/>
          <w:u w:val="single"/>
        </w:rPr>
        <w:t xml:space="preserve">   </w:t>
      </w:r>
      <w:r>
        <w:rPr>
          <w:rFonts w:hint="eastAsia" w:hAnsi="宋体"/>
          <w:color w:val="auto"/>
          <w:sz w:val="24"/>
          <w:szCs w:val="24"/>
          <w:highlight w:val="none"/>
        </w:rPr>
        <w:t>日，</w:t>
      </w:r>
      <w:r>
        <w:rPr>
          <w:rFonts w:hint="eastAsia" w:hAnsi="宋体"/>
          <w:bCs/>
          <w:color w:val="auto"/>
          <w:sz w:val="24"/>
          <w:szCs w:val="24"/>
          <w:highlight w:val="none"/>
        </w:rPr>
        <w:t xml:space="preserve">就质疑事项作出了答复/没有在法定期限内作出答复。                                                                                             </w:t>
      </w:r>
    </w:p>
    <w:p w14:paraId="41B4BA20">
      <w:pPr>
        <w:pStyle w:val="25"/>
        <w:spacing w:line="360" w:lineRule="auto"/>
        <w:ind w:left="25" w:firstLine="472"/>
        <w:rPr>
          <w:rFonts w:hAnsi="宋体"/>
          <w:b/>
          <w:color w:val="auto"/>
          <w:sz w:val="24"/>
          <w:szCs w:val="24"/>
          <w:highlight w:val="none"/>
        </w:rPr>
      </w:pPr>
      <w:r>
        <w:rPr>
          <w:rFonts w:hint="eastAsia" w:hAnsi="宋体"/>
          <w:b/>
          <w:color w:val="auto"/>
          <w:sz w:val="24"/>
          <w:szCs w:val="24"/>
          <w:highlight w:val="none"/>
        </w:rPr>
        <w:t>四、投诉事项具体内容</w:t>
      </w:r>
    </w:p>
    <w:p w14:paraId="13D2FAB0">
      <w:pPr>
        <w:pStyle w:val="25"/>
        <w:spacing w:line="360" w:lineRule="auto"/>
        <w:ind w:left="25" w:firstLine="472"/>
        <w:rPr>
          <w:rFonts w:hAnsi="宋体"/>
          <w:bCs/>
          <w:color w:val="auto"/>
          <w:sz w:val="24"/>
          <w:szCs w:val="24"/>
          <w:highlight w:val="none"/>
          <w:u w:val="single"/>
        </w:rPr>
      </w:pPr>
      <w:r>
        <w:rPr>
          <w:rFonts w:hint="eastAsia" w:hAnsi="宋体"/>
          <w:color w:val="auto"/>
          <w:sz w:val="24"/>
          <w:szCs w:val="24"/>
          <w:highlight w:val="none"/>
        </w:rPr>
        <w:t>投诉事项1：</w:t>
      </w:r>
      <w:r>
        <w:rPr>
          <w:rFonts w:hint="eastAsia" w:hAnsi="宋体"/>
          <w:bCs/>
          <w:color w:val="auto"/>
          <w:sz w:val="24"/>
          <w:szCs w:val="24"/>
          <w:highlight w:val="none"/>
          <w:u w:val="single"/>
        </w:rPr>
        <w:t xml:space="preserve">                                                                           </w:t>
      </w:r>
    </w:p>
    <w:p w14:paraId="3EAF5CE9">
      <w:pPr>
        <w:pStyle w:val="25"/>
        <w:spacing w:line="360" w:lineRule="auto"/>
        <w:ind w:firstLine="480"/>
        <w:rPr>
          <w:rFonts w:hAnsi="宋体"/>
          <w:bCs/>
          <w:color w:val="auto"/>
          <w:sz w:val="24"/>
          <w:szCs w:val="24"/>
          <w:highlight w:val="none"/>
          <w:u w:val="single"/>
        </w:rPr>
      </w:pPr>
      <w:r>
        <w:rPr>
          <w:rFonts w:hint="eastAsia" w:hAnsi="宋体"/>
          <w:bCs/>
          <w:color w:val="auto"/>
          <w:sz w:val="24"/>
          <w:szCs w:val="24"/>
          <w:highlight w:val="none"/>
        </w:rPr>
        <w:t>事实依据：</w:t>
      </w:r>
      <w:r>
        <w:rPr>
          <w:rFonts w:hint="eastAsia" w:hAnsi="宋体"/>
          <w:color w:val="auto"/>
          <w:sz w:val="24"/>
          <w:szCs w:val="24"/>
          <w:highlight w:val="none"/>
        </w:rPr>
        <w:t xml:space="preserve"> </w:t>
      </w:r>
      <w:r>
        <w:rPr>
          <w:rFonts w:hint="eastAsia" w:hAnsi="宋体"/>
          <w:bCs/>
          <w:color w:val="auto"/>
          <w:sz w:val="24"/>
          <w:szCs w:val="24"/>
          <w:highlight w:val="none"/>
          <w:u w:val="single"/>
        </w:rPr>
        <w:t xml:space="preserve">                                                                                      </w:t>
      </w:r>
    </w:p>
    <w:p w14:paraId="71325248">
      <w:pPr>
        <w:pStyle w:val="25"/>
        <w:spacing w:line="360" w:lineRule="auto"/>
        <w:ind w:left="25" w:firstLine="472"/>
        <w:rPr>
          <w:rFonts w:hAnsi="宋体"/>
          <w:color w:val="auto"/>
          <w:sz w:val="24"/>
          <w:szCs w:val="24"/>
          <w:highlight w:val="none"/>
        </w:rPr>
      </w:pPr>
      <w:r>
        <w:rPr>
          <w:rFonts w:hint="eastAsia" w:hAnsi="宋体"/>
          <w:bCs/>
          <w:color w:val="auto"/>
          <w:sz w:val="24"/>
          <w:szCs w:val="24"/>
          <w:highlight w:val="none"/>
          <w:u w:val="single"/>
        </w:rPr>
        <w:t xml:space="preserve">                                                                                        </w:t>
      </w:r>
    </w:p>
    <w:p w14:paraId="61DE2404">
      <w:pPr>
        <w:pStyle w:val="25"/>
        <w:spacing w:line="360" w:lineRule="auto"/>
        <w:ind w:firstLine="480"/>
        <w:rPr>
          <w:rFonts w:hAnsi="宋体"/>
          <w:bCs/>
          <w:color w:val="auto"/>
          <w:sz w:val="24"/>
          <w:szCs w:val="24"/>
          <w:highlight w:val="none"/>
          <w:u w:val="single"/>
        </w:rPr>
      </w:pPr>
      <w:r>
        <w:rPr>
          <w:rFonts w:hint="eastAsia" w:hAnsi="宋体"/>
          <w:bCs/>
          <w:color w:val="auto"/>
          <w:sz w:val="24"/>
          <w:szCs w:val="24"/>
          <w:highlight w:val="none"/>
        </w:rPr>
        <w:t>法律依据：</w:t>
      </w:r>
      <w:r>
        <w:rPr>
          <w:rFonts w:hint="eastAsia" w:hAnsi="宋体"/>
          <w:color w:val="auto"/>
          <w:sz w:val="24"/>
          <w:szCs w:val="24"/>
          <w:highlight w:val="none"/>
        </w:rPr>
        <w:t xml:space="preserve"> </w:t>
      </w:r>
      <w:r>
        <w:rPr>
          <w:rFonts w:hint="eastAsia" w:hAnsi="宋体"/>
          <w:bCs/>
          <w:color w:val="auto"/>
          <w:sz w:val="24"/>
          <w:szCs w:val="24"/>
          <w:highlight w:val="none"/>
          <w:u w:val="single"/>
        </w:rPr>
        <w:t xml:space="preserve">                                                                                      </w:t>
      </w:r>
    </w:p>
    <w:p w14:paraId="44587E03">
      <w:pPr>
        <w:pStyle w:val="25"/>
        <w:spacing w:line="360" w:lineRule="auto"/>
        <w:ind w:left="25" w:firstLine="352"/>
        <w:rPr>
          <w:rFonts w:hAnsi="宋体"/>
          <w:bCs/>
          <w:color w:val="auto"/>
          <w:sz w:val="24"/>
          <w:szCs w:val="24"/>
          <w:highlight w:val="none"/>
          <w:u w:val="single"/>
        </w:rPr>
      </w:pPr>
      <w:r>
        <w:rPr>
          <w:rFonts w:hint="eastAsia" w:hAnsi="宋体"/>
          <w:bCs/>
          <w:color w:val="auto"/>
          <w:sz w:val="24"/>
          <w:szCs w:val="24"/>
          <w:highlight w:val="none"/>
        </w:rPr>
        <w:t xml:space="preserve"> </w:t>
      </w:r>
      <w:r>
        <w:rPr>
          <w:rFonts w:hint="eastAsia" w:hAnsi="宋体"/>
          <w:bCs/>
          <w:color w:val="auto"/>
          <w:sz w:val="24"/>
          <w:szCs w:val="24"/>
          <w:highlight w:val="none"/>
          <w:u w:val="single"/>
        </w:rPr>
        <w:t xml:space="preserve">                                                                                        </w:t>
      </w:r>
    </w:p>
    <w:p w14:paraId="37A47DDB">
      <w:pPr>
        <w:pStyle w:val="25"/>
        <w:spacing w:line="360" w:lineRule="auto"/>
        <w:ind w:left="25" w:firstLine="472"/>
        <w:rPr>
          <w:rFonts w:hAnsi="宋体"/>
          <w:bCs/>
          <w:color w:val="auto"/>
          <w:sz w:val="24"/>
          <w:szCs w:val="24"/>
          <w:highlight w:val="none"/>
        </w:rPr>
      </w:pPr>
      <w:r>
        <w:rPr>
          <w:rFonts w:hint="eastAsia" w:hAnsi="宋体"/>
          <w:color w:val="auto"/>
          <w:sz w:val="24"/>
          <w:szCs w:val="24"/>
          <w:highlight w:val="none"/>
        </w:rPr>
        <w:t xml:space="preserve">投诉事项2  </w:t>
      </w:r>
      <w:r>
        <w:rPr>
          <w:rFonts w:hint="eastAsia" w:hAnsi="宋体"/>
          <w:bCs/>
          <w:color w:val="auto"/>
          <w:sz w:val="24"/>
          <w:szCs w:val="24"/>
          <w:highlight w:val="none"/>
        </w:rPr>
        <w:t xml:space="preserve">   </w:t>
      </w:r>
    </w:p>
    <w:p w14:paraId="7F89AC9C">
      <w:pPr>
        <w:pStyle w:val="25"/>
        <w:spacing w:line="360" w:lineRule="auto"/>
        <w:ind w:left="25" w:firstLine="472"/>
        <w:rPr>
          <w:rFonts w:hAnsi="宋体"/>
          <w:bCs/>
          <w:color w:val="auto"/>
          <w:sz w:val="24"/>
          <w:szCs w:val="24"/>
          <w:highlight w:val="none"/>
        </w:rPr>
      </w:pPr>
      <w:r>
        <w:rPr>
          <w:rFonts w:hAnsi="宋体"/>
          <w:bCs/>
          <w:color w:val="auto"/>
          <w:sz w:val="24"/>
          <w:szCs w:val="24"/>
          <w:highlight w:val="none"/>
        </w:rPr>
        <w:t>……</w:t>
      </w:r>
    </w:p>
    <w:p w14:paraId="38D5222F">
      <w:pPr>
        <w:pStyle w:val="25"/>
        <w:spacing w:line="360" w:lineRule="auto"/>
        <w:ind w:left="25" w:firstLine="472"/>
        <w:rPr>
          <w:rFonts w:hAnsi="宋体"/>
          <w:b/>
          <w:color w:val="auto"/>
          <w:sz w:val="24"/>
          <w:szCs w:val="24"/>
          <w:highlight w:val="none"/>
        </w:rPr>
      </w:pPr>
      <w:r>
        <w:rPr>
          <w:rFonts w:hint="eastAsia" w:hAnsi="宋体"/>
          <w:b/>
          <w:color w:val="auto"/>
          <w:sz w:val="24"/>
          <w:szCs w:val="24"/>
          <w:highlight w:val="none"/>
        </w:rPr>
        <w:t>五、与投诉事项相关的投诉请求：</w:t>
      </w:r>
    </w:p>
    <w:p w14:paraId="20B659F6">
      <w:pPr>
        <w:pStyle w:val="25"/>
        <w:spacing w:line="360" w:lineRule="auto"/>
        <w:ind w:left="25" w:firstLine="472"/>
        <w:rPr>
          <w:rFonts w:hAnsi="宋体"/>
          <w:color w:val="auto"/>
          <w:sz w:val="24"/>
          <w:szCs w:val="24"/>
          <w:highlight w:val="none"/>
        </w:rPr>
      </w:pPr>
      <w:r>
        <w:rPr>
          <w:rFonts w:hint="eastAsia" w:hAnsi="宋体"/>
          <w:color w:val="auto"/>
          <w:sz w:val="24"/>
          <w:szCs w:val="24"/>
          <w:highlight w:val="none"/>
        </w:rPr>
        <w:t>请求：</w:t>
      </w:r>
      <w:r>
        <w:rPr>
          <w:rFonts w:hint="eastAsia" w:hAnsi="宋体"/>
          <w:bCs/>
          <w:color w:val="auto"/>
          <w:sz w:val="24"/>
          <w:szCs w:val="24"/>
          <w:highlight w:val="none"/>
          <w:u w:val="single"/>
        </w:rPr>
        <w:t xml:space="preserve">                                                                                 </w:t>
      </w:r>
    </w:p>
    <w:p w14:paraId="0F5C7F30">
      <w:pPr>
        <w:pStyle w:val="25"/>
        <w:spacing w:line="360" w:lineRule="auto"/>
        <w:ind w:left="25" w:firstLine="352"/>
        <w:rPr>
          <w:rFonts w:hAnsi="宋体"/>
          <w:color w:val="auto"/>
          <w:sz w:val="24"/>
          <w:szCs w:val="24"/>
          <w:highlight w:val="none"/>
        </w:rPr>
      </w:pPr>
    </w:p>
    <w:p w14:paraId="5EC287E5">
      <w:pPr>
        <w:pStyle w:val="25"/>
        <w:spacing w:line="360" w:lineRule="auto"/>
        <w:ind w:left="25" w:firstLine="472"/>
        <w:rPr>
          <w:rFonts w:hAnsi="宋体"/>
          <w:color w:val="auto"/>
          <w:sz w:val="24"/>
          <w:szCs w:val="24"/>
          <w:highlight w:val="none"/>
        </w:rPr>
      </w:pPr>
      <w:r>
        <w:rPr>
          <w:rFonts w:hint="eastAsia" w:hAnsi="宋体"/>
          <w:color w:val="auto"/>
          <w:sz w:val="24"/>
          <w:szCs w:val="24"/>
          <w:highlight w:val="none"/>
        </w:rPr>
        <w:t>签字（签章）：                                       公章：</w:t>
      </w:r>
    </w:p>
    <w:p w14:paraId="6408D510">
      <w:pPr>
        <w:pStyle w:val="25"/>
        <w:spacing w:line="360" w:lineRule="auto"/>
        <w:ind w:left="25" w:firstLine="352"/>
        <w:rPr>
          <w:rFonts w:hAnsi="宋体"/>
          <w:color w:val="auto"/>
          <w:sz w:val="24"/>
          <w:szCs w:val="24"/>
          <w:highlight w:val="none"/>
        </w:rPr>
      </w:pPr>
    </w:p>
    <w:p w14:paraId="74C79ADC">
      <w:pPr>
        <w:pStyle w:val="25"/>
        <w:spacing w:line="360" w:lineRule="auto"/>
        <w:ind w:left="25" w:firstLine="472"/>
        <w:rPr>
          <w:rFonts w:hAnsi="宋体"/>
          <w:color w:val="auto"/>
          <w:sz w:val="24"/>
          <w:szCs w:val="24"/>
          <w:highlight w:val="none"/>
        </w:rPr>
      </w:pPr>
      <w:r>
        <w:rPr>
          <w:rFonts w:hint="eastAsia" w:hAnsi="宋体"/>
          <w:color w:val="auto"/>
          <w:sz w:val="24"/>
          <w:szCs w:val="24"/>
          <w:highlight w:val="none"/>
        </w:rPr>
        <w:t>日期：</w:t>
      </w:r>
    </w:p>
    <w:p w14:paraId="1DBEE18D">
      <w:pPr>
        <w:pStyle w:val="25"/>
        <w:spacing w:line="360" w:lineRule="auto"/>
        <w:ind w:left="25" w:firstLine="472"/>
        <w:rPr>
          <w:rFonts w:hAnsi="宋体"/>
          <w:color w:val="auto"/>
          <w:sz w:val="24"/>
          <w:szCs w:val="24"/>
          <w:highlight w:val="none"/>
        </w:rPr>
      </w:pPr>
      <w:r>
        <w:rPr>
          <w:rFonts w:hint="eastAsia" w:hAnsi="宋体"/>
          <w:bCs/>
          <w:color w:val="auto"/>
          <w:sz w:val="24"/>
          <w:szCs w:val="24"/>
          <w:highlight w:val="none"/>
        </w:rPr>
        <w:t xml:space="preserve">                                                                              </w:t>
      </w:r>
    </w:p>
    <w:p w14:paraId="60794A68">
      <w:pPr>
        <w:pStyle w:val="25"/>
        <w:spacing w:line="360" w:lineRule="auto"/>
        <w:rPr>
          <w:rFonts w:hAnsi="宋体"/>
          <w:b/>
          <w:color w:val="auto"/>
          <w:sz w:val="24"/>
          <w:szCs w:val="24"/>
          <w:highlight w:val="none"/>
        </w:rPr>
      </w:pPr>
      <w:r>
        <w:rPr>
          <w:rFonts w:hint="eastAsia" w:hAnsi="宋体"/>
          <w:b/>
          <w:color w:val="auto"/>
          <w:sz w:val="24"/>
          <w:szCs w:val="24"/>
          <w:highlight w:val="none"/>
        </w:rPr>
        <w:t>说明：</w:t>
      </w:r>
    </w:p>
    <w:p w14:paraId="0398248E">
      <w:pPr>
        <w:pStyle w:val="25"/>
        <w:spacing w:line="360" w:lineRule="auto"/>
        <w:ind w:left="25" w:firstLine="354"/>
        <w:rPr>
          <w:rFonts w:hAnsi="宋体"/>
          <w:b/>
          <w:bCs/>
          <w:color w:val="auto"/>
          <w:sz w:val="24"/>
          <w:szCs w:val="24"/>
          <w:highlight w:val="none"/>
        </w:rPr>
      </w:pPr>
      <w:r>
        <w:rPr>
          <w:rFonts w:hint="eastAsia" w:hAnsi="宋体"/>
          <w:b/>
          <w:color w:val="auto"/>
          <w:sz w:val="24"/>
          <w:szCs w:val="24"/>
          <w:highlight w:val="none"/>
        </w:rPr>
        <w:t>1.投诉人提起投诉时，应当提交投诉书和必要的证明材料，并按照被投诉人和与投诉事项有关的供应商数量提供投诉书副本</w:t>
      </w:r>
      <w:r>
        <w:rPr>
          <w:rFonts w:hint="eastAsia" w:hAnsi="宋体"/>
          <w:b/>
          <w:bCs/>
          <w:color w:val="auto"/>
          <w:sz w:val="24"/>
          <w:szCs w:val="24"/>
          <w:highlight w:val="none"/>
        </w:rPr>
        <w:t>。</w:t>
      </w:r>
    </w:p>
    <w:p w14:paraId="75CF3038">
      <w:pPr>
        <w:pStyle w:val="25"/>
        <w:spacing w:line="360" w:lineRule="auto"/>
        <w:ind w:left="25" w:firstLine="354"/>
        <w:rPr>
          <w:rFonts w:hAnsi="宋体"/>
          <w:b/>
          <w:color w:val="auto"/>
          <w:sz w:val="24"/>
          <w:szCs w:val="24"/>
          <w:highlight w:val="none"/>
        </w:rPr>
      </w:pPr>
      <w:r>
        <w:rPr>
          <w:rFonts w:hint="eastAsia" w:hAnsi="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49460EDB">
      <w:pPr>
        <w:pStyle w:val="25"/>
        <w:spacing w:line="360" w:lineRule="auto"/>
        <w:ind w:left="25" w:firstLine="354"/>
        <w:rPr>
          <w:rFonts w:hAnsi="宋体"/>
          <w:b/>
          <w:color w:val="auto"/>
          <w:sz w:val="24"/>
          <w:szCs w:val="24"/>
          <w:highlight w:val="none"/>
        </w:rPr>
      </w:pPr>
      <w:r>
        <w:rPr>
          <w:rFonts w:hint="eastAsia" w:hAnsi="宋体"/>
          <w:b/>
          <w:color w:val="auto"/>
          <w:sz w:val="24"/>
          <w:szCs w:val="24"/>
          <w:highlight w:val="none"/>
        </w:rPr>
        <w:t>3.投诉书应简要列明质疑事项，质疑函、质疑答复等作为附件材料提供。</w:t>
      </w:r>
    </w:p>
    <w:p w14:paraId="696CF717">
      <w:pPr>
        <w:pStyle w:val="25"/>
        <w:spacing w:line="360" w:lineRule="auto"/>
        <w:ind w:left="25" w:firstLine="354"/>
        <w:rPr>
          <w:rFonts w:hAnsi="宋体"/>
          <w:b/>
          <w:color w:val="auto"/>
          <w:sz w:val="24"/>
          <w:szCs w:val="24"/>
          <w:highlight w:val="none"/>
        </w:rPr>
      </w:pPr>
      <w:r>
        <w:rPr>
          <w:rFonts w:hint="eastAsia" w:hAnsi="宋体"/>
          <w:b/>
          <w:color w:val="auto"/>
          <w:sz w:val="24"/>
          <w:szCs w:val="24"/>
          <w:highlight w:val="none"/>
        </w:rPr>
        <w:t>4.投诉书的投诉事项应具体、明确，并有必要的事实依据和法律依据。</w:t>
      </w:r>
    </w:p>
    <w:p w14:paraId="4E5C3142">
      <w:pPr>
        <w:pStyle w:val="25"/>
        <w:spacing w:line="360" w:lineRule="auto"/>
        <w:ind w:left="25" w:firstLine="354"/>
        <w:rPr>
          <w:rFonts w:hAnsi="宋体"/>
          <w:b/>
          <w:color w:val="auto"/>
          <w:sz w:val="24"/>
          <w:szCs w:val="24"/>
          <w:highlight w:val="none"/>
        </w:rPr>
      </w:pPr>
      <w:r>
        <w:rPr>
          <w:rFonts w:hint="eastAsia" w:hAnsi="宋体"/>
          <w:b/>
          <w:color w:val="auto"/>
          <w:sz w:val="24"/>
          <w:szCs w:val="24"/>
          <w:highlight w:val="none"/>
        </w:rPr>
        <w:t>5.投诉书的投诉请求应与投诉事项相关。</w:t>
      </w:r>
    </w:p>
    <w:p w14:paraId="3B7D12EE">
      <w:pPr>
        <w:pStyle w:val="25"/>
        <w:spacing w:line="360" w:lineRule="auto"/>
        <w:ind w:left="25" w:firstLine="354"/>
        <w:rPr>
          <w:rFonts w:hAnsi="宋体"/>
          <w:b/>
          <w:color w:val="auto"/>
          <w:highlight w:val="none"/>
        </w:rPr>
      </w:pPr>
      <w:r>
        <w:rPr>
          <w:rFonts w:hint="eastAsia" w:hAnsi="宋体"/>
          <w:b/>
          <w:color w:val="auto"/>
          <w:sz w:val="24"/>
          <w:szCs w:val="24"/>
          <w:highlight w:val="none"/>
        </w:rPr>
        <w:t>6.投诉人为法人或者其他组织的，投诉书应由法定代表人、主要负责人，或者其授权代表签字或者盖章，并加盖公章。</w:t>
      </w:r>
    </w:p>
    <w:sectPr>
      <w:footerReference r:id="rId13" w:type="first"/>
      <w:headerReference r:id="rId10" w:type="default"/>
      <w:footerReference r:id="rId11" w:type="default"/>
      <w:footerReference r:id="rId12" w:type="even"/>
      <w:pgSz w:w="11906" w:h="16838"/>
      <w:pgMar w:top="1440" w:right="1797" w:bottom="1440" w:left="1797" w:header="851" w:footer="99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65CE1C5-945E-4D30-9A50-86B4EB5DB13E}"/>
  </w:font>
  <w:font w:name="黑体">
    <w:panose1 w:val="02010609060101010101"/>
    <w:charset w:val="86"/>
    <w:family w:val="auto"/>
    <w:pitch w:val="default"/>
    <w:sig w:usb0="800002BF" w:usb1="38CF7CFA" w:usb2="00000016" w:usb3="00000000" w:csb0="00040001" w:csb1="00000000"/>
    <w:embedRegular r:id="rId2" w:fontKey="{D9108FDC-7775-403C-B63B-89EC82F78FA8}"/>
  </w:font>
  <w:font w:name="Courier New">
    <w:panose1 w:val="02070309020205020404"/>
    <w:charset w:val="01"/>
    <w:family w:val="modern"/>
    <w:pitch w:val="default"/>
    <w:sig w:usb0="E0002EFF" w:usb1="C0007843" w:usb2="00000009" w:usb3="00000000" w:csb0="400001FF" w:csb1="FFFF0000"/>
    <w:embedRegular r:id="rId3" w:fontKey="{FB21F3C2-D94E-4CEA-8C00-88FDB9124D35}"/>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8B0985B9-16A2-4994-BBDA-49DEBE0E1922}"/>
  </w:font>
  <w:font w:name="Calibri Light">
    <w:panose1 w:val="020F03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5" w:fontKey="{18026BC9-D076-4642-AAB1-56CF38FA09E6}"/>
  </w:font>
  <w:font w:name="Cambria">
    <w:panose1 w:val="02040503050406030204"/>
    <w:charset w:val="00"/>
    <w:family w:val="roman"/>
    <w:pitch w:val="default"/>
    <w:sig w:usb0="E00006FF" w:usb1="420024FF" w:usb2="02000000" w:usb3="00000000" w:csb0="2000019F" w:csb1="00000000"/>
  </w:font>
  <w:font w:name="ActionIcon ! important">
    <w:altName w:val="Segoe Print"/>
    <w:panose1 w:val="020B0604020202020204"/>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onospace">
    <w:altName w:val="Segoe Print"/>
    <w:panose1 w:val="020B0604020202020204"/>
    <w:charset w:val="00"/>
    <w:family w:val="auto"/>
    <w:pitch w:val="default"/>
    <w:sig w:usb0="00000000" w:usb1="00000000" w:usb2="00000000" w:usb3="00000000" w:csb0="00000000" w:csb1="00000000"/>
  </w:font>
  <w:font w:name="_x000B__x000C_">
    <w:altName w:val="Segoe Print"/>
    <w:panose1 w:val="020B0604020202020204"/>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Century">
    <w:altName w:val="Times New Roman"/>
    <w:panose1 w:val="02040604050505020304"/>
    <w:charset w:val="00"/>
    <w:family w:val="roman"/>
    <w:pitch w:val="default"/>
    <w:sig w:usb0="00000000" w:usb1="00000000" w:usb2="00000000" w:usb3="00000000" w:csb0="2000009F" w:csb1="DFD70000"/>
  </w:font>
  <w:font w:name="Arial Unicode MS">
    <w:panose1 w:val="020B0604020202020204"/>
    <w:charset w:val="80"/>
    <w:family w:val="swiss"/>
    <w:pitch w:val="default"/>
    <w:sig w:usb0="F7FFAEFF" w:usb1="F9DFFFFF" w:usb2="0000007F" w:usb3="00000000" w:csb0="203F01FF" w:csb1="DFFF0000"/>
    <w:embedRegular r:id="rId6" w:fontKey="{91B8F77B-7897-417D-95A2-1BD17F3A50F8}"/>
  </w:font>
  <w:font w:name="华文楷体">
    <w:panose1 w:val="02010600040101010101"/>
    <w:charset w:val="86"/>
    <w:family w:val="auto"/>
    <w:pitch w:val="default"/>
    <w:sig w:usb0="A00002BF" w:usb1="78CF7CFB" w:usb2="00000016" w:usb3="00000000" w:csb0="6006009F" w:csb1="DFD7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embedRegular r:id="rId7" w:fontKey="{31390C20-A7EA-4370-8BF5-0EB84BC1D736}"/>
  </w:font>
  <w:font w:name="方正小标宋简体">
    <w:panose1 w:val="03000509000000000000"/>
    <w:charset w:val="86"/>
    <w:family w:val="auto"/>
    <w:pitch w:val="default"/>
    <w:sig w:usb0="00000001" w:usb1="080E0000" w:usb2="00000000" w:usb3="00000000" w:csb0="00040000" w:csb1="00000000"/>
    <w:embedRegular r:id="rId8" w:fontKey="{238EDABA-901B-4614-8726-59225323A7CF}"/>
  </w:font>
  <w:font w:name="华文新魏">
    <w:panose1 w:val="02010800040101010101"/>
    <w:charset w:val="86"/>
    <w:family w:val="auto"/>
    <w:pitch w:val="default"/>
    <w:sig w:usb0="00000001" w:usb1="080F0000" w:usb2="00000000" w:usb3="00000000" w:csb0="00040000" w:csb1="00000000"/>
    <w:embedRegular r:id="rId9" w:fontKey="{50BC0563-BBF2-462F-8CEA-049AD7C976D6}"/>
  </w:font>
  <w:font w:name="方正仿宋_GBK">
    <w:panose1 w:val="02000000000000000000"/>
    <w:charset w:val="86"/>
    <w:family w:val="script"/>
    <w:pitch w:val="default"/>
    <w:sig w:usb0="00000001" w:usb1="080E0000" w:usb2="00000000" w:usb3="00000000" w:csb0="00040000" w:csb1="00000000"/>
    <w:embedRegular r:id="rId10" w:fontKey="{58A6CD74-EFA8-40DA-A4E6-02DFC119B753}"/>
  </w:font>
  <w:font w:name="Wingdings 2">
    <w:panose1 w:val="05020102010507070707"/>
    <w:charset w:val="00"/>
    <w:family w:val="decorative"/>
    <w:pitch w:val="default"/>
    <w:sig w:usb0="00000000" w:usb1="00000000" w:usb2="00000000" w:usb3="00000000" w:csb0="80000000" w:csb1="00000000"/>
    <w:embedRegular r:id="rId11" w:fontKey="{7EEF196C-2284-4C9F-A378-427BED376EAD}"/>
  </w:font>
  <w:font w:name="Malgun Gothic">
    <w:panose1 w:val="020B0503020000020004"/>
    <w:charset w:val="81"/>
    <w:family w:val="swiss"/>
    <w:pitch w:val="default"/>
    <w:sig w:usb0="9000002F" w:usb1="29D77CFB" w:usb2="00000012" w:usb3="00000000" w:csb0="00080001" w:csb1="00000000"/>
    <w:embedRegular r:id="rId12" w:fontKey="{4E169F03-8118-4000-9B94-91287F6D8898}"/>
  </w:font>
  <w:font w:name="隶书">
    <w:panose1 w:val="02010509060101010101"/>
    <w:charset w:val="86"/>
    <w:family w:val="modern"/>
    <w:pitch w:val="default"/>
    <w:sig w:usb0="00000001" w:usb1="080E0000" w:usb2="00000000" w:usb3="00000000" w:csb0="00040000" w:csb1="00000000"/>
    <w:embedRegular r:id="rId13" w:fontKey="{9448DF6E-811A-4BE6-B7FE-C9F05773382D}"/>
  </w:font>
  <w:font w:name="WPSEMBED1">
    <w:panose1 w:val="05020102010507070707"/>
    <w:charset w:val="00"/>
    <w:family w:val="auto"/>
    <w:pitch w:val="default"/>
    <w:sig w:usb0="00000000" w:usb1="00000000" w:usb2="00000000" w:usb3="00000000" w:csb0="80000000" w:csb1="00000000"/>
  </w:font>
  <w:font w:name="WPSEMBED2">
    <w:panose1 w:val="0201050906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15861">
    <w:pPr>
      <w:pStyle w:val="31"/>
      <w:jc w:val="center"/>
    </w:pPr>
  </w:p>
  <w:p w14:paraId="29D768A4">
    <w:pPr>
      <w:pStyle w:val="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B8138">
    <w:pPr>
      <w:pStyle w:val="31"/>
      <w:framePr w:wrap="around" w:vAnchor="text" w:hAnchor="margin" w:xAlign="center" w:y="1"/>
      <w:rPr>
        <w:rStyle w:val="55"/>
      </w:rPr>
    </w:pPr>
    <w:r>
      <w:fldChar w:fldCharType="begin"/>
    </w:r>
    <w:r>
      <w:rPr>
        <w:rStyle w:val="55"/>
      </w:rPr>
      <w:instrText xml:space="preserve">PAGE  </w:instrText>
    </w:r>
    <w:r>
      <w:fldChar w:fldCharType="end"/>
    </w:r>
  </w:p>
  <w:p w14:paraId="7011D4B5">
    <w:pPr>
      <w:pStyle w:val="3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801C4">
    <w:pPr>
      <w:pStyle w:val="31"/>
      <w:jc w:val="center"/>
    </w:pPr>
  </w:p>
  <w:p w14:paraId="43FED593">
    <w:pPr>
      <w:pStyle w:val="31"/>
      <w:ind w:right="360"/>
      <w:jc w:val="both"/>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C921D">
    <w:pPr>
      <w:pStyle w:val="31"/>
      <w:jc w:val="center"/>
    </w:pPr>
  </w:p>
  <w:p w14:paraId="3185C375">
    <w:pPr>
      <w:pStyle w:val="3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40990">
    <w:pPr>
      <w:pStyle w:val="31"/>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_x0000_s1026"/>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miter/>
                      </a:ln>
                    </wps:spPr>
                    <wps:txbx>
                      <w:txbxContent>
                        <w:p w14:paraId="4914652C">
                          <w:pPr>
                            <w:pStyle w:val="31"/>
                            <w:jc w:val="center"/>
                          </w:pPr>
                          <w:r>
                            <w:fldChar w:fldCharType="begin"/>
                          </w:r>
                          <w:r>
                            <w:instrText xml:space="preserve">PAGE   \* MERGEFORMAT</w:instrText>
                          </w:r>
                          <w:r>
                            <w:fldChar w:fldCharType="separate"/>
                          </w:r>
                          <w:r>
                            <w:rPr>
                              <w:lang w:val="zh-CN"/>
                            </w:rPr>
                            <w:t>11</w:t>
                          </w:r>
                          <w:r>
                            <w:rPr>
                              <w:lang w:val="zh-CN"/>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OUjSjcoBAACyAwAADgAAAAAAAAABACAAAAAeAQAAZHJzL2Uyb0Rv&#10;Yy54bWxQSwUGAAAAAAYABgBZAQAAWgUAAAAA&#10;">
              <v:fill on="f" focussize="0,0"/>
              <v:stroke on="f" joinstyle="miter"/>
              <v:imagedata o:title=""/>
              <o:lock v:ext="edit" aspectratio="f"/>
              <v:textbox inset="0mm,0mm,0mm,0mm" style="mso-fit-shape-to-text:t;">
                <w:txbxContent>
                  <w:p w14:paraId="4914652C">
                    <w:pPr>
                      <w:pStyle w:val="31"/>
                      <w:jc w:val="center"/>
                    </w:pPr>
                    <w:r>
                      <w:fldChar w:fldCharType="begin"/>
                    </w:r>
                    <w:r>
                      <w:instrText xml:space="preserve">PAGE   \* MERGEFORMAT</w:instrText>
                    </w:r>
                    <w:r>
                      <w:fldChar w:fldCharType="separate"/>
                    </w:r>
                    <w:r>
                      <w:rPr>
                        <w:lang w:val="zh-CN"/>
                      </w:rPr>
                      <w:t>11</w:t>
                    </w:r>
                    <w:r>
                      <w:rPr>
                        <w:lang w:val="zh-CN"/>
                      </w:rPr>
                      <w:fldChar w:fldCharType="end"/>
                    </w:r>
                  </w:p>
                </w:txbxContent>
              </v:textbox>
            </v:shape>
          </w:pict>
        </mc:Fallback>
      </mc:AlternateContent>
    </w:r>
  </w:p>
  <w:p w14:paraId="7D55AB99">
    <w:pPr>
      <w:pStyle w:val="31"/>
      <w:ind w:right="360"/>
      <w:jc w:val="both"/>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145EA">
    <w:pPr>
      <w:pStyle w:val="31"/>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_x0000_s1028"/>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miter/>
                      </a:ln>
                    </wps:spPr>
                    <wps:txbx>
                      <w:txbxContent>
                        <w:p w14:paraId="2DAA9354">
                          <w:pPr>
                            <w:pStyle w:val="31"/>
                            <w:jc w:val="center"/>
                          </w:pPr>
                          <w:r>
                            <w:fldChar w:fldCharType="begin"/>
                          </w:r>
                          <w:r>
                            <w:instrText xml:space="preserve"> PAGE   \* MERGEFORMAT </w:instrText>
                          </w:r>
                          <w:r>
                            <w:fldChar w:fldCharType="separate"/>
                          </w:r>
                          <w:r>
                            <w:rPr>
                              <w:lang w:val="zh-CN"/>
                            </w:rPr>
                            <w:t>12</w:t>
                          </w:r>
                          <w:r>
                            <w:rPr>
                              <w:lang w:val="zh-CN"/>
                            </w:rPr>
                            <w:fldChar w:fldCharType="end"/>
                          </w:r>
                        </w:p>
                      </w:txbxContent>
                    </wps:txbx>
                    <wps:bodyPr wrap="none" lIns="0" tIns="0" rIns="0" bIns="0" upright="1">
                      <a:spAutoFit/>
                    </wps:bodyPr>
                  </wps:wsp>
                </a:graphicData>
              </a:graphic>
            </wp:anchor>
          </w:drawing>
        </mc:Choice>
        <mc:Fallback>
          <w:pict>
            <v:shape id="_x0000_s1028"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yKvHyQEAALIDAAAOAAAAAAAAAAEAIAAAAB4BAABkcnMvZTJvRG9j&#10;LnhtbFBLBQYAAAAABgAGAFkBAABZBQAAAAA=&#10;">
              <v:fill on="f" focussize="0,0"/>
              <v:stroke on="f" joinstyle="miter"/>
              <v:imagedata o:title=""/>
              <o:lock v:ext="edit" aspectratio="f"/>
              <v:textbox inset="0mm,0mm,0mm,0mm" style="mso-fit-shape-to-text:t;">
                <w:txbxContent>
                  <w:p w14:paraId="2DAA9354">
                    <w:pPr>
                      <w:pStyle w:val="31"/>
                      <w:jc w:val="center"/>
                    </w:pPr>
                    <w:r>
                      <w:fldChar w:fldCharType="begin"/>
                    </w:r>
                    <w:r>
                      <w:instrText xml:space="preserve"> PAGE   \* MERGEFORMAT </w:instrText>
                    </w:r>
                    <w:r>
                      <w:fldChar w:fldCharType="separate"/>
                    </w:r>
                    <w:r>
                      <w:rPr>
                        <w:lang w:val="zh-CN"/>
                      </w:rPr>
                      <w:t>12</w:t>
                    </w:r>
                    <w:r>
                      <w:rPr>
                        <w:lang w:val="zh-CN"/>
                      </w:rPr>
                      <w:fldChar w:fldCharType="end"/>
                    </w:r>
                  </w:p>
                </w:txbxContent>
              </v:textbox>
            </v:shape>
          </w:pict>
        </mc:Fallback>
      </mc:AlternateContent>
    </w:r>
  </w:p>
  <w:p w14:paraId="33BF7532">
    <w:pPr>
      <w:pStyle w:val="31"/>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7389A">
    <w:pPr>
      <w:pStyle w:val="31"/>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_x0000_s1027"/>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miter/>
                      </a:ln>
                    </wps:spPr>
                    <wps:txbx>
                      <w:txbxContent>
                        <w:p w14:paraId="47667D48">
                          <w:pPr>
                            <w:pStyle w:val="31"/>
                            <w:jc w:val="center"/>
                          </w:pPr>
                          <w:r>
                            <w:fldChar w:fldCharType="begin"/>
                          </w:r>
                          <w:r>
                            <w:instrText xml:space="preserve"> PAGE   \* MERGEFORMAT </w:instrText>
                          </w:r>
                          <w:r>
                            <w:fldChar w:fldCharType="separate"/>
                          </w:r>
                          <w:r>
                            <w:rPr>
                              <w:lang w:val="zh-CN"/>
                            </w:rPr>
                            <w:t>116</w:t>
                          </w:r>
                          <w:r>
                            <w:rPr>
                              <w:lang w:val="zh-CN"/>
                            </w:rPr>
                            <w:fldChar w:fldCharType="end"/>
                          </w:r>
                        </w:p>
                      </w:txbxContent>
                    </wps:txbx>
                    <wps:bodyPr wrap="none" lIns="0" tIns="0" rIns="0" bIns="0" upright="1">
                      <a:spAutoFit/>
                    </wps:bodyPr>
                  </wps:wsp>
                </a:graphicData>
              </a:graphic>
            </wp:anchor>
          </w:drawing>
        </mc:Choice>
        <mc:Fallback>
          <w:pict>
            <v:shape id="_x0000_s102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RkxX8oBAACyAwAADgAAAAAAAAABACAAAAAeAQAAZHJzL2Uyb0Rv&#10;Yy54bWxQSwUGAAAAAAYABgBZAQAAWgUAAAAA&#10;">
              <v:fill on="f" focussize="0,0"/>
              <v:stroke on="f" joinstyle="miter"/>
              <v:imagedata o:title=""/>
              <o:lock v:ext="edit" aspectratio="f"/>
              <v:textbox inset="0mm,0mm,0mm,0mm" style="mso-fit-shape-to-text:t;">
                <w:txbxContent>
                  <w:p w14:paraId="47667D48">
                    <w:pPr>
                      <w:pStyle w:val="31"/>
                      <w:jc w:val="center"/>
                    </w:pPr>
                    <w:r>
                      <w:fldChar w:fldCharType="begin"/>
                    </w:r>
                    <w:r>
                      <w:instrText xml:space="preserve"> PAGE   \* MERGEFORMAT </w:instrText>
                    </w:r>
                    <w:r>
                      <w:fldChar w:fldCharType="separate"/>
                    </w:r>
                    <w:r>
                      <w:rPr>
                        <w:lang w:val="zh-CN"/>
                      </w:rPr>
                      <w:t>116</w:t>
                    </w:r>
                    <w:r>
                      <w:rPr>
                        <w:lang w:val="zh-CN"/>
                      </w:rPr>
                      <w:fldChar w:fldCharType="end"/>
                    </w:r>
                  </w:p>
                </w:txbxContent>
              </v:textbox>
            </v:shape>
          </w:pict>
        </mc:Fallback>
      </mc:AlternateContent>
    </w:r>
  </w:p>
  <w:p w14:paraId="6DE05CEE">
    <w:pPr>
      <w:pStyle w:val="31"/>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C9A2E">
    <w:pPr>
      <w:pStyle w:val="31"/>
      <w:framePr w:wrap="around" w:vAnchor="text" w:hAnchor="margin" w:xAlign="center" w:y="1"/>
      <w:rPr>
        <w:rStyle w:val="55"/>
      </w:rPr>
    </w:pPr>
    <w:r>
      <w:fldChar w:fldCharType="begin"/>
    </w:r>
    <w:r>
      <w:rPr>
        <w:rStyle w:val="55"/>
      </w:rPr>
      <w:instrText xml:space="preserve">PAGE  </w:instrText>
    </w:r>
    <w:r>
      <w:fldChar w:fldCharType="end"/>
    </w:r>
  </w:p>
  <w:p w14:paraId="227E87A1">
    <w:pPr>
      <w:pStyle w:val="31"/>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61909">
    <w:pPr>
      <w:pStyle w:val="31"/>
      <w:ind w:right="360"/>
      <w:jc w:val="both"/>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7EBE7">
    <w:pPr>
      <w:pStyle w:val="32"/>
      <w:pBdr>
        <w:bottom w:val="none" w:color="000000"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A7AC4">
    <w:pPr>
      <w:pStyle w:val="32"/>
      <w:pBdr>
        <w:bottom w:val="none" w:color="000000"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multilevel"/>
    <w:tmpl w:val="FFFFFF7E"/>
    <w:lvl w:ilvl="0" w:tentative="0">
      <w:start w:val="1"/>
      <w:numFmt w:val="decimal"/>
      <w:pStyle w:val="21"/>
      <w:lvlText w:val="%1."/>
      <w:lvlJc w:val="left"/>
      <w:pPr>
        <w:tabs>
          <w:tab w:val="left" w:pos="1200"/>
        </w:tabs>
        <w:ind w:left="1200" w:hanging="360"/>
      </w:p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1">
    <w:nsid w:val="1BF97468"/>
    <w:multiLevelType w:val="multilevel"/>
    <w:tmpl w:val="1BF97468"/>
    <w:lvl w:ilvl="0" w:tentative="0">
      <w:start w:val="1"/>
      <w:numFmt w:val="decimal"/>
      <w:lvlText w:val="%1."/>
      <w:lvlJc w:val="left"/>
      <w:pPr>
        <w:tabs>
          <w:tab w:val="left" w:pos="312"/>
        </w:tabs>
      </w:p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2">
    <w:nsid w:val="32714F5E"/>
    <w:multiLevelType w:val="multilevel"/>
    <w:tmpl w:val="32714F5E"/>
    <w:lvl w:ilvl="0" w:tentative="0">
      <w:start w:val="1"/>
      <w:numFmt w:val="chineseCountingThousand"/>
      <w:suff w:val="nothing"/>
      <w:lvlText w:val="第%1章"/>
      <w:lvlJc w:val="left"/>
      <w:pPr>
        <w:ind w:left="0" w:firstLine="0"/>
      </w:pPr>
      <w:rPr>
        <w:rFonts w:hint="eastAsia" w:ascii="仿宋_GB2312" w:eastAsia="仿宋_GB2312"/>
        <w:sz w:val="4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pStyle w:val="6"/>
      <w:suff w:val="nothing"/>
      <w:lvlText w:val=""/>
      <w:lvlJc w:val="left"/>
      <w:pPr>
        <w:ind w:left="0" w:firstLine="0"/>
      </w:pPr>
      <w:rPr>
        <w:rFonts w:hint="eastAsia"/>
      </w:rPr>
    </w:lvl>
    <w:lvl w:ilvl="5" w:tentative="0">
      <w:start w:val="1"/>
      <w:numFmt w:val="none"/>
      <w:pStyle w:val="8"/>
      <w:suff w:val="nothing"/>
      <w:lvlText w:val=""/>
      <w:lvlJc w:val="left"/>
      <w:pPr>
        <w:ind w:left="0" w:firstLine="0"/>
      </w:pPr>
      <w:rPr>
        <w:rFonts w:hint="eastAsia"/>
      </w:rPr>
    </w:lvl>
    <w:lvl w:ilvl="6" w:tentative="0">
      <w:start w:val="1"/>
      <w:numFmt w:val="none"/>
      <w:pStyle w:val="9"/>
      <w:suff w:val="nothing"/>
      <w:lvlText w:val=""/>
      <w:lvlJc w:val="left"/>
      <w:pPr>
        <w:ind w:left="0" w:firstLine="0"/>
      </w:pPr>
      <w:rPr>
        <w:rFonts w:hint="eastAsia"/>
      </w:rPr>
    </w:lvl>
    <w:lvl w:ilvl="7" w:tentative="0">
      <w:start w:val="1"/>
      <w:numFmt w:val="none"/>
      <w:pStyle w:val="10"/>
      <w:suff w:val="nothing"/>
      <w:lvlText w:val=""/>
      <w:lvlJc w:val="left"/>
      <w:pPr>
        <w:ind w:left="0" w:firstLine="0"/>
      </w:pPr>
      <w:rPr>
        <w:rFonts w:hint="eastAsia"/>
      </w:rPr>
    </w:lvl>
    <w:lvl w:ilvl="8" w:tentative="0">
      <w:start w:val="1"/>
      <w:numFmt w:val="none"/>
      <w:pStyle w:val="11"/>
      <w:suff w:val="nothing"/>
      <w:lvlText w:val=""/>
      <w:lvlJc w:val="left"/>
      <w:pPr>
        <w:ind w:left="0" w:firstLine="0"/>
      </w:pPr>
      <w:rPr>
        <w:rFonts w:hint="eastAsia"/>
      </w:rPr>
    </w:lvl>
  </w:abstractNum>
  <w:abstractNum w:abstractNumId="3">
    <w:nsid w:val="4C601917"/>
    <w:multiLevelType w:val="multilevel"/>
    <w:tmpl w:val="4C601917"/>
    <w:lvl w:ilvl="0" w:tentative="0">
      <w:start w:val="1"/>
      <w:numFmt w:val="decimal"/>
      <w:suff w:val="nothing"/>
      <w:lvlText w:val="（%1）"/>
      <w:lvlJc w:val="left"/>
      <w:pPr>
        <w:ind w:left="-2"/>
      </w:p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4">
    <w:nsid w:val="5FABD14B"/>
    <w:multiLevelType w:val="multilevel"/>
    <w:tmpl w:val="5FABD14B"/>
    <w:lvl w:ilvl="0" w:tentative="0">
      <w:start w:val="1"/>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num w:numId="1">
    <w:abstractNumId w:val="2"/>
  </w:num>
  <w:num w:numId="2">
    <w:abstractNumId w:val="0"/>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A6E"/>
    <w:rsid w:val="001C1CCE"/>
    <w:rsid w:val="004F011D"/>
    <w:rsid w:val="00762C42"/>
    <w:rsid w:val="00847967"/>
    <w:rsid w:val="00901DAA"/>
    <w:rsid w:val="00B14E3A"/>
    <w:rsid w:val="00B22A6E"/>
    <w:rsid w:val="00C27307"/>
    <w:rsid w:val="01A74B1D"/>
    <w:rsid w:val="0273010D"/>
    <w:rsid w:val="05490688"/>
    <w:rsid w:val="0599023E"/>
    <w:rsid w:val="06043EE2"/>
    <w:rsid w:val="06701C84"/>
    <w:rsid w:val="07CE6EBF"/>
    <w:rsid w:val="0A784FDC"/>
    <w:rsid w:val="127C2BCD"/>
    <w:rsid w:val="149208C7"/>
    <w:rsid w:val="18D47700"/>
    <w:rsid w:val="19730577"/>
    <w:rsid w:val="1D6D1ED1"/>
    <w:rsid w:val="1E22443B"/>
    <w:rsid w:val="1EEB2585"/>
    <w:rsid w:val="201009EA"/>
    <w:rsid w:val="26DA10A8"/>
    <w:rsid w:val="29324F91"/>
    <w:rsid w:val="299D769A"/>
    <w:rsid w:val="2AC67730"/>
    <w:rsid w:val="305A4C08"/>
    <w:rsid w:val="31F938DC"/>
    <w:rsid w:val="343A43BC"/>
    <w:rsid w:val="362829C1"/>
    <w:rsid w:val="376D4CCE"/>
    <w:rsid w:val="3AAC6CBB"/>
    <w:rsid w:val="3D0E3DE9"/>
    <w:rsid w:val="3DE170EA"/>
    <w:rsid w:val="3DFA1107"/>
    <w:rsid w:val="43F959BD"/>
    <w:rsid w:val="45BF019A"/>
    <w:rsid w:val="470F6128"/>
    <w:rsid w:val="4A9C36AB"/>
    <w:rsid w:val="4B756271"/>
    <w:rsid w:val="516F6C72"/>
    <w:rsid w:val="55A9703D"/>
    <w:rsid w:val="56A41633"/>
    <w:rsid w:val="56AC10AE"/>
    <w:rsid w:val="59B54C6D"/>
    <w:rsid w:val="5B052F27"/>
    <w:rsid w:val="5C0E39BA"/>
    <w:rsid w:val="5C56135F"/>
    <w:rsid w:val="5D474DFE"/>
    <w:rsid w:val="621D4C7E"/>
    <w:rsid w:val="65317E41"/>
    <w:rsid w:val="67C27CF0"/>
    <w:rsid w:val="67DC0256"/>
    <w:rsid w:val="68D84F91"/>
    <w:rsid w:val="6CBF6EF4"/>
    <w:rsid w:val="6E113780"/>
    <w:rsid w:val="723E6CEF"/>
    <w:rsid w:val="735A1725"/>
    <w:rsid w:val="74C47240"/>
    <w:rsid w:val="77256E05"/>
    <w:rsid w:val="77F336A3"/>
    <w:rsid w:val="783F45C0"/>
    <w:rsid w:val="790160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1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semiHidden="0"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qFormat="1" w:uiPriority="99" w:semiHidden="0" w:name="table of figures"/>
    <w:lsdException w:uiPriority="99" w:name="envelope address"/>
    <w:lsdException w:uiPriority="99" w:name="envelope return"/>
    <w:lsdException w:qFormat="1" w:uiPriority="99" w:semiHidden="0" w:name="footnote reference"/>
    <w:lsdException w:qFormat="1" w:uiPriority="0" w:semiHidden="0" w:name="annotation reference"/>
    <w:lsdException w:uiPriority="99" w:name="line number"/>
    <w:lsdException w:qFormat="1" w:unhideWhenUsed="0" w:uiPriority="0" w:semiHidden="0" w:name="page number"/>
    <w:lsdException w:qFormat="1" w:uiPriority="99" w:semiHidden="0" w:name="endnote reference"/>
    <w:lsdException w:qFormat="1" w:uiPriority="99" w:semiHidden="0" w:name="endnote text"/>
    <w:lsdException w:qFormat="1" w:unhideWhenUsed="0" w:uiPriority="0" w:semiHidden="0" w:name="table of authorities"/>
    <w:lsdException w:uiPriority="99" w:name="macro"/>
    <w:lsdException w:uiPriority="99" w:name="toa heading"/>
    <w:lsdException w:qFormat="1" w:unhideWhenUsed="0" w:uiPriority="0" w:semiHidden="0" w:name="List"/>
    <w:lsdException w:uiPriority="99" w:name="List Bullet"/>
    <w:lsdException w:qFormat="1" w:unhideWhenUsed="0" w:uiPriority="0" w:semiHidden="0"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qFormat="1" w:unhideWhenUsed="0" w:uiPriority="0"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nhideWhenUsed="0" w:uiPriority="0" w:semiHidden="0" w:name="Plain Text"/>
    <w:lsdException w:uiPriority="99" w:name="E-mail Signature"/>
    <w:lsdException w:qFormat="1" w:unhideWhenUsed="0"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4"/>
      <w:lang w:val="en-US" w:eastAsia="zh-CN" w:bidi="ar-SA"/>
    </w:rPr>
  </w:style>
  <w:style w:type="paragraph" w:styleId="2">
    <w:name w:val="heading 1"/>
    <w:basedOn w:val="1"/>
    <w:next w:val="1"/>
    <w:link w:val="222"/>
    <w:qFormat/>
    <w:uiPriority w:val="0"/>
    <w:pPr>
      <w:keepNext/>
      <w:keepLines/>
      <w:spacing w:before="340" w:after="330" w:line="578" w:lineRule="auto"/>
      <w:outlineLvl w:val="0"/>
    </w:pPr>
    <w:rPr>
      <w:b/>
      <w:bCs/>
      <w:sz w:val="44"/>
      <w:szCs w:val="44"/>
    </w:rPr>
  </w:style>
  <w:style w:type="paragraph" w:styleId="3">
    <w:name w:val="heading 2"/>
    <w:basedOn w:val="1"/>
    <w:next w:val="1"/>
    <w:link w:val="223"/>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224"/>
    <w:qFormat/>
    <w:uiPriority w:val="0"/>
    <w:pPr>
      <w:keepNext/>
      <w:keepLines/>
      <w:spacing w:before="260" w:after="260" w:line="416" w:lineRule="auto"/>
      <w:outlineLvl w:val="2"/>
    </w:pPr>
    <w:rPr>
      <w:b/>
      <w:bCs/>
      <w:sz w:val="32"/>
      <w:szCs w:val="32"/>
    </w:rPr>
  </w:style>
  <w:style w:type="paragraph" w:styleId="5">
    <w:name w:val="heading 4"/>
    <w:basedOn w:val="1"/>
    <w:next w:val="1"/>
    <w:link w:val="248"/>
    <w:qFormat/>
    <w:uiPriority w:val="10"/>
    <w:pPr>
      <w:keepNext/>
      <w:keepLines/>
      <w:spacing w:before="280" w:after="290" w:line="376" w:lineRule="auto"/>
      <w:outlineLvl w:val="3"/>
    </w:pPr>
    <w:rPr>
      <w:rFonts w:ascii="Calibri Light" w:hAnsi="Calibri Light"/>
      <w:b/>
      <w:bCs/>
      <w:sz w:val="28"/>
      <w:szCs w:val="28"/>
    </w:rPr>
  </w:style>
  <w:style w:type="paragraph" w:styleId="6">
    <w:name w:val="heading 5"/>
    <w:basedOn w:val="1"/>
    <w:next w:val="7"/>
    <w:link w:val="226"/>
    <w:qFormat/>
    <w:uiPriority w:val="0"/>
    <w:pPr>
      <w:keepNext/>
      <w:keepLines/>
      <w:numPr>
        <w:ilvl w:val="4"/>
        <w:numId w:val="1"/>
      </w:numPr>
      <w:spacing w:before="280" w:after="290" w:line="376" w:lineRule="auto"/>
      <w:outlineLvl w:val="4"/>
    </w:pPr>
    <w:rPr>
      <w:b/>
      <w:sz w:val="28"/>
    </w:rPr>
  </w:style>
  <w:style w:type="paragraph" w:styleId="8">
    <w:name w:val="heading 6"/>
    <w:basedOn w:val="1"/>
    <w:next w:val="7"/>
    <w:link w:val="227"/>
    <w:qFormat/>
    <w:uiPriority w:val="0"/>
    <w:pPr>
      <w:keepNext/>
      <w:keepLines/>
      <w:numPr>
        <w:ilvl w:val="5"/>
        <w:numId w:val="1"/>
      </w:numPr>
      <w:spacing w:before="240" w:after="64" w:line="320" w:lineRule="auto"/>
      <w:outlineLvl w:val="5"/>
    </w:pPr>
    <w:rPr>
      <w:rFonts w:ascii="Arial" w:hAnsi="Arial" w:eastAsia="黑体"/>
      <w:b/>
      <w:sz w:val="24"/>
    </w:rPr>
  </w:style>
  <w:style w:type="paragraph" w:styleId="9">
    <w:name w:val="heading 7"/>
    <w:basedOn w:val="1"/>
    <w:next w:val="7"/>
    <w:link w:val="228"/>
    <w:qFormat/>
    <w:uiPriority w:val="0"/>
    <w:pPr>
      <w:keepNext/>
      <w:keepLines/>
      <w:numPr>
        <w:ilvl w:val="6"/>
        <w:numId w:val="1"/>
      </w:numPr>
      <w:spacing w:before="240" w:after="64" w:line="320" w:lineRule="auto"/>
      <w:outlineLvl w:val="6"/>
    </w:pPr>
    <w:rPr>
      <w:b/>
      <w:sz w:val="24"/>
    </w:rPr>
  </w:style>
  <w:style w:type="paragraph" w:styleId="10">
    <w:name w:val="heading 8"/>
    <w:basedOn w:val="1"/>
    <w:next w:val="7"/>
    <w:link w:val="229"/>
    <w:qFormat/>
    <w:uiPriority w:val="0"/>
    <w:pPr>
      <w:keepNext/>
      <w:keepLines/>
      <w:numPr>
        <w:ilvl w:val="7"/>
        <w:numId w:val="1"/>
      </w:numPr>
      <w:spacing w:before="240" w:after="64" w:line="320" w:lineRule="auto"/>
      <w:outlineLvl w:val="7"/>
    </w:pPr>
    <w:rPr>
      <w:rFonts w:ascii="Arial" w:hAnsi="Arial" w:eastAsia="黑体"/>
      <w:sz w:val="24"/>
    </w:rPr>
  </w:style>
  <w:style w:type="paragraph" w:styleId="11">
    <w:name w:val="heading 9"/>
    <w:basedOn w:val="1"/>
    <w:next w:val="7"/>
    <w:link w:val="230"/>
    <w:qFormat/>
    <w:uiPriority w:val="0"/>
    <w:pPr>
      <w:keepNext/>
      <w:keepLines/>
      <w:numPr>
        <w:ilvl w:val="8"/>
        <w:numId w:val="1"/>
      </w:numPr>
      <w:spacing w:before="240" w:after="64" w:line="320" w:lineRule="auto"/>
      <w:outlineLvl w:val="8"/>
    </w:pPr>
    <w:rPr>
      <w:rFonts w:ascii="Arial" w:hAnsi="Arial" w:eastAsia="黑体"/>
    </w:rPr>
  </w:style>
  <w:style w:type="character" w:default="1" w:styleId="52">
    <w:name w:val="Default Paragraph Font"/>
    <w:semiHidden/>
    <w:unhideWhenUsed/>
    <w:qFormat/>
    <w:uiPriority w:val="1"/>
  </w:style>
  <w:style w:type="table" w:default="1" w:styleId="50">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ind w:firstLine="420"/>
    </w:pPr>
    <w:rPr>
      <w:szCs w:val="20"/>
    </w:rPr>
  </w:style>
  <w:style w:type="paragraph" w:styleId="12">
    <w:name w:val="toc 7"/>
    <w:basedOn w:val="1"/>
    <w:next w:val="1"/>
    <w:unhideWhenUsed/>
    <w:qFormat/>
    <w:uiPriority w:val="39"/>
    <w:pPr>
      <w:ind w:left="2520"/>
    </w:pPr>
    <w:rPr>
      <w:rFonts w:ascii="Calibri" w:hAnsi="Calibri"/>
      <w:szCs w:val="22"/>
    </w:rPr>
  </w:style>
  <w:style w:type="paragraph" w:styleId="13">
    <w:name w:val="table of authorities"/>
    <w:basedOn w:val="1"/>
    <w:next w:val="1"/>
    <w:qFormat/>
    <w:uiPriority w:val="0"/>
    <w:pPr>
      <w:ind w:left="420"/>
    </w:pPr>
    <w:rPr>
      <w:rFonts w:ascii="Calibri" w:hAnsi="Calibri"/>
    </w:rPr>
  </w:style>
  <w:style w:type="paragraph" w:styleId="14">
    <w:name w:val="List Number"/>
    <w:basedOn w:val="1"/>
    <w:qFormat/>
    <w:uiPriority w:val="0"/>
    <w:pPr>
      <w:widowControl/>
      <w:tabs>
        <w:tab w:val="left" w:pos="454"/>
        <w:tab w:val="left" w:pos="720"/>
        <w:tab w:val="left" w:pos="840"/>
      </w:tabs>
      <w:ind w:left="454" w:hanging="284"/>
      <w:jc w:val="left"/>
    </w:pPr>
    <w:rPr>
      <w:sz w:val="24"/>
      <w:szCs w:val="20"/>
    </w:rPr>
  </w:style>
  <w:style w:type="paragraph" w:styleId="15">
    <w:name w:val="caption"/>
    <w:basedOn w:val="1"/>
    <w:next w:val="1"/>
    <w:qFormat/>
    <w:uiPriority w:val="0"/>
    <w:pPr>
      <w:spacing w:before="152" w:after="160"/>
    </w:pPr>
    <w:rPr>
      <w:rFonts w:ascii="Arial" w:hAnsi="Arial" w:eastAsia="黑体" w:cs="Arial"/>
      <w:sz w:val="20"/>
      <w:szCs w:val="20"/>
    </w:rPr>
  </w:style>
  <w:style w:type="paragraph" w:styleId="16">
    <w:name w:val="Document Map"/>
    <w:basedOn w:val="1"/>
    <w:link w:val="231"/>
    <w:unhideWhenUsed/>
    <w:qFormat/>
    <w:uiPriority w:val="0"/>
    <w:pPr>
      <w:shd w:val="clear" w:color="auto" w:fill="000080"/>
    </w:pPr>
    <w:rPr>
      <w:rFonts w:hint="eastAsia" w:ascii="宋体" w:hAnsi="宋体"/>
      <w:sz w:val="20"/>
      <w:szCs w:val="20"/>
    </w:rPr>
  </w:style>
  <w:style w:type="paragraph" w:styleId="17">
    <w:name w:val="annotation text"/>
    <w:basedOn w:val="1"/>
    <w:link w:val="232"/>
    <w:unhideWhenUsed/>
    <w:qFormat/>
    <w:uiPriority w:val="0"/>
    <w:pPr>
      <w:jc w:val="left"/>
    </w:pPr>
  </w:style>
  <w:style w:type="paragraph" w:styleId="18">
    <w:name w:val="Body Text 3"/>
    <w:basedOn w:val="1"/>
    <w:link w:val="233"/>
    <w:qFormat/>
    <w:uiPriority w:val="0"/>
    <w:pPr>
      <w:spacing w:line="500" w:lineRule="exact"/>
    </w:pPr>
    <w:rPr>
      <w:b/>
      <w:bCs/>
      <w:sz w:val="24"/>
    </w:rPr>
  </w:style>
  <w:style w:type="paragraph" w:styleId="19">
    <w:name w:val="Body Text"/>
    <w:basedOn w:val="1"/>
    <w:link w:val="234"/>
    <w:qFormat/>
    <w:uiPriority w:val="99"/>
    <w:pPr>
      <w:spacing w:line="380" w:lineRule="exact"/>
    </w:pPr>
    <w:rPr>
      <w:sz w:val="24"/>
    </w:rPr>
  </w:style>
  <w:style w:type="paragraph" w:styleId="20">
    <w:name w:val="Body Text Indent"/>
    <w:basedOn w:val="1"/>
    <w:link w:val="235"/>
    <w:qFormat/>
    <w:uiPriority w:val="0"/>
    <w:pPr>
      <w:ind w:firstLine="830"/>
    </w:pPr>
    <w:rPr>
      <w:rFonts w:ascii="仿宋_GB2312" w:eastAsia="仿宋_GB2312"/>
      <w:sz w:val="32"/>
      <w:szCs w:val="20"/>
    </w:rPr>
  </w:style>
  <w:style w:type="paragraph" w:styleId="21">
    <w:name w:val="List Number 3"/>
    <w:basedOn w:val="1"/>
    <w:qFormat/>
    <w:uiPriority w:val="0"/>
    <w:pPr>
      <w:numPr>
        <w:ilvl w:val="0"/>
        <w:numId w:val="2"/>
      </w:numPr>
    </w:pPr>
  </w:style>
  <w:style w:type="paragraph" w:styleId="22">
    <w:name w:val="List 2"/>
    <w:basedOn w:val="1"/>
    <w:qFormat/>
    <w:uiPriority w:val="0"/>
    <w:pPr>
      <w:ind w:left="100" w:hanging="200"/>
    </w:pPr>
    <w:rPr>
      <w:sz w:val="28"/>
    </w:rPr>
  </w:style>
  <w:style w:type="paragraph" w:styleId="23">
    <w:name w:val="toc 5"/>
    <w:basedOn w:val="1"/>
    <w:next w:val="1"/>
    <w:unhideWhenUsed/>
    <w:qFormat/>
    <w:uiPriority w:val="39"/>
    <w:pPr>
      <w:ind w:left="1680"/>
    </w:pPr>
    <w:rPr>
      <w:rFonts w:ascii="Calibri" w:hAnsi="Calibri"/>
      <w:szCs w:val="22"/>
    </w:rPr>
  </w:style>
  <w:style w:type="paragraph" w:styleId="24">
    <w:name w:val="toc 3"/>
    <w:basedOn w:val="1"/>
    <w:next w:val="1"/>
    <w:unhideWhenUsed/>
    <w:qFormat/>
    <w:uiPriority w:val="39"/>
    <w:pPr>
      <w:ind w:left="840"/>
    </w:pPr>
    <w:rPr>
      <w:rFonts w:ascii="Calibri" w:hAnsi="Calibri"/>
      <w:szCs w:val="22"/>
    </w:rPr>
  </w:style>
  <w:style w:type="paragraph" w:styleId="25">
    <w:name w:val="Plain Text"/>
    <w:basedOn w:val="1"/>
    <w:link w:val="236"/>
    <w:qFormat/>
    <w:uiPriority w:val="0"/>
    <w:rPr>
      <w:rFonts w:ascii="宋体" w:hAnsi="Courier New"/>
      <w:sz w:val="20"/>
      <w:szCs w:val="21"/>
    </w:rPr>
  </w:style>
  <w:style w:type="paragraph" w:styleId="26">
    <w:name w:val="toc 8"/>
    <w:basedOn w:val="1"/>
    <w:next w:val="1"/>
    <w:unhideWhenUsed/>
    <w:qFormat/>
    <w:uiPriority w:val="39"/>
    <w:pPr>
      <w:ind w:left="2940"/>
    </w:pPr>
    <w:rPr>
      <w:rFonts w:ascii="Calibri" w:hAnsi="Calibri"/>
      <w:szCs w:val="22"/>
    </w:rPr>
  </w:style>
  <w:style w:type="paragraph" w:styleId="27">
    <w:name w:val="Date"/>
    <w:basedOn w:val="1"/>
    <w:next w:val="1"/>
    <w:link w:val="237"/>
    <w:qFormat/>
    <w:uiPriority w:val="0"/>
    <w:pPr>
      <w:ind w:left="100"/>
    </w:pPr>
    <w:rPr>
      <w:rFonts w:ascii="宋体" w:hAnsi="Courier New"/>
      <w:sz w:val="20"/>
      <w:szCs w:val="21"/>
    </w:rPr>
  </w:style>
  <w:style w:type="paragraph" w:styleId="28">
    <w:name w:val="Body Text Indent 2"/>
    <w:basedOn w:val="1"/>
    <w:link w:val="238"/>
    <w:qFormat/>
    <w:uiPriority w:val="0"/>
    <w:pPr>
      <w:ind w:firstLine="630"/>
    </w:pPr>
    <w:rPr>
      <w:sz w:val="32"/>
      <w:szCs w:val="20"/>
    </w:rPr>
  </w:style>
  <w:style w:type="paragraph" w:styleId="29">
    <w:name w:val="endnote text"/>
    <w:basedOn w:val="1"/>
    <w:link w:val="239"/>
    <w:unhideWhenUsed/>
    <w:qFormat/>
    <w:uiPriority w:val="99"/>
    <w:pPr>
      <w:jc w:val="left"/>
    </w:pPr>
  </w:style>
  <w:style w:type="paragraph" w:styleId="30">
    <w:name w:val="Balloon Text"/>
    <w:basedOn w:val="1"/>
    <w:link w:val="240"/>
    <w:qFormat/>
    <w:uiPriority w:val="0"/>
    <w:rPr>
      <w:sz w:val="18"/>
      <w:szCs w:val="18"/>
    </w:rPr>
  </w:style>
  <w:style w:type="paragraph" w:styleId="31">
    <w:name w:val="footer"/>
    <w:basedOn w:val="1"/>
    <w:link w:val="241"/>
    <w:unhideWhenUsed/>
    <w:qFormat/>
    <w:uiPriority w:val="99"/>
    <w:pPr>
      <w:tabs>
        <w:tab w:val="center" w:pos="4153"/>
        <w:tab w:val="right" w:pos="8306"/>
      </w:tabs>
      <w:jc w:val="left"/>
    </w:pPr>
    <w:rPr>
      <w:sz w:val="18"/>
      <w:szCs w:val="18"/>
    </w:rPr>
  </w:style>
  <w:style w:type="paragraph" w:styleId="32">
    <w:name w:val="header"/>
    <w:basedOn w:val="1"/>
    <w:link w:val="242"/>
    <w:unhideWhenUsed/>
    <w:qFormat/>
    <w:uiPriority w:val="99"/>
    <w:pPr>
      <w:pBdr>
        <w:bottom w:val="single" w:color="000000" w:sz="6" w:space="1"/>
      </w:pBdr>
      <w:tabs>
        <w:tab w:val="center" w:pos="0"/>
        <w:tab w:val="left" w:pos="8306"/>
      </w:tabs>
      <w:jc w:val="center"/>
    </w:pPr>
    <w:rPr>
      <w:sz w:val="18"/>
      <w:szCs w:val="18"/>
    </w:rPr>
  </w:style>
  <w:style w:type="paragraph" w:styleId="33">
    <w:name w:val="toc 1"/>
    <w:basedOn w:val="1"/>
    <w:next w:val="1"/>
    <w:qFormat/>
    <w:uiPriority w:val="39"/>
    <w:pPr>
      <w:tabs>
        <w:tab w:val="right" w:leader="dot" w:pos="8398"/>
      </w:tabs>
      <w:spacing w:before="120" w:after="120"/>
      <w:ind w:firstLine="240"/>
      <w:jc w:val="left"/>
    </w:pPr>
    <w:rPr>
      <w:rFonts w:ascii="宋体" w:hAnsi="宋体"/>
      <w:b/>
      <w:bCs/>
      <w:caps/>
      <w:sz w:val="24"/>
    </w:rPr>
  </w:style>
  <w:style w:type="paragraph" w:styleId="34">
    <w:name w:val="toc 4"/>
    <w:basedOn w:val="1"/>
    <w:next w:val="1"/>
    <w:unhideWhenUsed/>
    <w:qFormat/>
    <w:uiPriority w:val="39"/>
    <w:pPr>
      <w:ind w:left="1260"/>
    </w:pPr>
    <w:rPr>
      <w:rFonts w:ascii="Calibri" w:hAnsi="Calibri"/>
      <w:szCs w:val="22"/>
    </w:rPr>
  </w:style>
  <w:style w:type="paragraph" w:styleId="35">
    <w:name w:val="Subtitle"/>
    <w:basedOn w:val="1"/>
    <w:next w:val="1"/>
    <w:link w:val="204"/>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36">
    <w:name w:val="List"/>
    <w:basedOn w:val="1"/>
    <w:qFormat/>
    <w:uiPriority w:val="0"/>
    <w:pPr>
      <w:ind w:left="200" w:hanging="200"/>
    </w:pPr>
    <w:rPr>
      <w:sz w:val="28"/>
    </w:rPr>
  </w:style>
  <w:style w:type="paragraph" w:styleId="37">
    <w:name w:val="footnote text"/>
    <w:basedOn w:val="1"/>
    <w:link w:val="243"/>
    <w:unhideWhenUsed/>
    <w:qFormat/>
    <w:uiPriority w:val="99"/>
    <w:pPr>
      <w:jc w:val="left"/>
    </w:pPr>
    <w:rPr>
      <w:sz w:val="18"/>
      <w:szCs w:val="18"/>
    </w:rPr>
  </w:style>
  <w:style w:type="paragraph" w:styleId="38">
    <w:name w:val="toc 6"/>
    <w:basedOn w:val="1"/>
    <w:next w:val="1"/>
    <w:unhideWhenUsed/>
    <w:qFormat/>
    <w:uiPriority w:val="39"/>
    <w:pPr>
      <w:ind w:left="2100"/>
    </w:pPr>
    <w:rPr>
      <w:rFonts w:ascii="Calibri" w:hAnsi="Calibri"/>
      <w:szCs w:val="22"/>
    </w:rPr>
  </w:style>
  <w:style w:type="paragraph" w:styleId="39">
    <w:name w:val="Body Text Indent 3"/>
    <w:basedOn w:val="1"/>
    <w:link w:val="244"/>
    <w:qFormat/>
    <w:uiPriority w:val="0"/>
    <w:pPr>
      <w:spacing w:after="120"/>
      <w:ind w:left="420"/>
    </w:pPr>
    <w:rPr>
      <w:sz w:val="16"/>
      <w:szCs w:val="16"/>
    </w:rPr>
  </w:style>
  <w:style w:type="paragraph" w:styleId="40">
    <w:name w:val="table of figures"/>
    <w:basedOn w:val="1"/>
    <w:next w:val="1"/>
    <w:unhideWhenUsed/>
    <w:qFormat/>
    <w:uiPriority w:val="99"/>
  </w:style>
  <w:style w:type="paragraph" w:styleId="41">
    <w:name w:val="toc 2"/>
    <w:basedOn w:val="1"/>
    <w:next w:val="1"/>
    <w:unhideWhenUsed/>
    <w:qFormat/>
    <w:uiPriority w:val="39"/>
    <w:pPr>
      <w:ind w:left="420"/>
    </w:pPr>
  </w:style>
  <w:style w:type="paragraph" w:styleId="42">
    <w:name w:val="toc 9"/>
    <w:basedOn w:val="1"/>
    <w:next w:val="1"/>
    <w:unhideWhenUsed/>
    <w:qFormat/>
    <w:uiPriority w:val="39"/>
    <w:pPr>
      <w:ind w:left="3360"/>
    </w:pPr>
    <w:rPr>
      <w:rFonts w:ascii="Calibri" w:hAnsi="Calibri"/>
      <w:szCs w:val="22"/>
    </w:rPr>
  </w:style>
  <w:style w:type="paragraph" w:styleId="43">
    <w:name w:val="Body Text 2"/>
    <w:basedOn w:val="1"/>
    <w:link w:val="245"/>
    <w:qFormat/>
    <w:uiPriority w:val="0"/>
    <w:pPr>
      <w:spacing w:after="120" w:line="480" w:lineRule="auto"/>
    </w:pPr>
    <w:rPr>
      <w:sz w:val="20"/>
    </w:rPr>
  </w:style>
  <w:style w:type="paragraph" w:styleId="44">
    <w:name w:val="Normal (Web)"/>
    <w:basedOn w:val="1"/>
    <w:qFormat/>
    <w:uiPriority w:val="99"/>
    <w:pPr>
      <w:widowControl/>
      <w:spacing w:before="100" w:beforeAutospacing="1" w:after="100" w:afterAutospacing="1"/>
      <w:jc w:val="left"/>
    </w:pPr>
    <w:rPr>
      <w:rFonts w:ascii="宋体" w:hAnsi="宋体"/>
      <w:sz w:val="24"/>
    </w:rPr>
  </w:style>
  <w:style w:type="paragraph" w:styleId="45">
    <w:name w:val="index 1"/>
    <w:basedOn w:val="1"/>
    <w:next w:val="1"/>
    <w:qFormat/>
    <w:uiPriority w:val="0"/>
    <w:pPr>
      <w:spacing w:line="400" w:lineRule="exact"/>
      <w:ind w:firstLine="420"/>
    </w:pPr>
    <w:rPr>
      <w:rFonts w:ascii="宋体" w:hAnsi="Courier New"/>
      <w:b/>
      <w:szCs w:val="20"/>
    </w:rPr>
  </w:style>
  <w:style w:type="paragraph" w:styleId="46">
    <w:name w:val="Title"/>
    <w:basedOn w:val="1"/>
    <w:next w:val="1"/>
    <w:link w:val="246"/>
    <w:qFormat/>
    <w:uiPriority w:val="10"/>
    <w:pPr>
      <w:spacing w:before="240" w:after="60"/>
      <w:jc w:val="center"/>
      <w:outlineLvl w:val="0"/>
    </w:pPr>
    <w:rPr>
      <w:rFonts w:ascii="Cambria" w:hAnsi="Cambria"/>
      <w:b/>
      <w:bCs/>
      <w:sz w:val="32"/>
      <w:szCs w:val="32"/>
    </w:rPr>
  </w:style>
  <w:style w:type="paragraph" w:styleId="47">
    <w:name w:val="annotation subject"/>
    <w:basedOn w:val="17"/>
    <w:next w:val="17"/>
    <w:link w:val="247"/>
    <w:unhideWhenUsed/>
    <w:qFormat/>
    <w:uiPriority w:val="99"/>
    <w:rPr>
      <w:b/>
      <w:bCs/>
    </w:rPr>
  </w:style>
  <w:style w:type="paragraph" w:styleId="48">
    <w:name w:val="Body Text First Indent"/>
    <w:basedOn w:val="19"/>
    <w:qFormat/>
    <w:uiPriority w:val="0"/>
    <w:pPr>
      <w:spacing w:after="120" w:line="240" w:lineRule="auto"/>
      <w:ind w:firstLine="420" w:firstLineChars="100"/>
    </w:pPr>
    <w:rPr>
      <w:sz w:val="21"/>
    </w:rPr>
  </w:style>
  <w:style w:type="paragraph" w:styleId="49">
    <w:name w:val="Body Text First Indent 2"/>
    <w:basedOn w:val="20"/>
    <w:qFormat/>
    <w:uiPriority w:val="0"/>
    <w:pPr>
      <w:ind w:firstLine="420" w:firstLineChars="200"/>
    </w:pPr>
    <w:rPr>
      <w:rFonts w:eastAsia="宋体" w:cs="Times New Roman"/>
    </w:rPr>
  </w:style>
  <w:style w:type="table" w:styleId="51">
    <w:name w:val="Table Grid"/>
    <w:basedOn w:val="50"/>
    <w:qFormat/>
    <w:uiPriority w:val="59"/>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3">
    <w:name w:val="Strong"/>
    <w:basedOn w:val="52"/>
    <w:qFormat/>
    <w:uiPriority w:val="22"/>
    <w:rPr>
      <w:b/>
      <w:bCs/>
      <w:shd w:val="clear" w:color="auto" w:fill="FFFFFF"/>
    </w:rPr>
  </w:style>
  <w:style w:type="character" w:styleId="54">
    <w:name w:val="endnote reference"/>
    <w:unhideWhenUsed/>
    <w:qFormat/>
    <w:uiPriority w:val="99"/>
    <w:rPr>
      <w:vertAlign w:val="superscript"/>
    </w:rPr>
  </w:style>
  <w:style w:type="character" w:styleId="55">
    <w:name w:val="page number"/>
    <w:qFormat/>
    <w:uiPriority w:val="0"/>
  </w:style>
  <w:style w:type="character" w:styleId="56">
    <w:name w:val="FollowedHyperlink"/>
    <w:qFormat/>
    <w:uiPriority w:val="0"/>
    <w:rPr>
      <w:color w:val="800080"/>
      <w:u w:val="single"/>
    </w:rPr>
  </w:style>
  <w:style w:type="character" w:styleId="57">
    <w:name w:val="Emphasis"/>
    <w:basedOn w:val="52"/>
    <w:qFormat/>
    <w:uiPriority w:val="20"/>
    <w:rPr>
      <w:rFonts w:ascii="ActionIcon ! important" w:hAnsi="ActionIcon ! important" w:eastAsia="ActionIcon ! important" w:cs="ActionIcon ! important"/>
      <w:b/>
      <w:bCs/>
      <w:color w:val="3D4B62"/>
      <w:sz w:val="19"/>
      <w:szCs w:val="19"/>
    </w:rPr>
  </w:style>
  <w:style w:type="character" w:styleId="58">
    <w:name w:val="HTML Definition"/>
    <w:basedOn w:val="52"/>
    <w:semiHidden/>
    <w:unhideWhenUsed/>
    <w:qFormat/>
    <w:uiPriority w:val="99"/>
  </w:style>
  <w:style w:type="character" w:styleId="59">
    <w:name w:val="HTML Typewriter"/>
    <w:basedOn w:val="52"/>
    <w:semiHidden/>
    <w:unhideWhenUsed/>
    <w:qFormat/>
    <w:uiPriority w:val="99"/>
    <w:rPr>
      <w:rFonts w:ascii="monospace" w:hAnsi="monospace" w:eastAsia="monospace" w:cs="monospace"/>
      <w:sz w:val="20"/>
    </w:rPr>
  </w:style>
  <w:style w:type="character" w:styleId="60">
    <w:name w:val="HTML Acronym"/>
    <w:basedOn w:val="52"/>
    <w:semiHidden/>
    <w:unhideWhenUsed/>
    <w:qFormat/>
    <w:uiPriority w:val="99"/>
  </w:style>
  <w:style w:type="character" w:styleId="61">
    <w:name w:val="HTML Variable"/>
    <w:basedOn w:val="52"/>
    <w:semiHidden/>
    <w:unhideWhenUsed/>
    <w:qFormat/>
    <w:uiPriority w:val="99"/>
  </w:style>
  <w:style w:type="character" w:styleId="62">
    <w:name w:val="Hyperlink"/>
    <w:qFormat/>
    <w:uiPriority w:val="99"/>
    <w:rPr>
      <w:color w:val="0000FF"/>
      <w:u w:val="single"/>
    </w:rPr>
  </w:style>
  <w:style w:type="character" w:styleId="63">
    <w:name w:val="HTML Code"/>
    <w:basedOn w:val="52"/>
    <w:semiHidden/>
    <w:unhideWhenUsed/>
    <w:qFormat/>
    <w:uiPriority w:val="99"/>
    <w:rPr>
      <w:rFonts w:hint="default" w:ascii="monospace" w:hAnsi="monospace" w:eastAsia="monospace" w:cs="monospace"/>
      <w:sz w:val="20"/>
    </w:rPr>
  </w:style>
  <w:style w:type="character" w:styleId="64">
    <w:name w:val="annotation reference"/>
    <w:unhideWhenUsed/>
    <w:qFormat/>
    <w:uiPriority w:val="0"/>
    <w:rPr>
      <w:sz w:val="21"/>
      <w:szCs w:val="21"/>
    </w:rPr>
  </w:style>
  <w:style w:type="character" w:styleId="65">
    <w:name w:val="HTML Cite"/>
    <w:basedOn w:val="52"/>
    <w:semiHidden/>
    <w:unhideWhenUsed/>
    <w:qFormat/>
    <w:uiPriority w:val="99"/>
    <w:rPr>
      <w:shd w:val="clear" w:color="auto" w:fill="FFFFFF"/>
    </w:rPr>
  </w:style>
  <w:style w:type="character" w:styleId="66">
    <w:name w:val="footnote reference"/>
    <w:unhideWhenUsed/>
    <w:qFormat/>
    <w:uiPriority w:val="99"/>
    <w:rPr>
      <w:vertAlign w:val="superscript"/>
    </w:rPr>
  </w:style>
  <w:style w:type="character" w:styleId="67">
    <w:name w:val="HTML Keyboard"/>
    <w:basedOn w:val="52"/>
    <w:semiHidden/>
    <w:unhideWhenUsed/>
    <w:qFormat/>
    <w:uiPriority w:val="99"/>
    <w:rPr>
      <w:rFonts w:hint="default" w:ascii="monospace" w:hAnsi="monospace" w:eastAsia="monospace" w:cs="monospace"/>
      <w:sz w:val="20"/>
    </w:rPr>
  </w:style>
  <w:style w:type="character" w:styleId="68">
    <w:name w:val="HTML Sample"/>
    <w:basedOn w:val="52"/>
    <w:semiHidden/>
    <w:unhideWhenUsed/>
    <w:qFormat/>
    <w:uiPriority w:val="99"/>
    <w:rPr>
      <w:rFonts w:hint="default" w:ascii="monospace" w:hAnsi="monospace" w:eastAsia="monospace" w:cs="monospace"/>
    </w:rPr>
  </w:style>
  <w:style w:type="table" w:customStyle="1" w:styleId="69">
    <w:name w:val="Table Grid Light"/>
    <w:basedOn w:val="50"/>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style>
  <w:style w:type="table" w:customStyle="1" w:styleId="70">
    <w:name w:val="无格式表格 11"/>
    <w:basedOn w:val="50"/>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71">
    <w:name w:val="无格式表格 21"/>
    <w:basedOn w:val="50"/>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72">
    <w:name w:val="无格式表格 31"/>
    <w:basedOn w:val="50"/>
    <w:qFormat/>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73">
    <w:name w:val="无格式表格 41"/>
    <w:basedOn w:val="50"/>
    <w:qFormat/>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74">
    <w:name w:val="无格式表格 51"/>
    <w:basedOn w:val="50"/>
    <w:qFormat/>
    <w:uiPriority w:val="99"/>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75">
    <w:name w:val="网格表 1 浅色1"/>
    <w:basedOn w:val="50"/>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76">
    <w:name w:val="Grid Table 1 Light - Accent 1"/>
    <w:basedOn w:val="50"/>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77">
    <w:name w:val="Grid Table 1 Light - Accent 2"/>
    <w:basedOn w:val="50"/>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78">
    <w:name w:val="Grid Table 1 Light - Accent 3"/>
    <w:basedOn w:val="50"/>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79">
    <w:name w:val="Grid Table 1 Light - Accent 4"/>
    <w:basedOn w:val="50"/>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80">
    <w:name w:val="Grid Table 1 Light - Accent 5"/>
    <w:basedOn w:val="50"/>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81">
    <w:name w:val="Grid Table 1 Light - Accent 6"/>
    <w:basedOn w:val="50"/>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82">
    <w:name w:val="网格表 21"/>
    <w:basedOn w:val="50"/>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3">
    <w:name w:val="Grid Table 2 - Accent 1"/>
    <w:basedOn w:val="50"/>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84">
    <w:name w:val="Grid Table 2 - Accent 2"/>
    <w:basedOn w:val="50"/>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5">
    <w:name w:val="Grid Table 2 - Accent 3"/>
    <w:basedOn w:val="50"/>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6">
    <w:name w:val="Grid Table 2 - Accent 4"/>
    <w:basedOn w:val="50"/>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7">
    <w:name w:val="Grid Table 2 - Accent 5"/>
    <w:basedOn w:val="50"/>
    <w:qFormat/>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8">
    <w:name w:val="Grid Table 2 - Accent 6"/>
    <w:basedOn w:val="50"/>
    <w:qFormat/>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9">
    <w:name w:val="网格表 31"/>
    <w:basedOn w:val="50"/>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0">
    <w:name w:val="Grid Table 3 - Accent 1"/>
    <w:basedOn w:val="50"/>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91">
    <w:name w:val="Grid Table 3 - Accent 2"/>
    <w:basedOn w:val="50"/>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92">
    <w:name w:val="Grid Table 3 - Accent 3"/>
    <w:basedOn w:val="50"/>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93">
    <w:name w:val="Grid Table 3 - Accent 4"/>
    <w:basedOn w:val="50"/>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94">
    <w:name w:val="Grid Table 3 - Accent 5"/>
    <w:basedOn w:val="50"/>
    <w:qFormat/>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95">
    <w:name w:val="Grid Table 3 - Accent 6"/>
    <w:basedOn w:val="50"/>
    <w:qFormat/>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6">
    <w:name w:val="网格表 41"/>
    <w:basedOn w:val="50"/>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7">
    <w:name w:val="Grid Table 4 - Accent 1"/>
    <w:basedOn w:val="50"/>
    <w:qFormat/>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98">
    <w:name w:val="Grid Table 4 - Accent 2"/>
    <w:basedOn w:val="50"/>
    <w:qFormat/>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99">
    <w:name w:val="Grid Table 4 - Accent 3"/>
    <w:basedOn w:val="50"/>
    <w:qFormat/>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00">
    <w:name w:val="Grid Table 4 - Accent 4"/>
    <w:basedOn w:val="50"/>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01">
    <w:name w:val="Grid Table 4 - Accent 5"/>
    <w:basedOn w:val="50"/>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02">
    <w:name w:val="Grid Table 4 - Accent 6"/>
    <w:basedOn w:val="50"/>
    <w:qFormat/>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03">
    <w:name w:val="网格表 5 深色1"/>
    <w:basedOn w:val="5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104">
    <w:name w:val="Grid Table 5 Dark- Accent 1"/>
    <w:basedOn w:val="5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105">
    <w:name w:val="Grid Table 5 Dark - Accent 2"/>
    <w:basedOn w:val="5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106">
    <w:name w:val="Grid Table 5 Dark - Accent 3"/>
    <w:basedOn w:val="5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107">
    <w:name w:val="Grid Table 5 Dark- Accent 4"/>
    <w:basedOn w:val="5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08">
    <w:name w:val="Grid Table 5 Dark - Accent 5"/>
    <w:basedOn w:val="5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09">
    <w:name w:val="Grid Table 5 Dark - Accent 6"/>
    <w:basedOn w:val="5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10">
    <w:name w:val="网格表 6 彩色1"/>
    <w:basedOn w:val="50"/>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11">
    <w:name w:val="Grid Table 6 Colorful - Accent 1"/>
    <w:basedOn w:val="50"/>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12">
    <w:name w:val="Grid Table 6 Colorful - Accent 2"/>
    <w:basedOn w:val="50"/>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13">
    <w:name w:val="Grid Table 6 Colorful - Accent 3"/>
    <w:basedOn w:val="50"/>
    <w:qFormat/>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14:textFill>
          <w14:solidFill>
            <w14:schemeClr w14:val="accent3"/>
          </w14:solidFill>
        </w14:textFill>
      </w:rPr>
      <w:tcPr>
        <w:tcBorders>
          <w:bottom w:val="single" w:color="9BBB59" w:themeColor="accent3" w:themeTint="FE" w:sz="12" w:space="0"/>
        </w:tcBorders>
      </w:tcPr>
    </w:tblStylePr>
    <w:tblStylePr w:type="lastRow">
      <w:rPr>
        <w:b/>
        <w:color w:val="9BBB59" w:themeColor="accent3"/>
        <w14:textFill>
          <w14:solidFill>
            <w14:schemeClr w14:val="accent3"/>
          </w14:solidFill>
        </w14:textFill>
      </w:rPr>
    </w:tblStylePr>
    <w:tblStylePr w:type="firstCol">
      <w:rPr>
        <w:b/>
        <w:color w:val="9BBB59" w:themeColor="accent3"/>
        <w14:textFill>
          <w14:solidFill>
            <w14:schemeClr w14:val="accent3"/>
          </w14:solidFill>
        </w14:textFill>
      </w:rPr>
    </w:tblStylePr>
    <w:tblStylePr w:type="lastCol">
      <w:rPr>
        <w:b/>
        <w:color w:val="9BBB59" w:themeColor="accent3"/>
        <w14:textFill>
          <w14:solidFill>
            <w14:schemeClr w14:val="accent3"/>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14">
    <w:name w:val="Grid Table 6 Colorful - Accent 4"/>
    <w:basedOn w:val="50"/>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15">
    <w:name w:val="Grid Table 6 Colorful - Accent 5"/>
    <w:basedOn w:val="50"/>
    <w:qFormat/>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16">
    <w:name w:val="Grid Table 6 Colorful - Accent 6"/>
    <w:basedOn w:val="50"/>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17">
    <w:name w:val="网格表 7 彩色1"/>
    <w:basedOn w:val="50"/>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18">
    <w:name w:val="Grid Table 7 Colorful - Accent 1"/>
    <w:basedOn w:val="50"/>
    <w:qFormat/>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19">
    <w:name w:val="Grid Table 7 Colorful - Accent 2"/>
    <w:basedOn w:val="50"/>
    <w:qFormat/>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20">
    <w:name w:val="Grid Table 7 Colorful - Accent 3"/>
    <w:basedOn w:val="50"/>
    <w:qFormat/>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sz w:val="22"/>
        <w14:textFill>
          <w14:solidFill>
            <w14:schemeClr w14:val="accent3"/>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sz w:val="22"/>
        <w14:textFill>
          <w14:solidFill>
            <w14:schemeClr w14:val="accent3"/>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14:textFill>
          <w14:solidFill>
            <w14:schemeClr w14:val="accent3"/>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sz w:val="22"/>
        <w14:textFill>
          <w14:solidFill>
            <w14:schemeClr w14:val="accent3"/>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21">
    <w:name w:val="Grid Table 7 Colorful - Accent 4"/>
    <w:basedOn w:val="50"/>
    <w:qFormat/>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22">
    <w:name w:val="Grid Table 7 Colorful - Accent 5"/>
    <w:basedOn w:val="50"/>
    <w:qFormat/>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23">
    <w:name w:val="Grid Table 7 Colorful - Accent 6"/>
    <w:basedOn w:val="50"/>
    <w:qFormat/>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24">
    <w:name w:val="清单表 1 浅色1"/>
    <w:basedOn w:val="50"/>
    <w:qFormat/>
    <w:uiPriority w:val="99"/>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25">
    <w:name w:val="List Table 1 Light - Accent 1"/>
    <w:basedOn w:val="50"/>
    <w:qFormat/>
    <w:uiPriority w:val="99"/>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26">
    <w:name w:val="List Table 1 Light - Accent 2"/>
    <w:basedOn w:val="50"/>
    <w:qFormat/>
    <w:uiPriority w:val="99"/>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27">
    <w:name w:val="List Table 1 Light - Accent 3"/>
    <w:basedOn w:val="50"/>
    <w:qFormat/>
    <w:uiPriority w:val="99"/>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28">
    <w:name w:val="List Table 1 Light - Accent 4"/>
    <w:basedOn w:val="50"/>
    <w:qFormat/>
    <w:uiPriority w:val="99"/>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29">
    <w:name w:val="List Table 1 Light - Accent 5"/>
    <w:basedOn w:val="50"/>
    <w:qFormat/>
    <w:uiPriority w:val="99"/>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30">
    <w:name w:val="List Table 1 Light - Accent 6"/>
    <w:basedOn w:val="50"/>
    <w:qFormat/>
    <w:uiPriority w:val="99"/>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31">
    <w:name w:val="清单表 21"/>
    <w:basedOn w:val="50"/>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2">
    <w:name w:val="List Table 2 - Accent 1"/>
    <w:basedOn w:val="50"/>
    <w:qFormat/>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33">
    <w:name w:val="List Table 2 - Accent 2"/>
    <w:basedOn w:val="50"/>
    <w:qFormat/>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34">
    <w:name w:val="List Table 2 - Accent 3"/>
    <w:basedOn w:val="50"/>
    <w:qFormat/>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35">
    <w:name w:val="List Table 2 - Accent 4"/>
    <w:basedOn w:val="50"/>
    <w:qFormat/>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36">
    <w:name w:val="List Table 2 - Accent 5"/>
    <w:basedOn w:val="50"/>
    <w:qFormat/>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37">
    <w:name w:val="List Table 2 - Accent 6"/>
    <w:basedOn w:val="50"/>
    <w:qFormat/>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38">
    <w:name w:val="清单表 31"/>
    <w:basedOn w:val="50"/>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39">
    <w:name w:val="List Table 3 - Accent 1"/>
    <w:basedOn w:val="50"/>
    <w:qFormat/>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40">
    <w:name w:val="List Table 3 - Accent 2"/>
    <w:basedOn w:val="50"/>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41">
    <w:name w:val="List Table 3 - Accent 3"/>
    <w:basedOn w:val="50"/>
    <w:qFormat/>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42">
    <w:name w:val="List Table 3 - Accent 4"/>
    <w:basedOn w:val="50"/>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43">
    <w:name w:val="List Table 3 - Accent 5"/>
    <w:basedOn w:val="50"/>
    <w:qFormat/>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44">
    <w:name w:val="List Table 3 - Accent 6"/>
    <w:basedOn w:val="50"/>
    <w:qFormat/>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45">
    <w:name w:val="清单表 41"/>
    <w:basedOn w:val="50"/>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46">
    <w:name w:val="List Table 4 - Accent 1"/>
    <w:basedOn w:val="50"/>
    <w:qFormat/>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47">
    <w:name w:val="List Table 4 - Accent 2"/>
    <w:basedOn w:val="50"/>
    <w:qFormat/>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48">
    <w:name w:val="List Table 4 - Accent 3"/>
    <w:basedOn w:val="50"/>
    <w:qFormat/>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49">
    <w:name w:val="List Table 4 - Accent 4"/>
    <w:basedOn w:val="50"/>
    <w:qFormat/>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50">
    <w:name w:val="List Table 4 - Accent 5"/>
    <w:basedOn w:val="50"/>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51">
    <w:name w:val="List Table 4 - Accent 6"/>
    <w:basedOn w:val="50"/>
    <w:qFormat/>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52">
    <w:name w:val="清单表 5 深色1"/>
    <w:basedOn w:val="50"/>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53">
    <w:name w:val="List Table 5 Dark - Accent 1"/>
    <w:basedOn w:val="50"/>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54">
    <w:name w:val="List Table 5 Dark - Accent 2"/>
    <w:basedOn w:val="50"/>
    <w:qFormat/>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55">
    <w:name w:val="List Table 5 Dark - Accent 3"/>
    <w:basedOn w:val="50"/>
    <w:qFormat/>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56">
    <w:name w:val="List Table 5 Dark - Accent 4"/>
    <w:basedOn w:val="50"/>
    <w:qFormat/>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57">
    <w:name w:val="List Table 5 Dark - Accent 5"/>
    <w:basedOn w:val="50"/>
    <w:qFormat/>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58">
    <w:name w:val="List Table 5 Dark - Accent 6"/>
    <w:basedOn w:val="50"/>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59">
    <w:name w:val="清单表 6 彩色1"/>
    <w:basedOn w:val="50"/>
    <w:qFormat/>
    <w:uiPriority w:val="99"/>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60">
    <w:name w:val="List Table 6 Colorful - Accent 1"/>
    <w:basedOn w:val="50"/>
    <w:qFormat/>
    <w:uiPriority w:val="99"/>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61">
    <w:name w:val="List Table 6 Colorful - Accent 2"/>
    <w:basedOn w:val="50"/>
    <w:qFormat/>
    <w:uiPriority w:val="99"/>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62">
    <w:name w:val="List Table 6 Colorful - Accent 3"/>
    <w:basedOn w:val="50"/>
    <w:qFormat/>
    <w:uiPriority w:val="99"/>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63">
    <w:name w:val="List Table 6 Colorful - Accent 4"/>
    <w:basedOn w:val="50"/>
    <w:qFormat/>
    <w:uiPriority w:val="99"/>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64">
    <w:name w:val="List Table 6 Colorful - Accent 5"/>
    <w:basedOn w:val="50"/>
    <w:qFormat/>
    <w:uiPriority w:val="99"/>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65">
    <w:name w:val="List Table 6 Colorful - Accent 6"/>
    <w:basedOn w:val="50"/>
    <w:qFormat/>
    <w:uiPriority w:val="99"/>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66">
    <w:name w:val="清单表 7 彩色1"/>
    <w:basedOn w:val="50"/>
    <w:qFormat/>
    <w:uiPriority w:val="99"/>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67">
    <w:name w:val="List Table 7 Colorful - Accent 1"/>
    <w:basedOn w:val="50"/>
    <w:qFormat/>
    <w:uiPriority w:val="99"/>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68">
    <w:name w:val="List Table 7 Colorful - Accent 2"/>
    <w:basedOn w:val="50"/>
    <w:qFormat/>
    <w:uiPriority w:val="99"/>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69">
    <w:name w:val="List Table 7 Colorful - Accent 3"/>
    <w:basedOn w:val="50"/>
    <w:qFormat/>
    <w:uiPriority w:val="99"/>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70">
    <w:name w:val="List Table 7 Colorful - Accent 4"/>
    <w:basedOn w:val="50"/>
    <w:qFormat/>
    <w:uiPriority w:val="99"/>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71">
    <w:name w:val="List Table 7 Colorful - Accent 5"/>
    <w:basedOn w:val="50"/>
    <w:qFormat/>
    <w:uiPriority w:val="99"/>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72">
    <w:name w:val="List Table 7 Colorful - Accent 6"/>
    <w:basedOn w:val="50"/>
    <w:qFormat/>
    <w:uiPriority w:val="99"/>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73">
    <w:name w:val="Lined - Accent"/>
    <w:basedOn w:val="50"/>
    <w:qFormat/>
    <w:uiPriority w:val="99"/>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4">
    <w:name w:val="Lined - Accent 1"/>
    <w:basedOn w:val="50"/>
    <w:qFormat/>
    <w:uiPriority w:val="99"/>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75">
    <w:name w:val="Lined - Accent 2"/>
    <w:basedOn w:val="50"/>
    <w:qFormat/>
    <w:uiPriority w:val="99"/>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76">
    <w:name w:val="Lined - Accent 3"/>
    <w:basedOn w:val="50"/>
    <w:qFormat/>
    <w:uiPriority w:val="99"/>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7">
    <w:name w:val="Lined - Accent 4"/>
    <w:basedOn w:val="50"/>
    <w:qFormat/>
    <w:uiPriority w:val="99"/>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8">
    <w:name w:val="Lined - Accent 5"/>
    <w:basedOn w:val="50"/>
    <w:qFormat/>
    <w:uiPriority w:val="99"/>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9">
    <w:name w:val="Lined - Accent 6"/>
    <w:basedOn w:val="50"/>
    <w:qFormat/>
    <w:uiPriority w:val="99"/>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80">
    <w:name w:val="Bordered &amp; Lined - Accent"/>
    <w:basedOn w:val="50"/>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81">
    <w:name w:val="Bordered &amp; Lined - Accent 1"/>
    <w:basedOn w:val="50"/>
    <w:qFormat/>
    <w:uiPriority w:val="99"/>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82">
    <w:name w:val="Bordered &amp; Lined - Accent 2"/>
    <w:basedOn w:val="50"/>
    <w:qFormat/>
    <w:uiPriority w:val="99"/>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83">
    <w:name w:val="Bordered &amp; Lined - Accent 3"/>
    <w:basedOn w:val="50"/>
    <w:qFormat/>
    <w:uiPriority w:val="99"/>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84">
    <w:name w:val="Bordered &amp; Lined - Accent 4"/>
    <w:basedOn w:val="50"/>
    <w:qFormat/>
    <w:uiPriority w:val="99"/>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85">
    <w:name w:val="Bordered &amp; Lined - Accent 5"/>
    <w:basedOn w:val="50"/>
    <w:qFormat/>
    <w:uiPriority w:val="99"/>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86">
    <w:name w:val="Bordered &amp; Lined - Accent 6"/>
    <w:basedOn w:val="50"/>
    <w:qFormat/>
    <w:uiPriority w:val="99"/>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87">
    <w:name w:val="Bordered"/>
    <w:basedOn w:val="50"/>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88">
    <w:name w:val="Bordered - Accent 1"/>
    <w:basedOn w:val="50"/>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89">
    <w:name w:val="Bordered - Accent 2"/>
    <w:basedOn w:val="50"/>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90">
    <w:name w:val="Bordered - Accent 3"/>
    <w:basedOn w:val="50"/>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91">
    <w:name w:val="Bordered - Accent 4"/>
    <w:basedOn w:val="50"/>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92">
    <w:name w:val="Bordered - Accent 5"/>
    <w:basedOn w:val="50"/>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93">
    <w:name w:val="Bordered - Accent 6"/>
    <w:basedOn w:val="50"/>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94">
    <w:name w:val="Heading 1 Char"/>
    <w:basedOn w:val="52"/>
    <w:qFormat/>
    <w:uiPriority w:val="9"/>
    <w:rPr>
      <w:rFonts w:ascii="Arial" w:hAnsi="Arial" w:eastAsia="Arial" w:cs="Arial"/>
      <w:color w:val="376092" w:themeColor="accent1" w:themeShade="BF"/>
      <w:sz w:val="40"/>
      <w:szCs w:val="40"/>
    </w:rPr>
  </w:style>
  <w:style w:type="character" w:customStyle="1" w:styleId="195">
    <w:name w:val="Heading 2 Char"/>
    <w:basedOn w:val="52"/>
    <w:qFormat/>
    <w:uiPriority w:val="9"/>
    <w:rPr>
      <w:rFonts w:ascii="Arial" w:hAnsi="Arial" w:eastAsia="Arial" w:cs="Arial"/>
      <w:color w:val="376092" w:themeColor="accent1" w:themeShade="BF"/>
      <w:sz w:val="32"/>
      <w:szCs w:val="32"/>
    </w:rPr>
  </w:style>
  <w:style w:type="character" w:customStyle="1" w:styleId="196">
    <w:name w:val="Heading 3 Char"/>
    <w:basedOn w:val="52"/>
    <w:qFormat/>
    <w:uiPriority w:val="9"/>
    <w:rPr>
      <w:rFonts w:ascii="Arial" w:hAnsi="Arial" w:eastAsia="Arial" w:cs="Arial"/>
      <w:color w:val="376092" w:themeColor="accent1" w:themeShade="BF"/>
      <w:sz w:val="28"/>
      <w:szCs w:val="28"/>
    </w:rPr>
  </w:style>
  <w:style w:type="character" w:customStyle="1" w:styleId="197">
    <w:name w:val="Heading 4 Char"/>
    <w:basedOn w:val="52"/>
    <w:qFormat/>
    <w:uiPriority w:val="9"/>
    <w:rPr>
      <w:rFonts w:ascii="Arial" w:hAnsi="Arial" w:eastAsia="Arial" w:cs="Arial"/>
      <w:i/>
      <w:iCs/>
      <w:color w:val="376092" w:themeColor="accent1" w:themeShade="BF"/>
    </w:rPr>
  </w:style>
  <w:style w:type="character" w:customStyle="1" w:styleId="198">
    <w:name w:val="Heading 5 Char"/>
    <w:basedOn w:val="52"/>
    <w:qFormat/>
    <w:uiPriority w:val="9"/>
    <w:rPr>
      <w:rFonts w:ascii="Arial" w:hAnsi="Arial" w:eastAsia="Arial" w:cs="Arial"/>
      <w:color w:val="376092" w:themeColor="accent1" w:themeShade="BF"/>
    </w:rPr>
  </w:style>
  <w:style w:type="character" w:customStyle="1" w:styleId="199">
    <w:name w:val="Heading 6 Char"/>
    <w:basedOn w:val="52"/>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200">
    <w:name w:val="Heading 7 Char"/>
    <w:basedOn w:val="52"/>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201">
    <w:name w:val="Heading 8 Char"/>
    <w:basedOn w:val="52"/>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202">
    <w:name w:val="Heading 9 Char"/>
    <w:basedOn w:val="52"/>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203">
    <w:name w:val="Title Char"/>
    <w:basedOn w:val="52"/>
    <w:qFormat/>
    <w:uiPriority w:val="10"/>
    <w:rPr>
      <w:rFonts w:ascii="Arial" w:hAnsi="Arial" w:eastAsia="Arial" w:cs="Arial"/>
      <w:spacing w:val="-10"/>
      <w:sz w:val="56"/>
      <w:szCs w:val="56"/>
    </w:rPr>
  </w:style>
  <w:style w:type="character" w:customStyle="1" w:styleId="204">
    <w:name w:val="副标题 字符"/>
    <w:basedOn w:val="52"/>
    <w:link w:val="35"/>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05">
    <w:name w:val="Quote"/>
    <w:basedOn w:val="1"/>
    <w:next w:val="1"/>
    <w:link w:val="206"/>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06">
    <w:name w:val="引用 字符"/>
    <w:basedOn w:val="52"/>
    <w:link w:val="205"/>
    <w:qFormat/>
    <w:uiPriority w:val="29"/>
    <w:rPr>
      <w:i/>
      <w:iCs/>
      <w:color w:val="404040" w:themeColor="text1" w:themeTint="BF"/>
      <w14:textFill>
        <w14:solidFill>
          <w14:schemeClr w14:val="tx1">
            <w14:lumMod w14:val="75000"/>
            <w14:lumOff w14:val="25000"/>
          </w14:schemeClr>
        </w14:solidFill>
      </w14:textFill>
    </w:rPr>
  </w:style>
  <w:style w:type="character" w:customStyle="1" w:styleId="207">
    <w:name w:val="明显强调1"/>
    <w:basedOn w:val="52"/>
    <w:qFormat/>
    <w:uiPriority w:val="21"/>
    <w:rPr>
      <w:i/>
      <w:iCs/>
      <w:color w:val="376092" w:themeColor="accent1" w:themeShade="BF"/>
    </w:rPr>
  </w:style>
  <w:style w:type="paragraph" w:styleId="208">
    <w:name w:val="Intense Quote"/>
    <w:basedOn w:val="1"/>
    <w:next w:val="1"/>
    <w:link w:val="209"/>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209">
    <w:name w:val="明显引用 字符"/>
    <w:basedOn w:val="52"/>
    <w:link w:val="208"/>
    <w:qFormat/>
    <w:uiPriority w:val="30"/>
    <w:rPr>
      <w:i/>
      <w:iCs/>
      <w:color w:val="376092" w:themeColor="accent1" w:themeShade="BF"/>
    </w:rPr>
  </w:style>
  <w:style w:type="character" w:customStyle="1" w:styleId="210">
    <w:name w:val="明显参考1"/>
    <w:basedOn w:val="52"/>
    <w:qFormat/>
    <w:uiPriority w:val="32"/>
    <w:rPr>
      <w:b/>
      <w:bCs/>
      <w:smallCaps/>
      <w:color w:val="376092" w:themeColor="accent1" w:themeShade="BF"/>
      <w:spacing w:val="5"/>
    </w:rPr>
  </w:style>
  <w:style w:type="character" w:customStyle="1" w:styleId="211">
    <w:name w:val="不明显强调1"/>
    <w:basedOn w:val="52"/>
    <w:qFormat/>
    <w:uiPriority w:val="19"/>
    <w:rPr>
      <w:i/>
      <w:iCs/>
      <w:color w:val="404040" w:themeColor="text1" w:themeTint="BF"/>
      <w14:textFill>
        <w14:solidFill>
          <w14:schemeClr w14:val="tx1">
            <w14:lumMod w14:val="75000"/>
            <w14:lumOff w14:val="25000"/>
          </w14:schemeClr>
        </w14:solidFill>
      </w14:textFill>
    </w:rPr>
  </w:style>
  <w:style w:type="character" w:customStyle="1" w:styleId="212">
    <w:name w:val="不明显参考1"/>
    <w:basedOn w:val="52"/>
    <w:qFormat/>
    <w:uiPriority w:val="31"/>
    <w:rPr>
      <w:smallCaps/>
      <w:color w:val="595959" w:themeColor="text1" w:themeTint="A6"/>
      <w14:textFill>
        <w14:solidFill>
          <w14:schemeClr w14:val="tx1">
            <w14:lumMod w14:val="65000"/>
            <w14:lumOff w14:val="35000"/>
          </w14:schemeClr>
        </w14:solidFill>
      </w14:textFill>
    </w:rPr>
  </w:style>
  <w:style w:type="character" w:customStyle="1" w:styleId="213">
    <w:name w:val="书籍标题1"/>
    <w:basedOn w:val="52"/>
    <w:qFormat/>
    <w:uiPriority w:val="33"/>
    <w:rPr>
      <w:b/>
      <w:bCs/>
      <w:i/>
      <w:iCs/>
      <w:spacing w:val="5"/>
    </w:rPr>
  </w:style>
  <w:style w:type="character" w:customStyle="1" w:styleId="214">
    <w:name w:val="Header Char"/>
    <w:basedOn w:val="52"/>
    <w:qFormat/>
    <w:uiPriority w:val="99"/>
  </w:style>
  <w:style w:type="character" w:customStyle="1" w:styleId="215">
    <w:name w:val="Footer Char"/>
    <w:basedOn w:val="52"/>
    <w:qFormat/>
    <w:uiPriority w:val="99"/>
  </w:style>
  <w:style w:type="character" w:customStyle="1" w:styleId="216">
    <w:name w:val="Footnote Text Char"/>
    <w:basedOn w:val="52"/>
    <w:semiHidden/>
    <w:qFormat/>
    <w:uiPriority w:val="99"/>
    <w:rPr>
      <w:sz w:val="20"/>
      <w:szCs w:val="20"/>
    </w:rPr>
  </w:style>
  <w:style w:type="character" w:customStyle="1" w:styleId="217">
    <w:name w:val="Endnote Text Char"/>
    <w:basedOn w:val="52"/>
    <w:semiHidden/>
    <w:qFormat/>
    <w:uiPriority w:val="99"/>
    <w:rPr>
      <w:sz w:val="20"/>
      <w:szCs w:val="20"/>
    </w:rPr>
  </w:style>
  <w:style w:type="character" w:styleId="218">
    <w:name w:val="Placeholder Text"/>
    <w:basedOn w:val="52"/>
    <w:semiHidden/>
    <w:qFormat/>
    <w:uiPriority w:val="99"/>
    <w:rPr>
      <w:color w:val="666666"/>
    </w:rPr>
  </w:style>
  <w:style w:type="paragraph" w:customStyle="1" w:styleId="219">
    <w:name w:val="TOC 标题1"/>
    <w:unhideWhenUsed/>
    <w:qFormat/>
    <w:uiPriority w:val="39"/>
    <w:rPr>
      <w:rFonts w:ascii="Times New Roman" w:hAnsi="Times New Roman" w:eastAsia="宋体" w:cs="Times New Roman"/>
      <w:lang w:val="en-US" w:eastAsia="zh-CN" w:bidi="ar-SA"/>
    </w:rPr>
  </w:style>
  <w:style w:type="paragraph" w:customStyle="1" w:styleId="220">
    <w:name w:val="表格文字"/>
    <w:basedOn w:val="221"/>
    <w:link w:val="285"/>
    <w:qFormat/>
    <w:uiPriority w:val="99"/>
    <w:pPr>
      <w:spacing w:before="25" w:after="25"/>
      <w:jc w:val="left"/>
    </w:pPr>
    <w:rPr>
      <w:bCs/>
      <w:spacing w:val="10"/>
      <w:sz w:val="24"/>
      <w:szCs w:val="20"/>
    </w:rPr>
  </w:style>
  <w:style w:type="paragraph" w:customStyle="1" w:styleId="221">
    <w:name w:val="正文_0"/>
    <w:next w:val="1"/>
    <w:qFormat/>
    <w:uiPriority w:val="0"/>
    <w:pPr>
      <w:widowControl w:val="0"/>
      <w:jc w:val="both"/>
    </w:pPr>
    <w:rPr>
      <w:rFonts w:ascii="Calibri" w:hAnsi="Calibri" w:eastAsia="宋体" w:cs="Times New Roman"/>
      <w:sz w:val="21"/>
      <w:szCs w:val="22"/>
      <w:lang w:val="en-US" w:eastAsia="zh-CN" w:bidi="ar-SA"/>
    </w:rPr>
  </w:style>
  <w:style w:type="character" w:customStyle="1" w:styleId="222">
    <w:name w:val="标题 1 字符1"/>
    <w:link w:val="2"/>
    <w:qFormat/>
    <w:uiPriority w:val="0"/>
    <w:rPr>
      <w:rFonts w:ascii="Times New Roman" w:hAnsi="Times New Roman" w:eastAsia="宋体" w:cs="Times New Roman"/>
      <w:b/>
      <w:bCs/>
      <w:sz w:val="44"/>
      <w:szCs w:val="44"/>
    </w:rPr>
  </w:style>
  <w:style w:type="character" w:customStyle="1" w:styleId="223">
    <w:name w:val="标题 2 字符"/>
    <w:link w:val="3"/>
    <w:qFormat/>
    <w:uiPriority w:val="0"/>
    <w:rPr>
      <w:rFonts w:ascii="Arial" w:hAnsi="Arial" w:eastAsia="黑体" w:cs="Times New Roman"/>
      <w:b/>
      <w:bCs/>
      <w:sz w:val="32"/>
      <w:szCs w:val="32"/>
    </w:rPr>
  </w:style>
  <w:style w:type="character" w:customStyle="1" w:styleId="224">
    <w:name w:val="标题 3 字符"/>
    <w:link w:val="4"/>
    <w:qFormat/>
    <w:uiPriority w:val="0"/>
    <w:rPr>
      <w:rFonts w:ascii="Times New Roman" w:hAnsi="Times New Roman" w:eastAsia="宋体" w:cs="Times New Roman"/>
      <w:b/>
      <w:bCs/>
      <w:sz w:val="32"/>
      <w:szCs w:val="32"/>
    </w:rPr>
  </w:style>
  <w:style w:type="character" w:customStyle="1" w:styleId="225">
    <w:name w:val="标题 4 Char"/>
    <w:basedOn w:val="52"/>
    <w:qFormat/>
    <w:uiPriority w:val="10"/>
    <w:rPr>
      <w:rFonts w:ascii="Calibri Light" w:hAnsi="Calibri Light" w:eastAsia="宋体" w:cs="Times New Roman"/>
      <w:b/>
      <w:bCs/>
      <w:sz w:val="28"/>
      <w:szCs w:val="28"/>
    </w:rPr>
  </w:style>
  <w:style w:type="character" w:customStyle="1" w:styleId="226">
    <w:name w:val="标题 5 字符"/>
    <w:link w:val="6"/>
    <w:qFormat/>
    <w:uiPriority w:val="0"/>
    <w:rPr>
      <w:b/>
      <w:sz w:val="28"/>
      <w:szCs w:val="24"/>
    </w:rPr>
  </w:style>
  <w:style w:type="character" w:customStyle="1" w:styleId="227">
    <w:name w:val="标题 6 字符"/>
    <w:link w:val="8"/>
    <w:qFormat/>
    <w:uiPriority w:val="0"/>
    <w:rPr>
      <w:rFonts w:ascii="Arial" w:hAnsi="Arial" w:eastAsia="黑体"/>
      <w:b/>
      <w:sz w:val="24"/>
      <w:szCs w:val="24"/>
    </w:rPr>
  </w:style>
  <w:style w:type="character" w:customStyle="1" w:styleId="228">
    <w:name w:val="标题 7 字符"/>
    <w:link w:val="9"/>
    <w:qFormat/>
    <w:uiPriority w:val="0"/>
    <w:rPr>
      <w:rFonts w:ascii="Times New Roman" w:hAnsi="Times New Roman"/>
      <w:b/>
      <w:sz w:val="24"/>
      <w:szCs w:val="24"/>
    </w:rPr>
  </w:style>
  <w:style w:type="character" w:customStyle="1" w:styleId="229">
    <w:name w:val="标题 8 字符"/>
    <w:link w:val="10"/>
    <w:qFormat/>
    <w:uiPriority w:val="0"/>
    <w:rPr>
      <w:rFonts w:ascii="Arial" w:hAnsi="Arial" w:eastAsia="黑体"/>
      <w:sz w:val="24"/>
      <w:szCs w:val="24"/>
    </w:rPr>
  </w:style>
  <w:style w:type="character" w:customStyle="1" w:styleId="230">
    <w:name w:val="标题 9 字符"/>
    <w:link w:val="11"/>
    <w:qFormat/>
    <w:uiPriority w:val="0"/>
    <w:rPr>
      <w:rFonts w:ascii="Arial" w:hAnsi="Arial" w:eastAsia="黑体"/>
      <w:sz w:val="21"/>
      <w:szCs w:val="24"/>
    </w:rPr>
  </w:style>
  <w:style w:type="character" w:customStyle="1" w:styleId="231">
    <w:name w:val="文档结构图 字符"/>
    <w:link w:val="16"/>
    <w:qFormat/>
    <w:uiPriority w:val="0"/>
    <w:rPr>
      <w:rFonts w:hint="eastAsia" w:ascii="宋体" w:hAnsi="宋体" w:eastAsia="宋体" w:cs="宋体"/>
    </w:rPr>
  </w:style>
  <w:style w:type="character" w:customStyle="1" w:styleId="232">
    <w:name w:val="批注文字 字符2"/>
    <w:link w:val="17"/>
    <w:qFormat/>
    <w:uiPriority w:val="0"/>
    <w:rPr>
      <w:rFonts w:ascii="Times New Roman" w:hAnsi="Times New Roman"/>
      <w:sz w:val="21"/>
      <w:szCs w:val="24"/>
    </w:rPr>
  </w:style>
  <w:style w:type="character" w:customStyle="1" w:styleId="233">
    <w:name w:val="正文文本 3 字符"/>
    <w:link w:val="18"/>
    <w:qFormat/>
    <w:uiPriority w:val="0"/>
    <w:rPr>
      <w:rFonts w:ascii="Times New Roman" w:hAnsi="Times New Roman" w:eastAsia="宋体" w:cs="Times New Roman"/>
      <w:b/>
      <w:bCs/>
      <w:sz w:val="24"/>
      <w:szCs w:val="24"/>
    </w:rPr>
  </w:style>
  <w:style w:type="character" w:customStyle="1" w:styleId="234">
    <w:name w:val="正文文本 字符"/>
    <w:link w:val="19"/>
    <w:qFormat/>
    <w:uiPriority w:val="99"/>
    <w:rPr>
      <w:rFonts w:ascii="Times New Roman" w:hAnsi="Times New Roman" w:eastAsia="宋体" w:cs="Times New Roman"/>
      <w:sz w:val="24"/>
      <w:szCs w:val="24"/>
    </w:rPr>
  </w:style>
  <w:style w:type="character" w:customStyle="1" w:styleId="235">
    <w:name w:val="正文文本缩进 字符1"/>
    <w:link w:val="20"/>
    <w:qFormat/>
    <w:uiPriority w:val="0"/>
    <w:rPr>
      <w:rFonts w:ascii="仿宋_GB2312" w:hAnsi="Times New Roman" w:eastAsia="仿宋_GB2312" w:cs="Times New Roman"/>
      <w:sz w:val="32"/>
      <w:szCs w:val="20"/>
    </w:rPr>
  </w:style>
  <w:style w:type="character" w:customStyle="1" w:styleId="236">
    <w:name w:val="纯文本 字符2"/>
    <w:link w:val="25"/>
    <w:qFormat/>
    <w:uiPriority w:val="0"/>
    <w:rPr>
      <w:rFonts w:ascii="宋体" w:hAnsi="Courier New" w:eastAsia="宋体" w:cs="Courier New"/>
      <w:szCs w:val="21"/>
    </w:rPr>
  </w:style>
  <w:style w:type="character" w:customStyle="1" w:styleId="237">
    <w:name w:val="日期 字符"/>
    <w:link w:val="27"/>
    <w:qFormat/>
    <w:uiPriority w:val="0"/>
    <w:rPr>
      <w:rFonts w:ascii="宋体" w:hAnsi="Courier New" w:eastAsia="宋体" w:cs="Courier New"/>
      <w:szCs w:val="21"/>
    </w:rPr>
  </w:style>
  <w:style w:type="character" w:customStyle="1" w:styleId="238">
    <w:name w:val="正文文本缩进 2 字符"/>
    <w:link w:val="28"/>
    <w:qFormat/>
    <w:uiPriority w:val="0"/>
    <w:rPr>
      <w:rFonts w:ascii="Times New Roman" w:hAnsi="Times New Roman" w:eastAsia="宋体" w:cs="Times New Roman"/>
      <w:sz w:val="32"/>
      <w:szCs w:val="20"/>
    </w:rPr>
  </w:style>
  <w:style w:type="character" w:customStyle="1" w:styleId="239">
    <w:name w:val="尾注文本 字符"/>
    <w:link w:val="29"/>
    <w:qFormat/>
    <w:uiPriority w:val="99"/>
    <w:rPr>
      <w:rFonts w:ascii="Times New Roman" w:hAnsi="Times New Roman"/>
      <w:sz w:val="21"/>
      <w:szCs w:val="24"/>
    </w:rPr>
  </w:style>
  <w:style w:type="character" w:customStyle="1" w:styleId="240">
    <w:name w:val="批注框文本 字符"/>
    <w:link w:val="30"/>
    <w:qFormat/>
    <w:uiPriority w:val="0"/>
    <w:rPr>
      <w:rFonts w:ascii="Times New Roman" w:hAnsi="Times New Roman" w:eastAsia="宋体" w:cs="Times New Roman"/>
      <w:sz w:val="18"/>
      <w:szCs w:val="18"/>
    </w:rPr>
  </w:style>
  <w:style w:type="character" w:customStyle="1" w:styleId="241">
    <w:name w:val="页脚 字符1"/>
    <w:link w:val="31"/>
    <w:qFormat/>
    <w:uiPriority w:val="99"/>
    <w:rPr>
      <w:sz w:val="18"/>
      <w:szCs w:val="18"/>
    </w:rPr>
  </w:style>
  <w:style w:type="character" w:customStyle="1" w:styleId="242">
    <w:name w:val="页眉 字符"/>
    <w:link w:val="32"/>
    <w:qFormat/>
    <w:uiPriority w:val="99"/>
    <w:rPr>
      <w:rFonts w:ascii="Times New Roman" w:hAnsi="Times New Roman"/>
      <w:sz w:val="18"/>
      <w:szCs w:val="18"/>
    </w:rPr>
  </w:style>
  <w:style w:type="character" w:customStyle="1" w:styleId="243">
    <w:name w:val="脚注文本 字符"/>
    <w:link w:val="37"/>
    <w:qFormat/>
    <w:uiPriority w:val="99"/>
    <w:rPr>
      <w:rFonts w:ascii="Times New Roman" w:hAnsi="Times New Roman"/>
      <w:sz w:val="18"/>
      <w:szCs w:val="18"/>
    </w:rPr>
  </w:style>
  <w:style w:type="character" w:customStyle="1" w:styleId="244">
    <w:name w:val="正文文本缩进 3 字符"/>
    <w:link w:val="39"/>
    <w:qFormat/>
    <w:uiPriority w:val="0"/>
    <w:rPr>
      <w:rFonts w:ascii="Times New Roman" w:hAnsi="Times New Roman" w:eastAsia="宋体" w:cs="Times New Roman"/>
      <w:sz w:val="16"/>
      <w:szCs w:val="16"/>
    </w:rPr>
  </w:style>
  <w:style w:type="character" w:customStyle="1" w:styleId="245">
    <w:name w:val="正文文本 2 字符"/>
    <w:link w:val="43"/>
    <w:qFormat/>
    <w:uiPriority w:val="0"/>
    <w:rPr>
      <w:rFonts w:ascii="Times New Roman" w:hAnsi="Times New Roman" w:eastAsia="宋体" w:cs="Times New Roman"/>
      <w:szCs w:val="24"/>
    </w:rPr>
  </w:style>
  <w:style w:type="character" w:customStyle="1" w:styleId="246">
    <w:name w:val="标题 字符"/>
    <w:link w:val="46"/>
    <w:qFormat/>
    <w:uiPriority w:val="10"/>
    <w:rPr>
      <w:rFonts w:ascii="Cambria" w:hAnsi="Cambria" w:cs="Times New Roman"/>
      <w:b/>
      <w:bCs/>
      <w:sz w:val="32"/>
      <w:szCs w:val="32"/>
    </w:rPr>
  </w:style>
  <w:style w:type="character" w:customStyle="1" w:styleId="247">
    <w:name w:val="批注主题 字符"/>
    <w:link w:val="47"/>
    <w:qFormat/>
    <w:uiPriority w:val="99"/>
    <w:rPr>
      <w:rFonts w:ascii="Times New Roman" w:hAnsi="Times New Roman"/>
      <w:b/>
      <w:bCs/>
      <w:sz w:val="21"/>
      <w:szCs w:val="24"/>
    </w:rPr>
  </w:style>
  <w:style w:type="character" w:customStyle="1" w:styleId="248">
    <w:name w:val="标题 4 字符"/>
    <w:basedOn w:val="52"/>
    <w:link w:val="5"/>
    <w:semiHidden/>
    <w:qFormat/>
    <w:uiPriority w:val="9"/>
    <w:rPr>
      <w:rFonts w:ascii="Cambria" w:hAnsi="Cambria" w:eastAsia="宋体" w:cs="Times New Roman"/>
      <w:b/>
      <w:bCs/>
      <w:sz w:val="28"/>
      <w:szCs w:val="28"/>
    </w:rPr>
  </w:style>
  <w:style w:type="character" w:customStyle="1" w:styleId="249">
    <w:name w:val="批注文字 Char1"/>
    <w:semiHidden/>
    <w:qFormat/>
    <w:uiPriority w:val="0"/>
    <w:rPr>
      <w:rFonts w:ascii="Times New Roman" w:hAnsi="Times New Roman"/>
      <w:sz w:val="21"/>
      <w:szCs w:val="24"/>
    </w:rPr>
  </w:style>
  <w:style w:type="character" w:customStyle="1" w:styleId="250">
    <w:name w:val="case31"/>
    <w:qFormat/>
    <w:uiPriority w:val="0"/>
    <w:rPr>
      <w:rFonts w:hint="default" w:ascii="_x000B__x000C_" w:hAnsi="_x000B__x000C_"/>
      <w:sz w:val="21"/>
      <w:szCs w:val="21"/>
    </w:rPr>
  </w:style>
  <w:style w:type="character" w:customStyle="1" w:styleId="251">
    <w:name w:val="批注文字 Char"/>
    <w:qFormat/>
    <w:uiPriority w:val="99"/>
    <w:rPr>
      <w:rFonts w:ascii="Times New Roman" w:hAnsi="Times New Roman"/>
      <w:sz w:val="21"/>
      <w:szCs w:val="24"/>
    </w:rPr>
  </w:style>
  <w:style w:type="character" w:customStyle="1" w:styleId="252">
    <w:name w:val="纯文本 Char"/>
    <w:qFormat/>
    <w:uiPriority w:val="0"/>
    <w:rPr>
      <w:rFonts w:ascii="宋体" w:hAnsi="Courier New" w:eastAsia="宋体"/>
      <w:sz w:val="21"/>
      <w:lang w:val="en-US" w:eastAsia="zh-CN" w:bidi="ar-SA"/>
    </w:rPr>
  </w:style>
  <w:style w:type="character" w:customStyle="1" w:styleId="253">
    <w:name w:val="纯文本 字符1"/>
    <w:qFormat/>
    <w:uiPriority w:val="0"/>
    <w:rPr>
      <w:rFonts w:ascii="宋体" w:hAnsi="Courier New"/>
    </w:rPr>
  </w:style>
  <w:style w:type="character" w:customStyle="1" w:styleId="254">
    <w:name w:val="批注文字 字符1"/>
    <w:qFormat/>
    <w:uiPriority w:val="0"/>
    <w:rPr>
      <w:rFonts w:ascii="Times New Roman" w:hAnsi="Times New Roman"/>
      <w:sz w:val="21"/>
      <w:szCs w:val="24"/>
    </w:rPr>
  </w:style>
  <w:style w:type="character" w:customStyle="1" w:styleId="255">
    <w:name w:val="正文文本 Char1"/>
    <w:semiHidden/>
    <w:qFormat/>
    <w:uiPriority w:val="99"/>
    <w:rPr>
      <w:sz w:val="24"/>
      <w:szCs w:val="24"/>
    </w:rPr>
  </w:style>
  <w:style w:type="character" w:customStyle="1" w:styleId="256">
    <w:name w:val="apple-style-span"/>
    <w:qFormat/>
    <w:uiPriority w:val="0"/>
  </w:style>
  <w:style w:type="character" w:customStyle="1" w:styleId="257">
    <w:name w:val="textcontents"/>
    <w:qFormat/>
    <w:uiPriority w:val="0"/>
  </w:style>
  <w:style w:type="character" w:customStyle="1" w:styleId="258">
    <w:name w:val="普通文字 Char Char2"/>
    <w:qFormat/>
    <w:uiPriority w:val="0"/>
    <w:rPr>
      <w:rFonts w:ascii="宋体" w:hAnsi="Courier New" w:eastAsia="宋体"/>
      <w:sz w:val="21"/>
      <w:lang w:val="en-US" w:eastAsia="zh-CN" w:bidi="ar-SA"/>
    </w:rPr>
  </w:style>
  <w:style w:type="character" w:customStyle="1" w:styleId="259">
    <w:name w:val="标题 5 Char"/>
    <w:qFormat/>
    <w:uiPriority w:val="0"/>
    <w:rPr>
      <w:b/>
      <w:sz w:val="28"/>
      <w:szCs w:val="24"/>
    </w:rPr>
  </w:style>
  <w:style w:type="character" w:customStyle="1" w:styleId="260">
    <w:name w:val="批注文字 字符"/>
    <w:qFormat/>
    <w:uiPriority w:val="0"/>
    <w:rPr>
      <w:rFonts w:ascii="Times New Roman" w:hAnsi="Times New Roman"/>
      <w:sz w:val="21"/>
      <w:szCs w:val="24"/>
    </w:rPr>
  </w:style>
  <w:style w:type="character" w:customStyle="1" w:styleId="261">
    <w:name w:val="标题 1 字符"/>
    <w:qFormat/>
    <w:uiPriority w:val="9"/>
    <w:rPr>
      <w:rFonts w:ascii="Times New Roman" w:hAnsi="Times New Roman" w:eastAsia="宋体" w:cs="Times New Roman"/>
      <w:b/>
      <w:bCs/>
      <w:sz w:val="44"/>
      <w:szCs w:val="44"/>
    </w:rPr>
  </w:style>
  <w:style w:type="character" w:customStyle="1" w:styleId="262">
    <w:name w:val="纯文本 字符"/>
    <w:qFormat/>
    <w:uiPriority w:val="0"/>
    <w:rPr>
      <w:rFonts w:ascii="宋体" w:hAnsi="Courier New" w:eastAsia="宋体" w:cs="Courier New"/>
      <w:szCs w:val="21"/>
    </w:rPr>
  </w:style>
  <w:style w:type="character" w:customStyle="1" w:styleId="263">
    <w:name w:val="headline-content4"/>
    <w:qFormat/>
    <w:uiPriority w:val="0"/>
  </w:style>
  <w:style w:type="character" w:customStyle="1" w:styleId="264">
    <w:name w:val="正文文本 (26) + 间距 0 pt"/>
    <w:qFormat/>
    <w:uiPriority w:val="0"/>
    <w:rPr>
      <w:rFonts w:ascii="宋体" w:hAnsi="宋体" w:eastAsia="宋体" w:cs="宋体"/>
      <w:color w:val="000000"/>
      <w:spacing w:val="0"/>
      <w:position w:val="0"/>
      <w:sz w:val="22"/>
      <w:szCs w:val="22"/>
      <w:u w:val="none"/>
      <w:lang w:val="zh-CN" w:eastAsia="zh-CN" w:bidi="zh-CN"/>
    </w:rPr>
  </w:style>
  <w:style w:type="character" w:customStyle="1" w:styleId="265">
    <w:name w:val="正文文本缩进 字符"/>
    <w:qFormat/>
    <w:uiPriority w:val="0"/>
    <w:rPr>
      <w:rFonts w:ascii="仿宋_GB2312" w:hAnsi="Times New Roman" w:eastAsia="仿宋_GB2312" w:cs="Times New Roman"/>
      <w:sz w:val="32"/>
      <w:szCs w:val="20"/>
    </w:rPr>
  </w:style>
  <w:style w:type="paragraph" w:customStyle="1" w:styleId="266">
    <w:name w:val="Char1"/>
    <w:basedOn w:val="1"/>
    <w:qFormat/>
    <w:uiPriority w:val="0"/>
    <w:rPr>
      <w:szCs w:val="21"/>
    </w:rPr>
  </w:style>
  <w:style w:type="paragraph" w:styleId="267">
    <w:name w:val="List Paragraph"/>
    <w:basedOn w:val="1"/>
    <w:qFormat/>
    <w:uiPriority w:val="34"/>
    <w:pPr>
      <w:ind w:firstLine="420"/>
    </w:pPr>
  </w:style>
  <w:style w:type="paragraph" w:customStyle="1" w:styleId="268">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269">
    <w:name w:val="默认段落字体 Para Char Char Char Char Char Char Char Char Char1 Char Char Char Char"/>
    <w:basedOn w:val="1"/>
    <w:qFormat/>
    <w:uiPriority w:val="0"/>
    <w:rPr>
      <w:rFonts w:ascii="Tahoma" w:hAnsi="Tahoma"/>
      <w:sz w:val="24"/>
      <w:szCs w:val="20"/>
    </w:rPr>
  </w:style>
  <w:style w:type="paragraph" w:customStyle="1" w:styleId="270">
    <w:name w:val="样式"/>
    <w:qFormat/>
    <w:uiPriority w:val="0"/>
    <w:pPr>
      <w:widowControl w:val="0"/>
      <w:jc w:val="center"/>
    </w:pPr>
    <w:rPr>
      <w:rFonts w:ascii="宋体" w:hAnsi="宋体" w:eastAsia="宋体" w:cs="宋体"/>
      <w:sz w:val="24"/>
      <w:szCs w:val="24"/>
      <w:lang w:val="en-US" w:eastAsia="zh-CN" w:bidi="ar-SA"/>
    </w:rPr>
  </w:style>
  <w:style w:type="paragraph" w:customStyle="1" w:styleId="271">
    <w:name w:val="纯文本1"/>
    <w:basedOn w:val="1"/>
    <w:qFormat/>
    <w:uiPriority w:val="0"/>
    <w:rPr>
      <w:rFonts w:ascii="宋体" w:hAnsi="Courier New" w:cs="Century"/>
      <w:szCs w:val="21"/>
    </w:rPr>
  </w:style>
  <w:style w:type="paragraph" w:customStyle="1" w:styleId="272">
    <w:name w:val="Table Paragraph"/>
    <w:basedOn w:val="1"/>
    <w:qFormat/>
    <w:uiPriority w:val="1"/>
    <w:pPr>
      <w:jc w:val="left"/>
    </w:pPr>
    <w:rPr>
      <w:rFonts w:ascii="Calibri" w:hAnsi="Calibri"/>
      <w:sz w:val="22"/>
      <w:szCs w:val="22"/>
      <w:lang w:eastAsia="en-US"/>
    </w:rPr>
  </w:style>
  <w:style w:type="paragraph" w:customStyle="1" w:styleId="273">
    <w:name w:val="表内文字"/>
    <w:basedOn w:val="1"/>
    <w:qFormat/>
    <w:uiPriority w:val="0"/>
    <w:pPr>
      <w:spacing w:before="50" w:after="50"/>
      <w:jc w:val="center"/>
    </w:pPr>
    <w:rPr>
      <w:rFonts w:ascii="仿宋_GB2312" w:hAnsi="宋体" w:eastAsia="仿宋_GB2312"/>
      <w:b/>
      <w:color w:val="000000"/>
      <w:sz w:val="32"/>
      <w:szCs w:val="32"/>
    </w:rPr>
  </w:style>
  <w:style w:type="paragraph" w:customStyle="1" w:styleId="274">
    <w:name w:val="表格"/>
    <w:basedOn w:val="1"/>
    <w:qFormat/>
    <w:uiPriority w:val="0"/>
    <w:pPr>
      <w:spacing w:line="400" w:lineRule="exact"/>
    </w:pPr>
    <w:rPr>
      <w:sz w:val="24"/>
    </w:rPr>
  </w:style>
  <w:style w:type="paragraph" w:customStyle="1" w:styleId="275">
    <w:name w:val="样式 首行缩进:  2 字符"/>
    <w:basedOn w:val="1"/>
    <w:qFormat/>
    <w:uiPriority w:val="0"/>
    <w:pPr>
      <w:spacing w:line="400" w:lineRule="exact"/>
      <w:ind w:firstLine="200"/>
    </w:pPr>
    <w:rPr>
      <w:rFonts w:cs="宋体"/>
      <w:sz w:val="24"/>
    </w:rPr>
  </w:style>
  <w:style w:type="paragraph" w:customStyle="1" w:styleId="276">
    <w:name w:val="xl22"/>
    <w:basedOn w:val="1"/>
    <w:qFormat/>
    <w:uiPriority w:val="0"/>
    <w:pPr>
      <w:widowControl/>
      <w:spacing w:before="100" w:beforeAutospacing="1" w:after="100" w:afterAutospacing="1"/>
      <w:jc w:val="left"/>
    </w:pPr>
    <w:rPr>
      <w:rFonts w:ascii="Arial Unicode MS" w:hAnsi="Arial Unicode MS" w:eastAsia="Arial Unicode MS" w:cs="Arial Unicode MS"/>
      <w:sz w:val="20"/>
      <w:szCs w:val="20"/>
    </w:rPr>
  </w:style>
  <w:style w:type="paragraph" w:customStyle="1" w:styleId="277">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278">
    <w:name w:val="正文首行缩进两字符"/>
    <w:basedOn w:val="1"/>
    <w:qFormat/>
    <w:uiPriority w:val="0"/>
    <w:pPr>
      <w:spacing w:line="360" w:lineRule="auto"/>
      <w:ind w:firstLine="200"/>
    </w:pPr>
  </w:style>
  <w:style w:type="paragraph" w:customStyle="1" w:styleId="279">
    <w:name w:val="正文段"/>
    <w:basedOn w:val="1"/>
    <w:qFormat/>
    <w:uiPriority w:val="0"/>
    <w:pPr>
      <w:widowControl/>
      <w:ind w:firstLine="200"/>
    </w:pPr>
    <w:rPr>
      <w:sz w:val="24"/>
      <w:szCs w:val="20"/>
    </w:rPr>
  </w:style>
  <w:style w:type="table" w:customStyle="1" w:styleId="280">
    <w:name w:val="Table Normal"/>
    <w:semiHidden/>
    <w:qFormat/>
    <w:uiPriority w:val="2"/>
    <w:pPr>
      <w:widowControl w:val="0"/>
    </w:pPr>
    <w:rPr>
      <w:rFonts w:ascii="Calibri" w:hAnsi="Calibri" w:eastAsia="Times New Roman"/>
      <w:sz w:val="22"/>
      <w:szCs w:val="22"/>
      <w:lang w:eastAsia="en-US"/>
    </w:rPr>
    <w:tblPr>
      <w:tblCellMar>
        <w:top w:w="0" w:type="dxa"/>
        <w:left w:w="0" w:type="dxa"/>
        <w:bottom w:w="0" w:type="dxa"/>
        <w:right w:w="0" w:type="dxa"/>
      </w:tblCellMar>
    </w:tblPr>
  </w:style>
  <w:style w:type="character" w:customStyle="1" w:styleId="281">
    <w:name w:val="页脚 字符"/>
    <w:qFormat/>
    <w:uiPriority w:val="99"/>
  </w:style>
  <w:style w:type="character" w:customStyle="1" w:styleId="282">
    <w:name w:val="正文2 Char Char"/>
    <w:link w:val="283"/>
    <w:qFormat/>
    <w:uiPriority w:val="0"/>
    <w:rPr>
      <w:sz w:val="24"/>
    </w:rPr>
  </w:style>
  <w:style w:type="paragraph" w:customStyle="1" w:styleId="283">
    <w:name w:val="正文2"/>
    <w:basedOn w:val="1"/>
    <w:link w:val="282"/>
    <w:qFormat/>
    <w:uiPriority w:val="0"/>
    <w:pPr>
      <w:spacing w:before="156" w:line="360" w:lineRule="auto"/>
      <w:ind w:firstLine="510"/>
    </w:pPr>
    <w:rPr>
      <w:sz w:val="24"/>
      <w:szCs w:val="20"/>
    </w:rPr>
  </w:style>
  <w:style w:type="paragraph" w:customStyle="1" w:styleId="284">
    <w:name w:val="_Style 115"/>
    <w:unhideWhenUsed/>
    <w:qFormat/>
    <w:uiPriority w:val="99"/>
    <w:rPr>
      <w:rFonts w:ascii="Times New Roman" w:hAnsi="Times New Roman" w:eastAsia="宋体" w:cs="Times New Roman"/>
      <w:sz w:val="21"/>
      <w:szCs w:val="24"/>
      <w:lang w:val="en-US" w:eastAsia="zh-CN" w:bidi="ar-SA"/>
    </w:rPr>
  </w:style>
  <w:style w:type="character" w:customStyle="1" w:styleId="285">
    <w:name w:val="表格文字 Char1"/>
    <w:link w:val="220"/>
    <w:qFormat/>
    <w:uiPriority w:val="99"/>
    <w:rPr>
      <w:bCs/>
      <w:spacing w:val="10"/>
      <w:sz w:val="24"/>
    </w:rPr>
  </w:style>
  <w:style w:type="paragraph" w:customStyle="1" w:styleId="286">
    <w:name w:val="AONormal"/>
    <w:qFormat/>
    <w:uiPriority w:val="0"/>
    <w:pPr>
      <w:spacing w:line="400" w:lineRule="exact"/>
      <w:ind w:firstLine="440"/>
    </w:pPr>
    <w:rPr>
      <w:rFonts w:ascii="华文楷体" w:hAnsi="华文楷体" w:eastAsia="华文楷体" w:cs="华文楷体"/>
      <w:sz w:val="22"/>
      <w:szCs w:val="21"/>
      <w:lang w:val="en-US" w:eastAsia="zh-CN" w:bidi="ar-SA"/>
    </w:rPr>
  </w:style>
  <w:style w:type="paragraph" w:customStyle="1" w:styleId="287">
    <w:name w:val="列出段落1"/>
    <w:basedOn w:val="1"/>
    <w:qFormat/>
    <w:uiPriority w:val="0"/>
    <w:pPr>
      <w:ind w:firstLine="420"/>
    </w:pPr>
    <w:rPr>
      <w:szCs w:val="21"/>
    </w:rPr>
  </w:style>
  <w:style w:type="paragraph" w:customStyle="1" w:styleId="288">
    <w:name w:val="Char5 Char Char Char Char Char Char"/>
    <w:basedOn w:val="1"/>
    <w:qFormat/>
    <w:uiPriority w:val="0"/>
    <w:pPr>
      <w:widowControl/>
      <w:spacing w:after="160" w:line="240" w:lineRule="exact"/>
      <w:jc w:val="left"/>
    </w:pPr>
    <w:rPr>
      <w:rFonts w:ascii="Verdana" w:hAnsi="Verdana" w:eastAsia="仿宋_GB2312"/>
      <w:sz w:val="24"/>
      <w:szCs w:val="20"/>
      <w:lang w:eastAsia="en-US"/>
    </w:rPr>
  </w:style>
  <w:style w:type="paragraph" w:customStyle="1" w:styleId="289">
    <w:name w:val="标题 41"/>
    <w:basedOn w:val="1"/>
    <w:next w:val="1"/>
    <w:unhideWhenUsed/>
    <w:qFormat/>
    <w:uiPriority w:val="10"/>
    <w:pPr>
      <w:keepNext/>
      <w:keepLines/>
      <w:spacing w:before="280" w:after="290" w:line="376" w:lineRule="auto"/>
      <w:outlineLvl w:val="3"/>
    </w:pPr>
    <w:rPr>
      <w:rFonts w:ascii="Calibri Light" w:hAnsi="Calibri Light"/>
      <w:b/>
      <w:bCs/>
      <w:sz w:val="28"/>
      <w:szCs w:val="28"/>
    </w:rPr>
  </w:style>
  <w:style w:type="character" w:customStyle="1" w:styleId="290">
    <w:name w:val="NormalCharacter"/>
    <w:qFormat/>
    <w:uiPriority w:val="0"/>
  </w:style>
  <w:style w:type="table" w:customStyle="1" w:styleId="291">
    <w:name w:val="网格型1"/>
    <w:basedOn w:val="50"/>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92">
    <w:name w:val="网格型11"/>
    <w:basedOn w:val="50"/>
    <w:qFormat/>
    <w:uiPriority w:val="59"/>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293">
    <w:name w:val="纯文本11"/>
    <w:basedOn w:val="1"/>
    <w:qFormat/>
    <w:uiPriority w:val="0"/>
    <w:rPr>
      <w:rFonts w:ascii="宋体" w:hAnsi="Courier New" w:cs="Century"/>
      <w:szCs w:val="21"/>
    </w:rPr>
  </w:style>
  <w:style w:type="table" w:customStyle="1" w:styleId="294">
    <w:name w:val="网格型2"/>
    <w:basedOn w:val="5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295">
    <w:name w:val="No Spacing"/>
    <w:qFormat/>
    <w:uiPriority w:val="1"/>
    <w:rPr>
      <w:rFonts w:ascii="Tahoma" w:hAnsi="Tahoma" w:eastAsia="微软雅黑" w:cs="Times New Roman"/>
      <w:sz w:val="22"/>
      <w:szCs w:val="22"/>
      <w:lang w:val="en-US" w:eastAsia="zh-CN" w:bidi="ar-SA"/>
    </w:rPr>
  </w:style>
  <w:style w:type="paragraph" w:customStyle="1" w:styleId="296">
    <w:name w:val="Default"/>
    <w:qFormat/>
    <w:uiPriority w:val="0"/>
    <w:rPr>
      <w:rFonts w:ascii="Arial" w:hAnsi="Arial" w:eastAsia="宋体" w:cs="Arial"/>
      <w:color w:val="000000"/>
      <w:sz w:val="24"/>
      <w:szCs w:val="24"/>
      <w:lang w:val="en-US" w:eastAsia="zh-CN" w:bidi="ar-SA"/>
    </w:rPr>
  </w:style>
  <w:style w:type="character" w:customStyle="1" w:styleId="297">
    <w:name w:val="text__nfvs"/>
    <w:basedOn w:val="52"/>
    <w:qFormat/>
    <w:uiPriority w:val="0"/>
  </w:style>
  <w:style w:type="character" w:customStyle="1" w:styleId="298">
    <w:name w:val="supwrap_avpch"/>
    <w:basedOn w:val="52"/>
    <w:qFormat/>
    <w:uiPriority w:val="0"/>
  </w:style>
  <w:style w:type="character" w:customStyle="1" w:styleId="299">
    <w:name w:val="hover"/>
    <w:basedOn w:val="52"/>
    <w:qFormat/>
    <w:uiPriority w:val="0"/>
  </w:style>
  <w:style w:type="character" w:customStyle="1" w:styleId="300">
    <w:name w:val="hover1"/>
    <w:basedOn w:val="52"/>
    <w:qFormat/>
    <w:uiPriority w:val="0"/>
    <w:rPr>
      <w:color w:val="2590EB"/>
    </w:rPr>
  </w:style>
  <w:style w:type="character" w:customStyle="1" w:styleId="301">
    <w:name w:val="hover2"/>
    <w:basedOn w:val="52"/>
    <w:qFormat/>
    <w:uiPriority w:val="0"/>
    <w:rPr>
      <w:color w:val="2590EB"/>
    </w:rPr>
  </w:style>
  <w:style w:type="character" w:customStyle="1" w:styleId="302">
    <w:name w:val="hover3"/>
    <w:basedOn w:val="52"/>
    <w:qFormat/>
    <w:uiPriority w:val="0"/>
  </w:style>
  <w:style w:type="paragraph" w:customStyle="1" w:styleId="303">
    <w:name w:val="Table Text"/>
    <w:basedOn w:val="1"/>
    <w:semiHidden/>
    <w:qFormat/>
    <w:uiPriority w:val="0"/>
    <w:rPr>
      <w:rFonts w:ascii="宋体" w:hAnsi="宋体" w:cs="宋体"/>
      <w:sz w:val="20"/>
      <w:szCs w:val="20"/>
      <w:lang w:eastAsia="en-US"/>
    </w:rPr>
  </w:style>
  <w:style w:type="paragraph" w:customStyle="1" w:styleId="304">
    <w:name w:val="标题 21"/>
    <w:basedOn w:val="1"/>
    <w:next w:val="1"/>
    <w:qFormat/>
    <w:uiPriority w:val="0"/>
    <w:pPr>
      <w:keepNext/>
      <w:keepLines/>
      <w:spacing w:before="60" w:after="60" w:line="413" w:lineRule="auto"/>
    </w:pPr>
    <w:rPr>
      <w:rFonts w:ascii="Arial" w:hAnsi="Arial" w:eastAsia="黑体"/>
      <w:b/>
      <w:bCs/>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header" Target="header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441f0553-80bb-48f3-a40d-98a7af1263b3</errorID>
      <errorWord>/）</errorWord>
      <group>L1_Punc</group>
      <groupName>标点问题</groupName>
      <ability>L2_Punc_CN</ability>
      <abilityName>标点符号检查</abilityName>
      <candidateList>
        <item>）</item>
      </candidateList>
      <explain/>
      <paraID>  B68990</paraID>
      <start>78</start>
      <end>80</end>
      <status>unmodified</status>
      <modifiedWord/>
      <trackRevisions>false</trackRevisions>
    </reviewItem>
    <reviewItem>
      <errorID>593ed8ed-56e8-4514-b327-a6150f9dbba7</errorID>
      <errorWord>25～50%</errorWord>
      <group>L1_Knowledge</group>
      <groupName>知识性问题</groupName>
      <ability>L2_Knowledge</ability>
      <abilityName>其他知识</abilityName>
      <candidateList>
        <item>25%～50%</item>
      </candidateList>
      <explain>1. “25～50%”中的单位“%”仅出现在后一个数字上，容易引起歧义；根据《现代汉语标点符号数字用法规范手册》，数字表示范围两边需要使用统一的格式。2. 根据标点国标 4.13 中的规则，数字、时间或地域连接符应使用（视觉上更长的）“—”或“～”。</explain>
      <paraID>56389786</paraID>
      <start>9</start>
      <end>15</end>
      <status>unmodified</status>
      <modifiedWord/>
      <trackRevisions>false</trackRevisions>
    </reviewItem>
    <reviewItem>
      <errorID>59df8144-9880-4e51-a7c8-8edfef12a207</errorID>
      <errorWord>日至2026年</errorWord>
      <group>L1_Word</group>
      <groupName>字词问题</groupName>
      <ability>L2_Typo</ability>
      <abilityName>字词错误</abilityName>
      <candidateList>
        <item>日起至2026年</item>
      </candidateList>
      <explain/>
      <paraID>10898F66</paraID>
      <start>14</start>
      <end>21</end>
      <status>unmodified</status>
      <modifiedWord/>
      <trackRevisions>false</trackRevisions>
    </reviewItem>
    <reviewItem>
      <errorID>8adeca97-c5b1-48f1-a22b-76061e346ca5</errorID>
      <errorWord>：</errorWord>
      <group>L1_Format</group>
      <groupName>格式问题</groupName>
      <ability>L2_HalfPunc_CN</ability>
      <abilityName>全半角检查</abilityName>
      <candidateList>
        <item>:</item>
      </candidateList>
      <explain>文本全半角错误。</explain>
      <paraID>10898F66</paraID>
      <start>32</start>
      <end>33</end>
      <status>unmodified</status>
      <modifiedWord/>
      <trackRevisions>false</trackRevisions>
    </reviewItem>
    <reviewItem>
      <errorID>abc34844-3f10-4569-b411-7732cd4eef31</errorID>
      <errorWord>：</errorWord>
      <group>L1_Format</group>
      <groupName>格式问题</groupName>
      <ability>L2_HalfPunc_CN</ability>
      <abilityName>全半角检查</abilityName>
      <candidateList>
        <item>:</item>
      </candidateList>
      <explain>文本全半角错误。</explain>
      <paraID>10898F66</paraID>
      <start>38</start>
      <end>39</end>
      <status>unmodified</status>
      <modifiedWord/>
      <trackRevisions>false</trackRevisions>
    </reviewItem>
    <reviewItem>
      <errorID>17f1fbab-add3-4357-88f7-2b1421edbbab</errorID>
      <errorWord>：</errorWord>
      <group>L1_Format</group>
      <groupName>格式问题</groupName>
      <ability>L2_HalfPunc_CN</ability>
      <abilityName>全半角检查</abilityName>
      <candidateList>
        <item>:</item>
      </candidateList>
      <explain>文本全半角错误。</explain>
      <paraID>10898F66</paraID>
      <start>46</start>
      <end>47</end>
      <status>unmodified</status>
      <modifiedWord/>
      <trackRevisions>false</trackRevisions>
    </reviewItem>
    <reviewItem>
      <errorID>1e8eb5c3-f361-47c1-b3e7-c5b8a543cd6a</errorID>
      <errorWord>：</errorWord>
      <group>L1_Format</group>
      <groupName>格式问题</groupName>
      <ability>L2_HalfPunc_CN</ability>
      <abilityName>全半角检查</abilityName>
      <candidateList>
        <item>:</item>
      </candidateList>
      <explain>文本全半角错误。</explain>
      <paraID>10898F66</paraID>
      <start>51</start>
      <end>52</end>
      <status>unmodified</status>
      <modifiedWord/>
      <trackRevisions>false</trackRevisions>
    </reviewItem>
    <reviewItem>
      <errorID>69013588-d1a8-4088-860e-b23313a1f064</errorID>
      <errorWord>/）</errorWord>
      <group>L1_Punc</group>
      <groupName>标点问题</groupName>
      <ability>L2_Punc_CN</ability>
      <abilityName>标点符号检查</abilityName>
      <candidateList>
        <item>）</item>
      </candidateList>
      <explain/>
      <paraID>67DD7888</paraID>
      <start>45</start>
      <end>47</end>
      <status>unmodified</status>
      <modifiedWord/>
      <trackRevisions>false</trackRevisions>
    </reviewItem>
    <reviewItem>
      <errorID>0288f345-ac5e-4055-b8a1-099a39e3380f</errorID>
      <errorWord>/）</errorWord>
      <group>L1_Punc</group>
      <groupName>标点问题</groupName>
      <ability>L2_Punc_CN</ability>
      <abilityName>标点符号检查</abilityName>
      <candidateList>
        <item>）</item>
      </candidateList>
      <explain/>
      <paraID>4D92CAD3</paraID>
      <start>68</start>
      <end>70</end>
      <status>unmodified</status>
      <modifiedWord/>
      <trackRevisions>false</trackRevisions>
    </reviewItem>
    <reviewItem>
      <errorID>b7a96c09-27d3-47f4-ac20-24cee7ba2114</errorID>
      <errorWord>/）</errorWord>
      <group>L1_Punc</group>
      <groupName>标点问题</groupName>
      <ability>L2_Punc_CN</ability>
      <abilityName>标点符号检查</abilityName>
      <candidateList>
        <item>）</item>
      </candidateList>
      <explain/>
      <paraID>2696FCC6</paraID>
      <start>47</start>
      <end>49</end>
      <status>unmodified</status>
      <modifiedWord/>
      <trackRevisions>false</trackRevisions>
    </reviewItem>
    <reviewItem>
      <errorID>6d9b4ace-15dc-457e-8745-4dd1cc7270b4</errorID>
      <errorWord>(</errorWord>
      <group>L1_Format</group>
      <groupName>格式问题</groupName>
      <ability>L2_HalfPunc_CN</ability>
      <abilityName>全半角检查</abilityName>
      <candidateList>
        <item>（</item>
      </candidateList>
      <explain>文本全半角错误。</explain>
      <paraID>414A3FE4</paraID>
      <start>80</start>
      <end>81</end>
      <status>unmodified</status>
      <modifiedWord/>
      <trackRevisions>false</trackRevisions>
    </reviewItem>
    <reviewItem>
      <errorID>4eec15c7-76bf-4fd6-9659-15653c9d0756</errorID>
      <errorWord>.</errorWord>
      <group>L1_Format</group>
      <groupName>格式问题</groupName>
      <ability>L2_HalfPunc_CN</ability>
      <abilityName>全半角检查</abilityName>
      <candidateList>
        <item>。</item>
      </candidateList>
      <explain>文本全半角错误。</explain>
      <paraID>414A3FE4</paraID>
      <start>83</start>
      <end>84</end>
      <status>unmodified</status>
      <modifiedWord/>
      <trackRevisions>false</trackRevisions>
    </reviewItem>
    <reviewItem>
      <errorID>34abe590-7e50-427b-938e-f622d82d7e37</errorID>
      <errorWord>)</errorWord>
      <group>L1_Format</group>
      <groupName>格式问题</groupName>
      <ability>L2_HalfPunc_CN</ability>
      <abilityName>全半角检查</abilityName>
      <candidateList>
        <item>）</item>
      </candidateList>
      <explain>文本全半角错误。</explain>
      <paraID>414A3FE4</paraID>
      <start>86</start>
      <end>87</end>
      <status>unmodified</status>
      <modifiedWord/>
      <trackRevisions>false</trackRevisions>
    </reviewItem>
    <reviewItem>
      <errorID>c11f9f98-ca9d-4bdc-b24a-7b25a4d66561</errorID>
      <errorWord>/）</errorWord>
      <group>L1_Punc</group>
      <groupName>标点问题</groupName>
      <ability>L2_Punc_CN</ability>
      <abilityName>标点符号检查</abilityName>
      <candidateList>
        <item>）</item>
      </candidateList>
      <explain/>
      <paraID>414A3FE4</paraID>
      <start>124</start>
      <end>126</end>
      <status>unmodified</status>
      <modifiedWord/>
      <trackRevisions>false</trackRevisions>
    </reviewItem>
    <reviewItem>
      <errorID>51750bb6-a78c-41c5-97ab-e60c083b2e32</errorID>
      <errorWord>/）</errorWord>
      <group>L1_Punc</group>
      <groupName>标点问题</groupName>
      <ability>L2_Punc_CN</ability>
      <abilityName>标点符号检查</abilityName>
      <candidateList>
        <item>）</item>
      </candidateList>
      <explain/>
      <paraID> AE58A89</paraID>
      <start>62</start>
      <end>64</end>
      <status>unmodified</status>
      <modifiedWord/>
      <trackRevisions>false</trackRevisions>
    </reviewItem>
    <reviewItem>
      <errorID>5c94cc6c-91c8-4292-9dd6-02b9268cbd97</errorID>
      <errorWord>操作合</errorWord>
      <group>L1_Word</group>
      <groupName>字词问题</groupName>
      <ability>L2_Typo</ability>
      <abilityName>字词错误</abilityName>
      <candidateList>
        <item>操作台</item>
      </candidateList>
      <explain/>
      <paraID>  502EBC</paraID>
      <start>9</start>
      <end>12</end>
      <status>unmodified</status>
      <modifiedWord/>
      <trackRevisions>false</trackRevisions>
    </reviewItem>
    <reviewItem>
      <errorID>e7daf9ca-df2c-4d69-b67b-3d8fd7c69c1e</errorID>
      <errorWord>《关于调整网络安全专用产品安全管理有关事项的公告》</errorWord>
      <group>L1_Official</group>
      <groupName>公文问题</groupName>
      <ability>L2_Official</ability>
      <abilityName>公文问题</abilityName>
      <candidateList/>
      <explain>公文文件引用格式不规范</explain>
      <paraID>2BC34AF9</paraID>
      <start>5</start>
      <end>30</end>
      <status>unmodified</status>
      <modifiedWord/>
      <trackRevisions>false</trackRevisions>
    </reviewItem>
    <reviewItem>
      <errorID>2b45b9d0-1b2f-4ba9-a1fc-44d53475d05e</errorID>
      <errorWord>：</errorWord>
      <group>L1_Format</group>
      <groupName>格式问题</groupName>
      <ability>L2_HalfPunc_CN</ability>
      <abilityName>全半角检查</abilityName>
      <candidateList>
        <item>:</item>
      </candidateList>
      <explain>文本全半角错误。</explain>
      <paraID>2BC34AF9</paraID>
      <start>152</start>
      <end>153</end>
      <status>unmodified</status>
      <modifiedWord/>
      <trackRevisions>false</trackRevisions>
    </reviewItem>
    <reviewItem>
      <errorID>df839154-a46b-407e-b179-c754b6df2b33</errorID>
      <errorWord>25～50%</errorWord>
      <group>L1_Knowledge</group>
      <groupName>知识性问题</groupName>
      <ability>L2_Knowledge</ability>
      <abilityName>其他知识</abilityName>
      <candidateList>
        <item>25%～50%</item>
      </candidateList>
      <explain>1. “25～50%”中的单位“%”仅出现在后一个数字上，容易引起歧义；根据《现代汉语标点符号数字用法规范手册》，数字表示范围两边需要使用统一的格式。2. 根据标点国标 4.13 中的规则，数字、时间或地域连接符应使用（视觉上更长的）“—”或“～”。</explain>
      <paraID>690F39BF</paraID>
      <start>9</start>
      <end>15</end>
      <status>unmodified</status>
      <modifiedWord/>
      <trackRevisions>false</trackRevisions>
    </reviewItem>
    <reviewItem>
      <errorID>33793099-0261-44da-be66-ccd137f40922</errorID>
      <errorWord>）；</errorWord>
      <group>L1_Format</group>
      <groupName>格式问题</groupName>
      <ability>L2_HalfPunc_CN</ability>
      <abilityName>全半角检查</abilityName>
      <candidateList>
        <item>);</item>
      </candidateList>
      <explain>文本全半角错误。</explain>
      <paraID>79A3785E</paraID>
      <start>10</start>
      <end>12</end>
      <status>unmodified</status>
      <modifiedWord/>
      <trackRevisions>false</trackRevisions>
    </reviewItem>
    <reviewItem>
      <errorID>0bbfc706-062b-4443-af73-c9103d5bff26</errorID>
      <errorWord>)</errorWord>
      <group>L1_Format</group>
      <groupName>格式问题</groupName>
      <ability>L2_HalfPunc_CN</ability>
      <abilityName>全半角检查</abilityName>
      <candidateList>
        <item>）</item>
      </candidateList>
      <explain>文本全半角错误。</explain>
      <paraID>446C602A</paraID>
      <start>7</start>
      <end>8</end>
      <status>unmodified</status>
      <modifiedWord/>
      <trackRevisions>false</trackRevisions>
    </reviewItem>
    <reviewItem>
      <errorID>e6d25287-6722-4fdb-9671-8cf03e8c9452</errorID>
      <errorWord>)</errorWord>
      <group>L1_Format</group>
      <groupName>格式问题</groupName>
      <ability>L2_HalfPunc_CN</ability>
      <abilityName>全半角检查</abilityName>
      <candidateList>
        <item>）</item>
      </candidateList>
      <explain>文本全半角错误。</explain>
      <paraID>2608C123</paraID>
      <start>28</start>
      <end>29</end>
      <status>unmodified</status>
      <modifiedWord/>
      <trackRevisions>false</trackRevisions>
    </reviewItem>
    <reviewItem>
      <errorID>98529bfa-cc01-4ef5-93d5-538f3efaff67</errorID>
      <errorWord>.</errorWord>
      <group>L1_Format</group>
      <groupName>格式问题</groupName>
      <ability>L2_HalfPunc_CN</ability>
      <abilityName>全半角检查</abilityName>
      <candidateList>
        <item>。</item>
      </candidateList>
      <explain>文本全半角错误。</explain>
      <paraID>7D213DA0</paraID>
      <start>8</start>
      <end>9</end>
      <status>unmodified</status>
      <modifiedWord/>
      <trackRevisions>false</trackRevisions>
    </reviewItem>
    <reviewItem>
      <errorID>9c0ae389-04ec-41ac-aeec-a2fe913754ae</errorID>
      <errorWord>50～80%</errorWord>
      <group>L1_Knowledge</group>
      <groupName>知识性问题</groupName>
      <ability>L2_Knowledge</ability>
      <abilityName>其他知识</abilityName>
      <candidateList>
        <item>50%～80%</item>
      </candidateList>
      <explain>1. “50～80%”中的单位“%”仅出现在后一个数字上，容易引起歧义；根据《现代汉语标点符号数字用法规范手册》，数字表示范围两边需要使用统一的格式。2. 根据标点国标 4.13 中的规则，数字、时间或地域连接符应使用（视觉上更长的）“—”或“～”。</explain>
      <paraID>1BEB9FC4</paraID>
      <start>9</start>
      <end>15</end>
      <status>unmodified</status>
      <modifiedWord/>
      <trackRevisions>false</trackRevisions>
    </reviewItem>
    <reviewItem>
      <errorID>abbe690b-2f44-4d21-ac5d-c224f2a0e2c3</errorID>
      <errorWord>（</errorWord>
      <group>L1_Format</group>
      <groupName>格式问题</groupName>
      <ability>L2_HalfPunc_CN</ability>
      <abilityName>全半角检查</abilityName>
      <candidateList>
        <item>(</item>
      </candidateList>
      <explain>文本全半角错误。</explain>
      <paraID>5AD01500</paraID>
      <start>0</start>
      <end>1</end>
      <status>unmodified</status>
      <modifiedWord/>
      <trackRevisions>false</trackRevisions>
    </reviewItem>
    <reviewItem>
      <errorID>3ce409e0-09d6-4aea-8851-68feae831b30</errorID>
      <errorWord>）</errorWord>
      <group>L1_Format</group>
      <groupName>格式问题</groupName>
      <ability>L2_HalfPunc_CN</ability>
      <abilityName>全半角检查</abilityName>
      <candidateList>
        <item>)</item>
      </candidateList>
      <explain>文本全半角错误。</explain>
      <paraID>5AD01500</paraID>
      <start>2</start>
      <end>3</end>
      <status>unmodified</status>
      <modifiedWord/>
      <trackRevisions>false</trackRevisions>
    </reviewItem>
    <reviewItem>
      <errorID>537fadb0-b85d-43c1-9edd-06cd893e3d15</errorID>
      <errorWord>：</errorWord>
      <group>L1_Format</group>
      <groupName>格式问题</groupName>
      <ability>L2_HalfPunc_CN</ability>
      <abilityName>全半角检查</abilityName>
      <candidateList>
        <item>:</item>
      </candidateList>
      <explain>文本全半角错误。</explain>
      <paraID>5AD01500</paraID>
      <start>5</start>
      <end>6</end>
      <status>unmodified</status>
      <modifiedWord/>
      <trackRevisions>false</trackRevisions>
    </reviewItem>
    <reviewItem>
      <errorID>c4f99d24-8919-49cf-a463-73c2247661fb</errorID>
      <errorWord>～</errorWord>
      <group>L1_Format</group>
      <groupName>格式问题</groupName>
      <ability>L2_HalfPunc_CN</ability>
      <abilityName>全半角检查</abilityName>
      <candidateList>
        <item>~</item>
      </candidateList>
      <explain>文本全半角错误。</explain>
      <paraID>5AD01500</paraID>
      <start>12</start>
      <end>13</end>
      <status>unmodified</status>
      <modifiedWord/>
      <trackRevisions>false</trackRevisions>
    </reviewItem>
    <reviewItem>
      <errorID>a88de502-301d-4d82-b5e4-d06ff1fc52d4</errorID>
      <errorWord>；</errorWord>
      <group>L1_Format</group>
      <groupName>格式问题</groupName>
      <ability>L2_HalfPunc_CN</ability>
      <abilityName>全半角检查</abilityName>
      <candidateList>
        <item>;</item>
      </candidateList>
      <explain>文本全半角错误。</explain>
      <paraID>5AD01500</paraID>
      <start>20</start>
      <end>21</end>
      <status>unmodified</status>
      <modifiedWord/>
      <trackRevisions>false</trackRevisions>
    </reviewItem>
    <reviewItem>
      <errorID>51302b80-7a53-4b41-85b1-45478426696e</errorID>
      <errorWord>（</errorWord>
      <group>L1_Format</group>
      <groupName>格式问题</groupName>
      <ability>L2_HalfPunc_CN</ability>
      <abilityName>全半角检查</abilityName>
      <candidateList>
        <item>(</item>
      </candidateList>
      <explain>文本全半角错误。</explain>
      <paraID>28FCC0C7</paraID>
      <start>0</start>
      <end>1</end>
      <status>unmodified</status>
      <modifiedWord/>
      <trackRevisions>false</trackRevisions>
    </reviewItem>
    <reviewItem>
      <errorID>4f2e4e01-75ae-4e4d-b248-aafe1f9184cb</errorID>
      <errorWord>）</errorWord>
      <group>L1_Format</group>
      <groupName>格式问题</groupName>
      <ability>L2_HalfPunc_CN</ability>
      <abilityName>全半角检查</abilityName>
      <candidateList>
        <item>)</item>
      </candidateList>
      <explain>文本全半角错误。</explain>
      <paraID>28FCC0C7</paraID>
      <start>2</start>
      <end>3</end>
      <status>unmodified</status>
      <modifiedWord/>
      <trackRevisions>false</trackRevisions>
    </reviewItem>
    <reviewItem>
      <errorID>16de4a23-c609-4252-885e-07e29be2028b</errorID>
      <errorWord>：</errorWord>
      <group>L1_Format</group>
      <groupName>格式问题</groupName>
      <ability>L2_HalfPunc_CN</ability>
      <abilityName>全半角检查</abilityName>
      <candidateList>
        <item>:</item>
      </candidateList>
      <explain>文本全半角错误。</explain>
      <paraID>28FCC0C7</paraID>
      <start>5</start>
      <end>6</end>
      <status>unmodified</status>
      <modifiedWord/>
      <trackRevisions>false</trackRevisions>
    </reviewItem>
    <reviewItem>
      <errorID>0eec5aeb-4f41-45b6-a489-91b78f978168</errorID>
      <errorWord>～</errorWord>
      <group>L1_Format</group>
      <groupName>格式问题</groupName>
      <ability>L2_HalfPunc_CN</ability>
      <abilityName>全半角检查</abilityName>
      <candidateList>
        <item>~</item>
      </candidateList>
      <explain>文本全半角错误。</explain>
      <paraID>28FCC0C7</paraID>
      <start>11</start>
      <end>12</end>
      <status>unmodified</status>
      <modifiedWord/>
      <trackRevisions>false</trackRevisions>
    </reviewItem>
    <reviewItem>
      <errorID>5c7e8486-d460-4770-9748-fc654826c1c0</errorID>
      <errorWord>；</errorWord>
      <group>L1_Format</group>
      <groupName>格式问题</groupName>
      <ability>L2_HalfPunc_CN</ability>
      <abilityName>全半角检查</abilityName>
      <candidateList>
        <item>;</item>
      </candidateList>
      <explain>文本全半角错误。</explain>
      <paraID>28FCC0C7</paraID>
      <start>19</start>
      <end>20</end>
      <status>unmodified</status>
      <modifiedWord/>
      <trackRevisions>false</trackRevisions>
    </reviewItem>
    <reviewItem>
      <errorID>76c5466f-af00-480e-a1d3-d149660e43aa</errorID>
      <errorWord>（</errorWord>
      <group>L1_Format</group>
      <groupName>格式问题</groupName>
      <ability>L2_HalfPunc_CN</ability>
      <abilityName>全半角检查</abilityName>
      <candidateList>
        <item>(</item>
      </candidateList>
      <explain>文本全半角错误。</explain>
      <paraID> 7408296</paraID>
      <start>0</start>
      <end>1</end>
      <status>unmodified</status>
      <modifiedWord/>
      <trackRevisions>false</trackRevisions>
    </reviewItem>
    <reviewItem>
      <errorID>0df429f7-0b03-43c4-a314-8c47a76d2f42</errorID>
      <errorWord>）</errorWord>
      <group>L1_Format</group>
      <groupName>格式问题</groupName>
      <ability>L2_HalfPunc_CN</ability>
      <abilityName>全半角检查</abilityName>
      <candidateList>
        <item>)</item>
      </candidateList>
      <explain>文本全半角错误。</explain>
      <paraID> 7408296</paraID>
      <start>2</start>
      <end>3</end>
      <status>unmodified</status>
      <modifiedWord/>
      <trackRevisions>false</trackRevisions>
    </reviewItem>
    <reviewItem>
      <errorID>d9c8a249-fdd4-4399-8917-15feb6626242</errorID>
      <errorWord>：</errorWord>
      <group>L1_Format</group>
      <groupName>格式问题</groupName>
      <ability>L2_HalfPunc_CN</ability>
      <abilityName>全半角检查</abilityName>
      <candidateList>
        <item>:</item>
      </candidateList>
      <explain>文本全半角错误。</explain>
      <paraID> 7408296</paraID>
      <start>5</start>
      <end>6</end>
      <status>unmodified</status>
      <modifiedWord/>
      <trackRevisions>false</trackRevisions>
    </reviewItem>
    <reviewItem>
      <errorID>16dfe959-cd2d-47bf-962b-d72749b54d7d</errorID>
      <errorWord>；</errorWord>
      <group>L1_Format</group>
      <groupName>格式问题</groupName>
      <ability>L2_HalfPunc_CN</ability>
      <abilityName>全半角检查</abilityName>
      <candidateList>
        <item>;</item>
      </candidateList>
      <explain>文本全半角错误。</explain>
      <paraID> 7408296</paraID>
      <start>12</start>
      <end>13</end>
      <status>unmodified</status>
      <modifiedWord/>
      <trackRevisions>false</trackRevisions>
    </reviewItem>
    <reviewItem>
      <errorID>12fe2408-34f9-4b1f-a8bf-d67370f0a116</errorID>
      <errorWord>(</errorWord>
      <group>L1_Format</group>
      <groupName>格式问题</groupName>
      <ability>L2_HalfPunc_CN</ability>
      <abilityName>全半角检查</abilityName>
      <candidateList>
        <item>（</item>
      </candidateList>
      <explain>文本全半角错误。</explain>
      <paraID>5E7143A0</paraID>
      <start>28</start>
      <end>29</end>
      <status>unmodified</status>
      <modifiedWord/>
      <trackRevisions>false</trackRevisions>
    </reviewItem>
    <reviewItem>
      <errorID>25dfeea8-e021-408b-a07a-530483b828ac</errorID>
      <errorWord>)</errorWord>
      <group>L1_Format</group>
      <groupName>格式问题</groupName>
      <ability>L2_HalfPunc_CN</ability>
      <abilityName>全半角检查</abilityName>
      <candidateList>
        <item>）</item>
      </candidateList>
      <explain>文本全半角错误。</explain>
      <paraID>5E7143A0</paraID>
      <start>36</start>
      <end>37</end>
      <status>unmodified</status>
      <modifiedWord/>
      <trackRevisions>false</trackRevisions>
    </reviewItem>
    <reviewItem>
      <errorID>02ee9da1-4516-4da5-b5fe-b09545e8cad9</errorID>
      <errorWord>(</errorWord>
      <group>L1_Format</group>
      <groupName>格式问题</groupName>
      <ability>L2_HalfPunc_CN</ability>
      <abilityName>全半角检查</abilityName>
      <candidateList>
        <item>（</item>
      </candidateList>
      <explain>文本全半角错误。</explain>
      <paraID>3C566B2E</paraID>
      <start>27</start>
      <end>28</end>
      <status>unmodified</status>
      <modifiedWord/>
      <trackRevisions>false</trackRevisions>
    </reviewItem>
    <reviewItem>
      <errorID>edb9dfa0-3683-4acd-a636-a05775c3b495</errorID>
      <errorWord>)</errorWord>
      <group>L1_Format</group>
      <groupName>格式问题</groupName>
      <ability>L2_HalfPunc_CN</ability>
      <abilityName>全半角检查</abilityName>
      <candidateList>
        <item>）</item>
      </candidateList>
      <explain>文本全半角错误。</explain>
      <paraID>3C566B2E</paraID>
      <start>35</start>
      <end>36</end>
      <status>unmodified</status>
      <modifiedWord/>
      <trackRevisions>false</trackRevisions>
    </reviewItem>
    <reviewItem>
      <errorID>39b7b07b-158e-4cbf-a412-69180922446b</errorID>
      <errorWord>（</errorWord>
      <group>L1_Format</group>
      <groupName>格式问题</groupName>
      <ability>L2_HalfPunc_CN</ability>
      <abilityName>全半角检查</abilityName>
      <candidateList>
        <item>(</item>
      </candidateList>
      <explain>文本全半角错误。</explain>
      <paraID>52A9FBFB</paraID>
      <start>0</start>
      <end>1</end>
      <status>unmodified</status>
      <modifiedWord/>
      <trackRevisions>false</trackRevisions>
    </reviewItem>
    <reviewItem>
      <errorID>c4d93ea8-d20e-4c89-a288-75ac532c5769</errorID>
      <errorWord>）</errorWord>
      <group>L1_Format</group>
      <groupName>格式问题</groupName>
      <ability>L2_HalfPunc_CN</ability>
      <abilityName>全半角检查</abilityName>
      <candidateList>
        <item>)</item>
      </candidateList>
      <explain>文本全半角错误。</explain>
      <paraID>52A9FBFB</paraID>
      <start>2</start>
      <end>3</end>
      <status>unmodified</status>
      <modifiedWord/>
      <trackRevisions>false</trackRevisions>
    </reviewItem>
    <reviewItem>
      <errorID>7aefbb44-65bb-4dca-a969-575576bc8556</errorID>
      <errorWord>：</errorWord>
      <group>L1_Format</group>
      <groupName>格式问题</groupName>
      <ability>L2_HalfPunc_CN</ability>
      <abilityName>全半角检查</abilityName>
      <candidateList>
        <item>:</item>
      </candidateList>
      <explain>文本全半角错误。</explain>
      <paraID>52A9FBFB</paraID>
      <start>5</start>
      <end>6</end>
      <status>unmodified</status>
      <modifiedWord/>
      <trackRevisions>false</trackRevisions>
    </reviewItem>
    <reviewItem>
      <errorID>e317781e-d182-4b69-b954-4496b9ac9725</errorID>
      <errorWord>；</errorWord>
      <group>L1_Format</group>
      <groupName>格式问题</groupName>
      <ability>L2_HalfPunc_CN</ability>
      <abilityName>全半角检查</abilityName>
      <candidateList>
        <item>;</item>
      </candidateList>
      <explain>文本全半角错误。</explain>
      <paraID>52A9FBFB</paraID>
      <start>12</start>
      <end>13</end>
      <status>unmodified</status>
      <modifiedWord/>
      <trackRevisions>false</trackRevisions>
    </reviewItem>
    <reviewItem>
      <errorID>4b7244d2-c203-4767-8113-07a4b7b6f48b</errorID>
      <errorWord>（</errorWord>
      <group>L1_Format</group>
      <groupName>格式问题</groupName>
      <ability>L2_HalfPunc_CN</ability>
      <abilityName>全半角检查</abilityName>
      <candidateList>
        <item>(</item>
      </candidateList>
      <explain>文本全半角错误。</explain>
      <paraID>52EF80C9</paraID>
      <start>0</start>
      <end>1</end>
      <status>unmodified</status>
      <modifiedWord/>
      <trackRevisions>false</trackRevisions>
    </reviewItem>
    <reviewItem>
      <errorID>dce1e068-fe3d-41d9-b547-d6c63aa66e27</errorID>
      <errorWord>）</errorWord>
      <group>L1_Format</group>
      <groupName>格式问题</groupName>
      <ability>L2_HalfPunc_CN</ability>
      <abilityName>全半角检查</abilityName>
      <candidateList>
        <item>)</item>
      </candidateList>
      <explain>文本全半角错误。</explain>
      <paraID>52EF80C9</paraID>
      <start>2</start>
      <end>3</end>
      <status>unmodified</status>
      <modifiedWord/>
      <trackRevisions>false</trackRevisions>
    </reviewItem>
    <reviewItem>
      <errorID>b0166804-7658-445b-bdba-cd40276f0c8d</errorID>
      <errorWord>：</errorWord>
      <group>L1_Format</group>
      <groupName>格式问题</groupName>
      <ability>L2_HalfPunc_CN</ability>
      <abilityName>全半角检查</abilityName>
      <candidateList>
        <item>:</item>
      </candidateList>
      <explain>文本全半角错误。</explain>
      <paraID>52EF80C9</paraID>
      <start>5</start>
      <end>6</end>
      <status>unmodified</status>
      <modifiedWord/>
      <trackRevisions>false</trackRevisions>
    </reviewItem>
    <reviewItem>
      <errorID>cce202a5-9425-4ad2-8e4a-d8357243813e</errorID>
      <errorWord>；</errorWord>
      <group>L1_Format</group>
      <groupName>格式问题</groupName>
      <ability>L2_HalfPunc_CN</ability>
      <abilityName>全半角检查</abilityName>
      <candidateList>
        <item>;</item>
      </candidateList>
      <explain>文本全半角错误。</explain>
      <paraID>52EF80C9</paraID>
      <start>13</start>
      <end>14</end>
      <status>unmodified</status>
      <modifiedWord/>
      <trackRevisions>false</trackRevisions>
    </reviewItem>
    <reviewItem>
      <errorID>eff6668d-820f-4724-a198-5a5883c1b854</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4F491D6F</paraID>
      <start>43</start>
      <end>44</end>
      <status>unmodified</status>
      <modifiedWord/>
      <trackRevisions>false</trackRevisions>
    </reviewItem>
    <reviewItem>
      <errorID>0de2ed3a-c78a-46fc-9554-715cc59dc485</errorID>
      <errorWord>(</errorWord>
      <group>L1_Format</group>
      <groupName>格式问题</groupName>
      <ability>L2_HalfPunc_CN</ability>
      <abilityName>全半角检查</abilityName>
      <candidateList>
        <item>（</item>
      </candidateList>
      <explain>文本全半角错误。</explain>
      <paraID>13DA1EFC</paraID>
      <start>13</start>
      <end>14</end>
      <status>unmodified</status>
      <modifiedWord/>
      <trackRevisions>false</trackRevisions>
    </reviewItem>
    <reviewItem>
      <errorID>e82ba4c6-906c-4556-9dcb-b2209c799b0a</errorID>
      <errorWord>最大称量</errorWord>
      <group>L1_Knowledge</group>
      <groupName>知识性问题</groupName>
      <ability>L2_Term</ability>
      <abilityName>专业术语</abilityName>
      <candidateList>
        <item>最大秤量</item>
      </candidateList>
      <explain/>
      <paraID> 678FF47</paraID>
      <start>2</start>
      <end>6</end>
      <status>unmodified</status>
      <modifiedWord/>
      <trackRevisions>false</trackRevisions>
    </reviewItem>
    <reviewItem>
      <errorID>116702dc-f9a5-41c2-b4b5-4dea9c0c0581</errorID>
      <errorWord>其它</errorWord>
      <group>L1_Word</group>
      <groupName>字词问题</groupName>
      <ability>L2_Alias</ability>
      <abilityName>也作/曾用词</abilityName>
      <candidateList>
        <item>其他</item>
      </candidateList>
      <explain>词汇[其它]为不规范表述或旧称，其规范书面表述为[其他]。</explain>
      <paraID>10FEDE65</paraID>
      <start>47</start>
      <end>49</end>
      <status>unmodified</status>
      <modifiedWord/>
      <trackRevisions>false</trackRevisions>
    </reviewItem>
    <reviewItem>
      <errorID>2ce7ad83-7355-4768-a681-9012af2fb988</errorID>
      <errorWord>(</errorWord>
      <group>L1_Format</group>
      <groupName>格式问题</groupName>
      <ability>L2_HalfPunc_CN</ability>
      <abilityName>全半角检查</abilityName>
      <candidateList>
        <item>（</item>
      </candidateList>
      <explain>文本全半角错误。</explain>
      <paraID>55181B8D</paraID>
      <start>5</start>
      <end>6</end>
      <status>unmodified</status>
      <modifiedWord/>
      <trackRevisions>false</trackRevisions>
    </reviewItem>
    <reviewItem>
      <errorID>88365c95-2f70-4cb8-b657-a5a13278acd8</errorID>
      <errorWord>)</errorWord>
      <group>L1_Format</group>
      <groupName>格式问题</groupName>
      <ability>L2_HalfPunc_CN</ability>
      <abilityName>全半角检查</abilityName>
      <candidateList>
        <item>）</item>
      </candidateList>
      <explain>文本全半角错误。</explain>
      <paraID>55181B8D</paraID>
      <start>7</start>
      <end>8</end>
      <status>unmodified</status>
      <modifiedWord/>
      <trackRevisions>false</trackRevisions>
    </reviewItem>
    <reviewItem>
      <errorID>eff47b28-a92b-449c-bacb-9bc3808c8309</errorID>
      <errorWord>(</errorWord>
      <group>L1_Format</group>
      <groupName>格式问题</groupName>
      <ability>L2_HalfPunc_CN</ability>
      <abilityName>全半角检查</abilityName>
      <candidateList>
        <item>（</item>
      </candidateList>
      <explain>文本全半角错误。</explain>
      <paraID>3BEBDCD7</paraID>
      <start>7</start>
      <end>8</end>
      <status>unmodified</status>
      <modifiedWord/>
      <trackRevisions>false</trackRevisions>
    </reviewItem>
    <reviewItem>
      <errorID>ec9697d7-5b25-423c-a5a0-66ff6abc9fb2</errorID>
      <errorWord>)</errorWord>
      <group>L1_Format</group>
      <groupName>格式问题</groupName>
      <ability>L2_HalfPunc_CN</ability>
      <abilityName>全半角检查</abilityName>
      <candidateList>
        <item>）</item>
      </candidateList>
      <explain>文本全半角错误。</explain>
      <paraID>3BEBDCD7</paraID>
      <start>9</start>
      <end>10</end>
      <status>unmodified</status>
      <modifiedWord/>
      <trackRevisions>false</trackRevisions>
    </reviewItem>
    <reviewItem>
      <errorID>d6a1ef0e-d49d-4f23-8410-46e3787b2877</errorID>
      <errorWord>(</errorWord>
      <group>L1_Format</group>
      <groupName>格式问题</groupName>
      <ability>L2_HalfPunc_CN</ability>
      <abilityName>全半角检查</abilityName>
      <candidateList>
        <item>（</item>
      </candidateList>
      <explain>文本全半角错误。</explain>
      <paraID>77641661</paraID>
      <start>6</start>
      <end>7</end>
      <status>unmodified</status>
      <modifiedWord/>
      <trackRevisions>false</trackRevisions>
    </reviewItem>
    <reviewItem>
      <errorID>e0813b12-56e0-486c-8d72-6f49bf548fae</errorID>
      <errorWord>)</errorWord>
      <group>L1_Format</group>
      <groupName>格式问题</groupName>
      <ability>L2_HalfPunc_CN</ability>
      <abilityName>全半角检查</abilityName>
      <candidateList>
        <item>）</item>
      </candidateList>
      <explain>文本全半角错误。</explain>
      <paraID>77641661</paraID>
      <start>8</start>
      <end>9</end>
      <status>unmodified</status>
      <modifiedWord/>
      <trackRevisions>false</trackRevisions>
    </reviewItem>
    <reviewItem>
      <errorID>2024c4c6-c842-4d45-89a3-a91a40e1331a</errorID>
      <errorWord>(</errorWord>
      <group>L1_Format</group>
      <groupName>格式问题</groupName>
      <ability>L2_HalfPunc_CN</ability>
      <abilityName>全半角检查</abilityName>
      <candidateList>
        <item>（</item>
      </candidateList>
      <explain>文本全半角错误。</explain>
      <paraID> D29F0B8</paraID>
      <start>21</start>
      <end>22</end>
      <status>unmodified</status>
      <modifiedWord/>
      <trackRevisions>false</trackRevisions>
    </reviewItem>
    <reviewItem>
      <errorID>f1b0599f-4890-4cae-9d49-2a5508fa9015</errorID>
      <errorWord>)</errorWord>
      <group>L1_Format</group>
      <groupName>格式问题</groupName>
      <ability>L2_HalfPunc_CN</ability>
      <abilityName>全半角检查</abilityName>
      <candidateList>
        <item>）</item>
      </candidateList>
      <explain>文本全半角错误。</explain>
      <paraID> D29F0B8</paraID>
      <start>25</start>
      <end>26</end>
      <status>unmodified</status>
      <modifiedWord/>
      <trackRevisions>false</trackRevisions>
    </reviewItem>
    <reviewItem>
      <errorID>ab3e9cbd-5a7f-4bf7-9963-69b54e56d797</errorID>
      <errorWord>(</errorWord>
      <group>L1_Format</group>
      <groupName>格式问题</groupName>
      <ability>L2_HalfPunc_CN</ability>
      <abilityName>全半角检查</abilityName>
      <candidateList>
        <item>（</item>
      </candidateList>
      <explain>文本全半角错误。</explain>
      <paraID>776DA9F8</paraID>
      <start>9</start>
      <end>10</end>
      <status>unmodified</status>
      <modifiedWord/>
      <trackRevisions>false</trackRevisions>
    </reviewItem>
    <reviewItem>
      <errorID>0092c173-125d-4e76-9baf-82371de4a527</errorID>
      <errorWord>)</errorWord>
      <group>L1_Format</group>
      <groupName>格式问题</groupName>
      <ability>L2_HalfPunc_CN</ability>
      <abilityName>全半角检查</abilityName>
      <candidateList>
        <item>）</item>
      </candidateList>
      <explain>文本全半角错误。</explain>
      <paraID>776DA9F8</paraID>
      <start>13</start>
      <end>14</end>
      <status>unmodified</status>
      <modifiedWord/>
      <trackRevisions>false</trackRevisions>
    </reviewItem>
    <reviewItem>
      <errorID>27042a17-3c2a-4c20-bad8-90b7eca89f8b</errorID>
      <errorWord>热原</errorWord>
      <group>L1_Word</group>
      <groupName>字词问题</groupName>
      <ability>L2_Typo</ability>
      <abilityName>字词错误</abilityName>
      <candidateList>
        <item>热源</item>
      </candidateList>
      <explain>存在发音相同字词的误用。</explain>
      <paraID>719ECEB0</paraID>
      <start>5</start>
      <end>7</end>
      <status>unmodified</status>
      <modifiedWord/>
      <trackRevisions>false</trackRevisions>
    </reviewItem>
    <reviewItem>
      <errorID>846875c6-bfb0-472e-aee3-30455b678394</errorID>
      <errorWord>(</errorWord>
      <group>L1_Format</group>
      <groupName>格式问题</groupName>
      <ability>L2_HalfPunc_CN</ability>
      <abilityName>全半角检查</abilityName>
      <candidateList>
        <item>（</item>
      </candidateList>
      <explain>文本全半角错误。</explain>
      <paraID>719ECEB0</paraID>
      <start>7</start>
      <end>8</end>
      <status>unmodified</status>
      <modifiedWord/>
      <trackRevisions>false</trackRevisions>
    </reviewItem>
    <reviewItem>
      <errorID>a3d4ad2b-36ce-4dad-8570-df4ba79b2531</errorID>
      <errorWord>)</errorWord>
      <group>L1_Format</group>
      <groupName>格式问题</groupName>
      <ability>L2_HalfPunc_CN</ability>
      <abilityName>全半角检查</abilityName>
      <candidateList>
        <item>）</item>
      </candidateList>
      <explain>文本全半角错误。</explain>
      <paraID>719ECEB0</paraID>
      <start>11</start>
      <end>12</end>
      <status>unmodified</status>
      <modifiedWord/>
      <trackRevisions>false</trackRevisions>
    </reviewItem>
    <reviewItem>
      <errorID>258fd292-736f-4cdd-acfd-01c86092e579</errorID>
      <errorWord>)</errorWord>
      <group>L1_Format</group>
      <groupName>格式问题</groupName>
      <ability>L2_HalfPunc_CN</ability>
      <abilityName>全半角检查</abilityName>
      <candidateList>
        <item>）</item>
      </candidateList>
      <explain>文本全半角错误。</explain>
      <paraID>764CDBFA</paraID>
      <start>17</start>
      <end>18</end>
      <status>unmodified</status>
      <modifiedWord/>
      <trackRevisions>false</trackRevisions>
    </reviewItem>
    <reviewItem>
      <errorID>5614a40a-fe6d-4ab1-bab2-2e84d72e266e</errorID>
      <errorWord>核核</errorWord>
      <group>L1_Word</group>
      <groupName>字词问题</groupName>
      <ability>L2_Typo</ability>
      <abilityName>字词错误</abilityName>
      <candidateList>
        <item>核苷</item>
      </candidateList>
      <explain/>
      <paraID>6CA6B0DA</paraID>
      <start>7</start>
      <end>9</end>
      <status>unmodified</status>
      <modifiedWord/>
      <trackRevisions>false</trackRevisions>
    </reviewItem>
    <reviewItem>
      <errorID>80d5f6d6-471a-40d7-a897-04fc033599a7</errorID>
      <errorWord>)</errorWord>
      <group>L1_Format</group>
      <groupName>格式问题</groupName>
      <ability>L2_HalfPunc_CN</ability>
      <abilityName>全半角检查</abilityName>
      <candidateList>
        <item>）</item>
      </candidateList>
      <explain>文本全半角错误。</explain>
      <paraID>6CA6B0DA</paraID>
      <start>19</start>
      <end>20</end>
      <status>unmodified</status>
      <modifiedWord/>
      <trackRevisions>false</trackRevisions>
    </reviewItem>
    <reviewItem>
      <errorID>e718906d-1fb0-41e0-90ee-5e10f909079d</errorID>
      <errorWord>:</errorWord>
      <group>L1_Format</group>
      <groupName>格式问题</groupName>
      <ability>L2_HalfPunc_CN</ability>
      <abilityName>全半角检查</abilityName>
      <candidateList>
        <item>：</item>
      </candidateList>
      <explain>文本全半角错误。</explain>
      <paraID>13942631</paraID>
      <start>7</start>
      <end>8</end>
      <status>unmodified</status>
      <modifiedWord/>
      <trackRevisions>false</trackRevisions>
    </reviewItem>
    <reviewItem>
      <errorID>a42370a6-1097-4e92-9421-ea14e3535528</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5EE0D6BD</paraID>
      <start>114</start>
      <end>117</end>
      <status>unmodified</status>
      <modifiedWord/>
      <trackRevisions>false</trackRevisions>
    </reviewItem>
    <reviewItem>
      <errorID>f2fe5300-52e1-4bc5-a6f1-b55aa185f705</errorID>
      <errorWord>（</errorWord>
      <group>L1_Format</group>
      <groupName>格式问题</groupName>
      <ability>L2_HalfPunc_CN</ability>
      <abilityName>全半角检查</abilityName>
      <candidateList>
        <item>(</item>
      </candidateList>
      <explain>文本全半角错误。</explain>
      <paraID> FF54B10</paraID>
      <start>0</start>
      <end>1</end>
      <status>unmodified</status>
      <modifiedWord/>
      <trackRevisions>false</trackRevisions>
    </reviewItem>
    <reviewItem>
      <errorID>eada3e4c-0c02-4d02-a1b8-d6b75bc9c02b</errorID>
      <errorWord>）</errorWord>
      <group>L1_Format</group>
      <groupName>格式问题</groupName>
      <ability>L2_HalfPunc_CN</ability>
      <abilityName>全半角检查</abilityName>
      <candidateList>
        <item>)</item>
      </candidateList>
      <explain>文本全半角错误。</explain>
      <paraID> FF54B10</paraID>
      <start>8</start>
      <end>9</end>
      <status>unmodified</status>
      <modifiedWord/>
      <trackRevisions>false</trackRevisions>
    </reviewItem>
    <reviewItem>
      <errorID>737702a9-6280-4beb-9fa6-34d372b9a76d</errorID>
      <errorWord>[2011]300号</errorWord>
      <group>L1_Knowledge</group>
      <groupName>知识性问题</groupName>
      <ability>L2_Knowledge</ability>
      <abilityName>其他知识</abilityName>
      <candidateList>
        <item>〔2011〕300号</item>
      </candidateList>
      <explain>发文字号格式错误。</explain>
      <paraID>16354295</paraID>
      <start>6</start>
      <end>16</end>
      <status>unmodified</status>
      <modifiedWord/>
      <trackRevisions>false</trackRevisions>
    </reviewItem>
    <reviewItem>
      <errorID>7826b9d7-a94d-4398-a589-b93365502261</errorID>
      <errorWord>《国务院关于进一步促进中小企业发展的若干意见》</errorWord>
      <group>L1_Official</group>
      <groupName>公文问题</groupName>
      <ability>L2_Official</ability>
      <abilityName>公文问题</abilityName>
      <candidateList/>
      <explain>公文文件引用格式不规范</explain>
      <paraID>1BF6BBCD</paraID>
      <start>23</start>
      <end>46</end>
      <status>unmodified</status>
      <modifiedWord/>
      <trackRevisions>false</trackRevisions>
    </reviewItem>
    <reviewItem>
      <errorID>dc9a0276-79ae-4e4f-9f07-4ef72321eb64</errorID>
      <errorWord>(</errorWord>
      <group>L1_Format</group>
      <groupName>格式问题</groupName>
      <ability>L2_HalfPunc_CN</ability>
      <abilityName>全半角检查</abilityName>
      <candidateList>
        <item>（</item>
      </candidateList>
      <explain>文本全半角错误。</explain>
      <paraID>1BF6BBCD</paraID>
      <start>46</start>
      <end>47</end>
      <status>unmodified</status>
      <modifiedWord/>
      <trackRevisions>false</trackRevisions>
    </reviewItem>
    <reviewItem>
      <errorID>5bd438ed-f2f2-4013-8929-87a18d6102c9</errorID>
      <errorWord>[2009]36号</errorWord>
      <group>L1_Knowledge</group>
      <groupName>知识性问题</groupName>
      <ability>L2_Knowledge</ability>
      <abilityName>其他知识</abilityName>
      <candidateList>
        <item>〔2009〕36号</item>
      </candidateList>
      <explain>发文字号格式错误。</explain>
      <paraID>1BF6BBCD</paraID>
      <start>49</start>
      <end>58</end>
      <status>unmodified</status>
      <modifiedWord/>
      <trackRevisions>false</trackRevisions>
    </reviewItem>
    <reviewItem>
      <errorID>ca5a70b0-1e86-40fc-a380-4454f8ed17dc</errorID>
      <errorWord>)</errorWord>
      <group>L1_Format</group>
      <groupName>格式问题</groupName>
      <ability>L2_HalfPunc_CN</ability>
      <abilityName>全半角检查</abilityName>
      <candidateList>
        <item>）</item>
      </candidateList>
      <explain>文本全半角错误。</explain>
      <paraID>1BF6BBCD</paraID>
      <start>58</start>
      <end>59</end>
      <status>unmodified</status>
      <modifiedWord/>
      <trackRevisions>false</trackRevisions>
    </reviewItem>
    <reviewItem>
      <errorID>36758691-ff7f-433a-a32e-5df8e3df972c</errorID>
      <errorWord>《中小企业声明函》</errorWord>
      <group>L1_Official</group>
      <groupName>公文问题</groupName>
      <ability>L2_Official</ability>
      <abilityName>公文问题</abilityName>
      <candidateList/>
      <explain>公文文件引用格式不规范</explain>
      <paraID>3F30A5E7</paraID>
      <start>3</start>
      <end>12</end>
      <status>unmodified</status>
      <modifiedWord/>
      <trackRevisions>false</trackRevisions>
    </reviewItem>
    <reviewItem>
      <errorID>b7f3cfe3-97f2-42df-a290-9ae6eb088cc2</errorID>
      <errorWord>《残疾人福利性单位声明函》</errorWord>
      <group>L1_Official</group>
      <groupName>公文问题</groupName>
      <ability>L2_Official</ability>
      <abilityName>公文问题</abilityName>
      <candidateList/>
      <explain>公文文件引用格式不规范</explain>
      <paraID> 227BEF8</paraID>
      <start>3</start>
      <end>16</end>
      <status>unmodified</status>
      <modifiedWord/>
      <trackRevisions>false</trackRevisions>
    </reviewItem>
    <reviewItem>
      <errorID>e0804381-0b32-4cef-9b17-bda45196ac1c</errorID>
      <errorWord>(</errorWord>
      <group>L1_Format</group>
      <groupName>格式问题</groupName>
      <ability>L2_HalfPunc_CN</ability>
      <abilityName>全半角检查</abilityName>
      <candidateList>
        <item>（</item>
      </candidateList>
      <explain>文本全半角错误。</explain>
      <paraID>31444B79</paraID>
      <start>18</start>
      <end>19</end>
      <status>unmodified</status>
      <modifiedWord/>
      <trackRevisions>false</trackRevisions>
    </reviewItem>
    <reviewItem>
      <errorID>001487d9-efa7-41e7-82d8-e2e94b30d6d3</errorID>
      <errorWord>)</errorWord>
      <group>L1_Format</group>
      <groupName>格式问题</groupName>
      <ability>L2_HalfPunc_CN</ability>
      <abilityName>全半角检查</abilityName>
      <candidateList>
        <item>）</item>
      </candidateList>
      <explain>文本全半角错误。</explain>
      <paraID>31444B79</paraID>
      <start>28</start>
      <end>29</end>
      <status>unmodified</status>
      <modifiedWord/>
      <trackRevisions>false</trackRevisions>
    </reviewItem>
    <reviewItem>
      <errorID>a77c6741-b845-41f1-83af-098aefe68e1b</errorID>
      <errorWord>《关于符合本国产品标准的声明函》</errorWord>
      <group>L1_Official</group>
      <groupName>公文问题</groupName>
      <ability>L2_Official</ability>
      <abilityName>公文问题</abilityName>
      <candidateList/>
      <explain>公文文件引用格式不规范</explain>
      <paraID>674766BD</paraID>
      <start>3</start>
      <end>19</end>
      <status>unmodified</status>
      <modifiedWord/>
      <trackRevisions>false</trackRevisions>
    </reviewItem>
    <reviewItem>
      <errorID>a4b6def5-dbe4-4345-8696-1cab863f77f7</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6010A370</paraID>
      <start>58</start>
      <end>59</end>
      <status>unmodified</status>
      <modifiedWord/>
      <trackRevisions>false</trackRevisions>
    </reviewItem>
    <reviewItem>
      <errorID>d6606dbc-d856-4048-98a6-7a9ae4e84f7a</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4431BB32</paraID>
      <start>112</start>
      <end>113</end>
      <status>unmodified</status>
      <modifiedWord/>
      <trackRevisions>false</trackRevisions>
    </reviewItem>
    <reviewItem>
      <errorID>ab46c79d-87c9-4bf5-8e64-e44060ae1089</errorID>
      <errorWord>其它</errorWord>
      <group>L1_Word</group>
      <groupName>字词问题</groupName>
      <ability>L2_Alias</ability>
      <abilityName>也作/曾用词</abilityName>
      <candidateList>
        <item>其他</item>
      </candidateList>
      <explain>词汇[其它]为不规范表述或旧称，其规范书面表述为[其他]。</explain>
      <paraID>175840E8</paraID>
      <start>103</start>
      <end>105</end>
      <status>unmodified</status>
      <modifiedWord/>
      <trackRevisions>false</trackRevisions>
    </reviewItem>
    <reviewItem>
      <errorID>f4f546a8-59e8-4988-bcc4-f217c38627f8</errorID>
      <errorWord>其它</errorWord>
      <group>L1_Word</group>
      <groupName>字词问题</groupName>
      <ability>L2_Alias</ability>
      <abilityName>也作/曾用词</abilityName>
      <candidateList>
        <item>其他</item>
      </candidateList>
      <explain>词汇[其它]为不规范表述或旧称，其规范书面表述为[其他]。</explain>
      <paraID>6BC3F11C</paraID>
      <start>103</start>
      <end>105</end>
      <status>unmodified</status>
      <modifiedWord/>
      <trackRevisions>false</trackRevisions>
    </reviewItem>
    <reviewItem>
      <errorID>b07b1d05-8f62-4c1e-b97e-fe7e2553b10f</errorID>
      <errorWord>;）</errorWord>
      <group>L1_Punc</group>
      <groupName>标点问题</groupName>
      <ability>L2_Punc_CN</ability>
      <abilityName>标点符号检查</abilityName>
      <candidateList>
        <item>）</item>
      </candidateList>
      <explain/>
      <paraID>435FB1AD</paraID>
      <start>155</start>
      <end>158</end>
      <status>unmodified</status>
      <modifiedWord/>
      <trackRevisions>false</trackRevisions>
    </reviewItem>
    <reviewItem>
      <errorID>523d2684-a763-46ad-bab0-fbe708a4c3eb</errorID>
      <errorWord>（</errorWord>
      <group>L1_Format</group>
      <groupName>格式问题</groupName>
      <ability>L2_HalfPunc_CN</ability>
      <abilityName>全半角检查</abilityName>
      <candidateList>
        <item>(</item>
      </candidateList>
      <explain>文本全半角错误。</explain>
      <paraID>27A3203E</paraID>
      <start>4</start>
      <end>5</end>
      <status>unmodified</status>
      <modifiedWord/>
      <trackRevisions>false</trackRevisions>
    </reviewItem>
    <reviewItem>
      <errorID>5f4a4b65-defc-4305-bf60-c48e6bac1b69</errorID>
      <errorWord>）</errorWord>
      <group>L1_Format</group>
      <groupName>格式问题</groupName>
      <ability>L2_HalfPunc_CN</ability>
      <abilityName>全半角检查</abilityName>
      <candidateList>
        <item>)</item>
      </candidateList>
      <explain>文本全半角错误。</explain>
      <paraID>27A3203E</paraID>
      <start>6</start>
      <end>7</end>
      <status>unmodified</status>
      <modifiedWord/>
      <trackRevisions>false</trackRevisions>
    </reviewItem>
    <reviewItem>
      <errorID>39e3791e-9369-42a0-a6d7-9fcd3b1000b9</errorID>
      <errorWord>（</errorWord>
      <group>L1_Format</group>
      <groupName>格式问题</groupName>
      <ability>L2_HalfPunc_CN</ability>
      <abilityName>全半角检查</abilityName>
      <candidateList>
        <item>(</item>
      </candidateList>
      <explain>文本全半角错误。</explain>
      <paraID> CE46419</paraID>
      <start>4</start>
      <end>5</end>
      <status>unmodified</status>
      <modifiedWord/>
      <trackRevisions>false</trackRevisions>
    </reviewItem>
    <reviewItem>
      <errorID>92e79524-7eeb-4cbc-9b7d-99be8e90bc6d</errorID>
      <errorWord>）</errorWord>
      <group>L1_Format</group>
      <groupName>格式问题</groupName>
      <ability>L2_HalfPunc_CN</ability>
      <abilityName>全半角检查</abilityName>
      <candidateList>
        <item>)</item>
      </candidateList>
      <explain>文本全半角错误。</explain>
      <paraID> CE46419</paraID>
      <start>6</start>
      <end>7</end>
      <status>unmodified</status>
      <modifiedWord/>
      <trackRevisions>false</trackRevisions>
    </reviewItem>
    <reviewItem>
      <errorID>4b03393d-234f-402e-98ff-091c42d53162</errorID>
      <errorWord>（</errorWord>
      <group>L1_Format</group>
      <groupName>格式问题</groupName>
      <ability>L2_HalfPunc_CN</ability>
      <abilityName>全半角检查</abilityName>
      <candidateList>
        <item>(</item>
      </candidateList>
      <explain>文本全半角错误。</explain>
      <paraID>157317C0</paraID>
      <start>4</start>
      <end>5</end>
      <status>unmodified</status>
      <modifiedWord/>
      <trackRevisions>false</trackRevisions>
    </reviewItem>
    <reviewItem>
      <errorID>0bad3783-ba6d-447e-9058-f0c20ba43439</errorID>
      <errorWord>）</errorWord>
      <group>L1_Format</group>
      <groupName>格式问题</groupName>
      <ability>L2_HalfPunc_CN</ability>
      <abilityName>全半角检查</abilityName>
      <candidateList>
        <item>)</item>
      </candidateList>
      <explain>文本全半角错误。</explain>
      <paraID>157317C0</paraID>
      <start>6</start>
      <end>7</end>
      <status>unmodified</status>
      <modifiedWord/>
      <trackRevisions>false</trackRevisions>
    </reviewItem>
    <reviewItem>
      <errorID>f1fdda73-285b-4cb5-a6a8-a9a27a92277d</errorID>
      <errorWord>以下的</errorWord>
      <group>L1_Word</group>
      <groupName>字词问题</groupName>
      <ability>L2_Typo</ability>
      <abilityName>字词错误</abilityName>
      <candidateList>
        <item>以下</item>
      </candidateList>
      <explain/>
      <paraID>190A649B</paraID>
      <start>40</start>
      <end>43</end>
      <status>unmodified</status>
      <modifiedWord/>
      <trackRevisions>false</trackRevisions>
    </reviewItem>
    <reviewItem>
      <errorID>36401679-bc68-4e07-bf4e-0033b0261669</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9DA215B</paraID>
      <start>15</start>
      <end>18</end>
      <status>unmodified</status>
      <modifiedWord/>
      <trackRevisions>false</trackRevisions>
    </reviewItem>
    <reviewItem>
      <errorID>32fad101-d08e-4adf-8797-492633add469</errorID>
      <errorWord>法律、法规</errorWord>
      <group>L1_Word</group>
      <groupName>字词问题</groupName>
      <ability>L2_Typo</ability>
      <abilityName>字词错误</abilityName>
      <candidateList>
        <item>法律法规</item>
      </candidateList>
      <explain/>
      <paraID>4EABA41B</paraID>
      <start>25</start>
      <end>30</end>
      <status>unmodified</status>
      <modifiedWord/>
      <trackRevisions>false</trackRevisions>
    </reviewItem>
    <reviewItem>
      <errorID>8d96db1a-1c3a-4db8-83b3-311c73947504</errorID>
      <errorWord>《国务院办公厅关于在政府采购中实施本国产品标准及相关政策的通知》</errorWord>
      <group>L1_Official</group>
      <groupName>公文问题</groupName>
      <ability>L2_Official</ability>
      <abilityName>公文问题</abilityName>
      <candidateList/>
      <explain>公文文件引用格式不规范</explain>
      <paraID>27ACF180</paraID>
      <start>71</start>
      <end>103</end>
      <status>unmodified</status>
      <modifiedWord/>
      <trackRevisions>false</trackRevisions>
    </reviewItem>
    <reviewItem>
      <errorID>6d262ab0-a4e1-4ff7-b9a4-68460b530c9e</errorID>
      <errorWord>操作合</errorWord>
      <group>L1_Word</group>
      <groupName>字词问题</groupName>
      <ability>L2_Typo</ability>
      <abilityName>字词错误</abilityName>
      <candidateList>
        <item>操作台</item>
      </candidateList>
      <explain/>
      <paraID>1C441E3F</paraID>
      <start>10</start>
      <end>13</end>
      <status>unmodified</status>
      <modifiedWord/>
      <trackRevisions>false</trackRevisions>
    </reviewItem>
    <reviewItem>
      <errorID>1554513e-ec7d-471c-81ee-b3a16603bee2</errorID>
      <errorWord>”中</errorWord>
      <group>L1_Word</group>
      <groupName>字词问题</groupName>
      <ability>L2_Typo</ability>
      <abilityName>字词错误</abilityName>
      <candidateList>
        <item>”</item>
      </candidateList>
      <explain/>
      <paraID>6FBF757F</paraID>
      <start>186</start>
      <end>188</end>
      <status>unmodified</status>
      <modifiedWord/>
      <trackRevisions>false</trackRevisions>
    </reviewItem>
    <reviewItem>
      <errorID>83889c39-b2fe-4856-9ad4-0bfb1ff832a4</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6F8F7E50</paraID>
      <start>4</start>
      <end>5</end>
      <status>unmodified</status>
      <modifiedWord/>
      <trackRevisions>false</trackRevisions>
    </reviewItem>
    <reviewItem>
      <errorID>f6b1e12e-e1a2-4cbe-b72d-600322da6df0</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54E53C14</paraID>
      <start>12</start>
      <end>13</end>
      <status>unmodified</status>
      <modifiedWord/>
      <trackRevisions>false</trackRevisions>
    </reviewItem>
    <reviewItem>
      <errorID>ced56245-2b84-4ce0-96ee-e43443c6fca5</errorID>
      <errorWord>会</errorWord>
      <group>L1_Word</group>
      <groupName>字词问题</groupName>
      <ability>L2_Typo</ability>
      <abilityName>字词错误</abilityName>
      <candidateList>
        <item>会在</item>
      </candidateList>
      <explain/>
      <paraID>1DB9F989</paraID>
      <start>13</start>
      <end>14</end>
      <status>unmodified</status>
      <modifiedWord/>
      <trackRevisions>false</trackRevisions>
    </reviewItem>
    <reviewItem>
      <errorID>0c9bbf90-9a5a-447a-8671-6e16cd899352</errorID>
      <errorWord>《中小企业声明函》</errorWord>
      <group>L1_Official</group>
      <groupName>公文问题</groupName>
      <ability>L2_Official</ability>
      <abilityName>公文问题</abilityName>
      <candidateList/>
      <explain>公文文件引用格式不规范</explain>
      <paraID> 95F30FB</paraID>
      <start>76</start>
      <end>85</end>
      <status>unmodified</status>
      <modifiedWord/>
      <trackRevisions>false</trackRevisions>
    </reviewItem>
    <reviewItem>
      <errorID>191e9950-83ec-4681-98d9-4a83220ab1d1</errorID>
      <errorWord>随</errorWord>
      <group>L1_Word</group>
      <groupName>字词问题</groupName>
      <ability>L2_Typo</ability>
      <abilityName>字词错误</abilityName>
      <candidateList>
        <item>对</item>
      </candidateList>
      <explain>存在发音相近字词的误用。</explain>
      <paraID>40C39AF3</paraID>
      <start>16</start>
      <end>17</end>
      <status>unmodified</status>
      <modifiedWord/>
      <trackRevisions>false</trackRevisions>
    </reviewItem>
    <reviewItem>
      <errorID>479d1d49-e35f-49db-876b-25760d18733a</errorID>
      <errorWord>《关于符合本国产品标准的声明函》</errorWord>
      <group>L1_Official</group>
      <groupName>公文问题</groupName>
      <ability>L2_Official</ability>
      <abilityName>公文问题</abilityName>
      <candidateList/>
      <explain>公文文件引用格式不规范</explain>
      <paraID>40C39AF3</paraID>
      <start>29</start>
      <end>45</end>
      <status>unmodified</status>
      <modifiedWord/>
      <trackRevisions>false</trackRevisions>
    </reviewItem>
    <reviewItem>
      <errorID>f5051275-bd69-40ee-b078-4ff19d9de1a4</errorID>
      <errorWord>法律、法规</errorWord>
      <group>L1_Word</group>
      <groupName>字词问题</groupName>
      <ability>L2_Typo</ability>
      <abilityName>字词错误</abilityName>
      <candidateList>
        <item>法律法规</item>
      </candidateList>
      <explain/>
      <paraID>4AB87B67</paraID>
      <start>0</start>
      <end>5</end>
      <status>unmodified</status>
      <modifiedWord/>
      <trackRevisions>false</trackRevisions>
    </reviewItem>
    <reviewItem>
      <errorID>00ad34f3-d0de-47ff-9c9a-c15a22756ee2</errorID>
      <errorWord>，</errorWord>
      <group>L1_Word</group>
      <groupName>字词问题</groupName>
      <ability>L2_Typo</ability>
      <abilityName>字词错误</abilityName>
      <candidateList>
        <item>，并</item>
      </candidateList>
      <explain/>
      <paraID>12A6527A</paraID>
      <start>63</start>
      <end>64</end>
      <status>unmodified</status>
      <modifiedWord/>
      <trackRevisions>false</trackRevisions>
    </reviewItem>
    <reviewItem>
      <errorID>0c28ba9c-0f6d-470f-bb53-ebcd52665ccf</errorID>
      <errorWord>原则做出结论</errorWord>
      <group>L1_Word</group>
      <groupName>字词问题</groupName>
      <ability>L2_Typo</ability>
      <abilityName>字词错误</abilityName>
      <candidateList>
        <item>原则作出结论</item>
      </candidateList>
      <explain/>
      <paraID>71CC507E</paraID>
      <start>114</start>
      <end>120</end>
      <status>unmodified</status>
      <modifiedWord/>
      <trackRevisions>false</trackRevisions>
    </reviewItem>
    <reviewItem>
      <errorID>a81fd9e1-ea44-4c84-8a00-7c4fbaed43e8</errorID>
      <errorWord>只是</errorWord>
      <group>L1_Word</group>
      <groupName>字词问题</groupName>
      <ability>L2_Typo</ability>
      <abilityName>字词错误</abilityName>
      <candidateList>
        <item>只</item>
      </candidateList>
      <explain/>
      <paraID> 6E4E75E</paraID>
      <start>32</start>
      <end>34</end>
      <status>unmodified</status>
      <modifiedWord/>
      <trackRevisions>false</trackRevisions>
    </reviewItem>
    <reviewItem>
      <errorID>8b3842de-c273-4ddd-a0a0-bed12fc3a119</errorID>
      <errorWord>《国务院办公厅关于在政府采购中实施本国产品标准及相关政策的通知》</errorWord>
      <group>L1_Official</group>
      <groupName>公文问题</groupName>
      <ability>L2_Official</ability>
      <abilityName>公文问题</abilityName>
      <candidateList/>
      <explain>公文文件引用格式不规范</explain>
      <paraID>36353A9D</paraID>
      <start>2</start>
      <end>34</end>
      <status>unmodified</status>
      <modifiedWord/>
      <trackRevisions>false</trackRevisions>
    </reviewItem>
    <reviewItem>
      <errorID>c6ef9a7f-c7e8-4634-b874-8b9effa544bb</errorID>
      <errorWord>《关于符合本国产品标准的声明函》</errorWord>
      <group>L1_Official</group>
      <groupName>公文问题</groupName>
      <ability>L2_Official</ability>
      <abilityName>公文问题</abilityName>
      <candidateList/>
      <explain>公文文件引用格式不规范</explain>
      <paraID>36353A9D</paraID>
      <start>47</start>
      <end>63</end>
      <status>unmodified</status>
      <modifiedWord/>
      <trackRevisions>false</trackRevisions>
    </reviewItem>
    <reviewItem>
      <errorID>33583280-91ef-401c-b278-1768ba9d85ed</errorID>
      <errorWord>涵盖对</errorWord>
      <group>L1_Word</group>
      <groupName>字词问题</groupName>
      <ability>L2_Typo</ability>
      <abilityName>字词错误</abilityName>
      <candidateList>
        <item>涵盖</item>
      </candidateList>
      <explain/>
      <paraID>2EC821B3</paraID>
      <start>13</start>
      <end>16</end>
      <status>unmodified</status>
      <modifiedWord/>
      <trackRevisions>false</trackRevisions>
    </reviewItem>
    <reviewItem>
      <errorID>95aaad45-2860-487a-89ad-51a2d94b9bf8</errorID>
      <errorWord>具有有</errorWord>
      <group>L1_Word</group>
      <groupName>字词问题</groupName>
      <ability>L2_Typo</ability>
      <abilityName>字词错误</abilityName>
      <candidateList>
        <item>具有</item>
      </candidateList>
      <explain/>
      <paraID>57358891</paraID>
      <start>69</start>
      <end>72</end>
      <status>unmodified</status>
      <modifiedWord/>
      <trackRevisions>false</trackRevisions>
    </reviewItem>
    <reviewItem>
      <errorID>45235865-a0b7-4aab-b2a3-acb3b152de8c</errorID>
      <errorWord>包含有</errorWord>
      <group>L1_Word</group>
      <groupName>字词问题</groupName>
      <ability>L2_Typo</ability>
      <abilityName>字词错误</abilityName>
      <candidateList>
        <item>包含</item>
      </candidateList>
      <explain/>
      <paraID>5424E9B4</paraID>
      <start>31</start>
      <end>34</end>
      <status>unmodified</status>
      <modifiedWord/>
      <trackRevisions>false</trackRevisions>
    </reviewItem>
    <reviewItem>
      <errorID>b3fe5ed5-f53b-4107-b216-37909ebec8a6</errorID>
      <errorWord>晰</errorWord>
      <group>L1_Word</group>
      <groupName>字词问题</groupName>
      <ability>L2_Typo</ability>
      <abilityName>字词错误</abilityName>
      <candidateList>
        <item>晰地</item>
      </candidateList>
      <explain/>
      <paraID>5880BD1E</paraID>
      <start>34</start>
      <end>35</end>
      <status>unmodified</status>
      <modifiedWord/>
      <trackRevisions>false</trackRevisions>
    </reviewItem>
    <reviewItem>
      <errorID>4dcec083-71ab-4cf4-88d2-8a66ffe6aafb</errorID>
      <errorWord>[</errorWord>
      <group>L1_Word</group>
      <groupName>字词问题</groupName>
      <ability>L2_Typo</ability>
      <abilityName>字词错误</abilityName>
      <candidateList>
        <item>[在</item>
      </candidateList>
      <explain/>
      <paraID>1AD2C244</paraID>
      <start>44</start>
      <end>45</end>
      <status>unmodified</status>
      <modifiedWord/>
      <trackRevisions>false</trackRevisions>
    </reviewItem>
    <reviewItem>
      <errorID>e4f45164-59b6-4195-ac46-ba0498ca92c0</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22736573</paraID>
      <start>28</start>
      <end>29</end>
      <status>unmodified</status>
      <modifiedWord/>
      <trackRevisions>false</trackRevisions>
    </reviewItem>
    <reviewItem>
      <errorID>bdca87f7-c5e9-4928-b731-632ca1b2d20f</errorID>
      <errorWord>法律、法规</errorWord>
      <group>L1_Word</group>
      <groupName>字词问题</groupName>
      <ability>L2_Typo</ability>
      <abilityName>字词错误</abilityName>
      <candidateList>
        <item>法律法规</item>
      </candidateList>
      <explain/>
      <paraID> 7F3F642</paraID>
      <start>29</start>
      <end>34</end>
      <status>unmodified</status>
      <modifiedWord/>
      <trackRevisions>false</trackRevisions>
    </reviewItem>
    <reviewItem>
      <errorID>b6756bb2-a765-4507-9ed1-a5ec25723b02</errorID>
      <errorWord>其它</errorWord>
      <group>L1_Word</group>
      <groupName>字词问题</groupName>
      <ability>L2_Alias</ability>
      <abilityName>也作/曾用词</abilityName>
      <candidateList>
        <item>其他</item>
      </candidateList>
      <explain>词汇[其它]为不规范表述或旧称，其规范书面表述为[其他]。</explain>
      <paraID> 8C799BC</paraID>
      <start>31</start>
      <end>33</end>
      <status>unmodified</status>
      <modifiedWord/>
      <trackRevisions>false</trackRevisions>
    </reviewItem>
    <reviewItem>
      <errorID>42669bb2-9a2b-4674-b82d-d443e861c699</errorID>
      <errorWord>其它</errorWord>
      <group>L1_Word</group>
      <groupName>字词问题</groupName>
      <ability>L2_Alias</ability>
      <abilityName>也作/曾用词</abilityName>
      <candidateList>
        <item>其他</item>
      </candidateList>
      <explain>词汇[其它]为不规范表述或旧称，其规范书面表述为[其他]。</explain>
      <paraID>3E9CD039</paraID>
      <start>3</start>
      <end>5</end>
      <status>unmodified</status>
      <modifiedWord/>
      <trackRevisions>false</trackRevisions>
    </reviewItem>
    <reviewItem>
      <errorID>69f5cb08-199c-4458-95f7-c123566993c5</errorID>
      <errorWord>生效及其它</errorWord>
      <group>L1_Word</group>
      <groupName>字词问题</groupName>
      <ability>L2_Alias</ability>
      <abilityName>也作/曾用词</abilityName>
      <candidateList>
        <item>生效及其他</item>
      </candidateList>
      <explain>词汇[生效及其它]为不规范表述或旧称，其规范书面表述为[生效及其他]。</explain>
      <paraID>4251574A</paraID>
      <start>7</start>
      <end>12</end>
      <status>unmodified</status>
      <modifiedWord/>
      <trackRevisions>false</trackRevisions>
    </reviewItem>
    <reviewItem>
      <errorID>71910f29-c303-41ce-a696-93e1c014c7d4</errorID>
      <errorWord>法律、法规</errorWord>
      <group>L1_Word</group>
      <groupName>字词问题</groupName>
      <ability>L2_Typo</ability>
      <abilityName>字词错误</abilityName>
      <candidateList>
        <item>法律法规</item>
      </candidateList>
      <explain/>
      <paraID>4DAF1C12</paraID>
      <start>43</start>
      <end>48</end>
      <status>unmodified</status>
      <modifiedWord/>
      <trackRevisions>false</trackRevisions>
    </reviewItem>
    <reviewItem>
      <errorID>e3bb562e-c077-4c28-b62e-f211b4b9393a</errorID>
      <errorWord>(</errorWord>
      <group>L1_Format</group>
      <groupName>格式问题</groupName>
      <ability>L2_HalfPunc_CN</ability>
      <abilityName>全半角检查</abilityName>
      <candidateList>
        <item>（</item>
      </candidateList>
      <explain>文本全半角错误。</explain>
      <paraID>2BAC5A1C</paraID>
      <start>4</start>
      <end>5</end>
      <status>unmodified</status>
      <modifiedWord/>
      <trackRevisions>false</trackRevisions>
    </reviewItem>
    <reviewItem>
      <errorID>6a2034bb-c413-480d-9526-9a2da4a275a3</errorID>
      <errorWord>)</errorWord>
      <group>L1_Format</group>
      <groupName>格式问题</groupName>
      <ability>L2_HalfPunc_CN</ability>
      <abilityName>全半角检查</abilityName>
      <candidateList>
        <item>）</item>
      </candidateList>
      <explain>文本全半角错误。</explain>
      <paraID>2BAC5A1C</paraID>
      <start>6</start>
      <end>7</end>
      <status>unmodified</status>
      <modifiedWord/>
      <trackRevisions>false</trackRevisions>
    </reviewItem>
    <reviewItem>
      <errorID>f3debd7b-d41a-4275-b3f7-7f54df7ab240</errorID>
      <errorWord>股东大会</errorWord>
      <group>L1_Word</group>
      <groupName>字词问题</groupName>
      <ability>L2_Typo</ability>
      <abilityName>字词错误</abilityName>
      <candidateList>
        <item>股东会</item>
      </candidateList>
      <explain/>
      <paraID>1AC9DCF7</paraID>
      <start>113</start>
      <end>117</end>
      <status>unmodified</status>
      <modifiedWord/>
      <trackRevisions>false</trackRevisions>
    </reviewItem>
    <reviewItem>
      <errorID>34673edd-272b-4d30-8c07-209f00bd23a5</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479E0210</paraID>
      <start>36</start>
      <end>39</end>
      <status>unmodified</status>
      <modifiedWord/>
      <trackRevisions>false</trackRevisions>
    </reviewItem>
    <reviewItem>
      <errorID>770cd446-ef21-46af-85c3-8c83a6f2a4da</errorID>
      <errorWord>,</errorWord>
      <group>L1_Format</group>
      <groupName>格式问题</groupName>
      <ability>L2_HalfPunc_CN</ability>
      <abilityName>全半角检查</abilityName>
      <candidateList>
        <item>，</item>
      </candidateList>
      <explain>文本全半角错误。</explain>
      <paraID>355D90DA</paraID>
      <start>56</start>
      <end>57</end>
      <status>unmodified</status>
      <modifiedWord/>
      <trackRevisions>false</trackRevisions>
    </reviewItem>
    <reviewItem>
      <errorID>d8cf9fab-ab6f-4aa4-b601-88f93070291e</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11BAFCC7</paraID>
      <start>42</start>
      <end>45</end>
      <status>unmodified</status>
      <modifiedWord/>
      <trackRevisions>false</trackRevisions>
    </reviewItem>
    <reviewItem>
      <errorID>1a50efae-af16-474e-a1aa-d8bccb88a1e5</errorID>
      <errorWord>《中小企业声明函》</errorWord>
      <group>L1_Official</group>
      <groupName>公文问题</groupName>
      <ability>L2_Official</ability>
      <abilityName>公文问题</abilityName>
      <candidateList/>
      <explain>公文文件引用格式不规范</explain>
      <paraID> 544B875</paraID>
      <start>71</start>
      <end>80</end>
      <status>unmodified</status>
      <modifiedWord/>
      <trackRevisions>false</trackRevisions>
    </reviewItem>
    <reviewItem>
      <errorID>2ab687fe-b959-45f9-ae29-86e6da2f8618</errorID>
      <errorWord>《财政部 民政部 中国残疾人联合会关于促进残疾人就业政府采购政策的通知》</errorWord>
      <group>L1_Official</group>
      <groupName>公文问题</groupName>
      <ability>L2_Official</ability>
      <abilityName>公文问题</abilityName>
      <candidateList/>
      <explain>公文文件引用格式不规范</explain>
      <paraID>63A28639</paraID>
      <start>10</start>
      <end>46</end>
      <status>unmodified</status>
      <modifiedWord/>
      <trackRevisions>false</trackRevisions>
    </reviewItem>
    <reviewItem>
      <errorID>ff1a2462-c4f0-46e8-98c9-ce34db6e3aeb</errorID>
      <errorWord>〔2017〕 141号</errorWord>
      <group>L1_Knowledge</group>
      <groupName>知识性问题</groupName>
      <ability>L2_Knowledge</ability>
      <abilityName>其他知识</abilityName>
      <candidateList>
        <item>〔2017〕141号</item>
      </candidateList>
      <explain>发文字号格式错误。</explain>
      <paraID>63A28639</paraID>
      <start>49</start>
      <end>60</end>
      <status>unmodified</status>
      <modifiedWord/>
      <trackRevisions>false</trackRevisions>
    </reviewItem>
    <reviewItem>
      <errorID>bbb48783-1dcd-448e-bc6b-26f0dc979dbc</errorID>
      <errorWord>《残疾人福利性单位声明函》</errorWord>
      <group>L1_Official</group>
      <groupName>公文问题</groupName>
      <ability>L2_Official</ability>
      <abilityName>公文问题</abilityName>
      <candidateList/>
      <explain>公文文件引用格式不规范</explain>
      <paraID> 98C3692</paraID>
      <start>14</start>
      <end>27</end>
      <status>unmodified</status>
      <modifiedWord/>
      <trackRevisions>false</trackRevisions>
    </reviewItem>
    <reviewItem>
      <errorID>b6556d2f-b070-4e20-b9d7-c4d942f122b5</errorID>
      <errorWord>《残疾人福利性单位声明函》</errorWord>
      <group>L1_Official</group>
      <groupName>公文问题</groupName>
      <ability>L2_Official</ability>
      <abilityName>公文问题</abilityName>
      <candidateList/>
      <explain>公文文件引用格式不规范</explain>
      <paraID> 98C3692</paraID>
      <start>67</start>
      <end>80</end>
      <status>unmodified</status>
      <modifiedWord/>
      <trackRevisions>false</trackRevisions>
    </reviewItem>
    <reviewItem>
      <errorID>33f5502e-032c-449e-b9de-79dda4ad683c</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 9349D6B</paraID>
      <start>53</start>
      <end>57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ae87df4-3e83-460c-86d4-78fb7b37eed5}">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95</Pages>
  <Words>50358</Words>
  <Characters>54791</Characters>
  <Lines>424</Lines>
  <Paragraphs>119</Paragraphs>
  <TotalTime>38</TotalTime>
  <ScaleCrop>false</ScaleCrop>
  <LinksUpToDate>false</LinksUpToDate>
  <CharactersWithSpaces>60558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2026-06-16T08:34:00Z</dcterms:created>
  <dc:creator>番茄花园</dc:creator>
  <cp:lastModifiedBy>太阳花花</cp:lastModifiedBy>
  <dcterms:modified xsi:type="dcterms:W3CDTF">2026-08-18T06:20:50Z</dcterms:modified>
  <dc:title>公开招标采购文件范本</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00F6AEA5BBD9449AB49ED2D608999873_13</vt:lpwstr>
  </property>
  <property fmtid="{D5CDD505-2E9C-101B-9397-08002B2CF9AE}" pid="4" name="KSOTemplateDocerSaveRecord">
    <vt:lpwstr>eyJoZGlkIjoiMGI4NGI3MjNjMGU5YjA0Y2Q1NDQzYzIwNzE3NDRkNzQiLCJ1c2VySWQiOiIxNjMwMDk3ODc4In0=</vt:lpwstr>
  </property>
</Properties>
</file>