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10EF3">
      <w:pPr>
        <w:spacing w:line="360" w:lineRule="auto"/>
        <w:jc w:val="center"/>
        <w:rPr>
          <w:rFonts w:hint="eastAsia" w:ascii="微软雅黑" w:hAnsi="微软雅黑" w:eastAsia="微软雅黑" w:cs="微软雅黑"/>
          <w:i w:val="0"/>
          <w:iCs w:val="0"/>
          <w:color w:val="auto"/>
          <w:sz w:val="52"/>
          <w:szCs w:val="52"/>
          <w:highlight w:val="none"/>
        </w:rPr>
      </w:pPr>
      <w:r>
        <w:rPr>
          <w:rFonts w:hint="eastAsia" w:ascii="微软雅黑" w:hAnsi="宋体" w:eastAsia="微软雅黑"/>
          <w:i w:val="0"/>
          <w:iCs w:val="0"/>
          <w:color w:val="auto"/>
          <w:sz w:val="52"/>
          <w:szCs w:val="52"/>
          <w:highlight w:val="none"/>
        </w:rPr>
        <w:t>云之龙咨询集团有限公司</w:t>
      </w:r>
    </w:p>
    <w:p w14:paraId="24B4C189">
      <w:pPr>
        <w:spacing w:line="360" w:lineRule="auto"/>
        <w:jc w:val="center"/>
        <w:rPr>
          <w:rFonts w:hint="eastAsia" w:ascii="微软雅黑" w:hAnsi="微软雅黑" w:eastAsia="微软雅黑" w:cs="微软雅黑"/>
          <w:b/>
          <w:i w:val="0"/>
          <w:iCs w:val="0"/>
          <w:color w:val="auto"/>
          <w:sz w:val="44"/>
          <w:szCs w:val="44"/>
          <w:highlight w:val="none"/>
        </w:rPr>
      </w:pPr>
    </w:p>
    <w:p w14:paraId="3E4C7587">
      <w:pPr>
        <w:spacing w:before="156" w:line="360" w:lineRule="auto"/>
        <w:jc w:val="center"/>
        <w:rPr>
          <w:rFonts w:hint="eastAsia" w:ascii="华文新魏" w:hAnsi="宋体" w:eastAsia="华文新魏"/>
          <w:i w:val="0"/>
          <w:iCs w:val="0"/>
          <w:color w:val="auto"/>
          <w:sz w:val="120"/>
          <w:szCs w:val="120"/>
          <w:highlight w:val="none"/>
        </w:rPr>
      </w:pPr>
      <w:r>
        <w:rPr>
          <w:rFonts w:hint="eastAsia" w:ascii="华文新魏" w:hAnsi="宋体" w:eastAsia="华文新魏"/>
          <w:i w:val="0"/>
          <w:iCs w:val="0"/>
          <w:color w:val="auto"/>
          <w:sz w:val="120"/>
          <w:szCs w:val="120"/>
          <w:highlight w:val="none"/>
        </w:rPr>
        <w:t>竞争性磋商文件</w:t>
      </w:r>
    </w:p>
    <w:p w14:paraId="159714B9">
      <w:pPr>
        <w:spacing w:before="156" w:line="360" w:lineRule="auto"/>
        <w:jc w:val="center"/>
        <w:rPr>
          <w:rFonts w:ascii="仿宋_GB2312" w:hAnsi="宋体" w:eastAsia="仿宋_GB2312"/>
          <w:b/>
          <w:i w:val="0"/>
          <w:iCs w:val="0"/>
          <w:color w:val="auto"/>
          <w:sz w:val="30"/>
          <w:szCs w:val="72"/>
          <w:highlight w:val="none"/>
        </w:rPr>
      </w:pPr>
      <w:r>
        <w:rPr>
          <w:rFonts w:hint="eastAsia" w:ascii="仿宋_GB2312" w:hAnsi="宋体" w:eastAsia="仿宋_GB2312"/>
          <w:b/>
          <w:i w:val="0"/>
          <w:iCs w:val="0"/>
          <w:color w:val="auto"/>
          <w:sz w:val="48"/>
          <w:szCs w:val="48"/>
          <w:highlight w:val="none"/>
        </w:rPr>
        <w:t>（全流程电子化采购）</w:t>
      </w:r>
    </w:p>
    <w:p w14:paraId="1EC2870F">
      <w:pPr>
        <w:spacing w:line="360" w:lineRule="auto"/>
        <w:rPr>
          <w:rFonts w:hint="eastAsia" w:ascii="仿宋_GB2312" w:hAnsi="宋体" w:eastAsia="仿宋_GB2312"/>
          <w:i w:val="0"/>
          <w:iCs w:val="0"/>
          <w:color w:val="auto"/>
          <w:sz w:val="32"/>
          <w:szCs w:val="32"/>
          <w:highlight w:val="none"/>
        </w:rPr>
      </w:pPr>
    </w:p>
    <w:p w14:paraId="0B28DEC1">
      <w:pPr>
        <w:pStyle w:val="224"/>
        <w:spacing w:line="360" w:lineRule="auto"/>
        <w:ind w:left="2802" w:hanging="1609"/>
        <w:rPr>
          <w:rFonts w:hint="eastAsia" w:ascii="仿宋_GB2312" w:hAnsi="宋体" w:eastAsia="仿宋_GB2312"/>
          <w:b/>
          <w:bCs/>
          <w:i w:val="0"/>
          <w:iCs w:val="0"/>
          <w:color w:val="auto"/>
          <w:sz w:val="32"/>
          <w:szCs w:val="32"/>
          <w:highlight w:val="none"/>
        </w:rPr>
      </w:pPr>
    </w:p>
    <w:p w14:paraId="1FE31F87">
      <w:pPr>
        <w:pStyle w:val="224"/>
        <w:keepNext w:val="0"/>
        <w:keepLines w:val="0"/>
        <w:pageBreakBefore w:val="0"/>
        <w:widowControl w:val="0"/>
        <w:bidi w:val="0"/>
        <w:spacing w:line="480" w:lineRule="auto"/>
        <w:ind w:left="3204" w:hanging="1606"/>
        <w:jc w:val="left"/>
        <w:rPr>
          <w:rFonts w:hint="eastAsia" w:ascii="仿宋_GB2312" w:hAnsi="宋体" w:eastAsia="仿宋_GB2312"/>
          <w:b/>
          <w:bCs/>
          <w:i w:val="0"/>
          <w:iCs w:val="0"/>
          <w:color w:val="auto"/>
          <w:sz w:val="32"/>
          <w:szCs w:val="32"/>
          <w:highlight w:val="none"/>
          <w:lang w:eastAsia="zh-CN"/>
        </w:rPr>
      </w:pPr>
      <w:r>
        <w:rPr>
          <w:rFonts w:hint="eastAsia" w:ascii="仿宋_GB2312" w:hAnsi="宋体" w:eastAsia="仿宋_GB2312"/>
          <w:b/>
          <w:bCs/>
          <w:i w:val="0"/>
          <w:iCs w:val="0"/>
          <w:color w:val="auto"/>
          <w:sz w:val="32"/>
          <w:szCs w:val="32"/>
          <w:highlight w:val="none"/>
        </w:rPr>
        <w:t>项目</w:t>
      </w:r>
      <w:r>
        <w:rPr>
          <w:rFonts w:hint="eastAsia" w:ascii="仿宋_GB2312" w:hAnsi="宋体" w:eastAsia="仿宋_GB2312" w:cs="Courier New"/>
          <w:b/>
          <w:bCs/>
          <w:i w:val="0"/>
          <w:iCs w:val="0"/>
          <w:color w:val="auto"/>
          <w:sz w:val="32"/>
          <w:szCs w:val="32"/>
          <w:highlight w:val="none"/>
        </w:rPr>
        <w:t>名称</w:t>
      </w:r>
      <w:r>
        <w:rPr>
          <w:rFonts w:hint="eastAsia" w:ascii="仿宋_GB2312" w:hAnsi="宋体" w:eastAsia="仿宋_GB2312" w:cs="Times New Roman"/>
          <w:b/>
          <w:bCs/>
          <w:i w:val="0"/>
          <w:iCs w:val="0"/>
          <w:color w:val="auto"/>
          <w:sz w:val="32"/>
          <w:szCs w:val="32"/>
          <w:highlight w:val="none"/>
          <w:lang w:eastAsia="zh-CN"/>
        </w:rPr>
        <w:t>：</w:t>
      </w:r>
      <w:r>
        <w:rPr>
          <w:rFonts w:hint="eastAsia" w:ascii="仿宋_GB2312" w:hAnsi="宋体" w:eastAsia="仿宋_GB2312"/>
          <w:b/>
          <w:bCs/>
          <w:i w:val="0"/>
          <w:iCs w:val="0"/>
          <w:color w:val="auto"/>
          <w:sz w:val="32"/>
          <w:szCs w:val="32"/>
          <w:highlight w:val="none"/>
          <w:lang w:eastAsia="zh-CN"/>
        </w:rPr>
        <w:t>2026年医药机构年度考核与日常全覆盖检查服务采购</w:t>
      </w:r>
    </w:p>
    <w:p w14:paraId="7F1607CB">
      <w:pPr>
        <w:pStyle w:val="224"/>
        <w:keepNext w:val="0"/>
        <w:keepLines w:val="0"/>
        <w:pageBreakBefore w:val="0"/>
        <w:widowControl w:val="0"/>
        <w:bidi w:val="0"/>
        <w:spacing w:line="480" w:lineRule="auto"/>
        <w:ind w:left="3103" w:hanging="1526"/>
        <w:jc w:val="left"/>
        <w:rPr>
          <w:rFonts w:hint="eastAsia" w:ascii="仿宋_GB2312" w:hAnsi="宋体" w:eastAsia="仿宋_GB2312" w:cs="Times New Roman"/>
          <w:b/>
          <w:bCs/>
          <w:i w:val="0"/>
          <w:iCs w:val="0"/>
          <w:color w:val="auto"/>
          <w:sz w:val="32"/>
          <w:szCs w:val="32"/>
          <w:highlight w:val="none"/>
          <w:lang w:eastAsia="zh-CN"/>
        </w:rPr>
      </w:pPr>
      <w:r>
        <w:rPr>
          <w:rFonts w:hint="eastAsia" w:ascii="仿宋_GB2312" w:hAnsi="宋体" w:eastAsia="仿宋_GB2312" w:cs="Times New Roman"/>
          <w:b/>
          <w:bCs/>
          <w:i w:val="0"/>
          <w:iCs w:val="0"/>
          <w:color w:val="auto"/>
          <w:sz w:val="32"/>
          <w:szCs w:val="32"/>
          <w:highlight w:val="none"/>
          <w:lang w:eastAsia="zh-CN"/>
        </w:rPr>
        <w:t>项目编号：LBZC2026-C3-990102-YZLZ</w:t>
      </w:r>
    </w:p>
    <w:p w14:paraId="169352C0">
      <w:pPr>
        <w:pStyle w:val="224"/>
        <w:keepNext w:val="0"/>
        <w:keepLines w:val="0"/>
        <w:pageBreakBefore w:val="0"/>
        <w:widowControl w:val="0"/>
        <w:bidi w:val="0"/>
        <w:spacing w:line="480" w:lineRule="auto"/>
        <w:ind w:firstLine="1200"/>
        <w:jc w:val="left"/>
        <w:rPr>
          <w:rFonts w:hint="eastAsia" w:ascii="仿宋_GB2312" w:hAnsi="宋体" w:eastAsia="仿宋_GB2312"/>
          <w:b/>
          <w:bCs/>
          <w:i w:val="0"/>
          <w:iCs w:val="0"/>
          <w:color w:val="auto"/>
          <w:sz w:val="32"/>
          <w:szCs w:val="32"/>
          <w:highlight w:val="none"/>
        </w:rPr>
      </w:pPr>
    </w:p>
    <w:p w14:paraId="1F0F578D">
      <w:pPr>
        <w:pStyle w:val="224"/>
        <w:keepNext w:val="0"/>
        <w:keepLines w:val="0"/>
        <w:pageBreakBefore w:val="0"/>
        <w:widowControl w:val="0"/>
        <w:bidi w:val="0"/>
        <w:spacing w:line="480" w:lineRule="auto"/>
        <w:jc w:val="center"/>
        <w:rPr>
          <w:rFonts w:hint="eastAsia" w:ascii="仿宋_GB2312" w:hAnsi="宋体" w:eastAsia="仿宋_GB2312"/>
          <w:b/>
          <w:bCs/>
          <w:i w:val="0"/>
          <w:iCs w:val="0"/>
          <w:color w:val="auto"/>
          <w:sz w:val="32"/>
          <w:szCs w:val="32"/>
          <w:highlight w:val="none"/>
        </w:rPr>
      </w:pPr>
    </w:p>
    <w:p w14:paraId="5B6D2B03">
      <w:pPr>
        <w:pStyle w:val="224"/>
        <w:keepNext w:val="0"/>
        <w:keepLines w:val="0"/>
        <w:pageBreakBefore w:val="0"/>
        <w:widowControl w:val="0"/>
        <w:bidi w:val="0"/>
        <w:spacing w:line="480" w:lineRule="auto"/>
        <w:jc w:val="center"/>
        <w:rPr>
          <w:rFonts w:hint="eastAsia" w:ascii="仿宋_GB2312" w:hAnsi="宋体" w:eastAsia="仿宋_GB2312"/>
          <w:b/>
          <w:bCs/>
          <w:i w:val="0"/>
          <w:iCs w:val="0"/>
          <w:color w:val="auto"/>
          <w:sz w:val="32"/>
          <w:szCs w:val="32"/>
          <w:highlight w:val="none"/>
          <w:lang w:eastAsia="zh-CN"/>
        </w:rPr>
      </w:pPr>
      <w:r>
        <w:rPr>
          <w:rFonts w:hint="eastAsia" w:ascii="仿宋_GB2312" w:hAnsi="宋体" w:eastAsia="仿宋_GB2312"/>
          <w:b/>
          <w:bCs/>
          <w:i w:val="0"/>
          <w:iCs w:val="0"/>
          <w:color w:val="auto"/>
          <w:sz w:val="32"/>
          <w:szCs w:val="32"/>
          <w:highlight w:val="none"/>
        </w:rPr>
        <w:t>采购人：</w:t>
      </w:r>
      <w:r>
        <w:rPr>
          <w:rFonts w:hint="eastAsia" w:ascii="仿宋_GB2312" w:hAnsi="宋体" w:eastAsia="仿宋_GB2312"/>
          <w:b/>
          <w:bCs/>
          <w:i w:val="0"/>
          <w:iCs w:val="0"/>
          <w:color w:val="auto"/>
          <w:sz w:val="32"/>
          <w:szCs w:val="32"/>
          <w:highlight w:val="none"/>
          <w:lang w:eastAsia="zh-CN"/>
        </w:rPr>
        <w:t>来宾市医疗保险服务中心</w:t>
      </w:r>
    </w:p>
    <w:p w14:paraId="60A88549">
      <w:pPr>
        <w:pStyle w:val="224"/>
        <w:keepNext w:val="0"/>
        <w:keepLines w:val="0"/>
        <w:pageBreakBefore w:val="0"/>
        <w:widowControl w:val="0"/>
        <w:bidi w:val="0"/>
        <w:spacing w:line="480" w:lineRule="auto"/>
        <w:jc w:val="center"/>
        <w:rPr>
          <w:rFonts w:hint="eastAsia" w:ascii="仿宋_GB2312" w:hAnsi="宋体" w:eastAsia="仿宋_GB2312"/>
          <w:b/>
          <w:bCs/>
          <w:i w:val="0"/>
          <w:iCs w:val="0"/>
          <w:color w:val="auto"/>
          <w:sz w:val="32"/>
          <w:szCs w:val="32"/>
          <w:highlight w:val="none"/>
        </w:rPr>
      </w:pPr>
      <w:r>
        <w:rPr>
          <w:rFonts w:hint="eastAsia" w:ascii="仿宋_GB2312" w:hAnsi="宋体" w:eastAsia="仿宋_GB2312"/>
          <w:b/>
          <w:bCs/>
          <w:i w:val="0"/>
          <w:iCs w:val="0"/>
          <w:color w:val="auto"/>
          <w:sz w:val="32"/>
          <w:szCs w:val="32"/>
          <w:highlight w:val="none"/>
        </w:rPr>
        <w:t>采购代理机构：云之龙咨询集团有限公司</w:t>
      </w:r>
    </w:p>
    <w:p w14:paraId="0CB38347">
      <w:pPr>
        <w:pStyle w:val="224"/>
        <w:keepNext w:val="0"/>
        <w:keepLines w:val="0"/>
        <w:pageBreakBefore w:val="0"/>
        <w:widowControl w:val="0"/>
        <w:bidi w:val="0"/>
        <w:spacing w:line="480" w:lineRule="auto"/>
        <w:jc w:val="center"/>
        <w:rPr>
          <w:rFonts w:hint="eastAsia" w:hAnsi="宋体" w:cs="宋体"/>
          <w:b/>
          <w:bCs/>
          <w:i w:val="0"/>
          <w:iCs w:val="0"/>
          <w:color w:val="auto"/>
          <w:sz w:val="32"/>
          <w:szCs w:val="32"/>
          <w:highlight w:val="none"/>
        </w:rPr>
      </w:pPr>
      <w:r>
        <w:rPr>
          <w:rFonts w:hint="eastAsia" w:ascii="仿宋_GB2312" w:hAnsi="宋体" w:eastAsia="仿宋_GB2312"/>
          <w:b/>
          <w:bCs/>
          <w:i w:val="0"/>
          <w:iCs w:val="0"/>
          <w:color w:val="auto"/>
          <w:sz w:val="32"/>
          <w:szCs w:val="32"/>
          <w:highlight w:val="none"/>
          <w:lang w:val="en-US" w:eastAsia="zh-CN"/>
        </w:rPr>
        <w:t>2026</w:t>
      </w:r>
      <w:r>
        <w:rPr>
          <w:rFonts w:hint="eastAsia" w:ascii="仿宋_GB2312" w:hAnsi="宋体" w:eastAsia="仿宋_GB2312"/>
          <w:b/>
          <w:bCs/>
          <w:i w:val="0"/>
          <w:iCs w:val="0"/>
          <w:color w:val="auto"/>
          <w:sz w:val="32"/>
          <w:szCs w:val="32"/>
          <w:highlight w:val="none"/>
        </w:rPr>
        <w:t>年</w:t>
      </w:r>
      <w:r>
        <w:rPr>
          <w:rFonts w:hint="eastAsia" w:ascii="仿宋_GB2312" w:hAnsi="宋体" w:eastAsia="仿宋_GB2312"/>
          <w:b/>
          <w:bCs/>
          <w:i w:val="0"/>
          <w:iCs w:val="0"/>
          <w:color w:val="auto"/>
          <w:sz w:val="32"/>
          <w:szCs w:val="32"/>
          <w:highlight w:val="none"/>
          <w:lang w:val="en-US" w:eastAsia="zh-CN"/>
        </w:rPr>
        <w:t>9</w:t>
      </w:r>
      <w:r>
        <w:rPr>
          <w:rFonts w:hint="eastAsia" w:ascii="仿宋_GB2312" w:hAnsi="宋体" w:eastAsia="仿宋_GB2312"/>
          <w:b/>
          <w:bCs/>
          <w:i w:val="0"/>
          <w:iCs w:val="0"/>
          <w:color w:val="auto"/>
          <w:sz w:val="32"/>
          <w:szCs w:val="32"/>
          <w:highlight w:val="none"/>
        </w:rPr>
        <w:t>月</w:t>
      </w:r>
    </w:p>
    <w:p w14:paraId="7CB3D879">
      <w:pPr>
        <w:spacing w:line="360" w:lineRule="auto"/>
        <w:jc w:val="center"/>
        <w:rPr>
          <w:rFonts w:hint="eastAsia" w:ascii="宋体" w:hAnsi="宋体"/>
          <w:b/>
          <w:i w:val="0"/>
          <w:iCs w:val="0"/>
          <w:color w:val="auto"/>
          <w:sz w:val="44"/>
          <w:szCs w:val="44"/>
          <w:highlight w:val="none"/>
        </w:rPr>
      </w:pPr>
      <w:r>
        <w:rPr>
          <w:rFonts w:hint="eastAsia" w:ascii="宋体" w:hAnsi="宋体"/>
          <w:b/>
          <w:i w:val="0"/>
          <w:iCs w:val="0"/>
          <w:color w:val="auto"/>
          <w:sz w:val="44"/>
          <w:szCs w:val="44"/>
          <w:highlight w:val="none"/>
        </w:rPr>
        <w:t>目录</w:t>
      </w:r>
    </w:p>
    <w:p w14:paraId="4697BEE1">
      <w:pPr>
        <w:spacing w:line="400" w:lineRule="exact"/>
        <w:jc w:val="center"/>
        <w:rPr>
          <w:rFonts w:hint="eastAsia" w:ascii="宋体" w:hAnsi="宋体"/>
          <w:b/>
          <w:i w:val="0"/>
          <w:iCs w:val="0"/>
          <w:color w:val="auto"/>
          <w:sz w:val="44"/>
          <w:szCs w:val="44"/>
          <w:highlight w:val="none"/>
        </w:rPr>
      </w:pPr>
    </w:p>
    <w:p w14:paraId="3F061E88">
      <w:pPr>
        <w:pStyle w:val="26"/>
        <w:keepNext w:val="0"/>
        <w:keepLines w:val="0"/>
        <w:pageBreakBefore w:val="0"/>
        <w:widowControl w:val="0"/>
        <w:tabs>
          <w:tab w:val="right" w:leader="dot" w:pos="8879"/>
        </w:tabs>
        <w:bidi w:val="0"/>
        <w:spacing w:line="360" w:lineRule="auto"/>
        <w:rPr>
          <w:i w:val="0"/>
          <w:iCs w:val="0"/>
          <w:color w:val="auto"/>
          <w:sz w:val="30"/>
          <w:szCs w:val="30"/>
          <w:highlight w:val="none"/>
        </w:rPr>
      </w:pPr>
      <w:r>
        <w:rPr>
          <w:rFonts w:hint="eastAsia" w:ascii="仿宋_GB2312" w:hAnsi="仿宋_GB2312" w:eastAsia="仿宋_GB2312" w:cs="仿宋_GB2312"/>
          <w:b/>
          <w:bCs/>
          <w:i w:val="0"/>
          <w:iCs w:val="0"/>
          <w:color w:val="auto"/>
          <w:sz w:val="30"/>
          <w:szCs w:val="30"/>
          <w:highlight w:val="none"/>
        </w:rPr>
        <w:fldChar w:fldCharType="begin"/>
      </w:r>
      <w:r>
        <w:rPr>
          <w:rFonts w:hint="eastAsia" w:ascii="仿宋_GB2312" w:hAnsi="仿宋_GB2312" w:eastAsia="仿宋_GB2312" w:cs="仿宋_GB2312"/>
          <w:b/>
          <w:bCs/>
          <w:i w:val="0"/>
          <w:iCs w:val="0"/>
          <w:color w:val="auto"/>
          <w:sz w:val="30"/>
          <w:szCs w:val="30"/>
          <w:highlight w:val="none"/>
        </w:rPr>
        <w:instrText xml:space="preserve">TOC\o"1-3"\h\z\u</w:instrText>
      </w:r>
      <w:r>
        <w:rPr>
          <w:rFonts w:hint="eastAsia" w:ascii="仿宋_GB2312" w:hAnsi="仿宋_GB2312" w:eastAsia="仿宋_GB2312" w:cs="仿宋_GB2312"/>
          <w:b/>
          <w:bCs/>
          <w:i w:val="0"/>
          <w:iCs w:val="0"/>
          <w:color w:val="auto"/>
          <w:sz w:val="30"/>
          <w:szCs w:val="30"/>
          <w:highlight w:val="none"/>
        </w:rPr>
        <w:fldChar w:fldCharType="separate"/>
      </w:r>
      <w:r>
        <w:rPr>
          <w:rFonts w:hint="eastAsia" w:ascii="仿宋_GB2312" w:hAnsi="仿宋_GB2312" w:eastAsia="仿宋_GB2312" w:cs="仿宋_GB2312"/>
          <w:bCs/>
          <w:i w:val="0"/>
          <w:iCs w:val="0"/>
          <w:color w:val="auto"/>
          <w:sz w:val="30"/>
          <w:szCs w:val="30"/>
          <w:highlight w:val="none"/>
        </w:rPr>
        <w:fldChar w:fldCharType="begin"/>
      </w:r>
      <w:r>
        <w:rPr>
          <w:rFonts w:hint="eastAsia" w:ascii="仿宋_GB2312" w:hAnsi="仿宋_GB2312" w:eastAsia="仿宋_GB2312" w:cs="仿宋_GB2312"/>
          <w:bCs/>
          <w:i w:val="0"/>
          <w:iCs w:val="0"/>
          <w:color w:val="auto"/>
          <w:sz w:val="30"/>
          <w:szCs w:val="30"/>
          <w:highlight w:val="none"/>
        </w:rPr>
        <w:instrText xml:space="preserve"> HYPERLINK \l _Toc10921 </w:instrText>
      </w:r>
      <w:r>
        <w:rPr>
          <w:rFonts w:hint="eastAsia" w:ascii="仿宋_GB2312" w:hAnsi="仿宋_GB2312" w:eastAsia="仿宋_GB2312" w:cs="仿宋_GB2312"/>
          <w:bCs/>
          <w:i w:val="0"/>
          <w:iCs w:val="0"/>
          <w:color w:val="auto"/>
          <w:sz w:val="30"/>
          <w:szCs w:val="30"/>
          <w:highlight w:val="none"/>
        </w:rPr>
        <w:fldChar w:fldCharType="separate"/>
      </w:r>
      <w:r>
        <w:rPr>
          <w:rFonts w:hint="eastAsia"/>
          <w:i w:val="0"/>
          <w:iCs w:val="0"/>
          <w:color w:val="auto"/>
          <w:sz w:val="30"/>
          <w:szCs w:val="30"/>
          <w:highlight w:val="none"/>
        </w:rPr>
        <w:t>第一章竞争性磋商公告</w:t>
      </w:r>
      <w:r>
        <w:rPr>
          <w:i w:val="0"/>
          <w:iCs w:val="0"/>
          <w:color w:val="auto"/>
          <w:sz w:val="30"/>
          <w:szCs w:val="30"/>
          <w:highlight w:val="none"/>
        </w:rPr>
        <w:tab/>
      </w:r>
      <w:r>
        <w:rPr>
          <w:i w:val="0"/>
          <w:iCs w:val="0"/>
          <w:color w:val="auto"/>
          <w:sz w:val="30"/>
          <w:szCs w:val="30"/>
          <w:highlight w:val="none"/>
        </w:rPr>
        <w:fldChar w:fldCharType="begin"/>
      </w:r>
      <w:r>
        <w:rPr>
          <w:i w:val="0"/>
          <w:iCs w:val="0"/>
          <w:color w:val="auto"/>
          <w:sz w:val="30"/>
          <w:szCs w:val="30"/>
          <w:highlight w:val="none"/>
        </w:rPr>
        <w:instrText xml:space="preserve"> PAGEREF _Toc10921 \h </w:instrText>
      </w:r>
      <w:r>
        <w:rPr>
          <w:i w:val="0"/>
          <w:iCs w:val="0"/>
          <w:color w:val="auto"/>
          <w:sz w:val="30"/>
          <w:szCs w:val="30"/>
          <w:highlight w:val="none"/>
        </w:rPr>
        <w:fldChar w:fldCharType="separate"/>
      </w:r>
      <w:r>
        <w:rPr>
          <w:i w:val="0"/>
          <w:iCs w:val="0"/>
          <w:color w:val="auto"/>
          <w:sz w:val="30"/>
          <w:szCs w:val="30"/>
          <w:highlight w:val="none"/>
        </w:rPr>
        <w:t>3</w:t>
      </w:r>
      <w:r>
        <w:rPr>
          <w:i w:val="0"/>
          <w:iCs w:val="0"/>
          <w:color w:val="auto"/>
          <w:sz w:val="30"/>
          <w:szCs w:val="30"/>
          <w:highlight w:val="none"/>
        </w:rPr>
        <w:fldChar w:fldCharType="end"/>
      </w:r>
      <w:r>
        <w:rPr>
          <w:rFonts w:hint="eastAsia" w:ascii="仿宋_GB2312" w:hAnsi="仿宋_GB2312" w:eastAsia="仿宋_GB2312" w:cs="仿宋_GB2312"/>
          <w:bCs/>
          <w:i w:val="0"/>
          <w:iCs w:val="0"/>
          <w:color w:val="auto"/>
          <w:sz w:val="30"/>
          <w:szCs w:val="30"/>
          <w:highlight w:val="none"/>
        </w:rPr>
        <w:fldChar w:fldCharType="end"/>
      </w:r>
    </w:p>
    <w:p w14:paraId="66FF9AE4">
      <w:pPr>
        <w:pStyle w:val="26"/>
        <w:keepNext w:val="0"/>
        <w:keepLines w:val="0"/>
        <w:pageBreakBefore w:val="0"/>
        <w:widowControl w:val="0"/>
        <w:tabs>
          <w:tab w:val="right" w:leader="dot" w:pos="8879"/>
        </w:tabs>
        <w:bidi w:val="0"/>
        <w:spacing w:line="360" w:lineRule="auto"/>
        <w:rPr>
          <w:i w:val="0"/>
          <w:iCs w:val="0"/>
          <w:color w:val="auto"/>
          <w:sz w:val="30"/>
          <w:szCs w:val="30"/>
          <w:highlight w:val="none"/>
        </w:rPr>
      </w:pPr>
      <w:r>
        <w:rPr>
          <w:rFonts w:hint="eastAsia" w:ascii="仿宋_GB2312" w:hAnsi="仿宋_GB2312" w:eastAsia="仿宋_GB2312" w:cs="仿宋_GB2312"/>
          <w:bCs/>
          <w:i w:val="0"/>
          <w:iCs w:val="0"/>
          <w:color w:val="auto"/>
          <w:sz w:val="30"/>
          <w:szCs w:val="30"/>
          <w:highlight w:val="none"/>
        </w:rPr>
        <w:fldChar w:fldCharType="begin"/>
      </w:r>
      <w:r>
        <w:rPr>
          <w:rFonts w:hint="eastAsia" w:ascii="仿宋_GB2312" w:hAnsi="仿宋_GB2312" w:eastAsia="仿宋_GB2312" w:cs="仿宋_GB2312"/>
          <w:bCs/>
          <w:i w:val="0"/>
          <w:iCs w:val="0"/>
          <w:color w:val="auto"/>
          <w:sz w:val="30"/>
          <w:szCs w:val="30"/>
          <w:highlight w:val="none"/>
        </w:rPr>
        <w:instrText xml:space="preserve"> HYPERLINK \l _Toc30341 </w:instrText>
      </w:r>
      <w:r>
        <w:rPr>
          <w:rFonts w:hint="eastAsia" w:ascii="仿宋_GB2312" w:hAnsi="仿宋_GB2312" w:eastAsia="仿宋_GB2312" w:cs="仿宋_GB2312"/>
          <w:bCs/>
          <w:i w:val="0"/>
          <w:iCs w:val="0"/>
          <w:color w:val="auto"/>
          <w:sz w:val="30"/>
          <w:szCs w:val="30"/>
          <w:highlight w:val="none"/>
        </w:rPr>
        <w:fldChar w:fldCharType="separate"/>
      </w:r>
      <w:r>
        <w:rPr>
          <w:rFonts w:hint="eastAsia"/>
          <w:i w:val="0"/>
          <w:iCs w:val="0"/>
          <w:color w:val="auto"/>
          <w:sz w:val="30"/>
          <w:szCs w:val="30"/>
          <w:highlight w:val="none"/>
        </w:rPr>
        <w:t>第二章供应商须知</w:t>
      </w:r>
      <w:r>
        <w:rPr>
          <w:i w:val="0"/>
          <w:iCs w:val="0"/>
          <w:color w:val="auto"/>
          <w:sz w:val="30"/>
          <w:szCs w:val="30"/>
          <w:highlight w:val="none"/>
        </w:rPr>
        <w:tab/>
      </w:r>
      <w:r>
        <w:rPr>
          <w:i w:val="0"/>
          <w:iCs w:val="0"/>
          <w:color w:val="auto"/>
          <w:sz w:val="30"/>
          <w:szCs w:val="30"/>
          <w:highlight w:val="none"/>
        </w:rPr>
        <w:fldChar w:fldCharType="begin"/>
      </w:r>
      <w:r>
        <w:rPr>
          <w:i w:val="0"/>
          <w:iCs w:val="0"/>
          <w:color w:val="auto"/>
          <w:sz w:val="30"/>
          <w:szCs w:val="30"/>
          <w:highlight w:val="none"/>
        </w:rPr>
        <w:instrText xml:space="preserve"> PAGEREF _Toc30341 \h </w:instrText>
      </w:r>
      <w:r>
        <w:rPr>
          <w:i w:val="0"/>
          <w:iCs w:val="0"/>
          <w:color w:val="auto"/>
          <w:sz w:val="30"/>
          <w:szCs w:val="30"/>
          <w:highlight w:val="none"/>
        </w:rPr>
        <w:fldChar w:fldCharType="separate"/>
      </w:r>
      <w:r>
        <w:rPr>
          <w:i w:val="0"/>
          <w:iCs w:val="0"/>
          <w:color w:val="auto"/>
          <w:sz w:val="30"/>
          <w:szCs w:val="30"/>
          <w:highlight w:val="none"/>
        </w:rPr>
        <w:t>8</w:t>
      </w:r>
      <w:r>
        <w:rPr>
          <w:i w:val="0"/>
          <w:iCs w:val="0"/>
          <w:color w:val="auto"/>
          <w:sz w:val="30"/>
          <w:szCs w:val="30"/>
          <w:highlight w:val="none"/>
        </w:rPr>
        <w:fldChar w:fldCharType="end"/>
      </w:r>
      <w:r>
        <w:rPr>
          <w:rFonts w:hint="eastAsia" w:ascii="仿宋_GB2312" w:hAnsi="仿宋_GB2312" w:eastAsia="仿宋_GB2312" w:cs="仿宋_GB2312"/>
          <w:bCs/>
          <w:i w:val="0"/>
          <w:iCs w:val="0"/>
          <w:color w:val="auto"/>
          <w:sz w:val="30"/>
          <w:szCs w:val="30"/>
          <w:highlight w:val="none"/>
        </w:rPr>
        <w:fldChar w:fldCharType="end"/>
      </w:r>
    </w:p>
    <w:p w14:paraId="183C2842">
      <w:pPr>
        <w:pStyle w:val="26"/>
        <w:keepNext w:val="0"/>
        <w:keepLines w:val="0"/>
        <w:pageBreakBefore w:val="0"/>
        <w:widowControl w:val="0"/>
        <w:tabs>
          <w:tab w:val="right" w:leader="dot" w:pos="8879"/>
        </w:tabs>
        <w:bidi w:val="0"/>
        <w:spacing w:line="360" w:lineRule="auto"/>
        <w:rPr>
          <w:i w:val="0"/>
          <w:iCs w:val="0"/>
          <w:color w:val="auto"/>
          <w:sz w:val="30"/>
          <w:szCs w:val="30"/>
          <w:highlight w:val="none"/>
        </w:rPr>
      </w:pPr>
      <w:r>
        <w:rPr>
          <w:rFonts w:hint="eastAsia" w:ascii="仿宋_GB2312" w:hAnsi="仿宋_GB2312" w:eastAsia="仿宋_GB2312" w:cs="仿宋_GB2312"/>
          <w:bCs/>
          <w:i w:val="0"/>
          <w:iCs w:val="0"/>
          <w:color w:val="auto"/>
          <w:sz w:val="30"/>
          <w:szCs w:val="30"/>
          <w:highlight w:val="none"/>
        </w:rPr>
        <w:fldChar w:fldCharType="begin"/>
      </w:r>
      <w:r>
        <w:rPr>
          <w:rFonts w:hint="eastAsia" w:ascii="仿宋_GB2312" w:hAnsi="仿宋_GB2312" w:eastAsia="仿宋_GB2312" w:cs="仿宋_GB2312"/>
          <w:bCs/>
          <w:i w:val="0"/>
          <w:iCs w:val="0"/>
          <w:color w:val="auto"/>
          <w:sz w:val="30"/>
          <w:szCs w:val="30"/>
          <w:highlight w:val="none"/>
        </w:rPr>
        <w:instrText xml:space="preserve"> HYPERLINK \l _Toc28427 </w:instrText>
      </w:r>
      <w:r>
        <w:rPr>
          <w:rFonts w:hint="eastAsia" w:ascii="仿宋_GB2312" w:hAnsi="仿宋_GB2312" w:eastAsia="仿宋_GB2312" w:cs="仿宋_GB2312"/>
          <w:bCs/>
          <w:i w:val="0"/>
          <w:iCs w:val="0"/>
          <w:color w:val="auto"/>
          <w:sz w:val="30"/>
          <w:szCs w:val="30"/>
          <w:highlight w:val="none"/>
        </w:rPr>
        <w:fldChar w:fldCharType="separate"/>
      </w:r>
      <w:r>
        <w:rPr>
          <w:rFonts w:hint="eastAsia"/>
          <w:i w:val="0"/>
          <w:iCs w:val="0"/>
          <w:color w:val="auto"/>
          <w:sz w:val="30"/>
          <w:szCs w:val="30"/>
          <w:highlight w:val="none"/>
        </w:rPr>
        <w:t>第三章采购需求</w:t>
      </w:r>
      <w:r>
        <w:rPr>
          <w:i w:val="0"/>
          <w:iCs w:val="0"/>
          <w:color w:val="auto"/>
          <w:sz w:val="30"/>
          <w:szCs w:val="30"/>
          <w:highlight w:val="none"/>
        </w:rPr>
        <w:tab/>
      </w:r>
      <w:r>
        <w:rPr>
          <w:i w:val="0"/>
          <w:iCs w:val="0"/>
          <w:color w:val="auto"/>
          <w:sz w:val="30"/>
          <w:szCs w:val="30"/>
          <w:highlight w:val="none"/>
        </w:rPr>
        <w:fldChar w:fldCharType="begin"/>
      </w:r>
      <w:r>
        <w:rPr>
          <w:i w:val="0"/>
          <w:iCs w:val="0"/>
          <w:color w:val="auto"/>
          <w:sz w:val="30"/>
          <w:szCs w:val="30"/>
          <w:highlight w:val="none"/>
        </w:rPr>
        <w:instrText xml:space="preserve"> PAGEREF _Toc28427 \h </w:instrText>
      </w:r>
      <w:r>
        <w:rPr>
          <w:i w:val="0"/>
          <w:iCs w:val="0"/>
          <w:color w:val="auto"/>
          <w:sz w:val="30"/>
          <w:szCs w:val="30"/>
          <w:highlight w:val="none"/>
        </w:rPr>
        <w:fldChar w:fldCharType="separate"/>
      </w:r>
      <w:r>
        <w:rPr>
          <w:i w:val="0"/>
          <w:iCs w:val="0"/>
          <w:color w:val="auto"/>
          <w:sz w:val="30"/>
          <w:szCs w:val="30"/>
          <w:highlight w:val="none"/>
        </w:rPr>
        <w:t>31</w:t>
      </w:r>
      <w:r>
        <w:rPr>
          <w:i w:val="0"/>
          <w:iCs w:val="0"/>
          <w:color w:val="auto"/>
          <w:sz w:val="30"/>
          <w:szCs w:val="30"/>
          <w:highlight w:val="none"/>
        </w:rPr>
        <w:fldChar w:fldCharType="end"/>
      </w:r>
      <w:r>
        <w:rPr>
          <w:rFonts w:hint="eastAsia" w:ascii="仿宋_GB2312" w:hAnsi="仿宋_GB2312" w:eastAsia="仿宋_GB2312" w:cs="仿宋_GB2312"/>
          <w:bCs/>
          <w:i w:val="0"/>
          <w:iCs w:val="0"/>
          <w:color w:val="auto"/>
          <w:sz w:val="30"/>
          <w:szCs w:val="30"/>
          <w:highlight w:val="none"/>
        </w:rPr>
        <w:fldChar w:fldCharType="end"/>
      </w:r>
    </w:p>
    <w:p w14:paraId="3E6E0385">
      <w:pPr>
        <w:pStyle w:val="26"/>
        <w:keepNext w:val="0"/>
        <w:keepLines w:val="0"/>
        <w:pageBreakBefore w:val="0"/>
        <w:widowControl w:val="0"/>
        <w:tabs>
          <w:tab w:val="right" w:leader="dot" w:pos="8879"/>
        </w:tabs>
        <w:bidi w:val="0"/>
        <w:spacing w:line="360" w:lineRule="auto"/>
        <w:rPr>
          <w:i w:val="0"/>
          <w:iCs w:val="0"/>
          <w:color w:val="auto"/>
          <w:sz w:val="30"/>
          <w:szCs w:val="30"/>
          <w:highlight w:val="none"/>
        </w:rPr>
      </w:pPr>
      <w:r>
        <w:rPr>
          <w:rFonts w:hint="eastAsia" w:ascii="仿宋_GB2312" w:hAnsi="仿宋_GB2312" w:eastAsia="仿宋_GB2312" w:cs="仿宋_GB2312"/>
          <w:bCs/>
          <w:i w:val="0"/>
          <w:iCs w:val="0"/>
          <w:color w:val="auto"/>
          <w:sz w:val="30"/>
          <w:szCs w:val="30"/>
          <w:highlight w:val="none"/>
        </w:rPr>
        <w:fldChar w:fldCharType="begin"/>
      </w:r>
      <w:r>
        <w:rPr>
          <w:rFonts w:hint="eastAsia" w:ascii="仿宋_GB2312" w:hAnsi="仿宋_GB2312" w:eastAsia="仿宋_GB2312" w:cs="仿宋_GB2312"/>
          <w:bCs/>
          <w:i w:val="0"/>
          <w:iCs w:val="0"/>
          <w:color w:val="auto"/>
          <w:sz w:val="30"/>
          <w:szCs w:val="30"/>
          <w:highlight w:val="none"/>
        </w:rPr>
        <w:instrText xml:space="preserve"> HYPERLINK \l _Toc16154 </w:instrText>
      </w:r>
      <w:r>
        <w:rPr>
          <w:rFonts w:hint="eastAsia" w:ascii="仿宋_GB2312" w:hAnsi="仿宋_GB2312" w:eastAsia="仿宋_GB2312" w:cs="仿宋_GB2312"/>
          <w:bCs/>
          <w:i w:val="0"/>
          <w:iCs w:val="0"/>
          <w:color w:val="auto"/>
          <w:sz w:val="30"/>
          <w:szCs w:val="30"/>
          <w:highlight w:val="none"/>
        </w:rPr>
        <w:fldChar w:fldCharType="separate"/>
      </w:r>
      <w:r>
        <w:rPr>
          <w:rFonts w:hint="eastAsia"/>
          <w:i w:val="0"/>
          <w:iCs w:val="0"/>
          <w:color w:val="auto"/>
          <w:sz w:val="30"/>
          <w:szCs w:val="30"/>
          <w:highlight w:val="none"/>
        </w:rPr>
        <w:t>第四章评审程序、评审方法和评审标准</w:t>
      </w:r>
      <w:r>
        <w:rPr>
          <w:i w:val="0"/>
          <w:iCs w:val="0"/>
          <w:color w:val="auto"/>
          <w:sz w:val="30"/>
          <w:szCs w:val="30"/>
          <w:highlight w:val="none"/>
        </w:rPr>
        <w:tab/>
      </w:r>
      <w:r>
        <w:rPr>
          <w:i w:val="0"/>
          <w:iCs w:val="0"/>
          <w:color w:val="auto"/>
          <w:sz w:val="30"/>
          <w:szCs w:val="30"/>
          <w:highlight w:val="none"/>
        </w:rPr>
        <w:fldChar w:fldCharType="begin"/>
      </w:r>
      <w:r>
        <w:rPr>
          <w:i w:val="0"/>
          <w:iCs w:val="0"/>
          <w:color w:val="auto"/>
          <w:sz w:val="30"/>
          <w:szCs w:val="30"/>
          <w:highlight w:val="none"/>
        </w:rPr>
        <w:instrText xml:space="preserve"> PAGEREF _Toc16154 \h </w:instrText>
      </w:r>
      <w:r>
        <w:rPr>
          <w:i w:val="0"/>
          <w:iCs w:val="0"/>
          <w:color w:val="auto"/>
          <w:sz w:val="30"/>
          <w:szCs w:val="30"/>
          <w:highlight w:val="none"/>
        </w:rPr>
        <w:fldChar w:fldCharType="separate"/>
      </w:r>
      <w:r>
        <w:rPr>
          <w:i w:val="0"/>
          <w:iCs w:val="0"/>
          <w:color w:val="auto"/>
          <w:sz w:val="30"/>
          <w:szCs w:val="30"/>
          <w:highlight w:val="none"/>
        </w:rPr>
        <w:t>44</w:t>
      </w:r>
      <w:r>
        <w:rPr>
          <w:i w:val="0"/>
          <w:iCs w:val="0"/>
          <w:color w:val="auto"/>
          <w:sz w:val="30"/>
          <w:szCs w:val="30"/>
          <w:highlight w:val="none"/>
        </w:rPr>
        <w:fldChar w:fldCharType="end"/>
      </w:r>
      <w:r>
        <w:rPr>
          <w:rFonts w:hint="eastAsia" w:ascii="仿宋_GB2312" w:hAnsi="仿宋_GB2312" w:eastAsia="仿宋_GB2312" w:cs="仿宋_GB2312"/>
          <w:bCs/>
          <w:i w:val="0"/>
          <w:iCs w:val="0"/>
          <w:color w:val="auto"/>
          <w:sz w:val="30"/>
          <w:szCs w:val="30"/>
          <w:highlight w:val="none"/>
        </w:rPr>
        <w:fldChar w:fldCharType="end"/>
      </w:r>
    </w:p>
    <w:p w14:paraId="267B10E2">
      <w:pPr>
        <w:pStyle w:val="26"/>
        <w:keepNext w:val="0"/>
        <w:keepLines w:val="0"/>
        <w:pageBreakBefore w:val="0"/>
        <w:widowControl w:val="0"/>
        <w:tabs>
          <w:tab w:val="right" w:leader="dot" w:pos="8879"/>
        </w:tabs>
        <w:bidi w:val="0"/>
        <w:spacing w:line="360" w:lineRule="auto"/>
        <w:rPr>
          <w:i w:val="0"/>
          <w:iCs w:val="0"/>
          <w:color w:val="auto"/>
          <w:sz w:val="30"/>
          <w:szCs w:val="30"/>
          <w:highlight w:val="none"/>
        </w:rPr>
      </w:pPr>
      <w:r>
        <w:rPr>
          <w:rFonts w:hint="eastAsia" w:ascii="仿宋_GB2312" w:hAnsi="仿宋_GB2312" w:eastAsia="仿宋_GB2312" w:cs="仿宋_GB2312"/>
          <w:bCs/>
          <w:i w:val="0"/>
          <w:iCs w:val="0"/>
          <w:color w:val="auto"/>
          <w:sz w:val="30"/>
          <w:szCs w:val="30"/>
          <w:highlight w:val="none"/>
        </w:rPr>
        <w:fldChar w:fldCharType="begin"/>
      </w:r>
      <w:r>
        <w:rPr>
          <w:rFonts w:hint="eastAsia" w:ascii="仿宋_GB2312" w:hAnsi="仿宋_GB2312" w:eastAsia="仿宋_GB2312" w:cs="仿宋_GB2312"/>
          <w:bCs/>
          <w:i w:val="0"/>
          <w:iCs w:val="0"/>
          <w:color w:val="auto"/>
          <w:sz w:val="30"/>
          <w:szCs w:val="30"/>
          <w:highlight w:val="none"/>
        </w:rPr>
        <w:instrText xml:space="preserve"> HYPERLINK \l _Toc30780 </w:instrText>
      </w:r>
      <w:r>
        <w:rPr>
          <w:rFonts w:hint="eastAsia" w:ascii="仿宋_GB2312" w:hAnsi="仿宋_GB2312" w:eastAsia="仿宋_GB2312" w:cs="仿宋_GB2312"/>
          <w:bCs/>
          <w:i w:val="0"/>
          <w:iCs w:val="0"/>
          <w:color w:val="auto"/>
          <w:sz w:val="30"/>
          <w:szCs w:val="30"/>
          <w:highlight w:val="none"/>
        </w:rPr>
        <w:fldChar w:fldCharType="separate"/>
      </w:r>
      <w:r>
        <w:rPr>
          <w:rFonts w:hint="eastAsia"/>
          <w:i w:val="0"/>
          <w:iCs w:val="0"/>
          <w:color w:val="auto"/>
          <w:sz w:val="30"/>
          <w:szCs w:val="30"/>
          <w:highlight w:val="none"/>
        </w:rPr>
        <w:t>第五章响应文件格式</w:t>
      </w:r>
      <w:r>
        <w:rPr>
          <w:i w:val="0"/>
          <w:iCs w:val="0"/>
          <w:color w:val="auto"/>
          <w:sz w:val="30"/>
          <w:szCs w:val="30"/>
          <w:highlight w:val="none"/>
        </w:rPr>
        <w:tab/>
      </w:r>
      <w:r>
        <w:rPr>
          <w:i w:val="0"/>
          <w:iCs w:val="0"/>
          <w:color w:val="auto"/>
          <w:sz w:val="30"/>
          <w:szCs w:val="30"/>
          <w:highlight w:val="none"/>
        </w:rPr>
        <w:fldChar w:fldCharType="begin"/>
      </w:r>
      <w:r>
        <w:rPr>
          <w:i w:val="0"/>
          <w:iCs w:val="0"/>
          <w:color w:val="auto"/>
          <w:sz w:val="30"/>
          <w:szCs w:val="30"/>
          <w:highlight w:val="none"/>
        </w:rPr>
        <w:instrText xml:space="preserve"> PAGEREF _Toc30780 \h </w:instrText>
      </w:r>
      <w:r>
        <w:rPr>
          <w:i w:val="0"/>
          <w:iCs w:val="0"/>
          <w:color w:val="auto"/>
          <w:sz w:val="30"/>
          <w:szCs w:val="30"/>
          <w:highlight w:val="none"/>
        </w:rPr>
        <w:fldChar w:fldCharType="separate"/>
      </w:r>
      <w:r>
        <w:rPr>
          <w:i w:val="0"/>
          <w:iCs w:val="0"/>
          <w:color w:val="auto"/>
          <w:sz w:val="30"/>
          <w:szCs w:val="30"/>
          <w:highlight w:val="none"/>
        </w:rPr>
        <w:t>54</w:t>
      </w:r>
      <w:r>
        <w:rPr>
          <w:i w:val="0"/>
          <w:iCs w:val="0"/>
          <w:color w:val="auto"/>
          <w:sz w:val="30"/>
          <w:szCs w:val="30"/>
          <w:highlight w:val="none"/>
        </w:rPr>
        <w:fldChar w:fldCharType="end"/>
      </w:r>
      <w:r>
        <w:rPr>
          <w:rFonts w:hint="eastAsia" w:ascii="仿宋_GB2312" w:hAnsi="仿宋_GB2312" w:eastAsia="仿宋_GB2312" w:cs="仿宋_GB2312"/>
          <w:bCs/>
          <w:i w:val="0"/>
          <w:iCs w:val="0"/>
          <w:color w:val="auto"/>
          <w:sz w:val="30"/>
          <w:szCs w:val="30"/>
          <w:highlight w:val="none"/>
        </w:rPr>
        <w:fldChar w:fldCharType="end"/>
      </w:r>
    </w:p>
    <w:p w14:paraId="2AEB6922">
      <w:pPr>
        <w:pStyle w:val="26"/>
        <w:keepNext w:val="0"/>
        <w:keepLines w:val="0"/>
        <w:pageBreakBefore w:val="0"/>
        <w:widowControl w:val="0"/>
        <w:tabs>
          <w:tab w:val="right" w:leader="dot" w:pos="8879"/>
        </w:tabs>
        <w:bidi w:val="0"/>
        <w:spacing w:line="360" w:lineRule="auto"/>
        <w:rPr>
          <w:i w:val="0"/>
          <w:iCs w:val="0"/>
          <w:color w:val="auto"/>
          <w:sz w:val="30"/>
          <w:szCs w:val="30"/>
          <w:highlight w:val="none"/>
        </w:rPr>
      </w:pPr>
      <w:r>
        <w:rPr>
          <w:rFonts w:hint="eastAsia" w:ascii="仿宋_GB2312" w:hAnsi="仿宋_GB2312" w:eastAsia="仿宋_GB2312" w:cs="仿宋_GB2312"/>
          <w:bCs/>
          <w:i w:val="0"/>
          <w:iCs w:val="0"/>
          <w:color w:val="auto"/>
          <w:sz w:val="30"/>
          <w:szCs w:val="30"/>
          <w:highlight w:val="none"/>
        </w:rPr>
        <w:fldChar w:fldCharType="begin"/>
      </w:r>
      <w:r>
        <w:rPr>
          <w:rFonts w:hint="eastAsia" w:ascii="仿宋_GB2312" w:hAnsi="仿宋_GB2312" w:eastAsia="仿宋_GB2312" w:cs="仿宋_GB2312"/>
          <w:bCs/>
          <w:i w:val="0"/>
          <w:iCs w:val="0"/>
          <w:color w:val="auto"/>
          <w:sz w:val="30"/>
          <w:szCs w:val="30"/>
          <w:highlight w:val="none"/>
        </w:rPr>
        <w:instrText xml:space="preserve"> HYPERLINK \l _Toc3668 </w:instrText>
      </w:r>
      <w:r>
        <w:rPr>
          <w:rFonts w:hint="eastAsia" w:ascii="仿宋_GB2312" w:hAnsi="仿宋_GB2312" w:eastAsia="仿宋_GB2312" w:cs="仿宋_GB2312"/>
          <w:bCs/>
          <w:i w:val="0"/>
          <w:iCs w:val="0"/>
          <w:color w:val="auto"/>
          <w:sz w:val="30"/>
          <w:szCs w:val="30"/>
          <w:highlight w:val="none"/>
        </w:rPr>
        <w:fldChar w:fldCharType="separate"/>
      </w:r>
      <w:r>
        <w:rPr>
          <w:rFonts w:hint="eastAsia"/>
          <w:i w:val="0"/>
          <w:iCs w:val="0"/>
          <w:color w:val="auto"/>
          <w:sz w:val="30"/>
          <w:szCs w:val="30"/>
          <w:highlight w:val="none"/>
        </w:rPr>
        <w:t>第六章合同文本</w:t>
      </w:r>
      <w:r>
        <w:rPr>
          <w:i w:val="0"/>
          <w:iCs w:val="0"/>
          <w:color w:val="auto"/>
          <w:sz w:val="30"/>
          <w:szCs w:val="30"/>
          <w:highlight w:val="none"/>
        </w:rPr>
        <w:tab/>
      </w:r>
      <w:r>
        <w:rPr>
          <w:i w:val="0"/>
          <w:iCs w:val="0"/>
          <w:color w:val="auto"/>
          <w:sz w:val="30"/>
          <w:szCs w:val="30"/>
          <w:highlight w:val="none"/>
        </w:rPr>
        <w:fldChar w:fldCharType="begin"/>
      </w:r>
      <w:r>
        <w:rPr>
          <w:i w:val="0"/>
          <w:iCs w:val="0"/>
          <w:color w:val="auto"/>
          <w:sz w:val="30"/>
          <w:szCs w:val="30"/>
          <w:highlight w:val="none"/>
        </w:rPr>
        <w:instrText xml:space="preserve"> PAGEREF _Toc3668 \h </w:instrText>
      </w:r>
      <w:r>
        <w:rPr>
          <w:i w:val="0"/>
          <w:iCs w:val="0"/>
          <w:color w:val="auto"/>
          <w:sz w:val="30"/>
          <w:szCs w:val="30"/>
          <w:highlight w:val="none"/>
        </w:rPr>
        <w:fldChar w:fldCharType="separate"/>
      </w:r>
      <w:r>
        <w:rPr>
          <w:i w:val="0"/>
          <w:iCs w:val="0"/>
          <w:color w:val="auto"/>
          <w:sz w:val="30"/>
          <w:szCs w:val="30"/>
          <w:highlight w:val="none"/>
        </w:rPr>
        <w:t>82</w:t>
      </w:r>
      <w:r>
        <w:rPr>
          <w:i w:val="0"/>
          <w:iCs w:val="0"/>
          <w:color w:val="auto"/>
          <w:sz w:val="30"/>
          <w:szCs w:val="30"/>
          <w:highlight w:val="none"/>
        </w:rPr>
        <w:fldChar w:fldCharType="end"/>
      </w:r>
      <w:r>
        <w:rPr>
          <w:rFonts w:hint="eastAsia" w:ascii="仿宋_GB2312" w:hAnsi="仿宋_GB2312" w:eastAsia="仿宋_GB2312" w:cs="仿宋_GB2312"/>
          <w:bCs/>
          <w:i w:val="0"/>
          <w:iCs w:val="0"/>
          <w:color w:val="auto"/>
          <w:sz w:val="30"/>
          <w:szCs w:val="30"/>
          <w:highlight w:val="none"/>
        </w:rPr>
        <w:fldChar w:fldCharType="end"/>
      </w:r>
    </w:p>
    <w:p w14:paraId="6E227DAA">
      <w:pPr>
        <w:pStyle w:val="234"/>
        <w:keepNext w:val="0"/>
        <w:keepLines w:val="0"/>
        <w:pageBreakBefore w:val="0"/>
        <w:widowControl w:val="0"/>
        <w:tabs>
          <w:tab w:val="right" w:leader="dot" w:pos="8931"/>
        </w:tabs>
        <w:bidi w:val="0"/>
        <w:spacing w:line="360" w:lineRule="auto"/>
        <w:ind w:left="0"/>
        <w:rPr>
          <w:rFonts w:hint="eastAsia" w:ascii="方正仿宋_GB2312" w:hAnsi="方正仿宋_GB2312" w:eastAsia="方正仿宋_GB2312" w:cs="方正仿宋_GB2312"/>
          <w:b/>
          <w:i w:val="0"/>
          <w:iCs w:val="0"/>
          <w:color w:val="auto"/>
          <w:sz w:val="30"/>
          <w:szCs w:val="30"/>
          <w:highlight w:val="none"/>
        </w:rPr>
      </w:pPr>
      <w:r>
        <w:rPr>
          <w:rFonts w:hint="eastAsia" w:ascii="仿宋_GB2312" w:hAnsi="仿宋_GB2312" w:eastAsia="仿宋_GB2312" w:cs="仿宋_GB2312"/>
          <w:bCs/>
          <w:i w:val="0"/>
          <w:iCs w:val="0"/>
          <w:color w:val="auto"/>
          <w:sz w:val="30"/>
          <w:szCs w:val="30"/>
          <w:highlight w:val="none"/>
        </w:rPr>
        <w:fldChar w:fldCharType="end"/>
      </w:r>
    </w:p>
    <w:p w14:paraId="60090C48">
      <w:pPr>
        <w:spacing w:line="400" w:lineRule="exact"/>
        <w:jc w:val="left"/>
        <w:rPr>
          <w:rFonts w:hint="eastAsia" w:ascii="宋体" w:hAnsi="宋体"/>
          <w:b/>
          <w:i w:val="0"/>
          <w:iCs w:val="0"/>
          <w:color w:val="auto"/>
          <w:sz w:val="32"/>
          <w:szCs w:val="32"/>
          <w:highlight w:val="none"/>
        </w:rPr>
      </w:pPr>
    </w:p>
    <w:p w14:paraId="5FD49014">
      <w:pPr>
        <w:spacing w:line="400" w:lineRule="exact"/>
        <w:jc w:val="center"/>
        <w:rPr>
          <w:rFonts w:hint="eastAsia" w:ascii="宋体" w:hAnsi="宋体"/>
          <w:b/>
          <w:i w:val="0"/>
          <w:iCs w:val="0"/>
          <w:color w:val="auto"/>
          <w:sz w:val="32"/>
          <w:szCs w:val="32"/>
          <w:highlight w:val="none"/>
        </w:rPr>
      </w:pPr>
    </w:p>
    <w:p w14:paraId="65F6E63F">
      <w:pPr>
        <w:spacing w:line="400" w:lineRule="exact"/>
        <w:jc w:val="center"/>
        <w:rPr>
          <w:rFonts w:hint="eastAsia" w:ascii="宋体" w:hAnsi="宋体"/>
          <w:b/>
          <w:i w:val="0"/>
          <w:iCs w:val="0"/>
          <w:color w:val="auto"/>
          <w:sz w:val="32"/>
          <w:szCs w:val="32"/>
          <w:highlight w:val="none"/>
        </w:rPr>
      </w:pPr>
    </w:p>
    <w:p w14:paraId="6021D6B8">
      <w:pPr>
        <w:spacing w:line="400" w:lineRule="exact"/>
        <w:jc w:val="center"/>
        <w:rPr>
          <w:rFonts w:hint="eastAsia" w:ascii="宋体" w:hAnsi="宋体"/>
          <w:b/>
          <w:i w:val="0"/>
          <w:iCs w:val="0"/>
          <w:color w:val="auto"/>
          <w:sz w:val="32"/>
          <w:szCs w:val="32"/>
          <w:highlight w:val="none"/>
        </w:rPr>
      </w:pPr>
    </w:p>
    <w:p w14:paraId="051219E5">
      <w:pPr>
        <w:spacing w:line="400" w:lineRule="exact"/>
        <w:jc w:val="center"/>
        <w:rPr>
          <w:rFonts w:hint="eastAsia" w:ascii="宋体" w:hAnsi="宋体"/>
          <w:b/>
          <w:i w:val="0"/>
          <w:iCs w:val="0"/>
          <w:color w:val="auto"/>
          <w:sz w:val="32"/>
          <w:szCs w:val="32"/>
          <w:highlight w:val="none"/>
        </w:rPr>
      </w:pPr>
    </w:p>
    <w:p w14:paraId="20B09986">
      <w:pPr>
        <w:spacing w:line="400" w:lineRule="exact"/>
        <w:rPr>
          <w:rFonts w:hint="eastAsia" w:ascii="宋体" w:hAnsi="宋体"/>
          <w:b/>
          <w:i w:val="0"/>
          <w:iCs w:val="0"/>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cols w:space="1701" w:num="1"/>
          <w:titlePg/>
        </w:sectPr>
      </w:pPr>
    </w:p>
    <w:p w14:paraId="7BC20CCF">
      <w:pPr>
        <w:pStyle w:val="50"/>
        <w:spacing w:line="360" w:lineRule="auto"/>
        <w:jc w:val="center"/>
        <w:rPr>
          <w:i w:val="0"/>
          <w:iCs w:val="0"/>
          <w:color w:val="auto"/>
          <w:highlight w:val="none"/>
        </w:rPr>
      </w:pPr>
      <w:bookmarkStart w:id="0" w:name="_Toc10921"/>
      <w:r>
        <w:rPr>
          <w:rFonts w:hint="eastAsia"/>
          <w:i w:val="0"/>
          <w:iCs w:val="0"/>
          <w:color w:val="auto"/>
          <w:highlight w:val="none"/>
        </w:rPr>
        <w:t>第一章竞争性磋商公告</w:t>
      </w:r>
      <w:bookmarkEnd w:id="0"/>
    </w:p>
    <w:p w14:paraId="46C5D96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竞争性磋商公告</w:t>
      </w:r>
    </w:p>
    <w:p w14:paraId="5C4082B2">
      <w:pPr>
        <w:keepNext w:val="0"/>
        <w:keepLines w:val="0"/>
        <w:pageBreakBefore w:val="0"/>
        <w:pBdr>
          <w:top w:val="single" w:color="000000" w:sz="4" w:space="1"/>
          <w:left w:val="single" w:color="000000" w:sz="4" w:space="4"/>
          <w:bottom w:val="single" w:color="000000" w:sz="4" w:space="1"/>
          <w:right w:val="single" w:color="000000" w:sz="4" w:space="4"/>
        </w:pBdr>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bookmarkStart w:id="1" w:name="OLE_LINK1"/>
      <w:bookmarkStart w:id="2" w:name="_Hlk37430271"/>
      <w:r>
        <w:rPr>
          <w:rFonts w:hint="eastAsia" w:ascii="宋体" w:hAnsi="宋体" w:eastAsia="宋体" w:cs="宋体"/>
          <w:i w:val="0"/>
          <w:iCs w:val="0"/>
          <w:color w:val="auto"/>
          <w:sz w:val="24"/>
          <w:szCs w:val="24"/>
          <w:highlight w:val="none"/>
        </w:rPr>
        <w:t>项目概况</w:t>
      </w:r>
    </w:p>
    <w:p w14:paraId="21EA3986">
      <w:pPr>
        <w:keepNext w:val="0"/>
        <w:keepLines w:val="0"/>
        <w:pageBreakBefore w:val="0"/>
        <w:pBdr>
          <w:top w:val="single" w:color="000000" w:sz="4" w:space="1"/>
          <w:left w:val="single" w:color="000000" w:sz="4" w:space="4"/>
          <w:bottom w:val="single" w:color="000000" w:sz="4" w:space="1"/>
          <w:right w:val="single" w:color="000000" w:sz="4" w:space="4"/>
        </w:pBdr>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u w:val="single"/>
          <w:lang w:eastAsia="zh-CN"/>
        </w:rPr>
        <w:t>2026年医药机构年度考核与日常全覆盖检查服务采购</w:t>
      </w:r>
      <w:r>
        <w:rPr>
          <w:rFonts w:hint="eastAsia" w:ascii="宋体" w:hAnsi="宋体" w:eastAsia="宋体" w:cs="宋体"/>
          <w:i w:val="0"/>
          <w:iCs w:val="0"/>
          <w:color w:val="auto"/>
          <w:sz w:val="24"/>
          <w:szCs w:val="24"/>
          <w:highlight w:val="none"/>
        </w:rPr>
        <w:t>的潜在供应商应在广西政府采购云平台（https://www.gcy.zfcg.gxzf.gov.cn/）获取（下载）竞争性磋商文件，并于</w:t>
      </w:r>
      <w:r>
        <w:rPr>
          <w:rFonts w:hint="eastAsia" w:ascii="宋体" w:hAnsi="宋体" w:eastAsia="宋体" w:cs="宋体"/>
          <w:i w:val="0"/>
          <w:iCs w:val="0"/>
          <w:color w:val="auto"/>
          <w:sz w:val="24"/>
          <w:szCs w:val="24"/>
          <w:highlight w:val="none"/>
          <w:u w:val="single"/>
        </w:rPr>
        <w:t>2026年</w:t>
      </w:r>
      <w:r>
        <w:rPr>
          <w:rFonts w:hint="eastAsia" w:ascii="宋体" w:hAnsi="宋体" w:cs="宋体"/>
          <w:i w:val="0"/>
          <w:iCs w:val="0"/>
          <w:color w:val="auto"/>
          <w:sz w:val="24"/>
          <w:szCs w:val="24"/>
          <w:highlight w:val="none"/>
          <w:u w:val="single"/>
          <w:lang w:val="en-US" w:eastAsia="zh-CN"/>
        </w:rPr>
        <w:t>10</w:t>
      </w:r>
      <w:r>
        <w:rPr>
          <w:rFonts w:hint="eastAsia" w:ascii="宋体" w:hAnsi="宋体" w:eastAsia="宋体" w:cs="宋体"/>
          <w:i w:val="0"/>
          <w:iCs w:val="0"/>
          <w:color w:val="auto"/>
          <w:sz w:val="24"/>
          <w:szCs w:val="24"/>
          <w:highlight w:val="none"/>
          <w:u w:val="single"/>
        </w:rPr>
        <w:t>月</w:t>
      </w:r>
      <w:r>
        <w:rPr>
          <w:rFonts w:hint="eastAsia" w:ascii="宋体" w:hAnsi="宋体" w:cs="宋体"/>
          <w:i w:val="0"/>
          <w:iCs w:val="0"/>
          <w:color w:val="auto"/>
          <w:sz w:val="24"/>
          <w:szCs w:val="24"/>
          <w:highlight w:val="none"/>
          <w:u w:val="single"/>
          <w:lang w:val="en-US" w:eastAsia="zh-CN"/>
        </w:rPr>
        <w:t>08</w:t>
      </w:r>
      <w:r>
        <w:rPr>
          <w:rFonts w:hint="eastAsia" w:ascii="宋体" w:hAnsi="宋体" w:eastAsia="宋体" w:cs="宋体"/>
          <w:i w:val="0"/>
          <w:iCs w:val="0"/>
          <w:color w:val="auto"/>
          <w:sz w:val="24"/>
          <w:szCs w:val="24"/>
          <w:highlight w:val="none"/>
          <w:u w:val="single"/>
        </w:rPr>
        <w:t>日</w:t>
      </w:r>
      <w:r>
        <w:rPr>
          <w:rFonts w:hint="eastAsia" w:ascii="宋体" w:hAnsi="宋体" w:eastAsia="宋体" w:cs="宋体"/>
          <w:bCs/>
          <w:i w:val="0"/>
          <w:iCs w:val="0"/>
          <w:color w:val="auto"/>
          <w:sz w:val="24"/>
          <w:szCs w:val="24"/>
          <w:highlight w:val="none"/>
          <w:u w:val="single"/>
        </w:rPr>
        <w:t>10时00分（</w:t>
      </w:r>
      <w:r>
        <w:rPr>
          <w:rFonts w:hint="eastAsia" w:ascii="宋体" w:hAnsi="宋体" w:eastAsia="宋体" w:cs="宋体"/>
          <w:bCs/>
          <w:i w:val="0"/>
          <w:iCs w:val="0"/>
          <w:color w:val="auto"/>
          <w:sz w:val="24"/>
          <w:szCs w:val="24"/>
          <w:highlight w:val="none"/>
        </w:rPr>
        <w:t>北京时间）前提交（上传）</w:t>
      </w:r>
      <w:r>
        <w:rPr>
          <w:rFonts w:hint="eastAsia" w:ascii="宋体" w:hAnsi="宋体" w:eastAsia="宋体" w:cs="宋体"/>
          <w:i w:val="0"/>
          <w:iCs w:val="0"/>
          <w:color w:val="auto"/>
          <w:sz w:val="24"/>
          <w:szCs w:val="24"/>
          <w:highlight w:val="none"/>
        </w:rPr>
        <w:t>响应</w:t>
      </w:r>
      <w:r>
        <w:rPr>
          <w:rFonts w:hint="eastAsia" w:ascii="宋体" w:hAnsi="宋体" w:eastAsia="宋体" w:cs="宋体"/>
          <w:bCs/>
          <w:i w:val="0"/>
          <w:iCs w:val="0"/>
          <w:color w:val="auto"/>
          <w:sz w:val="24"/>
          <w:szCs w:val="24"/>
          <w:highlight w:val="none"/>
        </w:rPr>
        <w:t>文件</w:t>
      </w:r>
      <w:r>
        <w:rPr>
          <w:rFonts w:hint="eastAsia" w:ascii="宋体" w:hAnsi="宋体" w:eastAsia="宋体" w:cs="宋体"/>
          <w:i w:val="0"/>
          <w:iCs w:val="0"/>
          <w:color w:val="auto"/>
          <w:sz w:val="24"/>
          <w:szCs w:val="24"/>
          <w:highlight w:val="none"/>
        </w:rPr>
        <w:t>。</w:t>
      </w:r>
    </w:p>
    <w:p w14:paraId="2AB51010">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3" w:name="_Toc28359089"/>
      <w:bookmarkStart w:id="4" w:name="_Toc28359012"/>
      <w:bookmarkStart w:id="5" w:name="_Toc35393798"/>
      <w:bookmarkStart w:id="6" w:name="_Toc44229878"/>
      <w:bookmarkStart w:id="7" w:name="_Toc35393629"/>
      <w:bookmarkStart w:id="8" w:name="_Toc71365905"/>
      <w:r>
        <w:rPr>
          <w:rFonts w:hint="eastAsia" w:ascii="宋体" w:hAnsi="宋体" w:eastAsia="宋体" w:cs="宋体"/>
          <w:b/>
          <w:i w:val="0"/>
          <w:iCs w:val="0"/>
          <w:color w:val="auto"/>
          <w:sz w:val="24"/>
          <w:szCs w:val="24"/>
          <w:highlight w:val="none"/>
        </w:rPr>
        <w:t>一、项目基本情况</w:t>
      </w:r>
      <w:bookmarkEnd w:id="1"/>
      <w:bookmarkEnd w:id="2"/>
      <w:bookmarkEnd w:id="3"/>
      <w:bookmarkEnd w:id="4"/>
      <w:bookmarkEnd w:id="5"/>
      <w:bookmarkEnd w:id="6"/>
    </w:p>
    <w:p w14:paraId="5CCE6E2B">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项目编号：</w:t>
      </w:r>
      <w:r>
        <w:rPr>
          <w:rFonts w:hint="eastAsia" w:ascii="宋体" w:hAnsi="宋体" w:cs="宋体"/>
          <w:i w:val="0"/>
          <w:iCs w:val="0"/>
          <w:color w:val="auto"/>
          <w:sz w:val="24"/>
          <w:szCs w:val="24"/>
          <w:highlight w:val="none"/>
          <w:lang w:eastAsia="zh-CN"/>
        </w:rPr>
        <w:t>LBZC2026-C3-990102-YZLZ</w:t>
      </w:r>
    </w:p>
    <w:p w14:paraId="32FEB2BE">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项目名称：</w:t>
      </w:r>
      <w:r>
        <w:rPr>
          <w:rFonts w:hint="eastAsia" w:ascii="宋体" w:hAnsi="宋体" w:cs="宋体"/>
          <w:i w:val="0"/>
          <w:iCs w:val="0"/>
          <w:color w:val="auto"/>
          <w:sz w:val="24"/>
          <w:szCs w:val="24"/>
          <w:highlight w:val="none"/>
          <w:lang w:eastAsia="zh-CN"/>
        </w:rPr>
        <w:t>2026年医药机构年度考核与日常全覆盖检查服务采购</w:t>
      </w:r>
    </w:p>
    <w:p w14:paraId="1E40B37B">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采购方式：竞争性磋商</w:t>
      </w:r>
    </w:p>
    <w:p w14:paraId="02A53A27">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预算总金额（元）：</w:t>
      </w:r>
      <w:r>
        <w:rPr>
          <w:rFonts w:hint="eastAsia" w:ascii="宋体" w:hAnsi="宋体" w:cs="宋体"/>
          <w:i w:val="0"/>
          <w:iCs w:val="0"/>
          <w:color w:val="auto"/>
          <w:sz w:val="24"/>
          <w:szCs w:val="24"/>
          <w:highlight w:val="none"/>
          <w:lang w:val="en-US" w:eastAsia="zh-CN"/>
        </w:rPr>
        <w:t>1520000</w:t>
      </w:r>
      <w:r>
        <w:rPr>
          <w:rFonts w:hint="eastAsia" w:ascii="宋体" w:hAnsi="宋体" w:eastAsia="宋体" w:cs="宋体"/>
          <w:i w:val="0"/>
          <w:iCs w:val="0"/>
          <w:color w:val="auto"/>
          <w:sz w:val="24"/>
          <w:szCs w:val="24"/>
          <w:highlight w:val="none"/>
          <w:lang w:val="en-US" w:eastAsia="zh-CN"/>
        </w:rPr>
        <w:t>.00</w:t>
      </w:r>
    </w:p>
    <w:p w14:paraId="1A651BB7">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采购需求：</w:t>
      </w:r>
    </w:p>
    <w:p w14:paraId="59FF8449">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lang w:val="en-US" w:eastAsia="zh-CN"/>
        </w:rPr>
      </w:pPr>
      <w:r>
        <w:rPr>
          <w:rFonts w:hint="eastAsia" w:cs="Times New Roman"/>
          <w:b w:val="0"/>
          <w:bCs w:val="0"/>
          <w:i w:val="0"/>
          <w:iCs w:val="0"/>
          <w:color w:val="auto"/>
          <w:sz w:val="24"/>
          <w:highlight w:val="none"/>
          <w:lang w:val="en-US" w:eastAsia="zh-CN"/>
        </w:rPr>
        <w:t>分标1</w:t>
      </w:r>
    </w:p>
    <w:p w14:paraId="47438698">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lang w:eastAsia="zh-CN"/>
        </w:rPr>
      </w:pPr>
      <w:r>
        <w:rPr>
          <w:rFonts w:hint="eastAsia" w:ascii="Times New Roman" w:hAnsi="Times New Roman" w:eastAsia="宋体" w:cs="Times New Roman"/>
          <w:b w:val="0"/>
          <w:bCs w:val="0"/>
          <w:i w:val="0"/>
          <w:iCs w:val="0"/>
          <w:color w:val="auto"/>
          <w:sz w:val="24"/>
          <w:highlight w:val="none"/>
        </w:rPr>
        <w:t>标的名称：2026年医药机构年度考核与日常全覆盖检查服务</w:t>
      </w:r>
      <w:r>
        <w:rPr>
          <w:rFonts w:hint="eastAsia" w:cs="Times New Roman"/>
          <w:b w:val="0"/>
          <w:bCs w:val="0"/>
          <w:i w:val="0"/>
          <w:iCs w:val="0"/>
          <w:color w:val="auto"/>
          <w:sz w:val="24"/>
          <w:highlight w:val="none"/>
          <w:lang w:val="en-US" w:eastAsia="zh-CN"/>
        </w:rPr>
        <w:t>分标1</w:t>
      </w:r>
    </w:p>
    <w:p w14:paraId="75F4E55E">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rPr>
      </w:pPr>
      <w:r>
        <w:rPr>
          <w:rFonts w:hint="eastAsia" w:ascii="Times New Roman" w:hAnsi="Times New Roman" w:eastAsia="宋体" w:cs="Times New Roman"/>
          <w:b w:val="0"/>
          <w:bCs w:val="0"/>
          <w:i w:val="0"/>
          <w:iCs w:val="0"/>
          <w:color w:val="auto"/>
          <w:sz w:val="24"/>
          <w:highlight w:val="none"/>
        </w:rPr>
        <w:t>数量:1项</w:t>
      </w:r>
    </w:p>
    <w:p w14:paraId="05319357">
      <w:pPr>
        <w:keepNext w:val="0"/>
        <w:keepLines w:val="0"/>
        <w:pageBreakBefore w:val="0"/>
        <w:kinsoku/>
        <w:wordWrap/>
        <w:overflowPunct/>
        <w:topLinePunct w:val="0"/>
        <w:autoSpaceDE/>
        <w:autoSpaceDN/>
        <w:bidi w:val="0"/>
        <w:adjustRightInd/>
        <w:snapToGrid/>
        <w:spacing w:line="440" w:lineRule="exact"/>
        <w:ind w:firstLine="640"/>
        <w:textAlignment w:val="auto"/>
        <w:rPr>
          <w:rFonts w:hint="default"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rPr>
        <w:t>预算金额（元）：</w:t>
      </w:r>
      <w:r>
        <w:rPr>
          <w:rFonts w:hint="eastAsia" w:cs="Times New Roman"/>
          <w:b w:val="0"/>
          <w:bCs w:val="0"/>
          <w:i w:val="0"/>
          <w:iCs w:val="0"/>
          <w:color w:val="auto"/>
          <w:sz w:val="24"/>
          <w:highlight w:val="none"/>
          <w:lang w:val="en-US" w:eastAsia="zh-CN"/>
        </w:rPr>
        <w:t>755000</w:t>
      </w:r>
      <w:r>
        <w:rPr>
          <w:rFonts w:hint="eastAsia" w:ascii="Times New Roman" w:hAnsi="Times New Roman" w:eastAsia="宋体" w:cs="Times New Roman"/>
          <w:b w:val="0"/>
          <w:bCs w:val="0"/>
          <w:i w:val="0"/>
          <w:iCs w:val="0"/>
          <w:color w:val="auto"/>
          <w:sz w:val="24"/>
          <w:highlight w:val="none"/>
          <w:lang w:val="en-US" w:eastAsia="zh-CN"/>
        </w:rPr>
        <w:t>.00</w:t>
      </w:r>
    </w:p>
    <w:p w14:paraId="436AB83C">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rPr>
      </w:pPr>
      <w:r>
        <w:rPr>
          <w:rFonts w:hint="eastAsia" w:ascii="Times New Roman" w:hAnsi="Times New Roman" w:eastAsia="宋体" w:cs="Times New Roman"/>
          <w:b w:val="0"/>
          <w:bCs w:val="0"/>
          <w:i w:val="0"/>
          <w:iCs w:val="0"/>
          <w:color w:val="auto"/>
          <w:sz w:val="24"/>
          <w:highlight w:val="none"/>
        </w:rPr>
        <w:t>最高限价（元）</w:t>
      </w:r>
      <w:r>
        <w:rPr>
          <w:rFonts w:hint="eastAsia" w:ascii="Times New Roman" w:hAnsi="Times New Roman" w:eastAsia="宋体"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755000</w:t>
      </w:r>
      <w:r>
        <w:rPr>
          <w:rFonts w:hint="eastAsia" w:ascii="Times New Roman" w:hAnsi="Times New Roman" w:eastAsia="宋体" w:cs="Times New Roman"/>
          <w:b w:val="0"/>
          <w:bCs w:val="0"/>
          <w:i w:val="0"/>
          <w:iCs w:val="0"/>
          <w:color w:val="auto"/>
          <w:sz w:val="24"/>
          <w:highlight w:val="none"/>
          <w:lang w:eastAsia="zh-CN"/>
        </w:rPr>
        <w:t>.00</w:t>
      </w:r>
    </w:p>
    <w:p w14:paraId="4D7E97F6">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rPr>
      </w:pPr>
      <w:r>
        <w:rPr>
          <w:rFonts w:hint="eastAsia" w:ascii="Times New Roman" w:hAnsi="Times New Roman" w:eastAsia="宋体" w:cs="Times New Roman"/>
          <w:b w:val="0"/>
          <w:bCs w:val="0"/>
          <w:i w:val="0"/>
          <w:iCs w:val="0"/>
          <w:color w:val="auto"/>
          <w:sz w:val="24"/>
          <w:highlight w:val="none"/>
        </w:rPr>
        <w:t>简要规格描述或项目基本概况介绍、用途：检查对象：武宣县、象州县、忻城县、金秀瑶族自治县所有签订医保服务协议的定点医疗机构（含医院、社区卫生服务中心、诊所等）及定点零售药店</w:t>
      </w:r>
      <w:r>
        <w:rPr>
          <w:rFonts w:hint="eastAsia" w:ascii="Times New Roman" w:hAnsi="Times New Roman" w:eastAsia="宋体" w:cs="Times New Roman"/>
          <w:b w:val="0"/>
          <w:bCs w:val="0"/>
          <w:i w:val="0"/>
          <w:iCs w:val="0"/>
          <w:color w:val="auto"/>
          <w:sz w:val="24"/>
          <w:highlight w:val="none"/>
          <w:lang w:eastAsia="zh-CN"/>
        </w:rPr>
        <w:t>，</w:t>
      </w:r>
      <w:r>
        <w:rPr>
          <w:rFonts w:hint="eastAsia" w:ascii="Times New Roman" w:hAnsi="Times New Roman" w:eastAsia="宋体" w:cs="Times New Roman"/>
          <w:b w:val="0"/>
          <w:bCs w:val="0"/>
          <w:i w:val="0"/>
          <w:iCs w:val="0"/>
          <w:color w:val="auto"/>
          <w:sz w:val="24"/>
          <w:highlight w:val="none"/>
        </w:rPr>
        <w:t>具体数量</w:t>
      </w:r>
      <w:r>
        <w:rPr>
          <w:rFonts w:hint="eastAsia" w:ascii="Times New Roman" w:hAnsi="Times New Roman" w:eastAsia="宋体" w:cs="Times New Roman"/>
          <w:b w:val="0"/>
          <w:bCs w:val="0"/>
          <w:i w:val="0"/>
          <w:iCs w:val="0"/>
          <w:color w:val="auto"/>
          <w:sz w:val="24"/>
          <w:highlight w:val="none"/>
          <w:lang w:val="en-US" w:eastAsia="zh-CN"/>
        </w:rPr>
        <w:t>以采购人提供的实际数量为准</w:t>
      </w:r>
      <w:r>
        <w:rPr>
          <w:rFonts w:hint="eastAsia" w:ascii="Times New Roman" w:hAnsi="Times New Roman" w:eastAsia="宋体" w:cs="Times New Roman"/>
          <w:b w:val="0"/>
          <w:bCs w:val="0"/>
          <w:i w:val="0"/>
          <w:iCs w:val="0"/>
          <w:color w:val="auto"/>
          <w:sz w:val="24"/>
          <w:highlight w:val="none"/>
        </w:rPr>
        <w:t>。如需进一步了解详细内容，具体内容详见磋商文件。</w:t>
      </w:r>
    </w:p>
    <w:p w14:paraId="45814357">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rPr>
      </w:pPr>
      <w:r>
        <w:rPr>
          <w:rFonts w:hint="eastAsia" w:ascii="Times New Roman" w:hAnsi="Times New Roman" w:eastAsia="宋体" w:cs="Times New Roman"/>
          <w:b w:val="0"/>
          <w:bCs w:val="0"/>
          <w:i w:val="0"/>
          <w:iCs w:val="0"/>
          <w:color w:val="auto"/>
          <w:sz w:val="24"/>
          <w:highlight w:val="none"/>
        </w:rPr>
        <w:t>合同履约期限：</w:t>
      </w:r>
      <w:r>
        <w:rPr>
          <w:rFonts w:hint="eastAsia" w:ascii="Times New Roman" w:hAnsi="Times New Roman" w:eastAsia="宋体" w:cs="Times New Roman"/>
          <w:b w:val="0"/>
          <w:bCs w:val="0"/>
          <w:i w:val="0"/>
          <w:iCs w:val="0"/>
          <w:color w:val="auto"/>
          <w:sz w:val="24"/>
          <w:highlight w:val="none"/>
          <w:lang w:eastAsia="zh-CN"/>
        </w:rPr>
        <w:t>于</w:t>
      </w:r>
      <w:r>
        <w:rPr>
          <w:rFonts w:ascii="Times New Roman" w:hAnsi="Times New Roman" w:eastAsia="宋体" w:cs="Times New Roman"/>
          <w:b w:val="0"/>
          <w:bCs w:val="0"/>
          <w:i w:val="0"/>
          <w:iCs w:val="0"/>
          <w:color w:val="auto"/>
          <w:sz w:val="24"/>
          <w:highlight w:val="none"/>
        </w:rPr>
        <w:t>2026年11月30日前完成全部现场</w:t>
      </w:r>
      <w:r>
        <w:rPr>
          <w:rFonts w:hint="eastAsia" w:ascii="Times New Roman" w:hAnsi="Times New Roman" w:eastAsia="宋体"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任务，并向来宾市医疗保险服务中心提交相关</w:t>
      </w:r>
      <w:r>
        <w:rPr>
          <w:rFonts w:hint="eastAsia" w:ascii="Times New Roman" w:hAnsi="Times New Roman" w:eastAsia="宋体"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材料；</w:t>
      </w:r>
      <w:r>
        <w:rPr>
          <w:rFonts w:hint="eastAsia" w:ascii="Times New Roman" w:hAnsi="Times New Roman" w:eastAsia="宋体" w:cs="Times New Roman"/>
          <w:b w:val="0"/>
          <w:bCs w:val="0"/>
          <w:i w:val="0"/>
          <w:iCs w:val="0"/>
          <w:color w:val="auto"/>
          <w:sz w:val="24"/>
          <w:highlight w:val="none"/>
          <w:lang w:eastAsia="zh-CN"/>
        </w:rPr>
        <w:t>全程做好被检查机构的申诉对接、答疑应诉工作并</w:t>
      </w:r>
      <w:r>
        <w:rPr>
          <w:rFonts w:ascii="Times New Roman" w:hAnsi="Times New Roman" w:eastAsia="宋体" w:cs="Times New Roman"/>
          <w:b w:val="0"/>
          <w:bCs w:val="0"/>
          <w:i w:val="0"/>
          <w:iCs w:val="0"/>
          <w:color w:val="auto"/>
          <w:sz w:val="24"/>
          <w:highlight w:val="none"/>
        </w:rPr>
        <w:t>于2026年12月10日前配合完成全部后期</w:t>
      </w:r>
      <w:r>
        <w:rPr>
          <w:rFonts w:hint="eastAsia" w:ascii="Times New Roman" w:hAnsi="Times New Roman" w:eastAsia="宋体"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确认工作。服务期内，供应商必须每周向来宾市医疗保险服务中心汇报1次</w:t>
      </w:r>
      <w:r>
        <w:rPr>
          <w:rFonts w:hint="eastAsia"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任务完成情况，直至全部任务完成。</w:t>
      </w:r>
    </w:p>
    <w:p w14:paraId="3959A448">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Times New Roman" w:hAnsi="Times New Roman" w:eastAsia="宋体" w:cs="Times New Roman"/>
          <w:b w:val="0"/>
          <w:bCs w:val="0"/>
          <w:i w:val="0"/>
          <w:iCs w:val="0"/>
          <w:color w:val="auto"/>
          <w:sz w:val="24"/>
          <w:highlight w:val="none"/>
          <w:lang w:eastAsia="zh-CN"/>
        </w:rPr>
      </w:pPr>
      <w:r>
        <w:rPr>
          <w:rFonts w:hint="eastAsia" w:ascii="Times New Roman" w:hAnsi="Times New Roman" w:eastAsia="宋体" w:cs="Times New Roman"/>
          <w:b w:val="0"/>
          <w:bCs w:val="0"/>
          <w:i w:val="0"/>
          <w:iCs w:val="0"/>
          <w:color w:val="auto"/>
          <w:sz w:val="24"/>
          <w:highlight w:val="none"/>
        </w:rPr>
        <w:t>本标项（</w:t>
      </w:r>
      <w:r>
        <w:rPr>
          <w:rFonts w:hint="eastAsia" w:ascii="Times New Roman" w:hAnsi="Times New Roman" w:eastAsia="宋体" w:cs="Times New Roman"/>
          <w:b w:val="0"/>
          <w:bCs w:val="0"/>
          <w:i w:val="0"/>
          <w:iCs w:val="0"/>
          <w:color w:val="auto"/>
          <w:sz w:val="24"/>
          <w:highlight w:val="none"/>
          <w:lang w:val="en-US" w:eastAsia="zh-CN"/>
        </w:rPr>
        <w:t>否</w:t>
      </w:r>
      <w:r>
        <w:rPr>
          <w:rFonts w:hint="eastAsia" w:ascii="Times New Roman" w:hAnsi="Times New Roman" w:eastAsia="宋体" w:cs="Times New Roman"/>
          <w:b w:val="0"/>
          <w:bCs w:val="0"/>
          <w:i w:val="0"/>
          <w:iCs w:val="0"/>
          <w:color w:val="auto"/>
          <w:sz w:val="24"/>
          <w:highlight w:val="none"/>
        </w:rPr>
        <w:t>）接受联合体</w:t>
      </w:r>
      <w:r>
        <w:rPr>
          <w:rFonts w:hint="eastAsia" w:ascii="Times New Roman" w:hAnsi="Times New Roman" w:eastAsia="宋体" w:cs="Times New Roman"/>
          <w:b w:val="0"/>
          <w:bCs w:val="0"/>
          <w:i w:val="0"/>
          <w:iCs w:val="0"/>
          <w:color w:val="auto"/>
          <w:sz w:val="24"/>
          <w:highlight w:val="none"/>
          <w:lang w:eastAsia="zh-CN"/>
        </w:rPr>
        <w:t>。</w:t>
      </w:r>
    </w:p>
    <w:p w14:paraId="2EACF1C4">
      <w:pPr>
        <w:pageBreakBefore w:val="0"/>
        <w:widowControl w:val="0"/>
        <w:kinsoku/>
        <w:wordWrap/>
        <w:overflowPunct/>
        <w:topLinePunct w:val="0"/>
        <w:autoSpaceDE/>
        <w:autoSpaceDN/>
        <w:bidi w:val="0"/>
        <w:spacing w:line="440" w:lineRule="exact"/>
        <w:ind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lang w:val="en-US" w:eastAsia="zh-CN"/>
        </w:rPr>
        <w:t>备注：本项目划分2个分标，</w:t>
      </w:r>
      <w:r>
        <w:rPr>
          <w:rFonts w:hint="eastAsia" w:ascii="宋体" w:hAnsi="宋体" w:eastAsia="宋体" w:cs="宋体"/>
          <w:b/>
          <w:bCs/>
          <w:i w:val="0"/>
          <w:iCs w:val="0"/>
          <w:color w:val="auto"/>
          <w:sz w:val="24"/>
          <w:szCs w:val="24"/>
          <w:highlight w:val="none"/>
        </w:rPr>
        <w:t>供应商可参与全部分标</w:t>
      </w:r>
      <w:r>
        <w:rPr>
          <w:rFonts w:hint="eastAsia" w:ascii="宋体" w:hAnsi="宋体" w:eastAsia="宋体" w:cs="宋体"/>
          <w:b/>
          <w:bCs/>
          <w:i w:val="0"/>
          <w:iCs w:val="0"/>
          <w:color w:val="auto"/>
          <w:sz w:val="24"/>
          <w:szCs w:val="24"/>
          <w:highlight w:val="none"/>
          <w:lang w:val="en-US" w:eastAsia="zh-CN"/>
        </w:rPr>
        <w:t>磋商</w:t>
      </w:r>
      <w:r>
        <w:rPr>
          <w:rFonts w:hint="eastAsia" w:ascii="宋体" w:hAnsi="宋体" w:eastAsia="宋体" w:cs="宋体"/>
          <w:b/>
          <w:bCs/>
          <w:i w:val="0"/>
          <w:iCs w:val="0"/>
          <w:color w:val="auto"/>
          <w:sz w:val="24"/>
          <w:szCs w:val="24"/>
          <w:highlight w:val="none"/>
        </w:rPr>
        <w:t>及对应评审，但同一供应商最多仅能</w:t>
      </w:r>
      <w:r>
        <w:rPr>
          <w:rFonts w:hint="eastAsia" w:ascii="宋体" w:hAnsi="宋体" w:eastAsia="宋体" w:cs="宋体"/>
          <w:b/>
          <w:bCs/>
          <w:i w:val="0"/>
          <w:iCs w:val="0"/>
          <w:color w:val="auto"/>
          <w:sz w:val="24"/>
          <w:szCs w:val="24"/>
          <w:highlight w:val="none"/>
          <w:lang w:val="en-US" w:eastAsia="zh-CN"/>
        </w:rPr>
        <w:t>成交</w:t>
      </w:r>
      <w:r>
        <w:rPr>
          <w:rFonts w:hint="eastAsia" w:ascii="宋体" w:hAnsi="宋体" w:eastAsia="宋体" w:cs="宋体"/>
          <w:b/>
          <w:bCs/>
          <w:i w:val="0"/>
          <w:iCs w:val="0"/>
          <w:color w:val="auto"/>
          <w:sz w:val="24"/>
          <w:szCs w:val="24"/>
          <w:highlight w:val="none"/>
        </w:rPr>
        <w:t>其中1个分标；</w:t>
      </w:r>
      <w:r>
        <w:rPr>
          <w:rFonts w:hint="eastAsia" w:ascii="宋体" w:hAnsi="宋体" w:cs="宋体"/>
          <w:b/>
          <w:bCs/>
          <w:i w:val="0"/>
          <w:iCs w:val="0"/>
          <w:color w:val="auto"/>
          <w:sz w:val="24"/>
          <w:szCs w:val="24"/>
          <w:highlight w:val="none"/>
          <w:lang w:val="en-US" w:eastAsia="zh-CN"/>
        </w:rPr>
        <w:t>评标</w:t>
      </w:r>
      <w:r>
        <w:rPr>
          <w:rFonts w:hint="eastAsia" w:ascii="宋体" w:hAnsi="宋体" w:eastAsia="宋体" w:cs="宋体"/>
          <w:b/>
          <w:bCs/>
          <w:i w:val="0"/>
          <w:iCs w:val="0"/>
          <w:color w:val="auto"/>
          <w:sz w:val="24"/>
          <w:szCs w:val="24"/>
          <w:highlight w:val="none"/>
        </w:rPr>
        <w:t>评审依次按</w:t>
      </w:r>
      <w:r>
        <w:rPr>
          <w:rFonts w:hint="eastAsia" w:ascii="宋体" w:hAnsi="宋体" w:cs="宋体"/>
          <w:b/>
          <w:bCs/>
          <w:i w:val="0"/>
          <w:iCs w:val="0"/>
          <w:color w:val="auto"/>
          <w:sz w:val="24"/>
          <w:szCs w:val="24"/>
          <w:highlight w:val="none"/>
          <w:lang w:val="en-US" w:eastAsia="zh-CN"/>
        </w:rPr>
        <w:t>分标1</w:t>
      </w:r>
      <w:r>
        <w:rPr>
          <w:rFonts w:hint="eastAsia" w:ascii="宋体" w:hAnsi="宋体" w:eastAsia="宋体" w:cs="宋体"/>
          <w:b/>
          <w:bCs/>
          <w:i w:val="0"/>
          <w:iCs w:val="0"/>
          <w:color w:val="auto"/>
          <w:sz w:val="24"/>
          <w:szCs w:val="24"/>
          <w:highlight w:val="none"/>
        </w:rPr>
        <w:t>、</w:t>
      </w:r>
      <w:r>
        <w:rPr>
          <w:rFonts w:hint="eastAsia" w:ascii="宋体" w:hAnsi="宋体" w:cs="宋体"/>
          <w:b/>
          <w:bCs/>
          <w:i w:val="0"/>
          <w:iCs w:val="0"/>
          <w:color w:val="auto"/>
          <w:sz w:val="24"/>
          <w:szCs w:val="24"/>
          <w:highlight w:val="none"/>
          <w:lang w:val="en-US" w:eastAsia="zh-CN"/>
        </w:rPr>
        <w:t>分标2</w:t>
      </w:r>
      <w:r>
        <w:rPr>
          <w:rFonts w:hint="eastAsia" w:ascii="宋体" w:hAnsi="宋体" w:eastAsia="宋体" w:cs="宋体"/>
          <w:b/>
          <w:bCs/>
          <w:i w:val="0"/>
          <w:iCs w:val="0"/>
          <w:color w:val="auto"/>
          <w:sz w:val="24"/>
          <w:szCs w:val="24"/>
          <w:highlight w:val="none"/>
        </w:rPr>
        <w:t>顺序开展。</w:t>
      </w:r>
    </w:p>
    <w:p w14:paraId="6D0EE0FA">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cs="宋体"/>
          <w:i w:val="0"/>
          <w:iCs w:val="0"/>
          <w:color w:val="auto"/>
          <w:sz w:val="24"/>
          <w:szCs w:val="24"/>
          <w:highlight w:val="none"/>
          <w:lang w:val="en-US" w:eastAsia="zh-CN"/>
        </w:rPr>
        <w:t>分标2</w:t>
      </w:r>
    </w:p>
    <w:p w14:paraId="7507737C">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标的名称</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2026年医药机构年度考核与日常全覆盖检查服务</w:t>
      </w:r>
      <w:r>
        <w:rPr>
          <w:rFonts w:hint="eastAsia" w:ascii="宋体" w:hAnsi="宋体" w:cs="宋体"/>
          <w:i w:val="0"/>
          <w:iCs w:val="0"/>
          <w:color w:val="auto"/>
          <w:sz w:val="24"/>
          <w:szCs w:val="24"/>
          <w:highlight w:val="none"/>
          <w:lang w:val="en-US" w:eastAsia="zh-CN"/>
        </w:rPr>
        <w:t>分标2</w:t>
      </w:r>
    </w:p>
    <w:p w14:paraId="16F5A606">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数量:1项</w:t>
      </w:r>
    </w:p>
    <w:p w14:paraId="51A8BCB4">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预算金额（元）：</w:t>
      </w:r>
      <w:r>
        <w:rPr>
          <w:rFonts w:hint="eastAsia" w:ascii="宋体" w:hAnsi="宋体" w:eastAsia="宋体" w:cs="宋体"/>
          <w:i w:val="0"/>
          <w:iCs w:val="0"/>
          <w:color w:val="auto"/>
          <w:sz w:val="24"/>
          <w:szCs w:val="24"/>
          <w:highlight w:val="none"/>
          <w:lang w:val="en-US" w:eastAsia="zh-CN"/>
        </w:rPr>
        <w:t>7</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lang w:val="en-US" w:eastAsia="zh-CN"/>
        </w:rPr>
        <w:t>5000.00</w:t>
      </w:r>
    </w:p>
    <w:p w14:paraId="52452E30">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最高限价（元）</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7</w:t>
      </w:r>
      <w:r>
        <w:rPr>
          <w:rFonts w:hint="eastAsia" w:ascii="宋体" w:hAnsi="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lang w:val="en-US" w:eastAsia="zh-CN"/>
        </w:rPr>
        <w:t>5000.00</w:t>
      </w:r>
    </w:p>
    <w:p w14:paraId="6A7E48E0">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简要规格描述或项目基本概况介绍、用途：检查对象：</w:t>
      </w:r>
      <w:r>
        <w:rPr>
          <w:rFonts w:hint="eastAsia" w:ascii="宋体" w:hAnsi="宋体" w:eastAsia="宋体" w:cs="宋体"/>
          <w:i w:val="0"/>
          <w:iCs w:val="0"/>
          <w:color w:val="auto"/>
          <w:sz w:val="24"/>
          <w:szCs w:val="24"/>
          <w:highlight w:val="none"/>
          <w:lang w:eastAsia="zh-CN"/>
        </w:rPr>
        <w:t>来宾市市本级、兴宾区、合山市</w:t>
      </w:r>
      <w:r>
        <w:rPr>
          <w:rFonts w:hint="eastAsia" w:ascii="宋体" w:hAnsi="宋体" w:eastAsia="宋体" w:cs="宋体"/>
          <w:i w:val="0"/>
          <w:iCs w:val="0"/>
          <w:color w:val="auto"/>
          <w:sz w:val="24"/>
          <w:szCs w:val="24"/>
          <w:highlight w:val="none"/>
        </w:rPr>
        <w:t>所有签订医保服务协议的定点医疗机构（含医院、社区卫生服务中心、诊所等）及定点零售药店</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具体数量</w:t>
      </w:r>
      <w:r>
        <w:rPr>
          <w:rFonts w:hint="eastAsia" w:ascii="宋体" w:hAnsi="宋体" w:eastAsia="宋体" w:cs="宋体"/>
          <w:i w:val="0"/>
          <w:iCs w:val="0"/>
          <w:color w:val="auto"/>
          <w:sz w:val="24"/>
          <w:szCs w:val="24"/>
          <w:highlight w:val="none"/>
          <w:lang w:val="en-US" w:eastAsia="zh-CN"/>
        </w:rPr>
        <w:t>以采购人提供的实际数量为准</w:t>
      </w:r>
      <w:r>
        <w:rPr>
          <w:rFonts w:hint="eastAsia" w:ascii="宋体" w:hAnsi="宋体" w:eastAsia="宋体" w:cs="宋体"/>
          <w:i w:val="0"/>
          <w:iCs w:val="0"/>
          <w:color w:val="auto"/>
          <w:sz w:val="24"/>
          <w:szCs w:val="24"/>
          <w:highlight w:val="none"/>
        </w:rPr>
        <w:t>。如需进一步了解详细内容，具体内容详见磋商文件。</w:t>
      </w:r>
    </w:p>
    <w:p w14:paraId="7A41D602">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合同履约期限：</w:t>
      </w:r>
      <w:r>
        <w:rPr>
          <w:rFonts w:hint="eastAsia" w:ascii="宋体" w:hAnsi="宋体" w:eastAsia="宋体" w:cs="宋体"/>
          <w:i w:val="0"/>
          <w:iCs w:val="0"/>
          <w:color w:val="auto"/>
          <w:sz w:val="24"/>
          <w:szCs w:val="24"/>
          <w:highlight w:val="none"/>
          <w:lang w:eastAsia="zh-CN"/>
        </w:rPr>
        <w:t>于</w:t>
      </w:r>
      <w:r>
        <w:rPr>
          <w:rFonts w:hint="eastAsia" w:ascii="宋体" w:hAnsi="宋体" w:eastAsia="宋体" w:cs="宋体"/>
          <w:i w:val="0"/>
          <w:iCs w:val="0"/>
          <w:color w:val="auto"/>
          <w:sz w:val="24"/>
          <w:szCs w:val="24"/>
          <w:highlight w:val="none"/>
        </w:rPr>
        <w:t>2026年11月30日前完成全部现场</w:t>
      </w:r>
      <w:r>
        <w:rPr>
          <w:rFonts w:hint="eastAsia" w:ascii="宋体" w:hAnsi="宋体" w:eastAsia="宋体" w:cs="宋体"/>
          <w:i w:val="0"/>
          <w:iCs w:val="0"/>
          <w:color w:val="auto"/>
          <w:sz w:val="24"/>
          <w:szCs w:val="24"/>
          <w:highlight w:val="none"/>
          <w:lang w:eastAsia="zh-CN"/>
        </w:rPr>
        <w:t>检查</w:t>
      </w:r>
      <w:r>
        <w:rPr>
          <w:rFonts w:hint="eastAsia" w:ascii="宋体" w:hAnsi="宋体" w:eastAsia="宋体" w:cs="宋体"/>
          <w:i w:val="0"/>
          <w:iCs w:val="0"/>
          <w:color w:val="auto"/>
          <w:sz w:val="24"/>
          <w:szCs w:val="24"/>
          <w:highlight w:val="none"/>
        </w:rPr>
        <w:t>任务，并向来宾市医疗保险服务中心提交相关</w:t>
      </w:r>
      <w:r>
        <w:rPr>
          <w:rFonts w:hint="eastAsia" w:ascii="宋体" w:hAnsi="宋体" w:eastAsia="宋体" w:cs="宋体"/>
          <w:i w:val="0"/>
          <w:iCs w:val="0"/>
          <w:color w:val="auto"/>
          <w:sz w:val="24"/>
          <w:szCs w:val="24"/>
          <w:highlight w:val="none"/>
          <w:lang w:eastAsia="zh-CN"/>
        </w:rPr>
        <w:t>检查</w:t>
      </w:r>
      <w:r>
        <w:rPr>
          <w:rFonts w:hint="eastAsia" w:ascii="宋体" w:hAnsi="宋体" w:eastAsia="宋体" w:cs="宋体"/>
          <w:i w:val="0"/>
          <w:iCs w:val="0"/>
          <w:color w:val="auto"/>
          <w:sz w:val="24"/>
          <w:szCs w:val="24"/>
          <w:highlight w:val="none"/>
        </w:rPr>
        <w:t>材料；</w:t>
      </w:r>
      <w:r>
        <w:rPr>
          <w:rFonts w:hint="eastAsia" w:ascii="宋体" w:hAnsi="宋体" w:eastAsia="宋体" w:cs="宋体"/>
          <w:i w:val="0"/>
          <w:iCs w:val="0"/>
          <w:color w:val="auto"/>
          <w:sz w:val="24"/>
          <w:szCs w:val="24"/>
          <w:highlight w:val="none"/>
          <w:lang w:eastAsia="zh-CN"/>
        </w:rPr>
        <w:t>全程做好被检查机构的申诉对接、答疑应诉工作并</w:t>
      </w:r>
      <w:r>
        <w:rPr>
          <w:rFonts w:hint="eastAsia" w:ascii="宋体" w:hAnsi="宋体" w:eastAsia="宋体" w:cs="宋体"/>
          <w:i w:val="0"/>
          <w:iCs w:val="0"/>
          <w:color w:val="auto"/>
          <w:sz w:val="24"/>
          <w:szCs w:val="24"/>
          <w:highlight w:val="none"/>
        </w:rPr>
        <w:t>于2026年12月10日前配合完成全部后期</w:t>
      </w:r>
      <w:r>
        <w:rPr>
          <w:rFonts w:hint="eastAsia" w:ascii="宋体" w:hAnsi="宋体" w:eastAsia="宋体" w:cs="宋体"/>
          <w:i w:val="0"/>
          <w:iCs w:val="0"/>
          <w:color w:val="auto"/>
          <w:sz w:val="24"/>
          <w:szCs w:val="24"/>
          <w:highlight w:val="none"/>
          <w:lang w:eastAsia="zh-CN"/>
        </w:rPr>
        <w:t>检查</w:t>
      </w:r>
      <w:r>
        <w:rPr>
          <w:rFonts w:hint="eastAsia" w:ascii="宋体" w:hAnsi="宋体" w:eastAsia="宋体" w:cs="宋体"/>
          <w:i w:val="0"/>
          <w:iCs w:val="0"/>
          <w:color w:val="auto"/>
          <w:sz w:val="24"/>
          <w:szCs w:val="24"/>
          <w:highlight w:val="none"/>
        </w:rPr>
        <w:t>确认工作。服务期内，供应商必须每周向来宾市医疗保险服务中心汇报1次</w:t>
      </w:r>
      <w:r>
        <w:rPr>
          <w:rFonts w:hint="eastAsia" w:ascii="宋体" w:hAnsi="宋体" w:cs="宋体"/>
          <w:i w:val="0"/>
          <w:iCs w:val="0"/>
          <w:color w:val="auto"/>
          <w:sz w:val="24"/>
          <w:szCs w:val="24"/>
          <w:highlight w:val="none"/>
          <w:lang w:eastAsia="zh-CN"/>
        </w:rPr>
        <w:t>检查</w:t>
      </w:r>
      <w:r>
        <w:rPr>
          <w:rFonts w:hint="eastAsia" w:ascii="宋体" w:hAnsi="宋体" w:eastAsia="宋体" w:cs="宋体"/>
          <w:i w:val="0"/>
          <w:iCs w:val="0"/>
          <w:color w:val="auto"/>
          <w:sz w:val="24"/>
          <w:szCs w:val="24"/>
          <w:highlight w:val="none"/>
        </w:rPr>
        <w:t>任务完成情况，直至全部任务完成。</w:t>
      </w:r>
    </w:p>
    <w:p w14:paraId="65C133EA">
      <w:pPr>
        <w:keepNext w:val="0"/>
        <w:keepLines w:val="0"/>
        <w:pageBreakBefore w:val="0"/>
        <w:widowControl w:val="0"/>
        <w:kinsoku/>
        <w:wordWrap/>
        <w:overflowPunct/>
        <w:topLinePunct w:val="0"/>
        <w:autoSpaceDE/>
        <w:autoSpaceDN/>
        <w:bidi w:val="0"/>
        <w:adjustRightInd/>
        <w:snapToGrid/>
        <w:spacing w:line="440" w:lineRule="exact"/>
        <w:ind w:left="0" w:right="0"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本标项（</w:t>
      </w:r>
      <w:r>
        <w:rPr>
          <w:rFonts w:hint="eastAsia" w:ascii="宋体" w:hAnsi="宋体" w:eastAsia="宋体" w:cs="宋体"/>
          <w:i w:val="0"/>
          <w:iCs w:val="0"/>
          <w:color w:val="auto"/>
          <w:sz w:val="24"/>
          <w:szCs w:val="24"/>
          <w:highlight w:val="none"/>
          <w:lang w:val="en-US" w:eastAsia="zh-CN"/>
        </w:rPr>
        <w:t>否</w:t>
      </w:r>
      <w:r>
        <w:rPr>
          <w:rFonts w:hint="eastAsia" w:ascii="宋体" w:hAnsi="宋体" w:eastAsia="宋体" w:cs="宋体"/>
          <w:i w:val="0"/>
          <w:iCs w:val="0"/>
          <w:color w:val="auto"/>
          <w:sz w:val="24"/>
          <w:szCs w:val="24"/>
          <w:highlight w:val="none"/>
        </w:rPr>
        <w:t>）接受联合体</w:t>
      </w:r>
      <w:r>
        <w:rPr>
          <w:rFonts w:hint="eastAsia" w:ascii="宋体" w:hAnsi="宋体" w:eastAsia="宋体" w:cs="宋体"/>
          <w:i w:val="0"/>
          <w:iCs w:val="0"/>
          <w:color w:val="auto"/>
          <w:sz w:val="24"/>
          <w:szCs w:val="24"/>
          <w:highlight w:val="none"/>
          <w:lang w:eastAsia="zh-CN"/>
        </w:rPr>
        <w:t>。</w:t>
      </w:r>
    </w:p>
    <w:p w14:paraId="387A0B88">
      <w:pPr>
        <w:pageBreakBefore w:val="0"/>
        <w:widowControl w:val="0"/>
        <w:kinsoku/>
        <w:wordWrap/>
        <w:overflowPunct/>
        <w:topLinePunct w:val="0"/>
        <w:autoSpaceDE/>
        <w:autoSpaceDN/>
        <w:bidi w:val="0"/>
        <w:spacing w:line="440" w:lineRule="exact"/>
        <w:ind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lang w:val="en-US" w:eastAsia="zh-CN"/>
        </w:rPr>
        <w:t>备注：本项目划分2个分标，</w:t>
      </w:r>
      <w:r>
        <w:rPr>
          <w:rFonts w:hint="eastAsia" w:ascii="宋体" w:hAnsi="宋体" w:eastAsia="宋体" w:cs="宋体"/>
          <w:b/>
          <w:bCs/>
          <w:i w:val="0"/>
          <w:iCs w:val="0"/>
          <w:color w:val="auto"/>
          <w:sz w:val="24"/>
          <w:szCs w:val="24"/>
          <w:highlight w:val="none"/>
        </w:rPr>
        <w:t>供应商可参与全部分标</w:t>
      </w:r>
      <w:r>
        <w:rPr>
          <w:rFonts w:hint="eastAsia" w:ascii="宋体" w:hAnsi="宋体" w:eastAsia="宋体" w:cs="宋体"/>
          <w:b/>
          <w:bCs/>
          <w:i w:val="0"/>
          <w:iCs w:val="0"/>
          <w:color w:val="auto"/>
          <w:sz w:val="24"/>
          <w:szCs w:val="24"/>
          <w:highlight w:val="none"/>
          <w:lang w:val="en-US" w:eastAsia="zh-CN"/>
        </w:rPr>
        <w:t>磋商</w:t>
      </w:r>
      <w:r>
        <w:rPr>
          <w:rFonts w:hint="eastAsia" w:ascii="宋体" w:hAnsi="宋体" w:eastAsia="宋体" w:cs="宋体"/>
          <w:b/>
          <w:bCs/>
          <w:i w:val="0"/>
          <w:iCs w:val="0"/>
          <w:color w:val="auto"/>
          <w:sz w:val="24"/>
          <w:szCs w:val="24"/>
          <w:highlight w:val="none"/>
        </w:rPr>
        <w:t>及对应评审，但同一供应商最多仅能</w:t>
      </w:r>
      <w:r>
        <w:rPr>
          <w:rFonts w:hint="eastAsia" w:ascii="宋体" w:hAnsi="宋体" w:eastAsia="宋体" w:cs="宋体"/>
          <w:b/>
          <w:bCs/>
          <w:i w:val="0"/>
          <w:iCs w:val="0"/>
          <w:color w:val="auto"/>
          <w:sz w:val="24"/>
          <w:szCs w:val="24"/>
          <w:highlight w:val="none"/>
          <w:lang w:val="en-US" w:eastAsia="zh-CN"/>
        </w:rPr>
        <w:t>成交</w:t>
      </w:r>
      <w:r>
        <w:rPr>
          <w:rFonts w:hint="eastAsia" w:ascii="宋体" w:hAnsi="宋体" w:eastAsia="宋体" w:cs="宋体"/>
          <w:b/>
          <w:bCs/>
          <w:i w:val="0"/>
          <w:iCs w:val="0"/>
          <w:color w:val="auto"/>
          <w:sz w:val="24"/>
          <w:szCs w:val="24"/>
          <w:highlight w:val="none"/>
        </w:rPr>
        <w:t>其中1个分标；</w:t>
      </w:r>
      <w:r>
        <w:rPr>
          <w:rFonts w:hint="eastAsia" w:ascii="宋体" w:hAnsi="宋体" w:cs="宋体"/>
          <w:b/>
          <w:bCs/>
          <w:i w:val="0"/>
          <w:iCs w:val="0"/>
          <w:color w:val="auto"/>
          <w:sz w:val="24"/>
          <w:szCs w:val="24"/>
          <w:highlight w:val="none"/>
          <w:lang w:val="en-US" w:eastAsia="zh-CN"/>
        </w:rPr>
        <w:t>评标</w:t>
      </w:r>
      <w:r>
        <w:rPr>
          <w:rFonts w:hint="eastAsia" w:ascii="宋体" w:hAnsi="宋体" w:eastAsia="宋体" w:cs="宋体"/>
          <w:b/>
          <w:bCs/>
          <w:i w:val="0"/>
          <w:iCs w:val="0"/>
          <w:color w:val="auto"/>
          <w:sz w:val="24"/>
          <w:szCs w:val="24"/>
          <w:highlight w:val="none"/>
        </w:rPr>
        <w:t>评审依次按</w:t>
      </w:r>
      <w:r>
        <w:rPr>
          <w:rFonts w:hint="eastAsia" w:ascii="宋体" w:hAnsi="宋体" w:cs="宋体"/>
          <w:b/>
          <w:bCs/>
          <w:i w:val="0"/>
          <w:iCs w:val="0"/>
          <w:color w:val="auto"/>
          <w:sz w:val="24"/>
          <w:szCs w:val="24"/>
          <w:highlight w:val="none"/>
          <w:lang w:val="en-US" w:eastAsia="zh-CN"/>
        </w:rPr>
        <w:t>分标1</w:t>
      </w:r>
      <w:r>
        <w:rPr>
          <w:rFonts w:hint="eastAsia" w:ascii="宋体" w:hAnsi="宋体" w:eastAsia="宋体" w:cs="宋体"/>
          <w:b/>
          <w:bCs/>
          <w:i w:val="0"/>
          <w:iCs w:val="0"/>
          <w:color w:val="auto"/>
          <w:sz w:val="24"/>
          <w:szCs w:val="24"/>
          <w:highlight w:val="none"/>
        </w:rPr>
        <w:t>、</w:t>
      </w:r>
      <w:r>
        <w:rPr>
          <w:rFonts w:hint="eastAsia" w:ascii="宋体" w:hAnsi="宋体" w:cs="宋体"/>
          <w:b/>
          <w:bCs/>
          <w:i w:val="0"/>
          <w:iCs w:val="0"/>
          <w:color w:val="auto"/>
          <w:sz w:val="24"/>
          <w:szCs w:val="24"/>
          <w:highlight w:val="none"/>
          <w:lang w:val="en-US" w:eastAsia="zh-CN"/>
        </w:rPr>
        <w:t>分标2</w:t>
      </w:r>
      <w:r>
        <w:rPr>
          <w:rFonts w:hint="eastAsia" w:ascii="宋体" w:hAnsi="宋体" w:eastAsia="宋体" w:cs="宋体"/>
          <w:b/>
          <w:bCs/>
          <w:i w:val="0"/>
          <w:iCs w:val="0"/>
          <w:color w:val="auto"/>
          <w:sz w:val="24"/>
          <w:szCs w:val="24"/>
          <w:highlight w:val="none"/>
        </w:rPr>
        <w:t>顺序开展。</w:t>
      </w:r>
    </w:p>
    <w:p w14:paraId="4ECC3BC9">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9" w:name="_Toc44229879"/>
      <w:bookmarkStart w:id="10" w:name="_Toc35393630"/>
      <w:bookmarkStart w:id="11" w:name="_Toc71365906"/>
      <w:bookmarkStart w:id="12" w:name="_Toc28359013"/>
      <w:bookmarkStart w:id="13" w:name="_Toc35393799"/>
      <w:bookmarkStart w:id="14" w:name="_Toc28359090"/>
      <w:r>
        <w:rPr>
          <w:rFonts w:hint="eastAsia" w:ascii="宋体" w:hAnsi="宋体" w:eastAsia="宋体" w:cs="宋体"/>
          <w:b/>
          <w:i w:val="0"/>
          <w:iCs w:val="0"/>
          <w:color w:val="auto"/>
          <w:sz w:val="24"/>
          <w:szCs w:val="24"/>
          <w:highlight w:val="none"/>
        </w:rPr>
        <w:t>二、申请人的资格条件：</w:t>
      </w:r>
      <w:bookmarkEnd w:id="7"/>
      <w:bookmarkEnd w:id="8"/>
      <w:bookmarkEnd w:id="9"/>
      <w:bookmarkEnd w:id="10"/>
      <w:bookmarkEnd w:id="11"/>
      <w:bookmarkEnd w:id="12"/>
    </w:p>
    <w:p w14:paraId="35AB118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i w:val="0"/>
          <w:iCs w:val="0"/>
          <w:color w:val="auto"/>
          <w:sz w:val="24"/>
          <w:szCs w:val="24"/>
          <w:highlight w:val="none"/>
        </w:rPr>
      </w:pPr>
      <w:bookmarkStart w:id="15" w:name="_Toc28359014"/>
      <w:bookmarkStart w:id="16" w:name="_Toc28359091"/>
      <w:bookmarkStart w:id="17" w:name="_Toc35393631"/>
      <w:bookmarkStart w:id="18" w:name="_Toc35393800"/>
      <w:bookmarkStart w:id="19" w:name="_Toc44229880"/>
      <w:r>
        <w:rPr>
          <w:rFonts w:hint="eastAsia" w:ascii="宋体" w:hAnsi="宋体" w:eastAsia="宋体" w:cs="宋体"/>
          <w:bCs/>
          <w:i w:val="0"/>
          <w:iCs w:val="0"/>
          <w:color w:val="auto"/>
          <w:sz w:val="24"/>
          <w:szCs w:val="24"/>
          <w:highlight w:val="none"/>
        </w:rPr>
        <w:t>1.满足《中华人民共和国政府采购法》第二十二条规定；</w:t>
      </w:r>
    </w:p>
    <w:p w14:paraId="592B970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Cs/>
          <w:i w:val="0"/>
          <w:iCs w:val="0"/>
          <w:color w:val="auto"/>
          <w:sz w:val="24"/>
          <w:szCs w:val="24"/>
          <w:highlight w:val="none"/>
          <w:lang w:val="en-US"/>
        </w:rPr>
      </w:pPr>
      <w:r>
        <w:rPr>
          <w:rFonts w:hint="eastAsia" w:ascii="宋体" w:hAnsi="宋体" w:eastAsia="宋体" w:cs="宋体"/>
          <w:bCs/>
          <w:i w:val="0"/>
          <w:iCs w:val="0"/>
          <w:color w:val="auto"/>
          <w:sz w:val="24"/>
          <w:szCs w:val="24"/>
          <w:highlight w:val="none"/>
        </w:rPr>
        <w:t>2.落实政府采购政策需满足的资格要求：</w:t>
      </w:r>
      <w:r>
        <w:rPr>
          <w:rFonts w:hint="eastAsia" w:ascii="宋体" w:hAnsi="宋体" w:cs="宋体"/>
          <w:bCs/>
          <w:i w:val="0"/>
          <w:iCs w:val="0"/>
          <w:color w:val="auto"/>
          <w:sz w:val="24"/>
          <w:szCs w:val="24"/>
          <w:highlight w:val="none"/>
          <w:lang w:val="en-US" w:eastAsia="zh-CN"/>
        </w:rPr>
        <w:t>分标1</w:t>
      </w:r>
      <w:r>
        <w:rPr>
          <w:rFonts w:hint="eastAsia" w:ascii="宋体" w:hAnsi="宋体" w:eastAsia="宋体" w:cs="宋体"/>
          <w:bCs/>
          <w:i w:val="0"/>
          <w:iCs w:val="0"/>
          <w:color w:val="auto"/>
          <w:sz w:val="24"/>
          <w:szCs w:val="24"/>
          <w:highlight w:val="none"/>
          <w:lang w:val="en-US" w:eastAsia="zh-CN"/>
        </w:rPr>
        <w:t>：</w:t>
      </w:r>
      <w:r>
        <w:rPr>
          <w:rFonts w:hint="eastAsia" w:ascii="宋体" w:hAnsi="宋体" w:eastAsia="宋体" w:cs="宋体"/>
          <w:bCs/>
          <w:i w:val="0"/>
          <w:iCs w:val="0"/>
          <w:color w:val="auto"/>
          <w:sz w:val="24"/>
          <w:szCs w:val="24"/>
          <w:highlight w:val="none"/>
          <w:lang w:eastAsia="zh-CN"/>
        </w:rPr>
        <w:t>专门面向中小企业进行采购，承接服务的供应商应为中型或小型或微型企业、监狱企业、残疾人福利性单位，并根据《政府采购促进中小企业发展管理办法》（财库[2020]46号）中《中小企业声明函》格式要求填报中小企业声明函或提供残疾人福利性单位声明函或监狱企业证明材料，否则磋商无效；</w:t>
      </w:r>
      <w:r>
        <w:rPr>
          <w:rFonts w:hint="eastAsia" w:ascii="宋体" w:hAnsi="宋体" w:cs="宋体"/>
          <w:bCs/>
          <w:i w:val="0"/>
          <w:iCs w:val="0"/>
          <w:color w:val="auto"/>
          <w:sz w:val="24"/>
          <w:szCs w:val="24"/>
          <w:highlight w:val="none"/>
          <w:lang w:val="en-US" w:eastAsia="zh-CN"/>
        </w:rPr>
        <w:t>分标2</w:t>
      </w:r>
      <w:r>
        <w:rPr>
          <w:rFonts w:hint="eastAsia" w:ascii="宋体" w:hAnsi="宋体" w:eastAsia="宋体" w:cs="宋体"/>
          <w:bCs/>
          <w:i w:val="0"/>
          <w:iCs w:val="0"/>
          <w:color w:val="auto"/>
          <w:sz w:val="24"/>
          <w:szCs w:val="24"/>
          <w:highlight w:val="none"/>
          <w:lang w:val="en-US" w:eastAsia="zh-CN"/>
        </w:rPr>
        <w:t>：</w:t>
      </w:r>
      <w:r>
        <w:rPr>
          <w:rFonts w:hint="eastAsia" w:ascii="宋体" w:hAnsi="宋体" w:eastAsia="宋体" w:cs="宋体"/>
          <w:bCs/>
          <w:i w:val="0"/>
          <w:iCs w:val="0"/>
          <w:color w:val="auto"/>
          <w:sz w:val="24"/>
          <w:szCs w:val="24"/>
          <w:highlight w:val="none"/>
          <w:lang w:eastAsia="zh-CN"/>
        </w:rPr>
        <w:t>专门面向中小企业进行采购，承接服务的供应商应为中型或小型或微型企业、监狱企业、残疾人福利性单位，并根据《政府采购促进中小企业发展管理办法》（财库[2020]46号）中《中小企业声明函》格式要求填报中小企业声明函或提供残疾人福利性单位声明函或监狱企业证明材料，否则磋商无效；</w:t>
      </w:r>
    </w:p>
    <w:p w14:paraId="3F50FCF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Cs/>
          <w:i w:val="0"/>
          <w:iCs w:val="0"/>
          <w:color w:val="auto"/>
          <w:sz w:val="24"/>
          <w:szCs w:val="24"/>
          <w:highlight w:val="none"/>
          <w:lang w:val="en-US" w:eastAsia="zh-CN"/>
        </w:rPr>
      </w:pPr>
      <w:r>
        <w:rPr>
          <w:rFonts w:hint="eastAsia" w:ascii="宋体" w:hAnsi="宋体" w:eastAsia="宋体" w:cs="宋体"/>
          <w:bCs/>
          <w:i w:val="0"/>
          <w:iCs w:val="0"/>
          <w:color w:val="auto"/>
          <w:sz w:val="24"/>
          <w:szCs w:val="24"/>
          <w:highlight w:val="none"/>
        </w:rPr>
        <w:t>3.本项目的特定资格要求：</w:t>
      </w:r>
      <w:r>
        <w:rPr>
          <w:rFonts w:hint="eastAsia" w:ascii="宋体" w:hAnsi="宋体" w:eastAsia="宋体" w:cs="宋体"/>
          <w:bCs/>
          <w:i w:val="0"/>
          <w:iCs w:val="0"/>
          <w:color w:val="auto"/>
          <w:sz w:val="24"/>
          <w:szCs w:val="24"/>
          <w:highlight w:val="none"/>
          <w:lang w:val="en-US" w:eastAsia="zh-CN"/>
        </w:rPr>
        <w:t>无</w:t>
      </w:r>
    </w:p>
    <w:p w14:paraId="3D42C2A0">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20" w:name="_Toc71365907"/>
      <w:r>
        <w:rPr>
          <w:rFonts w:hint="eastAsia" w:ascii="宋体" w:hAnsi="宋体" w:eastAsia="宋体" w:cs="宋体"/>
          <w:b/>
          <w:i w:val="0"/>
          <w:iCs w:val="0"/>
          <w:color w:val="auto"/>
          <w:sz w:val="24"/>
          <w:szCs w:val="24"/>
          <w:highlight w:val="none"/>
        </w:rPr>
        <w:t>三、获取竞争性磋商文件</w:t>
      </w:r>
      <w:bookmarkEnd w:id="13"/>
      <w:bookmarkEnd w:id="14"/>
      <w:bookmarkEnd w:id="15"/>
      <w:bookmarkEnd w:id="16"/>
      <w:bookmarkEnd w:id="17"/>
      <w:bookmarkEnd w:id="18"/>
    </w:p>
    <w:p w14:paraId="4470C9ED">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4"/>
          <w:szCs w:val="24"/>
          <w:highlight w:val="none"/>
        </w:rPr>
      </w:pPr>
      <w:bookmarkStart w:id="21" w:name="_Toc28359092"/>
      <w:bookmarkStart w:id="22" w:name="_Toc35393801"/>
      <w:bookmarkStart w:id="23" w:name="_Toc28359015"/>
      <w:bookmarkStart w:id="24" w:name="_Toc44229881"/>
      <w:bookmarkStart w:id="25" w:name="_Toc35393632"/>
      <w:r>
        <w:rPr>
          <w:rFonts w:hint="eastAsia" w:ascii="宋体" w:hAnsi="宋体" w:eastAsia="宋体" w:cs="宋体"/>
          <w:bCs/>
          <w:i w:val="0"/>
          <w:iCs w:val="0"/>
          <w:color w:val="auto"/>
          <w:sz w:val="24"/>
          <w:szCs w:val="24"/>
          <w:highlight w:val="none"/>
        </w:rPr>
        <w:t>时间：</w:t>
      </w:r>
      <w:r>
        <w:rPr>
          <w:rFonts w:hint="eastAsia" w:ascii="宋体" w:hAnsi="宋体" w:eastAsia="宋体" w:cs="宋体"/>
          <w:bCs/>
          <w:i w:val="0"/>
          <w:iCs w:val="0"/>
          <w:color w:val="auto"/>
          <w:sz w:val="24"/>
          <w:szCs w:val="24"/>
          <w:highlight w:val="none"/>
          <w:u w:val="single"/>
        </w:rPr>
        <w:t>202</w:t>
      </w:r>
      <w:r>
        <w:rPr>
          <w:rFonts w:hint="eastAsia" w:ascii="宋体" w:hAnsi="宋体" w:eastAsia="宋体" w:cs="宋体"/>
          <w:bCs/>
          <w:i w:val="0"/>
          <w:iCs w:val="0"/>
          <w:color w:val="auto"/>
          <w:sz w:val="24"/>
          <w:szCs w:val="24"/>
          <w:highlight w:val="none"/>
          <w:u w:val="single"/>
          <w:lang w:val="en-US" w:eastAsia="zh-CN"/>
        </w:rPr>
        <w:t>6</w:t>
      </w:r>
      <w:r>
        <w:rPr>
          <w:rFonts w:hint="eastAsia" w:ascii="宋体" w:hAnsi="宋体" w:eastAsia="宋体" w:cs="宋体"/>
          <w:bCs/>
          <w:i w:val="0"/>
          <w:iCs w:val="0"/>
          <w:color w:val="auto"/>
          <w:sz w:val="24"/>
          <w:szCs w:val="24"/>
          <w:highlight w:val="none"/>
          <w:u w:val="single"/>
        </w:rPr>
        <w:t>年</w:t>
      </w:r>
      <w:r>
        <w:rPr>
          <w:rFonts w:hint="eastAsia" w:ascii="宋体" w:hAnsi="宋体" w:cs="宋体"/>
          <w:bCs/>
          <w:i w:val="0"/>
          <w:iCs w:val="0"/>
          <w:color w:val="auto"/>
          <w:sz w:val="24"/>
          <w:szCs w:val="24"/>
          <w:highlight w:val="none"/>
          <w:u w:val="single"/>
          <w:lang w:val="en-US" w:eastAsia="zh-CN"/>
        </w:rPr>
        <w:t>9</w:t>
      </w:r>
      <w:r>
        <w:rPr>
          <w:rFonts w:hint="eastAsia" w:ascii="宋体" w:hAnsi="宋体" w:eastAsia="宋体" w:cs="宋体"/>
          <w:bCs/>
          <w:i w:val="0"/>
          <w:iCs w:val="0"/>
          <w:color w:val="auto"/>
          <w:sz w:val="24"/>
          <w:szCs w:val="24"/>
          <w:highlight w:val="none"/>
          <w:u w:val="single"/>
        </w:rPr>
        <w:t>月</w:t>
      </w:r>
      <w:r>
        <w:rPr>
          <w:rFonts w:hint="eastAsia" w:ascii="宋体" w:hAnsi="宋体" w:cs="宋体"/>
          <w:bCs/>
          <w:i w:val="0"/>
          <w:iCs w:val="0"/>
          <w:color w:val="auto"/>
          <w:sz w:val="24"/>
          <w:szCs w:val="24"/>
          <w:highlight w:val="none"/>
          <w:u w:val="single"/>
          <w:lang w:val="en-US" w:eastAsia="zh-CN"/>
        </w:rPr>
        <w:t>20</w:t>
      </w:r>
      <w:r>
        <w:rPr>
          <w:rFonts w:hint="eastAsia" w:ascii="宋体" w:hAnsi="宋体" w:eastAsia="宋体" w:cs="宋体"/>
          <w:bCs/>
          <w:i w:val="0"/>
          <w:iCs w:val="0"/>
          <w:color w:val="auto"/>
          <w:sz w:val="24"/>
          <w:szCs w:val="24"/>
          <w:highlight w:val="none"/>
          <w:u w:val="single"/>
        </w:rPr>
        <w:t>日</w:t>
      </w:r>
      <w:r>
        <w:rPr>
          <w:rFonts w:hint="eastAsia" w:ascii="宋体" w:hAnsi="宋体" w:eastAsia="宋体" w:cs="宋体"/>
          <w:bCs/>
          <w:i w:val="0"/>
          <w:iCs w:val="0"/>
          <w:color w:val="auto"/>
          <w:sz w:val="24"/>
          <w:szCs w:val="24"/>
          <w:highlight w:val="none"/>
        </w:rPr>
        <w:t>至</w:t>
      </w:r>
      <w:r>
        <w:rPr>
          <w:rFonts w:hint="eastAsia" w:ascii="宋体" w:hAnsi="宋体" w:eastAsia="宋体" w:cs="宋体"/>
          <w:bCs/>
          <w:i w:val="0"/>
          <w:iCs w:val="0"/>
          <w:color w:val="auto"/>
          <w:sz w:val="24"/>
          <w:szCs w:val="24"/>
          <w:highlight w:val="none"/>
          <w:u w:val="single"/>
        </w:rPr>
        <w:t>202</w:t>
      </w:r>
      <w:r>
        <w:rPr>
          <w:rFonts w:hint="eastAsia" w:ascii="宋体" w:hAnsi="宋体" w:eastAsia="宋体" w:cs="宋体"/>
          <w:bCs/>
          <w:i w:val="0"/>
          <w:iCs w:val="0"/>
          <w:color w:val="auto"/>
          <w:sz w:val="24"/>
          <w:szCs w:val="24"/>
          <w:highlight w:val="none"/>
          <w:u w:val="single"/>
          <w:lang w:val="en-US" w:eastAsia="zh-CN"/>
        </w:rPr>
        <w:t>6</w:t>
      </w:r>
      <w:r>
        <w:rPr>
          <w:rFonts w:hint="eastAsia" w:ascii="宋体" w:hAnsi="宋体" w:eastAsia="宋体" w:cs="宋体"/>
          <w:bCs/>
          <w:i w:val="0"/>
          <w:iCs w:val="0"/>
          <w:color w:val="auto"/>
          <w:sz w:val="24"/>
          <w:szCs w:val="24"/>
          <w:highlight w:val="none"/>
          <w:u w:val="single"/>
        </w:rPr>
        <w:t>年</w:t>
      </w:r>
      <w:r>
        <w:rPr>
          <w:rFonts w:hint="eastAsia" w:ascii="宋体" w:hAnsi="宋体" w:cs="宋体"/>
          <w:bCs/>
          <w:i w:val="0"/>
          <w:iCs w:val="0"/>
          <w:color w:val="auto"/>
          <w:sz w:val="24"/>
          <w:szCs w:val="24"/>
          <w:highlight w:val="none"/>
          <w:u w:val="single"/>
          <w:lang w:val="en-US" w:eastAsia="zh-CN"/>
        </w:rPr>
        <w:t>9</w:t>
      </w:r>
      <w:r>
        <w:rPr>
          <w:rFonts w:hint="eastAsia" w:ascii="宋体" w:hAnsi="宋体" w:eastAsia="宋体" w:cs="宋体"/>
          <w:bCs/>
          <w:i w:val="0"/>
          <w:iCs w:val="0"/>
          <w:color w:val="auto"/>
          <w:sz w:val="24"/>
          <w:szCs w:val="24"/>
          <w:highlight w:val="none"/>
          <w:u w:val="single"/>
        </w:rPr>
        <w:t>月</w:t>
      </w:r>
      <w:r>
        <w:rPr>
          <w:rFonts w:hint="eastAsia" w:ascii="宋体" w:hAnsi="宋体" w:cs="宋体"/>
          <w:bCs/>
          <w:i w:val="0"/>
          <w:iCs w:val="0"/>
          <w:color w:val="auto"/>
          <w:sz w:val="24"/>
          <w:szCs w:val="24"/>
          <w:highlight w:val="none"/>
          <w:u w:val="single"/>
          <w:lang w:val="en-US" w:eastAsia="zh-CN"/>
        </w:rPr>
        <w:t>29</w:t>
      </w:r>
      <w:r>
        <w:rPr>
          <w:rFonts w:hint="eastAsia" w:ascii="宋体" w:hAnsi="宋体" w:eastAsia="宋体" w:cs="宋体"/>
          <w:bCs/>
          <w:i w:val="0"/>
          <w:iCs w:val="0"/>
          <w:color w:val="auto"/>
          <w:sz w:val="24"/>
          <w:szCs w:val="24"/>
          <w:highlight w:val="none"/>
          <w:u w:val="single"/>
        </w:rPr>
        <w:t>日</w:t>
      </w:r>
      <w:r>
        <w:rPr>
          <w:rFonts w:hint="eastAsia" w:ascii="宋体" w:hAnsi="宋体" w:eastAsia="宋体" w:cs="宋体"/>
          <w:bCs/>
          <w:i w:val="0"/>
          <w:iCs w:val="0"/>
          <w:color w:val="auto"/>
          <w:sz w:val="24"/>
          <w:szCs w:val="24"/>
          <w:highlight w:val="none"/>
        </w:rPr>
        <w:t>，每天上午</w:t>
      </w:r>
      <w:r>
        <w:rPr>
          <w:rFonts w:hint="eastAsia" w:ascii="宋体" w:hAnsi="宋体" w:eastAsia="宋体" w:cs="宋体"/>
          <w:bCs/>
          <w:i w:val="0"/>
          <w:iCs w:val="0"/>
          <w:color w:val="auto"/>
          <w:sz w:val="24"/>
          <w:szCs w:val="24"/>
          <w:highlight w:val="none"/>
          <w:u w:val="single"/>
        </w:rPr>
        <w:t>8:00</w:t>
      </w:r>
      <w:r>
        <w:rPr>
          <w:rFonts w:hint="eastAsia" w:ascii="宋体" w:hAnsi="宋体" w:eastAsia="宋体" w:cs="宋体"/>
          <w:bCs/>
          <w:i w:val="0"/>
          <w:iCs w:val="0"/>
          <w:color w:val="auto"/>
          <w:sz w:val="24"/>
          <w:szCs w:val="24"/>
          <w:highlight w:val="none"/>
        </w:rPr>
        <w:t>至</w:t>
      </w:r>
      <w:r>
        <w:rPr>
          <w:rFonts w:hint="eastAsia" w:ascii="宋体" w:hAnsi="宋体" w:eastAsia="宋体" w:cs="宋体"/>
          <w:bCs/>
          <w:i w:val="0"/>
          <w:iCs w:val="0"/>
          <w:color w:val="auto"/>
          <w:sz w:val="24"/>
          <w:szCs w:val="24"/>
          <w:highlight w:val="none"/>
          <w:u w:val="single"/>
        </w:rPr>
        <w:t>12:00</w:t>
      </w:r>
      <w:r>
        <w:rPr>
          <w:rFonts w:hint="eastAsia" w:ascii="宋体" w:hAnsi="宋体" w:eastAsia="宋体" w:cs="宋体"/>
          <w:bCs/>
          <w:i w:val="0"/>
          <w:iCs w:val="0"/>
          <w:color w:val="auto"/>
          <w:sz w:val="24"/>
          <w:szCs w:val="24"/>
          <w:highlight w:val="none"/>
        </w:rPr>
        <w:t>，下午</w:t>
      </w:r>
      <w:r>
        <w:rPr>
          <w:rFonts w:hint="eastAsia" w:ascii="宋体" w:hAnsi="宋体" w:eastAsia="宋体" w:cs="宋体"/>
          <w:bCs/>
          <w:i w:val="0"/>
          <w:iCs w:val="0"/>
          <w:color w:val="auto"/>
          <w:sz w:val="24"/>
          <w:szCs w:val="24"/>
          <w:highlight w:val="none"/>
          <w:u w:val="single"/>
        </w:rPr>
        <w:t>3:00</w:t>
      </w:r>
      <w:r>
        <w:rPr>
          <w:rFonts w:hint="eastAsia" w:ascii="宋体" w:hAnsi="宋体" w:eastAsia="宋体" w:cs="宋体"/>
          <w:bCs/>
          <w:i w:val="0"/>
          <w:iCs w:val="0"/>
          <w:color w:val="auto"/>
          <w:sz w:val="24"/>
          <w:szCs w:val="24"/>
          <w:highlight w:val="none"/>
        </w:rPr>
        <w:t>至</w:t>
      </w:r>
      <w:r>
        <w:rPr>
          <w:rFonts w:hint="eastAsia" w:ascii="宋体" w:hAnsi="宋体" w:eastAsia="宋体" w:cs="宋体"/>
          <w:bCs/>
          <w:i w:val="0"/>
          <w:iCs w:val="0"/>
          <w:color w:val="auto"/>
          <w:sz w:val="24"/>
          <w:szCs w:val="24"/>
          <w:highlight w:val="none"/>
          <w:u w:val="single"/>
        </w:rPr>
        <w:t>6:00</w:t>
      </w:r>
      <w:r>
        <w:rPr>
          <w:rFonts w:hint="eastAsia" w:ascii="宋体" w:hAnsi="宋体" w:eastAsia="宋体" w:cs="宋体"/>
          <w:bCs/>
          <w:i w:val="0"/>
          <w:iCs w:val="0"/>
          <w:color w:val="auto"/>
          <w:sz w:val="24"/>
          <w:szCs w:val="24"/>
          <w:highlight w:val="none"/>
        </w:rPr>
        <w:t>（北京时间，法定节假日除外）</w:t>
      </w:r>
    </w:p>
    <w:p w14:paraId="2C65D6F9">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地点：https://www.gcy.zfcg.gxzf.gov.cn/广西政府采购云平台</w:t>
      </w:r>
    </w:p>
    <w:p w14:paraId="04DFA524">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4"/>
          <w:szCs w:val="24"/>
          <w:highlight w:val="none"/>
        </w:rPr>
      </w:pPr>
      <w:r>
        <w:rPr>
          <w:rFonts w:hint="eastAsia" w:ascii="宋体" w:hAnsi="宋体" w:eastAsia="宋体" w:cs="宋体"/>
          <w:bCs/>
          <w:i w:val="0"/>
          <w:iCs w:val="0"/>
          <w:color w:val="auto"/>
          <w:sz w:val="24"/>
          <w:szCs w:val="24"/>
          <w:highlight w:val="none"/>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eastAsia="宋体" w:cs="宋体"/>
          <w:i w:val="0"/>
          <w:iCs w:val="0"/>
          <w:color w:val="auto"/>
          <w:sz w:val="24"/>
          <w:szCs w:val="24"/>
          <w:highlight w:val="none"/>
        </w:rPr>
        <w:t>电子响应文件制作需要基于广西政府采购云平台获取的磋商文件编制，</w:t>
      </w:r>
      <w:r>
        <w:rPr>
          <w:rFonts w:hint="eastAsia" w:ascii="宋体" w:hAnsi="宋体" w:eastAsia="宋体" w:cs="宋体"/>
          <w:bCs/>
          <w:i w:val="0"/>
          <w:iCs w:val="0"/>
          <w:color w:val="auto"/>
          <w:sz w:val="24"/>
          <w:szCs w:val="24"/>
          <w:highlight w:val="none"/>
        </w:rPr>
        <w:t>通过其他方式获取磋商文件的，将有可能导致供应商无法在广西政府采购云平台编制及上传响应文件。</w:t>
      </w:r>
    </w:p>
    <w:p w14:paraId="251D38E0">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售价：</w:t>
      </w:r>
      <w:r>
        <w:rPr>
          <w:rFonts w:hint="eastAsia" w:ascii="宋体" w:hAnsi="宋体" w:eastAsia="宋体" w:cs="宋体"/>
          <w:i w:val="0"/>
          <w:iCs w:val="0"/>
          <w:color w:val="auto"/>
          <w:sz w:val="24"/>
          <w:szCs w:val="24"/>
          <w:highlight w:val="none"/>
          <w:u w:val="single"/>
        </w:rPr>
        <w:t>0</w:t>
      </w:r>
      <w:r>
        <w:rPr>
          <w:rFonts w:hint="eastAsia" w:ascii="宋体" w:hAnsi="宋体" w:eastAsia="宋体" w:cs="宋体"/>
          <w:i w:val="0"/>
          <w:iCs w:val="0"/>
          <w:color w:val="auto"/>
          <w:sz w:val="24"/>
          <w:szCs w:val="24"/>
          <w:highlight w:val="none"/>
        </w:rPr>
        <w:t>元</w:t>
      </w:r>
    </w:p>
    <w:p w14:paraId="262056CE">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26" w:name="_Toc71365908"/>
      <w:r>
        <w:rPr>
          <w:rFonts w:hint="eastAsia" w:ascii="宋体" w:hAnsi="宋体" w:eastAsia="宋体" w:cs="宋体"/>
          <w:b/>
          <w:i w:val="0"/>
          <w:iCs w:val="0"/>
          <w:color w:val="auto"/>
          <w:sz w:val="24"/>
          <w:szCs w:val="24"/>
          <w:highlight w:val="none"/>
        </w:rPr>
        <w:t>四、响应文件提交</w:t>
      </w:r>
      <w:bookmarkEnd w:id="19"/>
      <w:bookmarkEnd w:id="20"/>
      <w:bookmarkEnd w:id="21"/>
      <w:bookmarkEnd w:id="22"/>
      <w:bookmarkEnd w:id="23"/>
      <w:bookmarkEnd w:id="24"/>
    </w:p>
    <w:p w14:paraId="01D0E269">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4"/>
          <w:szCs w:val="24"/>
          <w:highlight w:val="none"/>
        </w:rPr>
      </w:pPr>
      <w:bookmarkStart w:id="27" w:name="_Toc35393802"/>
      <w:bookmarkStart w:id="28" w:name="_Toc35393633"/>
      <w:bookmarkStart w:id="29" w:name="_Toc44229882"/>
      <w:bookmarkStart w:id="30" w:name="_Toc28359016"/>
      <w:bookmarkStart w:id="31" w:name="_Toc28359093"/>
      <w:r>
        <w:rPr>
          <w:rFonts w:hint="eastAsia" w:ascii="宋体" w:hAnsi="宋体" w:eastAsia="宋体" w:cs="宋体"/>
          <w:i w:val="0"/>
          <w:iCs w:val="0"/>
          <w:color w:val="auto"/>
          <w:sz w:val="24"/>
          <w:szCs w:val="24"/>
          <w:highlight w:val="none"/>
        </w:rPr>
        <w:t>截止时间：</w:t>
      </w:r>
      <w:r>
        <w:rPr>
          <w:rFonts w:hint="eastAsia" w:ascii="宋体" w:hAnsi="宋体" w:eastAsia="宋体" w:cs="宋体"/>
          <w:bCs/>
          <w:i w:val="0"/>
          <w:iCs w:val="0"/>
          <w:color w:val="auto"/>
          <w:sz w:val="24"/>
          <w:szCs w:val="24"/>
          <w:highlight w:val="none"/>
          <w:u w:val="single"/>
        </w:rPr>
        <w:t>202</w:t>
      </w:r>
      <w:r>
        <w:rPr>
          <w:rFonts w:hint="eastAsia" w:ascii="宋体" w:hAnsi="宋体" w:eastAsia="宋体" w:cs="宋体"/>
          <w:bCs/>
          <w:i w:val="0"/>
          <w:iCs w:val="0"/>
          <w:color w:val="auto"/>
          <w:sz w:val="24"/>
          <w:szCs w:val="24"/>
          <w:highlight w:val="none"/>
          <w:u w:val="single"/>
          <w:lang w:val="en-US" w:eastAsia="zh-CN"/>
        </w:rPr>
        <w:t>6</w:t>
      </w:r>
      <w:r>
        <w:rPr>
          <w:rFonts w:hint="eastAsia" w:ascii="宋体" w:hAnsi="宋体" w:eastAsia="宋体" w:cs="宋体"/>
          <w:bCs/>
          <w:i w:val="0"/>
          <w:iCs w:val="0"/>
          <w:color w:val="auto"/>
          <w:sz w:val="24"/>
          <w:szCs w:val="24"/>
          <w:highlight w:val="none"/>
          <w:u w:val="single"/>
        </w:rPr>
        <w:t>年</w:t>
      </w:r>
      <w:r>
        <w:rPr>
          <w:rFonts w:hint="eastAsia" w:ascii="宋体" w:hAnsi="宋体" w:cs="宋体"/>
          <w:bCs/>
          <w:i w:val="0"/>
          <w:iCs w:val="0"/>
          <w:color w:val="auto"/>
          <w:sz w:val="24"/>
          <w:szCs w:val="24"/>
          <w:highlight w:val="none"/>
          <w:u w:val="single"/>
          <w:lang w:val="en-US" w:eastAsia="zh-CN"/>
        </w:rPr>
        <w:t>10</w:t>
      </w:r>
      <w:r>
        <w:rPr>
          <w:rFonts w:hint="eastAsia" w:ascii="宋体" w:hAnsi="宋体" w:eastAsia="宋体" w:cs="宋体"/>
          <w:bCs/>
          <w:i w:val="0"/>
          <w:iCs w:val="0"/>
          <w:color w:val="auto"/>
          <w:sz w:val="24"/>
          <w:szCs w:val="24"/>
          <w:highlight w:val="none"/>
          <w:u w:val="single"/>
        </w:rPr>
        <w:t>月</w:t>
      </w:r>
      <w:r>
        <w:rPr>
          <w:rFonts w:hint="eastAsia" w:ascii="宋体" w:hAnsi="宋体" w:cs="宋体"/>
          <w:bCs/>
          <w:i w:val="0"/>
          <w:iCs w:val="0"/>
          <w:color w:val="auto"/>
          <w:sz w:val="24"/>
          <w:szCs w:val="24"/>
          <w:highlight w:val="none"/>
          <w:u w:val="single"/>
          <w:lang w:val="en-US" w:eastAsia="zh-CN"/>
        </w:rPr>
        <w:t>08</w:t>
      </w:r>
      <w:r>
        <w:rPr>
          <w:rFonts w:hint="eastAsia" w:ascii="宋体" w:hAnsi="宋体" w:eastAsia="宋体" w:cs="宋体"/>
          <w:bCs/>
          <w:i w:val="0"/>
          <w:iCs w:val="0"/>
          <w:color w:val="auto"/>
          <w:sz w:val="24"/>
          <w:szCs w:val="24"/>
          <w:highlight w:val="none"/>
          <w:u w:val="single"/>
        </w:rPr>
        <w:t>日10时00分</w:t>
      </w:r>
      <w:r>
        <w:rPr>
          <w:rFonts w:hint="eastAsia" w:ascii="宋体" w:hAnsi="宋体" w:eastAsia="宋体" w:cs="宋体"/>
          <w:bCs/>
          <w:i w:val="0"/>
          <w:iCs w:val="0"/>
          <w:color w:val="auto"/>
          <w:sz w:val="24"/>
          <w:szCs w:val="24"/>
          <w:highlight w:val="none"/>
        </w:rPr>
        <w:t>（北京时间）</w:t>
      </w:r>
    </w:p>
    <w:p w14:paraId="33969A63">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4"/>
          <w:szCs w:val="24"/>
          <w:highlight w:val="none"/>
          <w:u w:val="single"/>
        </w:rPr>
      </w:pPr>
      <w:r>
        <w:rPr>
          <w:rFonts w:hint="eastAsia" w:ascii="宋体" w:hAnsi="宋体" w:eastAsia="宋体" w:cs="宋体"/>
          <w:i w:val="0"/>
          <w:iCs w:val="0"/>
          <w:color w:val="auto"/>
          <w:sz w:val="24"/>
          <w:szCs w:val="24"/>
          <w:highlight w:val="none"/>
        </w:rPr>
        <w:t>地点：https://www.gcy.zfcg.gxzf.gov.cn/广西政府采购云平台</w:t>
      </w:r>
    </w:p>
    <w:p w14:paraId="34636A57">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32" w:name="_Toc71365909"/>
      <w:r>
        <w:rPr>
          <w:rFonts w:hint="eastAsia" w:ascii="宋体" w:hAnsi="宋体" w:eastAsia="宋体" w:cs="宋体"/>
          <w:b/>
          <w:i w:val="0"/>
          <w:iCs w:val="0"/>
          <w:color w:val="auto"/>
          <w:sz w:val="24"/>
          <w:szCs w:val="24"/>
          <w:highlight w:val="none"/>
        </w:rPr>
        <w:t>五、开启</w:t>
      </w:r>
      <w:bookmarkEnd w:id="25"/>
      <w:bookmarkEnd w:id="26"/>
      <w:bookmarkEnd w:id="27"/>
      <w:bookmarkEnd w:id="28"/>
      <w:bookmarkEnd w:id="29"/>
      <w:bookmarkEnd w:id="30"/>
    </w:p>
    <w:p w14:paraId="49A6FEC3">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4"/>
          <w:szCs w:val="24"/>
          <w:highlight w:val="none"/>
          <w:u w:val="single"/>
        </w:rPr>
      </w:pPr>
      <w:r>
        <w:rPr>
          <w:rFonts w:hint="eastAsia" w:ascii="宋体" w:hAnsi="宋体" w:eastAsia="宋体" w:cs="宋体"/>
          <w:i w:val="0"/>
          <w:iCs w:val="0"/>
          <w:color w:val="auto"/>
          <w:sz w:val="24"/>
          <w:szCs w:val="24"/>
          <w:highlight w:val="none"/>
        </w:rPr>
        <w:t>1.时间：</w:t>
      </w:r>
      <w:r>
        <w:rPr>
          <w:rFonts w:hint="eastAsia" w:ascii="宋体" w:hAnsi="宋体" w:eastAsia="宋体" w:cs="宋体"/>
          <w:bCs/>
          <w:i w:val="0"/>
          <w:iCs w:val="0"/>
          <w:color w:val="auto"/>
          <w:sz w:val="24"/>
          <w:szCs w:val="24"/>
          <w:highlight w:val="none"/>
          <w:u w:val="single"/>
        </w:rPr>
        <w:t>202</w:t>
      </w:r>
      <w:r>
        <w:rPr>
          <w:rFonts w:hint="eastAsia" w:ascii="宋体" w:hAnsi="宋体" w:eastAsia="宋体" w:cs="宋体"/>
          <w:bCs/>
          <w:i w:val="0"/>
          <w:iCs w:val="0"/>
          <w:color w:val="auto"/>
          <w:sz w:val="24"/>
          <w:szCs w:val="24"/>
          <w:highlight w:val="none"/>
          <w:u w:val="single"/>
          <w:lang w:val="en-US" w:eastAsia="zh-CN"/>
        </w:rPr>
        <w:t>6</w:t>
      </w:r>
      <w:r>
        <w:rPr>
          <w:rFonts w:hint="eastAsia" w:ascii="宋体" w:hAnsi="宋体" w:eastAsia="宋体" w:cs="宋体"/>
          <w:bCs/>
          <w:i w:val="0"/>
          <w:iCs w:val="0"/>
          <w:color w:val="auto"/>
          <w:sz w:val="24"/>
          <w:szCs w:val="24"/>
          <w:highlight w:val="none"/>
          <w:u w:val="single"/>
        </w:rPr>
        <w:t>年</w:t>
      </w:r>
      <w:r>
        <w:rPr>
          <w:rFonts w:hint="eastAsia" w:ascii="宋体" w:hAnsi="宋体" w:cs="宋体"/>
          <w:bCs/>
          <w:i w:val="0"/>
          <w:iCs w:val="0"/>
          <w:color w:val="auto"/>
          <w:sz w:val="24"/>
          <w:szCs w:val="24"/>
          <w:highlight w:val="none"/>
          <w:u w:val="single"/>
          <w:lang w:val="en-US" w:eastAsia="zh-CN"/>
        </w:rPr>
        <w:t>10</w:t>
      </w:r>
      <w:r>
        <w:rPr>
          <w:rFonts w:hint="eastAsia" w:ascii="宋体" w:hAnsi="宋体" w:eastAsia="宋体" w:cs="宋体"/>
          <w:bCs/>
          <w:i w:val="0"/>
          <w:iCs w:val="0"/>
          <w:color w:val="auto"/>
          <w:sz w:val="24"/>
          <w:szCs w:val="24"/>
          <w:highlight w:val="none"/>
          <w:u w:val="single"/>
        </w:rPr>
        <w:t>月</w:t>
      </w:r>
      <w:r>
        <w:rPr>
          <w:rFonts w:hint="eastAsia" w:ascii="宋体" w:hAnsi="宋体" w:cs="宋体"/>
          <w:bCs/>
          <w:i w:val="0"/>
          <w:iCs w:val="0"/>
          <w:color w:val="auto"/>
          <w:sz w:val="24"/>
          <w:szCs w:val="24"/>
          <w:highlight w:val="none"/>
          <w:u w:val="single"/>
          <w:lang w:val="en-US" w:eastAsia="zh-CN"/>
        </w:rPr>
        <w:t>08</w:t>
      </w:r>
      <w:r>
        <w:rPr>
          <w:rFonts w:hint="eastAsia" w:ascii="宋体" w:hAnsi="宋体" w:eastAsia="宋体" w:cs="宋体"/>
          <w:bCs/>
          <w:i w:val="0"/>
          <w:iCs w:val="0"/>
          <w:color w:val="auto"/>
          <w:sz w:val="24"/>
          <w:szCs w:val="24"/>
          <w:highlight w:val="none"/>
          <w:u w:val="single"/>
        </w:rPr>
        <w:t>日10时00分</w:t>
      </w:r>
      <w:r>
        <w:rPr>
          <w:rFonts w:hint="eastAsia" w:ascii="宋体" w:hAnsi="宋体" w:eastAsia="宋体" w:cs="宋体"/>
          <w:bCs/>
          <w:i w:val="0"/>
          <w:iCs w:val="0"/>
          <w:color w:val="auto"/>
          <w:sz w:val="24"/>
          <w:szCs w:val="24"/>
          <w:highlight w:val="none"/>
        </w:rPr>
        <w:t>（北京时间）</w:t>
      </w:r>
    </w:p>
    <w:p w14:paraId="09106A58">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2.地点：广西壮族自治区来宾市兴宾区红水河大道331号开标室</w:t>
      </w:r>
      <w:r>
        <w:rPr>
          <w:rFonts w:hint="eastAsia" w:ascii="宋体" w:hAnsi="宋体" w:cs="宋体"/>
          <w:i w:val="0"/>
          <w:iCs w:val="0"/>
          <w:color w:val="auto"/>
          <w:sz w:val="24"/>
          <w:szCs w:val="24"/>
          <w:highlight w:val="none"/>
          <w:lang w:val="en-US" w:eastAsia="zh-CN"/>
        </w:rPr>
        <w:t>三</w:t>
      </w:r>
      <w:r>
        <w:rPr>
          <w:rFonts w:hint="eastAsia" w:ascii="宋体" w:hAnsi="宋体" w:eastAsia="宋体" w:cs="宋体"/>
          <w:i w:val="0"/>
          <w:iCs w:val="0"/>
          <w:color w:val="auto"/>
          <w:sz w:val="24"/>
          <w:szCs w:val="24"/>
          <w:highlight w:val="none"/>
        </w:rPr>
        <w:t>（开标位</w:t>
      </w:r>
      <w:r>
        <w:rPr>
          <w:rFonts w:hint="eastAsia" w:ascii="宋体" w:hAnsi="宋体" w:cs="宋体"/>
          <w:i w:val="0"/>
          <w:iCs w:val="0"/>
          <w:color w:val="auto"/>
          <w:sz w:val="24"/>
          <w:szCs w:val="24"/>
          <w:highlight w:val="none"/>
          <w:lang w:val="en-US" w:eastAsia="zh-CN"/>
        </w:rPr>
        <w:t>07</w:t>
      </w:r>
      <w:bookmarkStart w:id="106" w:name="_GoBack"/>
      <w:bookmarkEnd w:id="106"/>
      <w:r>
        <w:rPr>
          <w:rFonts w:hint="eastAsia" w:ascii="宋体" w:hAnsi="宋体" w:eastAsia="宋体" w:cs="宋体"/>
          <w:i w:val="0"/>
          <w:iCs w:val="0"/>
          <w:color w:val="auto"/>
          <w:sz w:val="24"/>
          <w:szCs w:val="24"/>
          <w:highlight w:val="none"/>
        </w:rPr>
        <w:t>）/广西政府采购云平台（https：//www.gcy.zfcg.gxzf.gov.cn/）</w:t>
      </w:r>
    </w:p>
    <w:p w14:paraId="5AA5D0BC">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33" w:name="_Toc28359094"/>
      <w:bookmarkStart w:id="34" w:name="_Toc28359017"/>
      <w:bookmarkStart w:id="35" w:name="_Toc71365910"/>
      <w:bookmarkStart w:id="36" w:name="_Toc44229883"/>
      <w:bookmarkStart w:id="37" w:name="_Toc35393634"/>
      <w:bookmarkStart w:id="38" w:name="_Toc35393803"/>
      <w:r>
        <w:rPr>
          <w:rFonts w:hint="eastAsia" w:ascii="宋体" w:hAnsi="宋体" w:eastAsia="宋体" w:cs="宋体"/>
          <w:b/>
          <w:i w:val="0"/>
          <w:iCs w:val="0"/>
          <w:color w:val="auto"/>
          <w:sz w:val="24"/>
          <w:szCs w:val="24"/>
          <w:highlight w:val="none"/>
        </w:rPr>
        <w:t>六、公告期限</w:t>
      </w:r>
      <w:bookmarkEnd w:id="31"/>
      <w:bookmarkEnd w:id="32"/>
      <w:bookmarkEnd w:id="33"/>
      <w:bookmarkEnd w:id="34"/>
      <w:bookmarkEnd w:id="35"/>
      <w:bookmarkEnd w:id="36"/>
    </w:p>
    <w:p w14:paraId="0CBAF5C1">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自本公告发布之日起3个工作日。</w:t>
      </w:r>
    </w:p>
    <w:p w14:paraId="6A63E88A">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bookmarkStart w:id="39" w:name="_Toc35393804"/>
      <w:bookmarkStart w:id="40" w:name="_Toc44229884"/>
      <w:bookmarkStart w:id="41" w:name="_Toc35393635"/>
      <w:bookmarkStart w:id="42" w:name="_Toc71365911"/>
      <w:r>
        <w:rPr>
          <w:rFonts w:hint="eastAsia" w:ascii="宋体" w:hAnsi="宋体" w:eastAsia="宋体" w:cs="宋体"/>
          <w:b/>
          <w:i w:val="0"/>
          <w:iCs w:val="0"/>
          <w:color w:val="auto"/>
          <w:sz w:val="24"/>
          <w:szCs w:val="24"/>
          <w:highlight w:val="none"/>
        </w:rPr>
        <w:t>七、其他补充事宜</w:t>
      </w:r>
      <w:bookmarkEnd w:id="37"/>
      <w:bookmarkEnd w:id="38"/>
      <w:bookmarkEnd w:id="39"/>
      <w:bookmarkEnd w:id="40"/>
    </w:p>
    <w:p w14:paraId="544953D9">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1.网上查询地址</w:t>
      </w:r>
    </w:p>
    <w:p w14:paraId="18A0C065">
      <w:pPr>
        <w:keepNext w:val="0"/>
        <w:keepLines w:val="0"/>
        <w:pageBreakBefore w:val="0"/>
        <w:kinsoku/>
        <w:wordWrap/>
        <w:overflowPunct/>
        <w:topLinePunct w:val="0"/>
        <w:autoSpaceDE/>
        <w:autoSpaceDN/>
        <w:bidi w:val="0"/>
        <w:adjustRightInd/>
        <w:snapToGrid/>
        <w:spacing w:line="440" w:lineRule="exact"/>
        <w:ind w:firstLine="646"/>
        <w:textAlignment w:val="auto"/>
        <w:rPr>
          <w:rFonts w:hint="eastAsia" w:ascii="宋体" w:hAnsi="宋体" w:eastAsia="宋体" w:cs="宋体"/>
          <w:i w:val="0"/>
          <w:iCs w:val="0"/>
          <w:color w:val="auto"/>
          <w:sz w:val="24"/>
          <w:szCs w:val="24"/>
          <w:highlight w:val="none"/>
        </w:rPr>
      </w:pPr>
      <w:bookmarkStart w:id="43" w:name="_Toc35393636"/>
      <w:bookmarkStart w:id="44" w:name="_Toc28359095"/>
      <w:bookmarkStart w:id="45" w:name="_Toc35393805"/>
      <w:bookmarkStart w:id="46" w:name="_Hlk37429674"/>
      <w:bookmarkStart w:id="47" w:name="_Toc44229885"/>
      <w:bookmarkStart w:id="48" w:name="_Toc28359018"/>
      <w:r>
        <w:rPr>
          <w:rFonts w:hint="eastAsia" w:ascii="宋体" w:hAnsi="宋体" w:eastAsia="宋体" w:cs="宋体"/>
          <w:i w:val="0"/>
          <w:iCs w:val="0"/>
          <w:color w:val="auto"/>
          <w:sz w:val="24"/>
          <w:szCs w:val="24"/>
          <w:highlight w:val="none"/>
        </w:rPr>
        <w:t>www.ccgp.gov.cn（中国政府采购网）、zfcg.gxzf.gov.cn（广西壮族自治区政府采购网）、http：//ggzy.jgswj.gxzf.gov.cn/lbggzy/全国公共资源交易平台（广西•来宾）。</w:t>
      </w:r>
    </w:p>
    <w:p w14:paraId="2723EB2D">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2.本项目需要落实的政府采购政策</w:t>
      </w:r>
      <w:bookmarkEnd w:id="41"/>
    </w:p>
    <w:p w14:paraId="4C78F154">
      <w:pPr>
        <w:keepNext w:val="0"/>
        <w:keepLines w:val="0"/>
        <w:pageBreakBefore w:val="0"/>
        <w:widowControl/>
        <w:kinsoku/>
        <w:wordWrap/>
        <w:overflowPunct/>
        <w:topLinePunct w:val="0"/>
        <w:autoSpaceDE/>
        <w:autoSpaceDN/>
        <w:bidi w:val="0"/>
        <w:adjustRightInd/>
        <w:snapToGrid/>
        <w:spacing w:line="440" w:lineRule="exact"/>
        <w:ind w:firstLine="64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（1）政府采购促进中小企业发展。</w:t>
      </w:r>
    </w:p>
    <w:p w14:paraId="40E4F311">
      <w:pPr>
        <w:keepNext w:val="0"/>
        <w:keepLines w:val="0"/>
        <w:pageBreakBefore w:val="0"/>
        <w:widowControl/>
        <w:kinsoku/>
        <w:wordWrap/>
        <w:overflowPunct/>
        <w:topLinePunct w:val="0"/>
        <w:autoSpaceDE/>
        <w:autoSpaceDN/>
        <w:bidi w:val="0"/>
        <w:adjustRightInd/>
        <w:snapToGrid/>
        <w:spacing w:line="440" w:lineRule="exact"/>
        <w:ind w:firstLine="64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）政府采购促进残疾人就业政策。</w:t>
      </w:r>
    </w:p>
    <w:p w14:paraId="02936EFF">
      <w:pPr>
        <w:keepNext w:val="0"/>
        <w:keepLines w:val="0"/>
        <w:pageBreakBefore w:val="0"/>
        <w:widowControl/>
        <w:kinsoku/>
        <w:wordWrap/>
        <w:overflowPunct/>
        <w:topLinePunct w:val="0"/>
        <w:autoSpaceDE/>
        <w:autoSpaceDN/>
        <w:bidi w:val="0"/>
        <w:adjustRightInd/>
        <w:snapToGrid/>
        <w:spacing w:line="440" w:lineRule="exact"/>
        <w:ind w:firstLine="64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w:t>
      </w:r>
      <w:r>
        <w:rPr>
          <w:rFonts w:hint="eastAsia" w:ascii="宋体" w:hAnsi="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）政府采购支持监狱企业发展。</w:t>
      </w:r>
    </w:p>
    <w:p w14:paraId="77742C17">
      <w:pPr>
        <w:keepNext w:val="0"/>
        <w:keepLines w:val="0"/>
        <w:pageBreakBefore w:val="0"/>
        <w:widowControl/>
        <w:kinsoku/>
        <w:wordWrap/>
        <w:overflowPunct/>
        <w:topLinePunct w:val="0"/>
        <w:autoSpaceDE/>
        <w:autoSpaceDN/>
        <w:bidi w:val="0"/>
        <w:adjustRightInd/>
        <w:snapToGrid/>
        <w:spacing w:line="440" w:lineRule="exact"/>
        <w:ind w:firstLine="64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3.供应商竞标注意事项</w:t>
      </w:r>
    </w:p>
    <w:p w14:paraId="6E2553E0">
      <w:pPr>
        <w:keepNext w:val="0"/>
        <w:keepLines w:val="0"/>
        <w:pageBreakBefore w:val="0"/>
        <w:widowControl/>
        <w:kinsoku/>
        <w:wordWrap/>
        <w:overflowPunct/>
        <w:topLinePunct w:val="0"/>
        <w:autoSpaceDE/>
        <w:autoSpaceDN/>
        <w:bidi w:val="0"/>
        <w:adjustRightInd/>
        <w:snapToGrid/>
        <w:spacing w:line="440" w:lineRule="exact"/>
        <w:ind w:firstLine="64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eastAsia="宋体" w:cs="宋体"/>
          <w:b/>
          <w:i w:val="0"/>
          <w:iCs w:val="0"/>
          <w:color w:val="auto"/>
          <w:sz w:val="24"/>
          <w:szCs w:val="24"/>
          <w:highlight w:val="none"/>
        </w:rPr>
        <w:t>供应商在广西政府采购云平台提交电子响应文件时，请填写参加远程采购活动经办人联系方式。</w:t>
      </w:r>
      <w:r>
        <w:rPr>
          <w:rFonts w:hint="eastAsia" w:ascii="宋体" w:hAnsi="宋体" w:eastAsia="宋体" w:cs="宋体"/>
          <w:i w:val="0"/>
          <w:iCs w:val="0"/>
          <w:color w:val="auto"/>
          <w:sz w:val="24"/>
          <w:szCs w:val="24"/>
          <w:highlight w:val="none"/>
        </w:rPr>
        <w:t>供应商登录广西政府采购云平台，依次进入“服务中心-项目采购-操作流程-电子招投标-政府采购项目电子交易管理操作指南-供应商”查看电子竞标具体操作流程。</w:t>
      </w:r>
    </w:p>
    <w:p w14:paraId="66EF748C">
      <w:pPr>
        <w:keepNext w:val="0"/>
        <w:keepLines w:val="0"/>
        <w:pageBreakBefore w:val="0"/>
        <w:widowControl/>
        <w:kinsoku/>
        <w:wordWrap/>
        <w:overflowPunct/>
        <w:topLinePunct w:val="0"/>
        <w:autoSpaceDE/>
        <w:autoSpaceDN/>
        <w:bidi w:val="0"/>
        <w:adjustRightInd/>
        <w:snapToGrid/>
        <w:spacing w:line="440" w:lineRule="exact"/>
        <w:ind w:firstLine="64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w:t>
      </w:r>
      <w:r>
        <w:rPr>
          <w:rFonts w:hint="eastAsia" w:ascii="宋体" w:hAnsi="宋体" w:eastAsia="宋体" w:cs="宋体"/>
          <w:bCs/>
          <w:i w:val="0"/>
          <w:iCs w:val="0"/>
          <w:color w:val="auto"/>
          <w:sz w:val="24"/>
          <w:szCs w:val="24"/>
          <w:highlight w:val="none"/>
        </w:rPr>
        <w:t>如在操作过程中遇到问题或者需要技术支持，请致电客服热线：0771-3381253或95763</w:t>
      </w:r>
      <w:r>
        <w:rPr>
          <w:rFonts w:hint="eastAsia" w:ascii="宋体" w:hAnsi="宋体" w:eastAsia="宋体" w:cs="宋体"/>
          <w:i w:val="0"/>
          <w:iCs w:val="0"/>
          <w:color w:val="auto"/>
          <w:sz w:val="24"/>
          <w:szCs w:val="24"/>
          <w:highlight w:val="none"/>
        </w:rPr>
        <w:t>）。</w:t>
      </w:r>
    </w:p>
    <w:p w14:paraId="25CDE629">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6B66C4F9">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eastAsia="宋体" w:cs="宋体"/>
          <w:bCs/>
          <w:i w:val="0"/>
          <w:iCs w:val="0"/>
          <w:color w:val="auto"/>
          <w:sz w:val="24"/>
          <w:szCs w:val="24"/>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eastAsia="宋体" w:cs="宋体"/>
          <w:i w:val="0"/>
          <w:iCs w:val="0"/>
          <w:color w:val="auto"/>
          <w:sz w:val="24"/>
          <w:szCs w:val="24"/>
          <w:highlight w:val="none"/>
        </w:rPr>
        <w:t>广西政府采购云平台将予以拒收。</w:t>
      </w:r>
    </w:p>
    <w:p w14:paraId="22321F26">
      <w:pPr>
        <w:keepNext w:val="0"/>
        <w:keepLines w:val="0"/>
        <w:pageBreakBefore w:val="0"/>
        <w:numPr>
          <w:ilvl w:val="0"/>
          <w:numId w:val="2"/>
        </w:numPr>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供应商需要在具备有摄像头及语音功能且互联网网络状况良好的电脑登录广西政府采购云平台远程开标大厅参与本次磋商，否则后果自负。</w:t>
      </w:r>
    </w:p>
    <w:p w14:paraId="5814B84D">
      <w:pPr>
        <w:keepNext w:val="0"/>
        <w:keepLines w:val="0"/>
        <w:pageBreakBefore w:val="0"/>
        <w:kinsoku/>
        <w:wordWrap/>
        <w:overflowPunct/>
        <w:topLinePunct w:val="0"/>
        <w:autoSpaceDE/>
        <w:autoSpaceDN/>
        <w:bidi w:val="0"/>
        <w:adjustRightInd/>
        <w:snapToGrid/>
        <w:spacing w:line="440" w:lineRule="exact"/>
        <w:ind w:firstLine="472"/>
        <w:textAlignment w:val="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八、凡对本次采购提出询问，请按以下方式联系。</w:t>
      </w:r>
      <w:bookmarkEnd w:id="42"/>
      <w:bookmarkEnd w:id="43"/>
      <w:bookmarkEnd w:id="44"/>
      <w:bookmarkEnd w:id="45"/>
      <w:bookmarkEnd w:id="46"/>
    </w:p>
    <w:p w14:paraId="6D1CEEA4">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bookmarkStart w:id="49" w:name="_Toc35393806"/>
      <w:bookmarkStart w:id="50" w:name="_Toc28359019"/>
      <w:bookmarkStart w:id="51" w:name="_Toc35393637"/>
      <w:bookmarkStart w:id="52" w:name="_Toc28359096"/>
      <w:r>
        <w:rPr>
          <w:rFonts w:hint="eastAsia" w:ascii="宋体" w:hAnsi="宋体" w:eastAsia="宋体" w:cs="宋体"/>
          <w:i w:val="0"/>
          <w:iCs w:val="0"/>
          <w:color w:val="auto"/>
          <w:sz w:val="24"/>
          <w:szCs w:val="24"/>
          <w:highlight w:val="none"/>
        </w:rPr>
        <w:t>1.</w:t>
      </w:r>
      <w:bookmarkEnd w:id="47"/>
      <w:bookmarkEnd w:id="48"/>
      <w:bookmarkEnd w:id="49"/>
      <w:bookmarkEnd w:id="50"/>
      <w:r>
        <w:rPr>
          <w:rFonts w:hint="eastAsia" w:ascii="宋体" w:hAnsi="宋体" w:eastAsia="宋体" w:cs="宋体"/>
          <w:i w:val="0"/>
          <w:iCs w:val="0"/>
          <w:color w:val="auto"/>
          <w:sz w:val="24"/>
          <w:szCs w:val="24"/>
          <w:highlight w:val="none"/>
        </w:rPr>
        <w:t>采购人信息</w:t>
      </w:r>
    </w:p>
    <w:p w14:paraId="28AE15A2">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名称：</w:t>
      </w:r>
      <w:r>
        <w:rPr>
          <w:rFonts w:hint="eastAsia" w:ascii="宋体" w:hAnsi="宋体" w:cs="宋体"/>
          <w:i w:val="0"/>
          <w:iCs w:val="0"/>
          <w:color w:val="auto"/>
          <w:sz w:val="24"/>
          <w:szCs w:val="24"/>
          <w:highlight w:val="none"/>
          <w:lang w:eastAsia="zh-CN"/>
        </w:rPr>
        <w:t>来宾市医疗保险服务中心</w:t>
      </w:r>
    </w:p>
    <w:p w14:paraId="73F337B7">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val="en-US" w:eastAsia="zh-CN"/>
        </w:rPr>
      </w:pPr>
      <w:bookmarkStart w:id="53" w:name="_Toc28359020"/>
      <w:bookmarkStart w:id="54" w:name="_Toc35393807"/>
      <w:bookmarkStart w:id="55" w:name="_Toc35393638"/>
      <w:bookmarkStart w:id="56" w:name="_Toc28359097"/>
      <w:r>
        <w:rPr>
          <w:rFonts w:hint="eastAsia" w:ascii="宋体" w:hAnsi="宋体" w:eastAsia="宋体" w:cs="宋体"/>
          <w:i w:val="0"/>
          <w:iCs w:val="0"/>
          <w:color w:val="auto"/>
          <w:sz w:val="24"/>
          <w:szCs w:val="24"/>
          <w:highlight w:val="none"/>
          <w:lang w:val="en-US" w:eastAsia="zh-CN"/>
        </w:rPr>
        <w:t>地址：广西来宾市兴宾区绿源路329号</w:t>
      </w:r>
    </w:p>
    <w:p w14:paraId="619DDB8E">
      <w:pPr>
        <w:keepNext w:val="0"/>
        <w:keepLines w:val="0"/>
        <w:pageBreakBefore w:val="0"/>
        <w:kinsoku/>
        <w:wordWrap/>
        <w:overflowPunct/>
        <w:topLinePunct w:val="0"/>
        <w:autoSpaceDE/>
        <w:autoSpaceDN/>
        <w:bidi w:val="0"/>
        <w:adjustRightInd/>
        <w:snapToGrid/>
        <w:spacing w:line="440" w:lineRule="exact"/>
        <w:ind w:firstLine="640"/>
        <w:textAlignment w:val="auto"/>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联系方式：</w:t>
      </w:r>
      <w:r>
        <w:rPr>
          <w:rFonts w:hint="eastAsia" w:ascii="宋体" w:hAnsi="宋体" w:cs="宋体"/>
          <w:i w:val="0"/>
          <w:iCs w:val="0"/>
          <w:color w:val="auto"/>
          <w:sz w:val="24"/>
          <w:szCs w:val="24"/>
          <w:highlight w:val="none"/>
          <w:lang w:val="en-US" w:eastAsia="zh-CN"/>
        </w:rPr>
        <w:t>罗老师</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cs="宋体"/>
          <w:i w:val="0"/>
          <w:iCs w:val="0"/>
          <w:color w:val="auto"/>
          <w:sz w:val="24"/>
          <w:szCs w:val="24"/>
          <w:highlight w:val="none"/>
          <w:lang w:val="en-US" w:eastAsia="zh-CN"/>
        </w:rPr>
        <w:t>0772-6622962</w:t>
      </w:r>
    </w:p>
    <w:p w14:paraId="684536BF">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2.采购代理机构信息</w:t>
      </w:r>
      <w:bookmarkEnd w:id="51"/>
      <w:bookmarkEnd w:id="52"/>
      <w:bookmarkEnd w:id="53"/>
      <w:bookmarkEnd w:id="54"/>
    </w:p>
    <w:p w14:paraId="18474F5F">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名称：云之龙咨询集团有限公司</w:t>
      </w:r>
    </w:p>
    <w:p w14:paraId="448A7410">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地址：</w:t>
      </w:r>
      <w:r>
        <w:rPr>
          <w:rFonts w:hint="eastAsia" w:ascii="宋体" w:hAnsi="宋体" w:eastAsia="宋体" w:cs="宋体"/>
          <w:i w:val="0"/>
          <w:iCs w:val="0"/>
          <w:color w:val="auto"/>
          <w:sz w:val="24"/>
          <w:szCs w:val="24"/>
          <w:highlight w:val="none"/>
          <w:lang w:eastAsia="zh-CN"/>
        </w:rPr>
        <w:t>广西来宾市兴宾区星城路39号泰安国际酒店5楼</w:t>
      </w:r>
    </w:p>
    <w:p w14:paraId="1972AE76">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u w:val="single"/>
          <w:lang w:eastAsia="zh-CN"/>
        </w:rPr>
      </w:pPr>
      <w:r>
        <w:rPr>
          <w:rFonts w:hint="eastAsia" w:ascii="宋体" w:hAnsi="宋体" w:eastAsia="宋体" w:cs="宋体"/>
          <w:i w:val="0"/>
          <w:iCs w:val="0"/>
          <w:color w:val="auto"/>
          <w:sz w:val="24"/>
          <w:szCs w:val="24"/>
          <w:highlight w:val="none"/>
        </w:rPr>
        <w:t>联系方式：0772-4299199、</w:t>
      </w:r>
      <w:r>
        <w:rPr>
          <w:rFonts w:hint="eastAsia" w:ascii="宋体" w:hAnsi="宋体" w:cs="宋体"/>
          <w:i w:val="0"/>
          <w:iCs w:val="0"/>
          <w:color w:val="auto"/>
          <w:sz w:val="24"/>
          <w:szCs w:val="24"/>
          <w:highlight w:val="none"/>
          <w:lang w:eastAsia="zh-CN"/>
        </w:rPr>
        <w:t>4299238</w:t>
      </w:r>
    </w:p>
    <w:p w14:paraId="6FA42CE1">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rPr>
      </w:pPr>
      <w:bookmarkStart w:id="57" w:name="_Toc28359098"/>
      <w:bookmarkStart w:id="58" w:name="_Toc35393639"/>
      <w:bookmarkStart w:id="59" w:name="_Toc28359021"/>
      <w:bookmarkStart w:id="60" w:name="_Toc35393808"/>
      <w:r>
        <w:rPr>
          <w:rFonts w:hint="eastAsia" w:ascii="宋体" w:hAnsi="宋体" w:eastAsia="宋体" w:cs="宋体"/>
          <w:i w:val="0"/>
          <w:iCs w:val="0"/>
          <w:color w:val="auto"/>
          <w:sz w:val="24"/>
          <w:szCs w:val="24"/>
          <w:highlight w:val="none"/>
        </w:rPr>
        <w:t>3.项目联系方式</w:t>
      </w:r>
      <w:bookmarkEnd w:id="55"/>
      <w:bookmarkEnd w:id="56"/>
      <w:bookmarkEnd w:id="57"/>
      <w:bookmarkEnd w:id="58"/>
    </w:p>
    <w:p w14:paraId="7EEDB852">
      <w:pPr>
        <w:pStyle w:val="224"/>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项目联系人：</w:t>
      </w:r>
      <w:r>
        <w:rPr>
          <w:rFonts w:hint="eastAsia" w:ascii="宋体" w:hAnsi="宋体" w:eastAsia="宋体" w:cs="宋体"/>
          <w:i w:val="0"/>
          <w:iCs w:val="0"/>
          <w:color w:val="auto"/>
          <w:sz w:val="24"/>
          <w:szCs w:val="24"/>
          <w:highlight w:val="none"/>
          <w:lang w:val="en-US" w:eastAsia="zh-CN"/>
        </w:rPr>
        <w:t>张惠洁、莫露思</w:t>
      </w:r>
    </w:p>
    <w:p w14:paraId="6D23DE96">
      <w:pPr>
        <w:keepNext w:val="0"/>
        <w:keepLines w:val="0"/>
        <w:pageBreakBefore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电话：0772-4299199、</w:t>
      </w:r>
      <w:bookmarkEnd w:id="59"/>
      <w:bookmarkEnd w:id="60"/>
      <w:r>
        <w:rPr>
          <w:rFonts w:hint="eastAsia" w:ascii="宋体" w:hAnsi="宋体" w:cs="宋体"/>
          <w:i w:val="0"/>
          <w:iCs w:val="0"/>
          <w:color w:val="auto"/>
          <w:sz w:val="24"/>
          <w:szCs w:val="24"/>
          <w:highlight w:val="none"/>
          <w:lang w:eastAsia="zh-CN"/>
        </w:rPr>
        <w:t>4299238</w:t>
      </w:r>
    </w:p>
    <w:p w14:paraId="5C5F741F">
      <w:pPr>
        <w:pStyle w:val="50"/>
        <w:jc w:val="center"/>
        <w:rPr>
          <w:rFonts w:hint="eastAsia"/>
          <w:i w:val="0"/>
          <w:iCs w:val="0"/>
          <w:color w:val="auto"/>
          <w:highlight w:val="none"/>
        </w:rPr>
      </w:pPr>
      <w:r>
        <w:rPr>
          <w:rFonts w:ascii="宋体" w:hAnsi="宋体"/>
          <w:i w:val="0"/>
          <w:iCs w:val="0"/>
          <w:color w:val="auto"/>
          <w:sz w:val="32"/>
          <w:szCs w:val="32"/>
          <w:highlight w:val="none"/>
        </w:rPr>
        <w:br w:type="page" w:clear="all"/>
      </w:r>
      <w:bookmarkStart w:id="61" w:name="_Toc30341"/>
      <w:r>
        <w:rPr>
          <w:rFonts w:hint="eastAsia"/>
          <w:i w:val="0"/>
          <w:iCs w:val="0"/>
          <w:color w:val="auto"/>
          <w:highlight w:val="none"/>
        </w:rPr>
        <w:t>第二章供应商须知</w:t>
      </w:r>
      <w:bookmarkEnd w:id="61"/>
    </w:p>
    <w:p w14:paraId="30BCE93C">
      <w:pPr>
        <w:spacing w:line="400" w:lineRule="exact"/>
        <w:jc w:val="center"/>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供应商须知前附表</w:t>
      </w:r>
    </w:p>
    <w:p w14:paraId="560036C6">
      <w:pPr>
        <w:spacing w:line="400" w:lineRule="exact"/>
        <w:jc w:val="center"/>
        <w:rPr>
          <w:rFonts w:hint="eastAsia" w:ascii="宋体" w:hAnsi="宋体" w:eastAsia="宋体" w:cs="宋体"/>
          <w:b/>
          <w:i w:val="0"/>
          <w:iCs w:val="0"/>
          <w:color w:val="auto"/>
          <w:sz w:val="24"/>
          <w:szCs w:val="24"/>
          <w:highlight w:val="none"/>
        </w:rPr>
      </w:pPr>
    </w:p>
    <w:tbl>
      <w:tblPr>
        <w:tblStyle w:val="36"/>
        <w:tblW w:w="84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6"/>
        <w:gridCol w:w="7423"/>
      </w:tblGrid>
      <w:tr w14:paraId="77F2A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top"/>
          </w:tcPr>
          <w:p w14:paraId="336882D4">
            <w:pPr>
              <w:spacing w:line="360" w:lineRule="auto"/>
              <w:jc w:val="center"/>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条款号</w:t>
            </w:r>
          </w:p>
        </w:tc>
        <w:tc>
          <w:tcPr>
            <w:tcW w:w="7423" w:type="dxa"/>
            <w:tcBorders>
              <w:top w:val="single" w:color="000000" w:sz="4" w:space="0"/>
              <w:left w:val="single" w:color="000000" w:sz="4" w:space="0"/>
              <w:bottom w:val="single" w:color="000000" w:sz="4" w:space="0"/>
              <w:right w:val="single" w:color="000000" w:sz="4" w:space="0"/>
            </w:tcBorders>
            <w:noWrap w:val="0"/>
            <w:vAlign w:val="top"/>
          </w:tcPr>
          <w:p w14:paraId="7DA15B4F">
            <w:pPr>
              <w:spacing w:line="360" w:lineRule="auto"/>
              <w:jc w:val="center"/>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内容</w:t>
            </w:r>
          </w:p>
        </w:tc>
      </w:tr>
      <w:tr w14:paraId="11896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1EC59317">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09D6FD9D">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1.供应商的资格条件</w:t>
            </w:r>
            <w:r>
              <w:rPr>
                <w:rFonts w:hint="eastAsia" w:ascii="宋体" w:hAnsi="宋体" w:eastAsia="宋体" w:cs="宋体"/>
                <w:i w:val="0"/>
                <w:iCs w:val="0"/>
                <w:color w:val="auto"/>
                <w:sz w:val="24"/>
                <w:szCs w:val="24"/>
                <w:highlight w:val="none"/>
              </w:rPr>
              <w:t>：详见竞争性磋商公告</w:t>
            </w:r>
          </w:p>
          <w:p w14:paraId="7546FF90">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w:t>
            </w:r>
            <w:r>
              <w:rPr>
                <w:rFonts w:hint="eastAsia" w:ascii="宋体" w:hAnsi="宋体" w:eastAsia="宋体" w:cs="宋体"/>
                <w:bCs/>
                <w:i w:val="0"/>
                <w:iCs w:val="0"/>
                <w:color w:val="auto"/>
                <w:sz w:val="24"/>
                <w:szCs w:val="24"/>
                <w:highlight w:val="none"/>
              </w:rPr>
              <w:t>供应商</w:t>
            </w:r>
            <w:r>
              <w:rPr>
                <w:rFonts w:hint="eastAsia" w:ascii="宋体" w:hAnsi="宋体" w:eastAsia="宋体" w:cs="宋体"/>
                <w:i w:val="0"/>
                <w:iCs w:val="0"/>
                <w:color w:val="auto"/>
                <w:sz w:val="24"/>
                <w:szCs w:val="24"/>
                <w:highlight w:val="none"/>
              </w:rPr>
              <w:t>出现下列情形之一的，不得参加政府采购活动：</w:t>
            </w:r>
          </w:p>
          <w:p w14:paraId="76353DB0">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7A8C3F7">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6DAE0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5A62E6A5">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178070DE">
            <w:pPr>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是否接受联合体竞标：</w:t>
            </w:r>
            <w:r>
              <w:rPr>
                <w:rFonts w:hint="eastAsia" w:ascii="宋体" w:hAnsi="宋体" w:eastAsia="宋体" w:cs="宋体"/>
                <w:i w:val="0"/>
                <w:iCs w:val="0"/>
                <w:color w:val="auto"/>
                <w:sz w:val="24"/>
                <w:szCs w:val="24"/>
                <w:highlight w:val="none"/>
                <w:lang w:val="en-US" w:eastAsia="zh-CN"/>
              </w:rPr>
              <w:t>否</w:t>
            </w:r>
          </w:p>
        </w:tc>
      </w:tr>
      <w:tr w14:paraId="6A2EB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391D57A1">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2AEB4D67">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联合体竞标要求如下：</w:t>
            </w:r>
          </w:p>
          <w:p w14:paraId="3E2DDEC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1.两个以上供应商可以组成一个竞标联合体，以一个供应商的身份共同参加竞标。联合体竞标的，须提供《联合体竞标协议书》（格式后附）。</w:t>
            </w:r>
          </w:p>
          <w:p w14:paraId="34C75606">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199E79C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3.联合体各方之间必须签订联合竞标协议，协议书必须明确主体方（或者牵头方）并明确约定联合体各方承担的工作和相应的责任（</w:t>
            </w:r>
            <w:r>
              <w:rPr>
                <w:rFonts w:hint="eastAsia" w:ascii="宋体" w:hAnsi="宋体" w:eastAsia="宋体" w:cs="宋体"/>
                <w:b/>
                <w:i w:val="0"/>
                <w:iCs w:val="0"/>
                <w:color w:val="auto"/>
                <w:sz w:val="24"/>
                <w:szCs w:val="24"/>
                <w:highlight w:val="none"/>
              </w:rPr>
              <w:t>各方承担责任与义务的分工必须符合采购需求，否则，联合体竞标无效</w:t>
            </w:r>
            <w:r>
              <w:rPr>
                <w:rFonts w:hint="eastAsia" w:ascii="宋体" w:hAnsi="宋体" w:eastAsia="宋体" w:cs="宋体"/>
                <w:i w:val="0"/>
                <w:iCs w:val="0"/>
                <w:color w:val="auto"/>
                <w:sz w:val="24"/>
                <w:szCs w:val="24"/>
                <w:highlight w:val="none"/>
              </w:rPr>
              <w:t>），并将联合竞标协议放入响应文件。联合体各方必须共同与采购人签订采购合同，就采购合同约定的事项对采购人承担连带责任。</w:t>
            </w:r>
          </w:p>
          <w:p w14:paraId="45CE81BE">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4.以联合体形式参加政府采购活动的，联合体各方不得再单独参加或者与其他供应商另外组成联合体参加同一合同项下的政府采购活动。</w:t>
            </w:r>
          </w:p>
          <w:p w14:paraId="2DA8EF1A">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5.联合体中有同类资质的供应商按照联合体分工承担相同工作的，应当按照资质等级较低的供应商确定资质等级。</w:t>
            </w:r>
          </w:p>
          <w:p w14:paraId="3D965B5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6.联合体竞标业绩、履约能力按照联合体各方中较高的一方认定并计算（磋商文件另有规定的除外）。</w:t>
            </w:r>
          </w:p>
          <w:p w14:paraId="632402DF">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7.供应商为联合体的，可以由联合体中的一方或者多方共同交纳磋商保证金，其交纳的保证金对联合体各方均具有约束力。</w:t>
            </w:r>
          </w:p>
          <w:p w14:paraId="172F9C17">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8.联合体各方均应按照磋商文件的规定提交资格证明文件。</w:t>
            </w:r>
          </w:p>
        </w:tc>
      </w:tr>
      <w:tr w14:paraId="71C3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18D30189">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24F8F8B0">
            <w:pPr>
              <w:pStyle w:val="218"/>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☑不允许分包</w:t>
            </w:r>
          </w:p>
          <w:p w14:paraId="1F899249">
            <w:pPr>
              <w:pStyle w:val="218"/>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□允许分包</w:t>
            </w:r>
          </w:p>
          <w:p w14:paraId="3EC804C9">
            <w:pPr>
              <w:pStyle w:val="218"/>
              <w:spacing w:line="360" w:lineRule="auto"/>
              <w:rPr>
                <w:rFonts w:hint="eastAsia" w:ascii="宋体" w:hAnsi="宋体" w:eastAsia="宋体" w:cs="宋体"/>
                <w:i w:val="0"/>
                <w:iCs w:val="0"/>
                <w:color w:val="auto"/>
                <w:sz w:val="24"/>
                <w:szCs w:val="24"/>
                <w:highlight w:val="none"/>
                <w:u w:val="single"/>
                <w:lang w:val="en-US" w:eastAsia="zh-CN"/>
              </w:rPr>
            </w:pPr>
            <w:r>
              <w:rPr>
                <w:rFonts w:hint="eastAsia" w:ascii="宋体" w:hAnsi="宋体" w:eastAsia="宋体" w:cs="宋体"/>
                <w:i w:val="0"/>
                <w:iCs w:val="0"/>
                <w:color w:val="auto"/>
                <w:sz w:val="24"/>
                <w:szCs w:val="24"/>
                <w:highlight w:val="none"/>
                <w:lang w:val="en-US" w:eastAsia="zh-CN"/>
              </w:rPr>
              <w:t>分包内容：</w:t>
            </w:r>
          </w:p>
          <w:p w14:paraId="2A893BE8">
            <w:pPr>
              <w:pStyle w:val="218"/>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分包金额或者比例：</w:t>
            </w:r>
          </w:p>
        </w:tc>
      </w:tr>
      <w:tr w14:paraId="16203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454364F7">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652A484A">
            <w:pPr>
              <w:spacing w:line="360" w:lineRule="auto"/>
              <w:jc w:val="left"/>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资格证明文件</w:t>
            </w:r>
          </w:p>
          <w:p w14:paraId="54797D6D">
            <w:pPr>
              <w:pStyle w:val="218"/>
              <w:numPr>
                <w:ilvl w:val="0"/>
                <w:numId w:val="0"/>
              </w:numPr>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bidi="ar-SA"/>
              </w:rPr>
              <w:t>1.</w:t>
            </w:r>
            <w:r>
              <w:rPr>
                <w:rFonts w:hint="eastAsia" w:ascii="宋体" w:hAnsi="宋体" w:eastAsia="宋体" w:cs="宋体"/>
                <w:i w:val="0"/>
                <w:iCs w:val="0"/>
                <w:color w:val="auto"/>
                <w:sz w:val="24"/>
                <w:szCs w:val="24"/>
                <w:highlight w:val="none"/>
                <w:lang w:val="en-US" w:eastAsia="zh-CN"/>
              </w:rPr>
              <w:t>供应商为法人或者其他组织的，提供有效的营业执照等证明文件（如营业执照或者事业单位法人证书或者执业许可证或者登记证书等），供应商为自然人的提供其身份证复印件或扫描件；（</w:t>
            </w:r>
            <w:r>
              <w:rPr>
                <w:rFonts w:hint="eastAsia" w:ascii="宋体" w:hAnsi="宋体" w:eastAsia="宋体" w:cs="宋体"/>
                <w:b/>
                <w:i w:val="0"/>
                <w:iCs w:val="0"/>
                <w:color w:val="auto"/>
                <w:sz w:val="24"/>
                <w:szCs w:val="24"/>
                <w:highlight w:val="none"/>
                <w:lang w:val="en-US" w:eastAsia="zh-CN"/>
              </w:rPr>
              <w:t>必须提供，否则响应文件按无效响应处理</w:t>
            </w:r>
            <w:r>
              <w:rPr>
                <w:rFonts w:hint="eastAsia" w:ascii="宋体" w:hAnsi="宋体" w:eastAsia="宋体" w:cs="宋体"/>
                <w:i w:val="0"/>
                <w:iCs w:val="0"/>
                <w:color w:val="auto"/>
                <w:sz w:val="24"/>
                <w:szCs w:val="24"/>
                <w:highlight w:val="none"/>
                <w:lang w:val="en-US" w:eastAsia="zh-CN"/>
              </w:rPr>
              <w:t>）</w:t>
            </w:r>
          </w:p>
          <w:p w14:paraId="6A910D83">
            <w:pPr>
              <w:spacing w:line="360" w:lineRule="auto"/>
              <w:contextualSpacing/>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.供应商依法缴纳税收的相关材料（</w:t>
            </w:r>
            <w:r>
              <w:rPr>
                <w:rFonts w:hint="eastAsia" w:ascii="宋体" w:hAnsi="宋体" w:eastAsia="宋体" w:cs="宋体"/>
                <w:i w:val="0"/>
                <w:iCs w:val="0"/>
                <w:color w:val="auto"/>
                <w:sz w:val="24"/>
                <w:szCs w:val="24"/>
                <w:highlight w:val="none"/>
                <w:u w:val="single"/>
              </w:rPr>
              <w:t>202</w:t>
            </w:r>
            <w:r>
              <w:rPr>
                <w:rFonts w:hint="eastAsia" w:ascii="宋体" w:hAnsi="宋体" w:eastAsia="宋体" w:cs="宋体"/>
                <w:i w:val="0"/>
                <w:iCs w:val="0"/>
                <w:color w:val="auto"/>
                <w:sz w:val="24"/>
                <w:szCs w:val="24"/>
                <w:highlight w:val="none"/>
                <w:u w:val="single"/>
                <w:lang w:val="en-US" w:eastAsia="zh-CN"/>
              </w:rPr>
              <w:t>6</w:t>
            </w:r>
            <w:r>
              <w:rPr>
                <w:rFonts w:hint="eastAsia" w:ascii="宋体" w:hAnsi="宋体" w:eastAsia="宋体" w:cs="宋体"/>
                <w:i w:val="0"/>
                <w:iCs w:val="0"/>
                <w:color w:val="auto"/>
                <w:sz w:val="24"/>
                <w:szCs w:val="24"/>
                <w:highlight w:val="none"/>
                <w:u w:val="single"/>
              </w:rPr>
              <w:t>年1月1日</w:t>
            </w:r>
            <w:r>
              <w:rPr>
                <w:rFonts w:hint="eastAsia" w:ascii="宋体" w:hAnsi="宋体" w:eastAsia="宋体" w:cs="宋体"/>
                <w:i w:val="0"/>
                <w:iCs w:val="0"/>
                <w:color w:val="auto"/>
                <w:sz w:val="24"/>
                <w:szCs w:val="24"/>
                <w:highlight w:val="none"/>
                <w:u w:val="single"/>
                <w:lang w:val="en-US" w:eastAsia="zh-CN"/>
              </w:rPr>
              <w:t>以来任意1个</w:t>
            </w:r>
            <w:r>
              <w:rPr>
                <w:rFonts w:hint="eastAsia" w:ascii="宋体" w:hAnsi="宋体" w:eastAsia="宋体" w:cs="宋体"/>
                <w:i w:val="0"/>
                <w:iCs w:val="0"/>
                <w:color w:val="auto"/>
                <w:sz w:val="24"/>
                <w:szCs w:val="24"/>
                <w:highlight w:val="none"/>
                <w:u w:val="single"/>
              </w:rPr>
              <w:t>月</w:t>
            </w:r>
            <w:r>
              <w:rPr>
                <w:rFonts w:hint="eastAsia" w:ascii="宋体" w:hAnsi="宋体" w:eastAsia="宋体" w:cs="宋体"/>
                <w:i w:val="0"/>
                <w:iCs w:val="0"/>
                <w:color w:val="auto"/>
                <w:sz w:val="24"/>
                <w:szCs w:val="24"/>
                <w:highlight w:val="none"/>
              </w:rPr>
              <w:t>的依法缴纳税收的凭据复印件或扫描件或其他不欠税证明；依法免税的，必须提供税务主管部门出具的无欠税证明材料，从成立之日起到响应文件提交截止时间止不足要求月数的，只需提供从成立之日起的依法缴纳税收相应证明文件）；（</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11DEE9CB">
            <w:pPr>
              <w:spacing w:line="360" w:lineRule="auto"/>
              <w:contextualSpacing/>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3</w:t>
            </w:r>
            <w:r>
              <w:rPr>
                <w:rFonts w:hint="eastAsia" w:ascii="宋体" w:hAnsi="宋体" w:eastAsia="宋体" w:cs="宋体"/>
                <w:i w:val="0"/>
                <w:iCs w:val="0"/>
                <w:color w:val="auto"/>
                <w:sz w:val="24"/>
                <w:szCs w:val="24"/>
                <w:highlight w:val="none"/>
              </w:rPr>
              <w:t>.供应商依法缴纳社会保障资金的相关材料[</w:t>
            </w:r>
            <w:r>
              <w:rPr>
                <w:rFonts w:hint="eastAsia" w:ascii="宋体" w:hAnsi="宋体" w:eastAsia="宋体" w:cs="宋体"/>
                <w:i w:val="0"/>
                <w:iCs w:val="0"/>
                <w:color w:val="auto"/>
                <w:sz w:val="24"/>
                <w:szCs w:val="24"/>
                <w:highlight w:val="none"/>
                <w:u w:val="single"/>
              </w:rPr>
              <w:t>202</w:t>
            </w:r>
            <w:r>
              <w:rPr>
                <w:rFonts w:hint="eastAsia" w:ascii="宋体" w:hAnsi="宋体" w:eastAsia="宋体" w:cs="宋体"/>
                <w:i w:val="0"/>
                <w:iCs w:val="0"/>
                <w:color w:val="auto"/>
                <w:sz w:val="24"/>
                <w:szCs w:val="24"/>
                <w:highlight w:val="none"/>
                <w:u w:val="single"/>
                <w:lang w:val="en-US" w:eastAsia="zh-CN"/>
              </w:rPr>
              <w:t>6</w:t>
            </w:r>
            <w:r>
              <w:rPr>
                <w:rFonts w:hint="eastAsia" w:ascii="宋体" w:hAnsi="宋体" w:eastAsia="宋体" w:cs="宋体"/>
                <w:i w:val="0"/>
                <w:iCs w:val="0"/>
                <w:color w:val="auto"/>
                <w:sz w:val="24"/>
                <w:szCs w:val="24"/>
                <w:highlight w:val="none"/>
                <w:u w:val="single"/>
              </w:rPr>
              <w:t>年1月1日</w:t>
            </w:r>
            <w:r>
              <w:rPr>
                <w:rFonts w:hint="eastAsia" w:ascii="宋体" w:hAnsi="宋体" w:eastAsia="宋体" w:cs="宋体"/>
                <w:i w:val="0"/>
                <w:iCs w:val="0"/>
                <w:color w:val="auto"/>
                <w:sz w:val="24"/>
                <w:szCs w:val="24"/>
                <w:highlight w:val="none"/>
                <w:u w:val="single"/>
                <w:lang w:val="en-US" w:eastAsia="zh-CN"/>
              </w:rPr>
              <w:t>以来任意1个</w:t>
            </w:r>
            <w:r>
              <w:rPr>
                <w:rFonts w:hint="eastAsia" w:ascii="宋体" w:hAnsi="宋体" w:eastAsia="宋体" w:cs="宋体"/>
                <w:i w:val="0"/>
                <w:iCs w:val="0"/>
                <w:color w:val="auto"/>
                <w:sz w:val="24"/>
                <w:szCs w:val="24"/>
                <w:highlight w:val="none"/>
                <w:u w:val="single"/>
              </w:rPr>
              <w:t>月</w:t>
            </w:r>
            <w:r>
              <w:rPr>
                <w:rFonts w:hint="eastAsia" w:ascii="宋体" w:hAnsi="宋体" w:eastAsia="宋体" w:cs="宋体"/>
                <w:i w:val="0"/>
                <w:iCs w:val="0"/>
                <w:color w:val="auto"/>
                <w:sz w:val="24"/>
                <w:szCs w:val="24"/>
                <w:highlight w:val="none"/>
              </w:rPr>
              <w:t>的依法缴纳社会保障资金的缴费凭证（专用收据、社会保险缴纳清单或者社保部门的证明）复印件或扫描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32EED06A">
            <w:pPr>
              <w:spacing w:line="360" w:lineRule="auto"/>
              <w:contextualSpacing/>
              <w:jc w:val="left"/>
              <w:rPr>
                <w:rFonts w:hint="eastAsia" w:ascii="宋体" w:hAnsi="宋体" w:eastAsia="宋体" w:cs="宋体"/>
                <w:b/>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4</w:t>
            </w:r>
            <w:r>
              <w:rPr>
                <w:rFonts w:hint="eastAsia" w:ascii="宋体" w:hAnsi="宋体" w:eastAsia="宋体" w:cs="宋体"/>
                <w:i w:val="0"/>
                <w:iCs w:val="0"/>
                <w:color w:val="auto"/>
                <w:sz w:val="24"/>
                <w:szCs w:val="24"/>
                <w:highlight w:val="none"/>
              </w:rPr>
              <w:t>.供应商财务状况报告[</w:t>
            </w:r>
            <w:r>
              <w:rPr>
                <w:rFonts w:hint="eastAsia" w:ascii="宋体" w:hAnsi="宋体" w:eastAsia="宋体" w:cs="宋体"/>
                <w:i w:val="0"/>
                <w:iCs w:val="0"/>
                <w:color w:val="auto"/>
                <w:sz w:val="24"/>
                <w:szCs w:val="24"/>
                <w:highlight w:val="none"/>
                <w:lang w:val="en-US" w:eastAsia="zh-CN"/>
              </w:rPr>
              <w:t>2025</w:t>
            </w:r>
            <w:r>
              <w:rPr>
                <w:rFonts w:hint="eastAsia" w:ascii="宋体" w:hAnsi="宋体" w:eastAsia="宋体" w:cs="宋体"/>
                <w:i w:val="0"/>
                <w:iCs w:val="0"/>
                <w:color w:val="auto"/>
                <w:sz w:val="24"/>
                <w:szCs w:val="24"/>
                <w:highlight w:val="none"/>
              </w:rPr>
              <w:t>年度财务报表复印件或扫描件，或者银行出具的资信证明，或者中国人民银行征信中心出具的信用报告（企业竞标的提供企业信用报告，自然人竞标的提供个人信用报告，供应商属于成立时间在规定年度之后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ascii="宋体" w:hAnsi="宋体" w:eastAsia="宋体" w:cs="宋体"/>
                <w:bCs/>
                <w:i w:val="0"/>
                <w:iCs w:val="0"/>
                <w:color w:val="auto"/>
                <w:sz w:val="24"/>
                <w:szCs w:val="24"/>
                <w:highlight w:val="none"/>
              </w:rPr>
              <w:t>（</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bCs/>
                <w:i w:val="0"/>
                <w:iCs w:val="0"/>
                <w:color w:val="auto"/>
                <w:sz w:val="24"/>
                <w:szCs w:val="24"/>
                <w:highlight w:val="none"/>
              </w:rPr>
              <w:t>）</w:t>
            </w:r>
          </w:p>
          <w:p w14:paraId="14E8CCCF">
            <w:pPr>
              <w:spacing w:line="360" w:lineRule="auto"/>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rPr>
              <w:t>.供应商直接控股</w:t>
            </w:r>
            <w:r>
              <w:rPr>
                <w:rFonts w:hint="eastAsia" w:ascii="宋体" w:hAnsi="宋体" w:eastAsia="宋体" w:cs="宋体"/>
                <w:i w:val="0"/>
                <w:iCs w:val="0"/>
                <w:color w:val="auto"/>
                <w:sz w:val="24"/>
                <w:szCs w:val="24"/>
                <w:highlight w:val="none"/>
                <w:lang w:val="en-US" w:eastAsia="zh-CN"/>
              </w:rPr>
              <w:t>股东</w:t>
            </w:r>
            <w:r>
              <w:rPr>
                <w:rFonts w:hint="eastAsia" w:ascii="宋体" w:hAnsi="宋体" w:eastAsia="宋体" w:cs="宋体"/>
                <w:i w:val="0"/>
                <w:iCs w:val="0"/>
                <w:color w:val="auto"/>
                <w:sz w:val="24"/>
                <w:szCs w:val="24"/>
                <w:highlight w:val="none"/>
              </w:rPr>
              <w:t>信息表（格式后附）；（</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24414AFA">
            <w:pPr>
              <w:spacing w:line="360" w:lineRule="auto"/>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6</w:t>
            </w:r>
            <w:r>
              <w:rPr>
                <w:rFonts w:hint="eastAsia" w:ascii="宋体" w:hAnsi="宋体" w:eastAsia="宋体" w:cs="宋体"/>
                <w:i w:val="0"/>
                <w:iCs w:val="0"/>
                <w:color w:val="auto"/>
                <w:sz w:val="24"/>
                <w:szCs w:val="24"/>
                <w:highlight w:val="none"/>
              </w:rPr>
              <w:t>.供应商直接管理关系信息表（格式后附）；（</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702E0441">
            <w:pPr>
              <w:spacing w:line="360" w:lineRule="auto"/>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7</w:t>
            </w:r>
            <w:r>
              <w:rPr>
                <w:rFonts w:hint="eastAsia" w:ascii="宋体" w:hAnsi="宋体" w:eastAsia="宋体" w:cs="宋体"/>
                <w:i w:val="0"/>
                <w:iCs w:val="0"/>
                <w:color w:val="auto"/>
                <w:sz w:val="24"/>
                <w:szCs w:val="24"/>
                <w:highlight w:val="none"/>
              </w:rPr>
              <w:t>.竞标声明（格式后附）；（</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27625093">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cs="宋体"/>
                <w:i w:val="0"/>
                <w:iCs w:val="0"/>
                <w:color w:val="auto"/>
                <w:sz w:val="24"/>
                <w:szCs w:val="24"/>
                <w:highlight w:val="none"/>
                <w:lang w:val="en-US" w:eastAsia="zh-CN"/>
              </w:rPr>
              <w:t>8</w:t>
            </w: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rPr>
              <w:t>落实政府采购政策需满足的资格要求：专门面向中小企业进行采购，承接服务的供应商应为中型或小型或微型企业、监狱企业、残疾人福利性单位，并根据《政府采购促进中小企业发展管理办法》（财库[2020]46号）中《中小企业声明函》格式要求填报中小企业声明函或提供残疾人福利性单位声明函或监狱企业证明材料（格式后附）；（</w:t>
            </w:r>
            <w:r>
              <w:rPr>
                <w:rFonts w:hint="eastAsia" w:ascii="宋体" w:hAnsi="宋体" w:eastAsia="宋体" w:cs="宋体"/>
                <w:b/>
                <w:bCs/>
                <w:i w:val="0"/>
                <w:iCs w:val="0"/>
                <w:color w:val="auto"/>
                <w:sz w:val="24"/>
                <w:szCs w:val="24"/>
                <w:highlight w:val="none"/>
              </w:rPr>
              <w:t>必须提供，否则响应文件按无效响应处理）；</w:t>
            </w:r>
          </w:p>
          <w:p w14:paraId="3054855C">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cs="宋体"/>
                <w:i w:val="0"/>
                <w:iCs w:val="0"/>
                <w:color w:val="auto"/>
                <w:sz w:val="24"/>
                <w:szCs w:val="24"/>
                <w:highlight w:val="none"/>
                <w:lang w:val="en-US" w:eastAsia="zh-CN"/>
              </w:rPr>
              <w:t>9</w:t>
            </w:r>
            <w:r>
              <w:rPr>
                <w:rFonts w:hint="eastAsia" w:ascii="宋体" w:hAnsi="宋体" w:eastAsia="宋体" w:cs="宋体"/>
                <w:i w:val="0"/>
                <w:iCs w:val="0"/>
                <w:color w:val="auto"/>
                <w:sz w:val="24"/>
                <w:szCs w:val="24"/>
                <w:highlight w:val="none"/>
                <w:lang w:val="en-US" w:eastAsia="zh-CN"/>
              </w:rPr>
              <w:t>.除磋商文件规定必须提供以外，供应商认为需要提供的其他证明材料。</w:t>
            </w:r>
          </w:p>
          <w:p w14:paraId="52F0C006">
            <w:pPr>
              <w:spacing w:line="360" w:lineRule="auto"/>
              <w:jc w:val="left"/>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注：</w:t>
            </w:r>
          </w:p>
          <w:p w14:paraId="6A304051">
            <w:pPr>
              <w:spacing w:line="360" w:lineRule="auto"/>
              <w:ind w:firstLine="630"/>
              <w:jc w:val="left"/>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lang w:val="en-US" w:eastAsia="zh-CN"/>
              </w:rPr>
              <w:t>1.</w:t>
            </w:r>
            <w:r>
              <w:rPr>
                <w:rFonts w:hint="eastAsia" w:ascii="宋体" w:hAnsi="宋体" w:eastAsia="宋体" w:cs="宋体"/>
                <w:b/>
                <w:i w:val="0"/>
                <w:iCs w:val="0"/>
                <w:color w:val="auto"/>
                <w:sz w:val="24"/>
                <w:szCs w:val="24"/>
                <w:highlight w:val="none"/>
              </w:rPr>
              <w:t>以上标明“必须提供”的材料属于复印件或扫描件的，必须加盖供应商电子签章，</w:t>
            </w:r>
            <w:r>
              <w:rPr>
                <w:rFonts w:hint="eastAsia" w:ascii="宋体" w:hAnsi="宋体" w:eastAsia="宋体" w:cs="宋体"/>
                <w:b/>
                <w:i w:val="0"/>
                <w:iCs w:val="0"/>
                <w:color w:val="auto"/>
                <w:sz w:val="24"/>
                <w:szCs w:val="24"/>
                <w:highlight w:val="none"/>
                <w:lang w:eastAsia="zh-CN"/>
              </w:rPr>
              <w:t>否则响应文件按无效响应处理</w:t>
            </w:r>
            <w:r>
              <w:rPr>
                <w:rFonts w:hint="eastAsia" w:ascii="宋体" w:hAnsi="宋体" w:eastAsia="宋体" w:cs="宋体"/>
                <w:b/>
                <w:i w:val="0"/>
                <w:iCs w:val="0"/>
                <w:color w:val="auto"/>
                <w:sz w:val="24"/>
                <w:szCs w:val="24"/>
                <w:highlight w:val="none"/>
              </w:rPr>
              <w:t>。</w:t>
            </w:r>
          </w:p>
        </w:tc>
      </w:tr>
      <w:tr w14:paraId="0BD23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455F26BC">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7F1720B7">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报价文件</w:t>
            </w:r>
          </w:p>
          <w:p w14:paraId="7E55AEDA">
            <w:pPr>
              <w:numPr>
                <w:ilvl w:val="0"/>
                <w:numId w:val="0"/>
              </w:num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bidi="ar-SA"/>
              </w:rPr>
              <w:t>1.</w:t>
            </w:r>
            <w:r>
              <w:rPr>
                <w:rFonts w:hint="eastAsia" w:ascii="宋体" w:hAnsi="宋体" w:eastAsia="宋体" w:cs="宋体"/>
                <w:i w:val="0"/>
                <w:iCs w:val="0"/>
                <w:color w:val="auto"/>
                <w:sz w:val="24"/>
                <w:szCs w:val="24"/>
                <w:highlight w:val="none"/>
              </w:rPr>
              <w:t>竞标报价表（格式后附）；（</w:t>
            </w:r>
            <w:r>
              <w:rPr>
                <w:rFonts w:hint="eastAsia" w:ascii="宋体" w:hAnsi="宋体" w:eastAsia="宋体" w:cs="宋体"/>
                <w:b/>
                <w:i w:val="0"/>
                <w:iCs w:val="0"/>
                <w:color w:val="auto"/>
                <w:sz w:val="24"/>
                <w:szCs w:val="24"/>
                <w:highlight w:val="none"/>
              </w:rPr>
              <w:t>必须提供，</w:t>
            </w:r>
            <w:r>
              <w:rPr>
                <w:rFonts w:hint="eastAsia" w:ascii="宋体" w:hAnsi="宋体" w:eastAsia="宋体" w:cs="宋体"/>
                <w:b/>
                <w:i w:val="0"/>
                <w:iCs w:val="0"/>
                <w:color w:val="auto"/>
                <w:sz w:val="24"/>
                <w:szCs w:val="24"/>
                <w:highlight w:val="none"/>
                <w:lang w:eastAsia="zh-CN"/>
              </w:rPr>
              <w:t>否则响应文件按无效响应处理</w:t>
            </w:r>
            <w:r>
              <w:rPr>
                <w:rFonts w:hint="eastAsia" w:ascii="宋体" w:hAnsi="宋体" w:eastAsia="宋体" w:cs="宋体"/>
                <w:i w:val="0"/>
                <w:iCs w:val="0"/>
                <w:color w:val="auto"/>
                <w:sz w:val="24"/>
                <w:szCs w:val="24"/>
                <w:highlight w:val="none"/>
              </w:rPr>
              <w:t>）</w:t>
            </w:r>
          </w:p>
          <w:p w14:paraId="577F26D5">
            <w:pPr>
              <w:spacing w:line="360" w:lineRule="auto"/>
              <w:rPr>
                <w:rFonts w:hint="eastAsia" w:ascii="宋体" w:hAnsi="宋体" w:eastAsia="宋体" w:cs="宋体"/>
                <w:i w:val="0"/>
                <w:iCs w:val="0"/>
                <w:color w:val="auto"/>
                <w:sz w:val="24"/>
                <w:szCs w:val="24"/>
                <w:highlight w:val="none"/>
              </w:rPr>
            </w:pPr>
            <w:r>
              <w:rPr>
                <w:rFonts w:hint="eastAsia" w:ascii="宋体" w:hAnsi="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.供应商认为需要提供的其他有关资料。</w:t>
            </w:r>
          </w:p>
        </w:tc>
      </w:tr>
      <w:tr w14:paraId="25505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113C6242">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12.1.3</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7A5F51CC">
            <w:pPr>
              <w:spacing w:line="360" w:lineRule="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商务技术文件</w:t>
            </w:r>
          </w:p>
          <w:p w14:paraId="1A11D20B">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1.无串通竞标行为的承诺函（格式后附）；（</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586E61D6">
            <w:pPr>
              <w:spacing w:line="360" w:lineRule="auto"/>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2.法定代表人身份证明书及法定代表人有效身份证正反面复印件或扫描件（格式后附）；（</w:t>
            </w:r>
            <w:r>
              <w:rPr>
                <w:rFonts w:hint="eastAsia" w:ascii="宋体" w:hAnsi="宋体" w:eastAsia="宋体" w:cs="宋体"/>
                <w:b/>
                <w:bCs/>
                <w:i w:val="0"/>
                <w:iCs w:val="0"/>
                <w:color w:val="auto"/>
                <w:sz w:val="24"/>
                <w:szCs w:val="24"/>
                <w:highlight w:val="none"/>
              </w:rPr>
              <w:t>除自然人竞标外</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7755FEF8">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i w:val="0"/>
                <w:iCs w:val="0"/>
                <w:color w:val="auto"/>
                <w:sz w:val="24"/>
                <w:szCs w:val="24"/>
                <w:highlight w:val="none"/>
              </w:rPr>
              <w:t>3.授权委托书及委托代理人有效身份证正反面复印件或扫描件（格式后附）；（</w:t>
            </w:r>
            <w:r>
              <w:rPr>
                <w:rFonts w:hint="eastAsia" w:ascii="宋体" w:hAnsi="宋体" w:eastAsia="宋体" w:cs="宋体"/>
                <w:b/>
                <w:i w:val="0"/>
                <w:iCs w:val="0"/>
                <w:color w:val="auto"/>
                <w:sz w:val="24"/>
                <w:szCs w:val="24"/>
                <w:highlight w:val="none"/>
              </w:rPr>
              <w:t>委托时必须提供，否则响应文件按无效响应处理</w:t>
            </w:r>
            <w:r>
              <w:rPr>
                <w:rFonts w:hint="eastAsia" w:ascii="宋体" w:hAnsi="宋体" w:eastAsia="宋体" w:cs="宋体"/>
                <w:i w:val="0"/>
                <w:iCs w:val="0"/>
                <w:color w:val="auto"/>
                <w:sz w:val="24"/>
                <w:szCs w:val="24"/>
                <w:highlight w:val="none"/>
              </w:rPr>
              <w:t>）</w:t>
            </w:r>
          </w:p>
          <w:p w14:paraId="5408C533">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4.商务要求偏离表（格式后附）；（</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4AC9F9FD">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5.技术要求偏离表（格式后附）；（</w:t>
            </w:r>
            <w:r>
              <w:rPr>
                <w:rFonts w:hint="eastAsia" w:ascii="宋体" w:hAnsi="宋体" w:eastAsia="宋体" w:cs="宋体"/>
                <w:b/>
                <w:i w:val="0"/>
                <w:iCs w:val="0"/>
                <w:color w:val="auto"/>
                <w:sz w:val="24"/>
                <w:szCs w:val="24"/>
                <w:highlight w:val="none"/>
              </w:rPr>
              <w:t>必须提供，否则响应文件按无效响应处理</w:t>
            </w:r>
            <w:r>
              <w:rPr>
                <w:rFonts w:hint="eastAsia" w:ascii="宋体" w:hAnsi="宋体" w:eastAsia="宋体" w:cs="宋体"/>
                <w:i w:val="0"/>
                <w:iCs w:val="0"/>
                <w:color w:val="auto"/>
                <w:sz w:val="24"/>
                <w:szCs w:val="24"/>
                <w:highlight w:val="none"/>
              </w:rPr>
              <w:t>）</w:t>
            </w:r>
          </w:p>
          <w:p w14:paraId="0B13E7BC">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w:t>
            </w:r>
            <w:r>
              <w:rPr>
                <w:rFonts w:hint="eastAsia" w:ascii="宋体" w:hAnsi="宋体" w:eastAsia="宋体" w:cs="宋体"/>
                <w:bCs/>
                <w:i w:val="0"/>
                <w:iCs w:val="0"/>
                <w:color w:val="auto"/>
                <w:sz w:val="24"/>
                <w:szCs w:val="24"/>
                <w:highlight w:val="none"/>
              </w:rPr>
              <w:t>供应商可根据自身情况提供</w:t>
            </w:r>
            <w:r>
              <w:rPr>
                <w:rFonts w:hint="eastAsia" w:ascii="宋体" w:hAnsi="宋体" w:eastAsia="宋体" w:cs="宋体"/>
                <w:bCs/>
                <w:i w:val="0"/>
                <w:iCs w:val="0"/>
                <w:color w:val="auto"/>
                <w:sz w:val="24"/>
                <w:szCs w:val="24"/>
                <w:highlight w:val="none"/>
                <w:lang w:val="en-US" w:eastAsia="zh-CN"/>
              </w:rPr>
              <w:t>包含但不限于：拟投入本项目人员情况、</w:t>
            </w:r>
            <w:r>
              <w:rPr>
                <w:rFonts w:hint="eastAsia" w:ascii="宋体" w:hAnsi="宋体" w:cs="宋体"/>
                <w:bCs/>
                <w:i w:val="0"/>
                <w:iCs w:val="0"/>
                <w:color w:val="auto"/>
                <w:sz w:val="24"/>
                <w:szCs w:val="24"/>
                <w:highlight w:val="none"/>
                <w:lang w:val="en-US" w:eastAsia="zh-CN"/>
              </w:rPr>
              <w:t>项目业绩</w:t>
            </w:r>
            <w:r>
              <w:rPr>
                <w:rFonts w:hint="eastAsia" w:ascii="宋体" w:hAnsi="宋体" w:eastAsia="宋体" w:cs="宋体"/>
                <w:bCs/>
                <w:i w:val="0"/>
                <w:iCs w:val="0"/>
                <w:color w:val="auto"/>
                <w:sz w:val="24"/>
                <w:szCs w:val="24"/>
                <w:highlight w:val="none"/>
                <w:lang w:val="en-US" w:eastAsia="zh-CN"/>
              </w:rPr>
              <w:t>、服务方案、质量控制措施、安全及保密控制方案等内容</w:t>
            </w:r>
            <w:r>
              <w:rPr>
                <w:rFonts w:hint="eastAsia" w:ascii="宋体" w:hAnsi="宋体" w:eastAsia="宋体" w:cs="宋体"/>
                <w:i w:val="0"/>
                <w:iCs w:val="0"/>
                <w:color w:val="auto"/>
                <w:sz w:val="24"/>
                <w:szCs w:val="24"/>
                <w:highlight w:val="none"/>
              </w:rPr>
              <w:t>（格式自拟）；</w:t>
            </w:r>
          </w:p>
          <w:p w14:paraId="3A7E6FDA">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7.对应采购需求的技术要求、商务要求提供的其他文件资料（格式自拟）；</w:t>
            </w:r>
          </w:p>
          <w:p w14:paraId="7A256F4F">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8.供应商认为需要提供的其他有关资料。</w:t>
            </w:r>
          </w:p>
          <w:p w14:paraId="569AC8E0">
            <w:pPr>
              <w:spacing w:line="360" w:lineRule="auto"/>
              <w:jc w:val="left"/>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注：以上标明“必须提供”的材料属于复印件或扫描件的，必须加盖供应商</w:t>
            </w:r>
            <w:r>
              <w:rPr>
                <w:rFonts w:hint="eastAsia" w:ascii="宋体" w:hAnsi="宋体" w:eastAsia="宋体" w:cs="宋体"/>
                <w:b/>
                <w:bCs/>
                <w:i w:val="0"/>
                <w:iCs w:val="0"/>
                <w:color w:val="auto"/>
                <w:sz w:val="24"/>
                <w:szCs w:val="24"/>
                <w:highlight w:val="none"/>
              </w:rPr>
              <w:t>电子签章</w:t>
            </w:r>
            <w:r>
              <w:rPr>
                <w:rFonts w:hint="eastAsia" w:ascii="宋体" w:hAnsi="宋体" w:eastAsia="宋体" w:cs="宋体"/>
                <w:b/>
                <w:i w:val="0"/>
                <w:iCs w:val="0"/>
                <w:color w:val="auto"/>
                <w:sz w:val="24"/>
                <w:szCs w:val="24"/>
                <w:highlight w:val="none"/>
              </w:rPr>
              <w:t>，否则响应文件按无效响应处理。</w:t>
            </w:r>
          </w:p>
        </w:tc>
      </w:tr>
      <w:tr w14:paraId="53065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6E94063C">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60544775">
            <w:pPr>
              <w:spacing w:line="360" w:lineRule="auto"/>
              <w:ind w:firstLine="640"/>
              <w:contextualSpacing/>
              <w:jc w:val="left"/>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1.报价必须含以下部分，包括：（1）服务的价格；（2）必要的保险费用和各项税金；（3）其他（如劳务、管理、安装、调试、培训、技术支持、售后服务等费用）。</w:t>
            </w:r>
          </w:p>
          <w:p w14:paraId="4DCC0443">
            <w:pPr>
              <w:spacing w:line="360" w:lineRule="auto"/>
              <w:ind w:firstLine="640"/>
              <w:contextualSpacing/>
              <w:jc w:val="left"/>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lang w:val="en-US" w:eastAsia="zh-CN"/>
              </w:rPr>
              <w:t>2.本项目为包干价，采购人不再支付报价以外的任何其他费用。</w:t>
            </w:r>
          </w:p>
        </w:tc>
      </w:tr>
      <w:tr w14:paraId="273D5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4FFC4A00">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39C4D89D">
            <w:pPr>
              <w:spacing w:line="360" w:lineRule="auto"/>
              <w:ind w:firstLine="640"/>
              <w:contextualSpacing/>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竞标有效期：自首次响应文件提交截止之日起90日历天。</w:t>
            </w:r>
          </w:p>
        </w:tc>
      </w:tr>
      <w:tr w14:paraId="28106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01B3F21B">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76C796B0">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本项目不收取磋商保证金。</w:t>
            </w:r>
          </w:p>
          <w:p w14:paraId="32D0AA8B">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本项目收取磋商保证金，具体规定如下：</w:t>
            </w:r>
          </w:p>
          <w:p w14:paraId="614AB866">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磋商保证金人民币</w:t>
            </w:r>
            <w:r>
              <w:rPr>
                <w:rFonts w:hint="eastAsia" w:ascii="宋体" w:hAnsi="宋体" w:eastAsia="宋体" w:cs="宋体"/>
                <w:i w:val="0"/>
                <w:iCs w:val="0"/>
                <w:color w:val="auto"/>
                <w:sz w:val="24"/>
                <w:szCs w:val="24"/>
                <w:highlight w:val="none"/>
                <w:u w:val="single"/>
                <w:lang w:val="en-US" w:eastAsia="zh-CN"/>
              </w:rPr>
              <w:t xml:space="preserve">  /（¥ / ）</w:t>
            </w:r>
            <w:r>
              <w:rPr>
                <w:rFonts w:hint="eastAsia" w:ascii="宋体" w:hAnsi="宋体" w:eastAsia="宋体" w:cs="宋体"/>
                <w:i w:val="0"/>
                <w:iCs w:val="0"/>
                <w:color w:val="auto"/>
                <w:sz w:val="24"/>
                <w:szCs w:val="24"/>
                <w:highlight w:val="none"/>
              </w:rPr>
              <w:t>。</w:t>
            </w:r>
          </w:p>
          <w:p w14:paraId="71E9422A">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磋商保证金的交纳方式：银行转账、支票、汇票、本票或者银行、保险机构出具的保函（包含电子保函），禁止采用现钞方式。</w:t>
            </w:r>
          </w:p>
          <w:p w14:paraId="2557C58F">
            <w:pPr>
              <w:spacing w:line="360" w:lineRule="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采用银行转账方式的，在响应文件提交截止时间前交至指定账户</w:t>
            </w:r>
            <w:r>
              <w:rPr>
                <w:rFonts w:hint="eastAsia" w:ascii="宋体" w:hAnsi="宋体" w:eastAsia="宋体" w:cs="宋体"/>
                <w:i w:val="0"/>
                <w:iCs w:val="0"/>
                <w:color w:val="auto"/>
                <w:sz w:val="24"/>
                <w:szCs w:val="24"/>
                <w:highlight w:val="none"/>
                <w:lang w:eastAsia="zh-CN"/>
              </w:rPr>
              <w:t>：</w:t>
            </w:r>
          </w:p>
          <w:p w14:paraId="6E37C6CF">
            <w:pPr>
              <w:spacing w:line="360" w:lineRule="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lang w:eastAsia="zh-CN"/>
              </w:rPr>
              <w:t>户名：</w:t>
            </w:r>
            <w:r>
              <w:rPr>
                <w:rFonts w:hint="eastAsia" w:ascii="宋体" w:hAnsi="宋体" w:eastAsia="宋体" w:cs="宋体"/>
                <w:i w:val="0"/>
                <w:iCs w:val="0"/>
                <w:color w:val="auto"/>
                <w:sz w:val="24"/>
                <w:szCs w:val="24"/>
                <w:highlight w:val="none"/>
                <w:u w:val="single"/>
                <w:lang w:val="en-US" w:eastAsia="zh-CN"/>
              </w:rPr>
              <w:t xml:space="preserve">  /       </w:t>
            </w:r>
            <w:r>
              <w:rPr>
                <w:rFonts w:hint="eastAsia" w:ascii="宋体" w:hAnsi="宋体" w:eastAsia="宋体" w:cs="宋体"/>
                <w:i w:val="0"/>
                <w:iCs w:val="0"/>
                <w:color w:val="auto"/>
                <w:sz w:val="24"/>
                <w:szCs w:val="24"/>
                <w:highlight w:val="none"/>
                <w:lang w:eastAsia="zh-CN"/>
              </w:rPr>
              <w:t>；</w:t>
            </w:r>
          </w:p>
          <w:p w14:paraId="24F9F3A8">
            <w:pPr>
              <w:spacing w:line="360" w:lineRule="auto"/>
              <w:ind w:left="320" w:hanging="32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eastAsia="zh-CN"/>
              </w:rPr>
              <w:t>开户行及子账号：</w:t>
            </w:r>
            <w:r>
              <w:rPr>
                <w:rFonts w:hint="eastAsia" w:ascii="宋体" w:hAnsi="宋体" w:eastAsia="宋体" w:cs="宋体"/>
                <w:i w:val="0"/>
                <w:iCs w:val="0"/>
                <w:color w:val="auto"/>
                <w:sz w:val="24"/>
                <w:szCs w:val="24"/>
                <w:highlight w:val="none"/>
                <w:u w:val="single"/>
                <w:lang w:val="en-US" w:eastAsia="zh-CN"/>
              </w:rPr>
              <w:t xml:space="preserve">   /        </w:t>
            </w:r>
          </w:p>
          <w:p w14:paraId="5099FD9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采用支票、汇票、本票或者保函等方式的，在响应文件提交截止时间前，供应商必须提交单独密封的支票、汇票、本票或者保函原件。否则视为无效磋商保证金。</w:t>
            </w:r>
          </w:p>
          <w:p w14:paraId="0F5744AE">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相关要求：</w:t>
            </w:r>
          </w:p>
          <w:p w14:paraId="6A98C715">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1.磋商保证金采用银行转账交纳方式的，在响应文件提交截止时间前交至指定账户并且到账，供应商应将银行转账底单的复印件或扫描件作为磋商保证金提交凭证，放置于商务技术文件中，</w:t>
            </w:r>
            <w:r>
              <w:rPr>
                <w:rFonts w:hint="eastAsia" w:ascii="宋体" w:hAnsi="宋体" w:eastAsia="宋体" w:cs="宋体"/>
                <w:b/>
                <w:i w:val="0"/>
                <w:iCs w:val="0"/>
                <w:color w:val="auto"/>
                <w:sz w:val="24"/>
                <w:szCs w:val="24"/>
                <w:highlight w:val="none"/>
              </w:rPr>
              <w:t>否则响应文件按无效响应处理</w:t>
            </w:r>
            <w:r>
              <w:rPr>
                <w:rFonts w:hint="eastAsia" w:ascii="宋体" w:hAnsi="宋体" w:eastAsia="宋体" w:cs="宋体"/>
                <w:i w:val="0"/>
                <w:iCs w:val="0"/>
                <w:color w:val="auto"/>
                <w:sz w:val="24"/>
                <w:szCs w:val="24"/>
                <w:highlight w:val="none"/>
              </w:rPr>
              <w:t>。</w:t>
            </w:r>
          </w:p>
          <w:p w14:paraId="77E19338">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磋商保证金采用支票、汇票、本票或者银行、保险机构出具的保函（包含电子保函）交纳方式的，供应商应将支票、汇票、本票或者银行、保险机构出具的保函（包含电子保函）的复印件或扫描件作为磋商保证金提交凭证，放置于商务技术文件中，</w:t>
            </w:r>
            <w:r>
              <w:rPr>
                <w:rFonts w:hint="eastAsia" w:ascii="宋体" w:hAnsi="宋体" w:eastAsia="宋体" w:cs="宋体"/>
                <w:b/>
                <w:i w:val="0"/>
                <w:iCs w:val="0"/>
                <w:color w:val="auto"/>
                <w:sz w:val="24"/>
                <w:szCs w:val="24"/>
                <w:highlight w:val="none"/>
                <w:lang w:eastAsia="zh-CN"/>
              </w:rPr>
              <w:t>否则响应文件按无效响应处理</w:t>
            </w:r>
            <w:r>
              <w:rPr>
                <w:rFonts w:hint="eastAsia" w:ascii="宋体" w:hAnsi="宋体" w:eastAsia="宋体" w:cs="宋体"/>
                <w:i w:val="0"/>
                <w:iCs w:val="0"/>
                <w:color w:val="auto"/>
                <w:sz w:val="24"/>
                <w:szCs w:val="24"/>
                <w:highlight w:val="none"/>
              </w:rPr>
              <w:t>。供应商必须在响应文件提交截止时间前采用现场或邮寄方式（现场提交地址：</w:t>
            </w:r>
            <w:r>
              <w:rPr>
                <w:rFonts w:hint="eastAsia" w:ascii="宋体" w:hAnsi="宋体" w:eastAsia="宋体" w:cs="宋体"/>
                <w:i w:val="0"/>
                <w:iCs w:val="0"/>
                <w:color w:val="auto"/>
                <w:sz w:val="24"/>
                <w:szCs w:val="24"/>
                <w:highlight w:val="none"/>
                <w:u w:val="single"/>
                <w:lang w:val="en-US" w:eastAsia="zh-CN"/>
              </w:rPr>
              <w:t xml:space="preserve"> /  </w:t>
            </w:r>
            <w:r>
              <w:rPr>
                <w:rFonts w:hint="eastAsia" w:ascii="宋体" w:hAnsi="宋体" w:eastAsia="宋体" w:cs="宋体"/>
                <w:i w:val="0"/>
                <w:iCs w:val="0"/>
                <w:color w:val="auto"/>
                <w:sz w:val="24"/>
                <w:szCs w:val="24"/>
                <w:highlight w:val="none"/>
              </w:rPr>
              <w:t>；邮寄地址：</w:t>
            </w:r>
            <w:r>
              <w:rPr>
                <w:rFonts w:hint="eastAsia" w:ascii="宋体" w:hAnsi="宋体" w:eastAsia="宋体" w:cs="宋体"/>
                <w:i w:val="0"/>
                <w:iCs w:val="0"/>
                <w:color w:val="auto"/>
                <w:sz w:val="24"/>
                <w:szCs w:val="24"/>
                <w:highlight w:val="none"/>
                <w:u w:val="single"/>
                <w:lang w:val="en-US" w:eastAsia="zh-CN"/>
              </w:rPr>
              <w:t xml:space="preserve"> /  </w:t>
            </w:r>
            <w:r>
              <w:rPr>
                <w:rFonts w:hint="eastAsia" w:ascii="宋体" w:hAnsi="宋体" w:eastAsia="宋体" w:cs="宋体"/>
                <w:i w:val="0"/>
                <w:iCs w:val="0"/>
                <w:color w:val="auto"/>
                <w:sz w:val="24"/>
                <w:szCs w:val="24"/>
                <w:highlight w:val="none"/>
              </w:rPr>
              <w:t>，收件人：</w:t>
            </w:r>
            <w:r>
              <w:rPr>
                <w:rFonts w:hint="eastAsia" w:ascii="宋体" w:hAnsi="宋体" w:eastAsia="宋体" w:cs="宋体"/>
                <w:i w:val="0"/>
                <w:iCs w:val="0"/>
                <w:color w:val="auto"/>
                <w:sz w:val="24"/>
                <w:szCs w:val="24"/>
                <w:highlight w:val="none"/>
                <w:u w:val="single"/>
                <w:lang w:val="en-US" w:eastAsia="zh-CN"/>
              </w:rPr>
              <w:t xml:space="preserve"> /  </w:t>
            </w:r>
            <w:r>
              <w:rPr>
                <w:rFonts w:hint="eastAsia" w:ascii="宋体" w:hAnsi="宋体" w:eastAsia="宋体" w:cs="宋体"/>
                <w:i w:val="0"/>
                <w:iCs w:val="0"/>
                <w:color w:val="auto"/>
                <w:sz w:val="24"/>
                <w:szCs w:val="24"/>
                <w:highlight w:val="none"/>
              </w:rPr>
              <w:t>，联系方式：</w:t>
            </w:r>
            <w:r>
              <w:rPr>
                <w:rFonts w:hint="eastAsia" w:ascii="宋体" w:hAnsi="宋体" w:eastAsia="宋体" w:cs="宋体"/>
                <w:i w:val="0"/>
                <w:iCs w:val="0"/>
                <w:color w:val="auto"/>
                <w:sz w:val="24"/>
                <w:szCs w:val="24"/>
                <w:highlight w:val="none"/>
                <w:u w:val="single"/>
                <w:lang w:val="en-US" w:eastAsia="zh-CN"/>
              </w:rPr>
              <w:t xml:space="preserve"> /  </w:t>
            </w:r>
            <w:r>
              <w:rPr>
                <w:rFonts w:hint="eastAsia" w:ascii="宋体" w:hAnsi="宋体" w:eastAsia="宋体" w:cs="宋体"/>
                <w:i w:val="0"/>
                <w:iCs w:val="0"/>
                <w:color w:val="auto"/>
                <w:sz w:val="24"/>
                <w:szCs w:val="24"/>
                <w:highlight w:val="none"/>
              </w:rPr>
              <w:t>）将单独密封的支票、汇票、本票或者银行、保险机构出具的保函原件提交给采购人或者采购代理机构，由采购人或者采购代理机构向供应商出具回执（邮寄方式的除外），并妥善保管。</w:t>
            </w:r>
          </w:p>
          <w:p w14:paraId="7AAE3691">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i w:val="0"/>
                <w:iCs w:val="0"/>
                <w:color w:val="auto"/>
                <w:sz w:val="24"/>
                <w:szCs w:val="24"/>
                <w:highlight w:val="none"/>
              </w:rPr>
              <w:t>3.供应商为联合体的，可以由联合体中的一方或者多方共同交纳磋商保证金，其交纳的保证金对联合体各方均具有约束力。</w:t>
            </w:r>
          </w:p>
          <w:p w14:paraId="4A059519">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备注：</w:t>
            </w:r>
          </w:p>
          <w:p w14:paraId="6FB92475">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1.磋商保证金在响应文件提交截止时间后提交的，或者不按规定交纳方式交纳的，或者未足额交纳的（包含保函额度不足的），视为无效磋商保证金。</w:t>
            </w:r>
          </w:p>
          <w:p w14:paraId="64E8B682">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2.供应商采用现钞方式或者从个人账户（自然人竞标除外）转出的磋商保证金，视为无效磋商保证金。</w:t>
            </w:r>
          </w:p>
          <w:p w14:paraId="0FFFB6F0">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3.支票、汇票或者本票出现无效或者背书情形的，视为无效磋商保证金。</w:t>
            </w:r>
          </w:p>
          <w:p w14:paraId="3879DD19">
            <w:pPr>
              <w:spacing w:line="360" w:lineRule="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4.保函有效期低于竞标有效期的，视为无效磋商保证金。</w:t>
            </w:r>
          </w:p>
          <w:p w14:paraId="3E0AF5E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b/>
                <w:i w:val="0"/>
                <w:iCs w:val="0"/>
                <w:color w:val="auto"/>
                <w:sz w:val="24"/>
                <w:szCs w:val="24"/>
                <w:highlight w:val="none"/>
              </w:rPr>
              <w:t>5.采用银行、保险机构出具保函的，必须为无条件保函，否则视为无效磋商保证金。</w:t>
            </w:r>
          </w:p>
        </w:tc>
      </w:tr>
      <w:tr w14:paraId="434D0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625C4AA6">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19</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0512A2CF">
            <w:pPr>
              <w:spacing w:line="360" w:lineRule="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本项目不接受电子备份响应文件</w:t>
            </w:r>
            <w:r>
              <w:rPr>
                <w:rFonts w:hint="eastAsia" w:ascii="宋体" w:hAnsi="宋体" w:eastAsia="宋体" w:cs="宋体"/>
                <w:i w:val="0"/>
                <w:iCs w:val="0"/>
                <w:color w:val="auto"/>
                <w:sz w:val="24"/>
                <w:szCs w:val="24"/>
                <w:highlight w:val="none"/>
                <w:lang w:eastAsia="zh-CN"/>
              </w:rPr>
              <w:t>。</w:t>
            </w:r>
          </w:p>
        </w:tc>
      </w:tr>
      <w:tr w14:paraId="3BE46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250D16CD">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20.1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732BC04E">
            <w:pPr>
              <w:spacing w:line="360" w:lineRule="auto"/>
              <w:contextualSpacing/>
              <w:jc w:val="left"/>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响应文件提交截止时间：详见竞争性磋商公告。</w:t>
            </w:r>
          </w:p>
          <w:p w14:paraId="5EE58139">
            <w:pPr>
              <w:spacing w:line="360" w:lineRule="auto"/>
              <w:contextualSpacing/>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响应文件提交地点：详见竞争性磋商公告。</w:t>
            </w:r>
          </w:p>
        </w:tc>
      </w:tr>
      <w:tr w14:paraId="4A1F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6514E17C">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4EE915E3">
            <w:pPr>
              <w:spacing w:line="360" w:lineRule="auto"/>
              <w:jc w:val="left"/>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磋商小组的人数：</w:t>
            </w:r>
            <w:r>
              <w:rPr>
                <w:rFonts w:hint="eastAsia" w:ascii="宋体" w:hAnsi="宋体" w:eastAsia="宋体" w:cs="宋体"/>
                <w:i w:val="0"/>
                <w:iCs w:val="0"/>
                <w:color w:val="auto"/>
                <w:sz w:val="24"/>
                <w:szCs w:val="24"/>
                <w:highlight w:val="none"/>
                <w:u w:val="single"/>
              </w:rPr>
              <w:t>3</w:t>
            </w:r>
            <w:r>
              <w:rPr>
                <w:rFonts w:hint="eastAsia" w:ascii="宋体" w:hAnsi="宋体" w:eastAsia="宋体" w:cs="宋体"/>
                <w:i w:val="0"/>
                <w:iCs w:val="0"/>
                <w:color w:val="auto"/>
                <w:sz w:val="24"/>
                <w:szCs w:val="24"/>
                <w:highlight w:val="none"/>
              </w:rPr>
              <w:t>人。</w:t>
            </w:r>
          </w:p>
        </w:tc>
      </w:tr>
      <w:tr w14:paraId="3FCE5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4F7EECF3">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1AC957CF">
            <w:pPr>
              <w:spacing w:line="360" w:lineRule="auto"/>
              <w:jc w:val="left"/>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首次响应文件开启时间详见竞争性磋商公告</w:t>
            </w:r>
            <w:r>
              <w:rPr>
                <w:rFonts w:hint="eastAsia" w:ascii="宋体" w:hAnsi="宋体" w:eastAsia="宋体" w:cs="宋体"/>
                <w:i w:val="0"/>
                <w:iCs w:val="0"/>
                <w:color w:val="auto"/>
                <w:sz w:val="24"/>
                <w:szCs w:val="24"/>
                <w:highlight w:val="none"/>
                <w:lang w:eastAsia="zh-CN"/>
              </w:rPr>
              <w:t>。</w:t>
            </w:r>
          </w:p>
          <w:p w14:paraId="41E7EE4E">
            <w:pPr>
              <w:spacing w:line="360" w:lineRule="auto"/>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首次响应文件解密时间：</w:t>
            </w:r>
            <w:r>
              <w:rPr>
                <w:rFonts w:hint="eastAsia" w:ascii="宋体" w:hAnsi="宋体" w:eastAsia="宋体" w:cs="宋体"/>
                <w:i w:val="0"/>
                <w:iCs w:val="0"/>
                <w:color w:val="auto"/>
                <w:sz w:val="24"/>
                <w:szCs w:val="24"/>
                <w:highlight w:val="none"/>
                <w:u w:val="single"/>
              </w:rPr>
              <w:t>30</w:t>
            </w:r>
            <w:r>
              <w:rPr>
                <w:rFonts w:hint="eastAsia" w:ascii="宋体" w:hAnsi="宋体" w:eastAsia="宋体" w:cs="宋体"/>
                <w:i w:val="0"/>
                <w:iCs w:val="0"/>
                <w:color w:val="auto"/>
                <w:sz w:val="24"/>
                <w:szCs w:val="24"/>
                <w:highlight w:val="none"/>
              </w:rPr>
              <w:t>分钟</w:t>
            </w:r>
          </w:p>
        </w:tc>
      </w:tr>
      <w:tr w14:paraId="2D838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442A7C4C">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26.3</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6480EECA">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分标</w:t>
            </w:r>
            <w:r>
              <w:rPr>
                <w:rFonts w:hint="eastAsia" w:ascii="宋体" w:hAnsi="宋体" w:cs="宋体"/>
                <w:i w:val="0"/>
                <w:iCs w:val="0"/>
                <w:color w:val="auto"/>
                <w:sz w:val="24"/>
                <w:szCs w:val="24"/>
                <w:highlight w:val="none"/>
                <w:lang w:val="en-US" w:eastAsia="zh-CN"/>
              </w:rPr>
              <w:t>1、分标2</w:t>
            </w:r>
            <w:r>
              <w:rPr>
                <w:rFonts w:hint="eastAsia" w:ascii="宋体" w:hAnsi="宋体" w:eastAsia="宋体" w:cs="宋体"/>
                <w:i w:val="0"/>
                <w:iCs w:val="0"/>
                <w:color w:val="auto"/>
                <w:sz w:val="24"/>
                <w:szCs w:val="24"/>
                <w:highlight w:val="none"/>
              </w:rPr>
              <w:t>商务要求评审中允许负偏离的条款数为</w:t>
            </w:r>
            <w:r>
              <w:rPr>
                <w:rFonts w:hint="eastAsia" w:ascii="宋体" w:hAnsi="宋体" w:eastAsia="宋体" w:cs="宋体"/>
                <w:i w:val="0"/>
                <w:iCs w:val="0"/>
                <w:color w:val="auto"/>
                <w:sz w:val="24"/>
                <w:szCs w:val="24"/>
                <w:highlight w:val="none"/>
                <w:u w:val="single"/>
              </w:rPr>
              <w:t>0</w:t>
            </w:r>
            <w:r>
              <w:rPr>
                <w:rFonts w:hint="eastAsia" w:ascii="宋体" w:hAnsi="宋体" w:eastAsia="宋体" w:cs="宋体"/>
                <w:i w:val="0"/>
                <w:iCs w:val="0"/>
                <w:color w:val="auto"/>
                <w:sz w:val="24"/>
                <w:szCs w:val="24"/>
                <w:highlight w:val="none"/>
              </w:rPr>
              <w:t>项。</w:t>
            </w:r>
          </w:p>
          <w:p w14:paraId="5131CB05">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分标</w:t>
            </w:r>
            <w:r>
              <w:rPr>
                <w:rFonts w:hint="eastAsia" w:ascii="宋体" w:hAnsi="宋体" w:cs="宋体"/>
                <w:i w:val="0"/>
                <w:iCs w:val="0"/>
                <w:color w:val="auto"/>
                <w:sz w:val="24"/>
                <w:szCs w:val="24"/>
                <w:highlight w:val="none"/>
                <w:lang w:val="en-US" w:eastAsia="zh-CN"/>
              </w:rPr>
              <w:t>1、分标2</w:t>
            </w:r>
            <w:r>
              <w:rPr>
                <w:rFonts w:hint="eastAsia" w:ascii="宋体" w:hAnsi="宋体" w:eastAsia="宋体" w:cs="宋体"/>
                <w:i w:val="0"/>
                <w:iCs w:val="0"/>
                <w:color w:val="auto"/>
                <w:sz w:val="24"/>
                <w:szCs w:val="24"/>
                <w:highlight w:val="none"/>
              </w:rPr>
              <w:t>技术要求评审中允许负偏离的条款数为</w:t>
            </w:r>
            <w:r>
              <w:rPr>
                <w:rFonts w:hint="eastAsia" w:ascii="宋体" w:hAnsi="宋体" w:eastAsia="宋体" w:cs="宋体"/>
                <w:i w:val="0"/>
                <w:iCs w:val="0"/>
                <w:color w:val="auto"/>
                <w:sz w:val="24"/>
                <w:szCs w:val="24"/>
                <w:highlight w:val="none"/>
                <w:u w:val="single"/>
                <w:lang w:val="en-US" w:eastAsia="zh-CN"/>
              </w:rPr>
              <w:t>0</w:t>
            </w:r>
            <w:r>
              <w:rPr>
                <w:rFonts w:hint="eastAsia" w:ascii="宋体" w:hAnsi="宋体" w:eastAsia="宋体" w:cs="宋体"/>
                <w:i w:val="0"/>
                <w:iCs w:val="0"/>
                <w:color w:val="auto"/>
                <w:sz w:val="24"/>
                <w:szCs w:val="24"/>
                <w:highlight w:val="none"/>
              </w:rPr>
              <w:t>项。</w:t>
            </w:r>
          </w:p>
        </w:tc>
      </w:tr>
      <w:tr w14:paraId="08CA5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2265F71F">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28.1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1FA3AA34">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☑本项目不收取履约保证金。</w:t>
            </w:r>
          </w:p>
          <w:p w14:paraId="29108E47">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□本项目收取履约保证金，具体规定如下：</w:t>
            </w:r>
          </w:p>
          <w:p w14:paraId="5ABBA026">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1.履约保证金金额：。</w:t>
            </w:r>
          </w:p>
          <w:p w14:paraId="0FBEEE64">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2.履约保证金递交方式：银行转账、支票、汇票、本票或者银行、保险机构出具的保函等非现金方式。</w:t>
            </w:r>
          </w:p>
          <w:p w14:paraId="0A11BF6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eastAsia="zh-CN"/>
              </w:rPr>
              <w:t>3.履约保证金缴纳期限</w:t>
            </w:r>
            <w:r>
              <w:rPr>
                <w:rFonts w:hint="eastAsia" w:ascii="宋体" w:hAnsi="宋体" w:eastAsia="宋体" w:cs="宋体"/>
                <w:i w:val="0"/>
                <w:iCs w:val="0"/>
                <w:color w:val="auto"/>
                <w:sz w:val="24"/>
                <w:szCs w:val="24"/>
                <w:highlight w:val="none"/>
              </w:rPr>
              <w:t>:自成交通知书发出之日起7日内。</w:t>
            </w:r>
          </w:p>
          <w:p w14:paraId="78D95487">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4.履约保证金退付方式、时间及条件：履约保证金在</w:t>
            </w:r>
            <w:r>
              <w:rPr>
                <w:rFonts w:hint="eastAsia" w:ascii="宋体" w:hAnsi="宋体" w:eastAsia="宋体" w:cs="宋体"/>
                <w:i w:val="0"/>
                <w:iCs w:val="0"/>
                <w:color w:val="auto"/>
                <w:sz w:val="24"/>
                <w:szCs w:val="24"/>
                <w:highlight w:val="none"/>
                <w:lang w:val="en"/>
              </w:rPr>
              <w:t>成交供应商</w:t>
            </w:r>
            <w:r>
              <w:rPr>
                <w:rFonts w:hint="eastAsia" w:ascii="宋体" w:hAnsi="宋体" w:eastAsia="宋体" w:cs="宋体"/>
                <w:i w:val="0"/>
                <w:iCs w:val="0"/>
                <w:color w:val="auto"/>
                <w:sz w:val="24"/>
                <w:szCs w:val="24"/>
                <w:highlight w:val="none"/>
              </w:rPr>
              <w:t>按合同约定的服务期完成全部服务内容后，经采购人对服务水准认可合格后5个工作日内采购人无息返还。</w:t>
            </w:r>
          </w:p>
          <w:p w14:paraId="13F2B6C5">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5.履约保证金指定账户：</w:t>
            </w:r>
          </w:p>
          <w:p w14:paraId="2114FA1D">
            <w:pPr>
              <w:spacing w:line="360" w:lineRule="auto"/>
              <w:rPr>
                <w:rFonts w:hint="eastAsia" w:ascii="宋体" w:hAnsi="宋体" w:eastAsia="宋体" w:cs="宋体"/>
                <w:i w:val="0"/>
                <w:iCs w:val="0"/>
                <w:color w:val="auto"/>
                <w:sz w:val="24"/>
                <w:szCs w:val="24"/>
                <w:highlight w:val="none"/>
                <w:u w:val="single"/>
                <w:lang w:val="en-US" w:eastAsia="zh-CN"/>
              </w:rPr>
            </w:pPr>
            <w:r>
              <w:rPr>
                <w:rFonts w:hint="eastAsia" w:ascii="宋体" w:hAnsi="宋体" w:eastAsia="宋体" w:cs="宋体"/>
                <w:i w:val="0"/>
                <w:iCs w:val="0"/>
                <w:color w:val="auto"/>
                <w:sz w:val="24"/>
                <w:szCs w:val="24"/>
                <w:highlight w:val="none"/>
              </w:rPr>
              <w:t>开户名称：</w:t>
            </w:r>
            <w:r>
              <w:rPr>
                <w:rFonts w:hint="eastAsia" w:ascii="宋体" w:hAnsi="宋体" w:eastAsia="宋体" w:cs="宋体"/>
                <w:i w:val="0"/>
                <w:iCs w:val="0"/>
                <w:color w:val="auto"/>
                <w:sz w:val="24"/>
                <w:szCs w:val="24"/>
                <w:highlight w:val="none"/>
                <w:u w:val="single"/>
                <w:lang w:val="en-US" w:eastAsia="zh-CN"/>
              </w:rPr>
              <w:t xml:space="preserve"> /  </w:t>
            </w:r>
          </w:p>
          <w:p w14:paraId="20AB2F82">
            <w:pPr>
              <w:spacing w:line="360" w:lineRule="auto"/>
              <w:rPr>
                <w:rFonts w:hint="eastAsia" w:ascii="宋体" w:hAnsi="宋体" w:eastAsia="宋体" w:cs="宋体"/>
                <w:i w:val="0"/>
                <w:iCs w:val="0"/>
                <w:color w:val="auto"/>
                <w:sz w:val="24"/>
                <w:szCs w:val="24"/>
                <w:highlight w:val="none"/>
                <w:u w:val="single"/>
                <w:lang w:val="en-US" w:eastAsia="zh-CN"/>
              </w:rPr>
            </w:pPr>
            <w:r>
              <w:rPr>
                <w:rFonts w:hint="eastAsia" w:ascii="宋体" w:hAnsi="宋体" w:eastAsia="宋体" w:cs="宋体"/>
                <w:i w:val="0"/>
                <w:iCs w:val="0"/>
                <w:color w:val="auto"/>
                <w:sz w:val="24"/>
                <w:szCs w:val="24"/>
                <w:highlight w:val="none"/>
              </w:rPr>
              <w:t>开户银行：</w:t>
            </w:r>
            <w:r>
              <w:rPr>
                <w:rFonts w:hint="eastAsia" w:ascii="宋体" w:hAnsi="宋体" w:eastAsia="宋体" w:cs="宋体"/>
                <w:i w:val="0"/>
                <w:iCs w:val="0"/>
                <w:color w:val="auto"/>
                <w:sz w:val="24"/>
                <w:szCs w:val="24"/>
                <w:highlight w:val="none"/>
                <w:u w:val="single"/>
                <w:lang w:val="en-US" w:eastAsia="zh-CN"/>
              </w:rPr>
              <w:t xml:space="preserve"> /  </w:t>
            </w:r>
          </w:p>
          <w:p w14:paraId="7030E1E4">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银行账号：</w:t>
            </w:r>
            <w:r>
              <w:rPr>
                <w:rFonts w:hint="eastAsia" w:ascii="宋体" w:hAnsi="宋体" w:eastAsia="宋体" w:cs="宋体"/>
                <w:i w:val="0"/>
                <w:iCs w:val="0"/>
                <w:color w:val="auto"/>
                <w:sz w:val="24"/>
                <w:szCs w:val="24"/>
                <w:highlight w:val="none"/>
                <w:u w:val="single"/>
                <w:lang w:val="en-US" w:eastAsia="zh-CN"/>
              </w:rPr>
              <w:t xml:space="preserve"> /  </w:t>
            </w:r>
          </w:p>
          <w:p w14:paraId="187948D6">
            <w:pPr>
              <w:spacing w:line="360" w:lineRule="auto"/>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备注：</w:t>
            </w:r>
          </w:p>
          <w:p w14:paraId="5DA69529">
            <w:pPr>
              <w:spacing w:line="360" w:lineRule="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w:t>
            </w:r>
            <w:bookmarkStart w:id="62" w:name="_Hlk54170335"/>
            <w:r>
              <w:rPr>
                <w:rFonts w:hint="eastAsia" w:ascii="宋体" w:hAnsi="宋体" w:eastAsia="宋体" w:cs="宋体"/>
                <w:b/>
                <w:i w:val="0"/>
                <w:iCs w:val="0"/>
                <w:color w:val="auto"/>
                <w:sz w:val="24"/>
                <w:szCs w:val="24"/>
                <w:highlight w:val="none"/>
              </w:rPr>
              <w:t>根据《广西壮族自治区财政厅关于规范政府采购货物和服务项目保证金管理的通知》（桂财规〔2022〕8号）的规定</w:t>
            </w:r>
            <w:r>
              <w:rPr>
                <w:rFonts w:hint="eastAsia" w:ascii="宋体" w:hAnsi="宋体" w:eastAsia="宋体" w:cs="宋体"/>
                <w:b/>
                <w:bCs/>
                <w:i w:val="0"/>
                <w:iCs w:val="0"/>
                <w:color w:val="auto"/>
                <w:sz w:val="24"/>
                <w:szCs w:val="24"/>
                <w:highlight w:val="none"/>
              </w:rPr>
              <w:t>，鼓励采购人在与中小微企业签订政府采购合同时，减少或免于收取履约保证金，有必要收取履约保证金的，收取的履约保证金不得超过政府采购合同金额的2%。</w:t>
            </w:r>
            <w:bookmarkEnd w:id="62"/>
          </w:p>
          <w:p w14:paraId="07B27CA1">
            <w:pPr>
              <w:spacing w:line="360" w:lineRule="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2F3171DC">
            <w:pPr>
              <w:spacing w:line="360" w:lineRule="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3.采用银行、保险机构出具的保函的，必须为无条件保函，否则不予签订合同。</w:t>
            </w:r>
          </w:p>
          <w:p w14:paraId="4DBF283C">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b/>
                <w:bCs/>
                <w:i w:val="0"/>
                <w:iCs w:val="0"/>
                <w:color w:val="auto"/>
                <w:sz w:val="24"/>
                <w:szCs w:val="24"/>
                <w:highlight w:val="none"/>
              </w:rPr>
              <w:t>4.供应商为联合体的，由联合体其中一方按规定提交的履约保证金，视为有效履约保证金。</w:t>
            </w:r>
          </w:p>
        </w:tc>
      </w:tr>
      <w:tr w14:paraId="57D1D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0C2644C9">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5511842C">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签订合同携带的证明材料： 使用有效的CA证书加盖单位电子公章</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法定代表人电子签名</w:t>
            </w:r>
            <w:r>
              <w:rPr>
                <w:rFonts w:hint="eastAsia" w:ascii="宋体" w:hAnsi="宋体" w:eastAsia="宋体" w:cs="宋体"/>
                <w:i w:val="0"/>
                <w:iCs w:val="0"/>
                <w:color w:val="auto"/>
                <w:sz w:val="24"/>
                <w:szCs w:val="24"/>
                <w:highlight w:val="none"/>
              </w:rPr>
              <w:t>。</w:t>
            </w:r>
          </w:p>
        </w:tc>
      </w:tr>
      <w:tr w14:paraId="2F2BC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70681748">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21CCF0DE">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接收质疑函方式：以书面形式。</w:t>
            </w:r>
          </w:p>
          <w:p w14:paraId="6E94A9AF">
            <w:pPr>
              <w:spacing w:line="360" w:lineRule="auto"/>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质疑联系部门及联系方式：云之龙咨询集团有限公司来宾分公司</w:t>
            </w:r>
            <w:r>
              <w:rPr>
                <w:rFonts w:hint="eastAsia" w:ascii="宋体" w:hAnsi="宋体" w:eastAsia="宋体" w:cs="宋体"/>
                <w:i w:val="0"/>
                <w:iCs w:val="0"/>
                <w:color w:val="auto"/>
                <w:sz w:val="24"/>
                <w:szCs w:val="24"/>
                <w:highlight w:val="none"/>
                <w:lang w:val="en-US" w:eastAsia="zh-CN"/>
              </w:rPr>
              <w:t>咨询</w:t>
            </w:r>
            <w:r>
              <w:rPr>
                <w:rFonts w:hint="eastAsia" w:ascii="宋体" w:hAnsi="宋体" w:eastAsia="宋体" w:cs="宋体"/>
                <w:i w:val="0"/>
                <w:iCs w:val="0"/>
                <w:color w:val="auto"/>
                <w:sz w:val="24"/>
                <w:szCs w:val="24"/>
                <w:highlight w:val="none"/>
              </w:rPr>
              <w:t>部，联系电话：0772-4299199，通讯地址：</w:t>
            </w:r>
            <w:r>
              <w:rPr>
                <w:rFonts w:hint="eastAsia" w:ascii="宋体" w:hAnsi="宋体" w:eastAsia="宋体" w:cs="宋体"/>
                <w:i w:val="0"/>
                <w:iCs w:val="0"/>
                <w:color w:val="auto"/>
                <w:sz w:val="24"/>
                <w:szCs w:val="24"/>
                <w:highlight w:val="none"/>
                <w:lang w:eastAsia="zh-CN"/>
              </w:rPr>
              <w:t>广西来宾市兴宾区星城路39号泰安国际酒店5楼。</w:t>
            </w:r>
          </w:p>
          <w:p w14:paraId="7E09C673">
            <w:pPr>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业务时间：工作日每天上午8时00分到12时00分，下午3时00分到6时00分。</w:t>
            </w:r>
          </w:p>
        </w:tc>
      </w:tr>
      <w:tr w14:paraId="56B13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7B1F554E">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32.1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6029BB1D">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1.采购代理费支付方式：</w:t>
            </w:r>
          </w:p>
          <w:p w14:paraId="334EB7FC">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☑本项目代理服务费由</w:t>
            </w:r>
            <w:r>
              <w:rPr>
                <w:rFonts w:hint="eastAsia" w:ascii="宋体" w:hAnsi="宋体" w:eastAsia="宋体" w:cs="宋体"/>
                <w:i w:val="0"/>
                <w:iCs w:val="0"/>
                <w:color w:val="auto"/>
                <w:sz w:val="24"/>
                <w:szCs w:val="24"/>
                <w:highlight w:val="none"/>
                <w:u w:val="single"/>
                <w:lang w:val="en-US" w:eastAsia="zh-CN"/>
              </w:rPr>
              <w:t>成交供应商</w:t>
            </w:r>
            <w:r>
              <w:rPr>
                <w:rFonts w:hint="eastAsia" w:ascii="宋体" w:hAnsi="宋体" w:eastAsia="宋体" w:cs="宋体"/>
                <w:i w:val="0"/>
                <w:iCs w:val="0"/>
                <w:color w:val="auto"/>
                <w:sz w:val="24"/>
                <w:szCs w:val="24"/>
                <w:highlight w:val="none"/>
                <w:lang w:val="en-US" w:eastAsia="zh-CN"/>
              </w:rPr>
              <w:t>一次性向采购代理机构支付。</w:t>
            </w:r>
          </w:p>
          <w:p w14:paraId="1AD3D103">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□采购人支付。</w:t>
            </w:r>
          </w:p>
          <w:p w14:paraId="1924FC87">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2.采购代理费收取标准：</w:t>
            </w:r>
          </w:p>
          <w:p w14:paraId="011CBD3E">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以分标（□成交金额/☑采购预算/□暂定成交金额/□其他）为计费额，按本须知正文第32.2条规定的收费计算标准（□货物类/☑服务类/□工程类）采用差额定率累进法计算出收费基准价格，采购代理收费以（☑收费基准价格/□收费基准价格下浮</w:t>
            </w:r>
            <w:r>
              <w:rPr>
                <w:rFonts w:hint="eastAsia" w:ascii="宋体" w:hAnsi="宋体" w:eastAsia="宋体"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lang w:val="en-US" w:eastAsia="zh-CN"/>
              </w:rPr>
              <w:t>/□收费基准价格上浮</w:t>
            </w:r>
            <w:r>
              <w:rPr>
                <w:rFonts w:hint="eastAsia" w:ascii="宋体" w:hAnsi="宋体" w:eastAsia="宋体" w:cs="宋体"/>
                <w:i w:val="0"/>
                <w:iCs w:val="0"/>
                <w:color w:val="auto"/>
                <w:sz w:val="24"/>
                <w:szCs w:val="24"/>
                <w:highlight w:val="none"/>
                <w:u w:val="single"/>
                <w:lang w:val="en-US" w:eastAsia="zh-CN"/>
              </w:rPr>
              <w:t>%</w:t>
            </w:r>
            <w:r>
              <w:rPr>
                <w:rFonts w:hint="eastAsia" w:ascii="宋体" w:hAnsi="宋体" w:eastAsia="宋体" w:cs="宋体"/>
                <w:i w:val="0"/>
                <w:iCs w:val="0"/>
                <w:color w:val="auto"/>
                <w:sz w:val="24"/>
                <w:szCs w:val="24"/>
                <w:highlight w:val="none"/>
                <w:lang w:val="en-US" w:eastAsia="zh-CN"/>
              </w:rPr>
              <w:t>）收取。</w:t>
            </w:r>
          </w:p>
          <w:p w14:paraId="58373EAE">
            <w:pPr>
              <w:pStyle w:val="224"/>
              <w:spacing w:line="360" w:lineRule="auto"/>
              <w:rPr>
                <w:rFonts w:hint="eastAsia" w:ascii="宋体" w:hAnsi="宋体" w:eastAsia="宋体" w:cs="宋体"/>
                <w:i w:val="0"/>
                <w:iCs w:val="0"/>
                <w:color w:val="auto"/>
                <w:sz w:val="24"/>
                <w:szCs w:val="24"/>
                <w:highlight w:val="none"/>
                <w:u w:val="single"/>
                <w:lang w:val="en-US" w:eastAsia="zh-CN"/>
              </w:rPr>
            </w:pPr>
            <w:r>
              <w:rPr>
                <w:rFonts w:hint="eastAsia" w:ascii="宋体" w:hAnsi="宋体" w:eastAsia="宋体" w:cs="宋体"/>
                <w:i w:val="0"/>
                <w:iCs w:val="0"/>
                <w:color w:val="auto"/>
                <w:sz w:val="24"/>
                <w:szCs w:val="24"/>
                <w:highlight w:val="none"/>
                <w:lang w:val="en-US" w:eastAsia="zh-CN"/>
              </w:rPr>
              <w:t>□固定采购代理收费</w:t>
            </w:r>
            <w:r>
              <w:rPr>
                <w:rFonts w:hint="eastAsia" w:ascii="宋体" w:hAnsi="宋体" w:eastAsia="宋体" w:cs="宋体"/>
                <w:i w:val="0"/>
                <w:iCs w:val="0"/>
                <w:color w:val="auto"/>
                <w:sz w:val="24"/>
                <w:szCs w:val="24"/>
                <w:highlight w:val="none"/>
                <w:u w:val="single"/>
                <w:lang w:val="en-US" w:eastAsia="zh-CN"/>
              </w:rPr>
              <w:t>。</w:t>
            </w:r>
          </w:p>
          <w:p w14:paraId="17EB3107">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3.采购代理费收取银行账户</w:t>
            </w:r>
          </w:p>
          <w:p w14:paraId="2F6BF10C">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开户名称：云之龙咨询集团有限公司来宾分公司</w:t>
            </w:r>
          </w:p>
          <w:p w14:paraId="23A1E4F3">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账号：8113001014500158111</w:t>
            </w:r>
          </w:p>
          <w:p w14:paraId="3AE4D4B7">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开户行：中信银行南宁园湖支行</w:t>
            </w:r>
          </w:p>
        </w:tc>
      </w:tr>
      <w:tr w14:paraId="21758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661C5313">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33.1</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3FFA074E">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69F66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66" w:type="dxa"/>
            <w:tcBorders>
              <w:top w:val="single" w:color="000000" w:sz="4" w:space="0"/>
              <w:left w:val="single" w:color="000000" w:sz="4" w:space="0"/>
              <w:bottom w:val="single" w:color="000000" w:sz="4" w:space="0"/>
              <w:right w:val="single" w:color="000000" w:sz="4" w:space="0"/>
            </w:tcBorders>
            <w:noWrap w:val="0"/>
            <w:vAlign w:val="center"/>
          </w:tcPr>
          <w:p w14:paraId="31101358">
            <w:pPr>
              <w:keepNext w:val="0"/>
              <w:keepLines w:val="0"/>
              <w:pageBreakBefore w:val="0"/>
              <w:widowControl w:val="0"/>
              <w:bidi w:val="0"/>
              <w:spacing w:line="560" w:lineRule="exact"/>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33.2</w:t>
            </w:r>
          </w:p>
        </w:tc>
        <w:tc>
          <w:tcPr>
            <w:tcW w:w="7423" w:type="dxa"/>
            <w:tcBorders>
              <w:top w:val="single" w:color="000000" w:sz="4" w:space="0"/>
              <w:left w:val="single" w:color="000000" w:sz="4" w:space="0"/>
              <w:bottom w:val="single" w:color="000000" w:sz="4" w:space="0"/>
              <w:right w:val="single" w:color="000000" w:sz="4" w:space="0"/>
            </w:tcBorders>
            <w:noWrap w:val="0"/>
            <w:vAlign w:val="center"/>
          </w:tcPr>
          <w:p w14:paraId="11ED7728">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1834471">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本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2C4DF1FE">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供应商为其他组织或者自然人时，本磋商文件规定的法定代表人指负责人或者自然人。本磋商文件所称负责人是指参加竞标的其他组织营业执照或者执业许可证等证照上的负责人，本磋商文件所称自然人指参与竞标的自然人本人，且应具备独立承担民事责任能力，自然人应当为年满18岁以上成年人（十六周岁以上的未成年人，以自己的劳动收入为主要生活来源的，视为完全民事行为能力人）。</w:t>
            </w:r>
          </w:p>
          <w:p w14:paraId="54BFD23E">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4.本磋商文件中描述供应商的“签字”是指供应商的法定代表人或者委托代理人亲自在文件规定签署处亲笔写上个人的名字的行为，私章、签字章、印鉴、影印等其他形式均不能代替亲笔签字。</w:t>
            </w:r>
          </w:p>
          <w:p w14:paraId="5A0E6080">
            <w:pPr>
              <w:pStyle w:val="224"/>
              <w:spacing w:line="360" w:lineRule="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5.本磋商文件所称的“以上”“以下”“以内”“届满”，包括本数；所称的“不满”“超过”“以外”，不包括本数。</w:t>
            </w:r>
          </w:p>
        </w:tc>
      </w:tr>
    </w:tbl>
    <w:p w14:paraId="59E53104">
      <w:pPr>
        <w:spacing w:line="400" w:lineRule="exact"/>
        <w:jc w:val="center"/>
        <w:rPr>
          <w:rFonts w:hint="eastAsia" w:ascii="宋体" w:hAnsi="宋体" w:eastAsia="宋体" w:cs="宋体"/>
          <w:b/>
          <w:i w:val="0"/>
          <w:iCs w:val="0"/>
          <w:color w:val="auto"/>
          <w:sz w:val="24"/>
          <w:szCs w:val="24"/>
          <w:highlight w:val="none"/>
        </w:rPr>
      </w:pPr>
      <w:r>
        <w:rPr>
          <w:rFonts w:ascii="宋体" w:hAnsi="宋体"/>
          <w:b/>
          <w:i w:val="0"/>
          <w:iCs w:val="0"/>
          <w:color w:val="auto"/>
          <w:sz w:val="24"/>
          <w:szCs w:val="24"/>
          <w:highlight w:val="none"/>
        </w:rPr>
        <w:br w:type="page" w:clear="all"/>
      </w:r>
      <w:r>
        <w:rPr>
          <w:rFonts w:hint="eastAsia" w:ascii="宋体" w:hAnsi="宋体" w:eastAsia="宋体" w:cs="宋体"/>
          <w:b/>
          <w:i w:val="0"/>
          <w:iCs w:val="0"/>
          <w:color w:val="auto"/>
          <w:sz w:val="24"/>
          <w:szCs w:val="24"/>
          <w:highlight w:val="none"/>
        </w:rPr>
        <w:t>供应商须知正文</w:t>
      </w:r>
    </w:p>
    <w:p w14:paraId="22C25356">
      <w:pPr>
        <w:spacing w:line="400" w:lineRule="exact"/>
        <w:jc w:val="center"/>
        <w:rPr>
          <w:rFonts w:hint="eastAsia" w:ascii="宋体" w:hAnsi="宋体" w:eastAsia="宋体" w:cs="宋体"/>
          <w:b/>
          <w:i w:val="0"/>
          <w:iCs w:val="0"/>
          <w:color w:val="auto"/>
          <w:sz w:val="24"/>
          <w:szCs w:val="24"/>
          <w:highlight w:val="none"/>
        </w:rPr>
      </w:pPr>
    </w:p>
    <w:p w14:paraId="117B349A">
      <w:pPr>
        <w:spacing w:line="400" w:lineRule="exact"/>
        <w:jc w:val="center"/>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一、总则</w:t>
      </w:r>
    </w:p>
    <w:p w14:paraId="020D6DCE">
      <w:pPr>
        <w:spacing w:line="400" w:lineRule="exact"/>
        <w:rPr>
          <w:rFonts w:hint="eastAsia" w:ascii="宋体" w:hAnsi="宋体" w:eastAsia="宋体" w:cs="宋体"/>
          <w:i w:val="0"/>
          <w:iCs w:val="0"/>
          <w:color w:val="auto"/>
          <w:sz w:val="24"/>
          <w:szCs w:val="24"/>
          <w:highlight w:val="none"/>
        </w:rPr>
      </w:pPr>
    </w:p>
    <w:p w14:paraId="36697C4C">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1.适用范围</w:t>
      </w:r>
    </w:p>
    <w:p w14:paraId="1A87925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70F95F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w:t>
      </w:r>
      <w:r>
        <w:rPr>
          <w:rFonts w:hint="eastAsia" w:ascii="宋体" w:hAnsi="宋体" w:eastAsia="宋体" w:cs="宋体"/>
          <w:i w:val="0"/>
          <w:iCs w:val="0"/>
          <w:color w:val="auto"/>
          <w:spacing w:val="-6"/>
          <w:sz w:val="24"/>
          <w:szCs w:val="24"/>
          <w:highlight w:val="none"/>
        </w:rPr>
        <w:t>本竞争性磋商文件（以下简称磋商文件）适用于本项目的所有采购程序和环节（法律、法规另有规定的，从其规定）。</w:t>
      </w:r>
    </w:p>
    <w:p w14:paraId="3CE83586">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2.定义</w:t>
      </w:r>
    </w:p>
    <w:p w14:paraId="464C101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2.1“采购人”是指依法进行政府采购的国家机关、事业单位、团体组织。</w:t>
      </w:r>
    </w:p>
    <w:p w14:paraId="24EC9926">
      <w:pPr>
        <w:spacing w:line="360" w:lineRule="auto"/>
        <w:ind w:firstLine="640"/>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2.2“采购代理机构”是指政府采购集中采购机构和集中采购机构以外的采购代理机构。</w:t>
      </w:r>
    </w:p>
    <w:p w14:paraId="779FD5B9">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2.3“供应商”是指向采购人提供货物、工程或者服务的法人、其他组织或者自然人。</w:t>
      </w:r>
    </w:p>
    <w:p w14:paraId="145E48B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2.4“服务”是指除货物和工程以外的其他政府采购对象。</w:t>
      </w:r>
    </w:p>
    <w:p w14:paraId="62A579D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2.5“竞标”是指供应商按照本项目竞争性磋商公告规定的方式获取磋商文件、提交响应文件并希望获得标的的行为。</w:t>
      </w:r>
    </w:p>
    <w:p w14:paraId="24C912FB">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2.6“书面形式”是指合同书、信件和数据电文（包括电报、电传、传真、电子数据交换和电子邮件）等可以有形地表现所载内容的形式。</w:t>
      </w:r>
    </w:p>
    <w:p w14:paraId="20DE35DF">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2.7“响应文件”</w:t>
      </w:r>
      <w:r>
        <w:rPr>
          <w:rFonts w:hint="eastAsia" w:ascii="宋体" w:hAnsi="宋体" w:eastAsia="宋体" w:cs="宋体"/>
          <w:i w:val="0"/>
          <w:iCs w:val="0"/>
          <w:color w:val="auto"/>
          <w:spacing w:val="-6"/>
          <w:sz w:val="24"/>
          <w:szCs w:val="24"/>
          <w:highlight w:val="none"/>
        </w:rPr>
        <w:t>是指：供应商根据本磋商文件要求，编制包含资格证明、报价、商务技术等所有内容的文件。</w:t>
      </w:r>
    </w:p>
    <w:p w14:paraId="6AAC542D">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2.8“实质性要求”是指磋商文件中已经指明不满足则响应文件按无效响应处理的条款，或者不能负偏离的条款，或者采购需求中带“▲”的条款。</w:t>
      </w:r>
    </w:p>
    <w:p w14:paraId="1D7659B3">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2.9“正偏离”，是指响应文件对磋商文件“采购需求”中有关条款作出的响应优于条款要求并有利于采购人的情形。</w:t>
      </w:r>
    </w:p>
    <w:p w14:paraId="1EE2D26C">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2.10“负偏离”，是指响应文件对磋商文件“采购需求”中有关条款作出的响应不满足条款要求，导致采购人要求不能得到满足的情形。</w:t>
      </w:r>
    </w:p>
    <w:p w14:paraId="0B62FD6E">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2.11“允许负偏离的条款”是指采购需求中的不属于“实质性要求”的条款。</w:t>
      </w:r>
    </w:p>
    <w:p w14:paraId="3A38C062">
      <w:pPr>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2.12“首次报价”是指供应商提交的首次响应文件中的报价。</w:t>
      </w:r>
    </w:p>
    <w:p w14:paraId="414BA934">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3.供应商的资格条件</w:t>
      </w:r>
    </w:p>
    <w:p w14:paraId="5DDC2C0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供应商的资格条件详见“供应商须知前附表”。</w:t>
      </w:r>
    </w:p>
    <w:p w14:paraId="07187DD1">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4.竞标费用</w:t>
      </w:r>
    </w:p>
    <w:p w14:paraId="0069E68A">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供应商应承担参与本次采购活动有关的所有费用，包括但不限于获取磋商文件、勘查现场、编制和提交响应文件、参加磋商与应答、签订合同等，不论竞标结果如何，均应自行承担。</w:t>
      </w:r>
    </w:p>
    <w:p w14:paraId="112F82A6">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5.联合体竞标</w:t>
      </w:r>
    </w:p>
    <w:p w14:paraId="0282030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5.1本项目是否接受联合体竞标，详见“供应商须知前附表”。</w:t>
      </w:r>
    </w:p>
    <w:p w14:paraId="6CB9388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5.2如接受联合体竞标，联合体竞标要求详见“供应商须知前附表”。</w:t>
      </w:r>
    </w:p>
    <w:p w14:paraId="3EE48725">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5.3</w:t>
      </w:r>
      <w:bookmarkStart w:id="63" w:name="_Hlk66782192"/>
      <w:r>
        <w:rPr>
          <w:rFonts w:hint="eastAsia" w:ascii="宋体" w:hAnsi="宋体" w:eastAsia="宋体" w:cs="宋体"/>
          <w:bCs/>
          <w:i w:val="0"/>
          <w:iCs w:val="0"/>
          <w:color w:val="auto"/>
          <w:sz w:val="24"/>
          <w:szCs w:val="24"/>
          <w:highlight w:val="none"/>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w:t>
      </w:r>
      <w:bookmarkEnd w:id="63"/>
    </w:p>
    <w:p w14:paraId="7D945F3F">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6.转包与分包</w:t>
      </w:r>
    </w:p>
    <w:p w14:paraId="4A695807">
      <w:pPr>
        <w:pStyle w:val="47"/>
        <w:keepNext w:val="0"/>
        <w:keepLines w:val="0"/>
        <w:spacing w:before="0" w:after="0" w:line="360" w:lineRule="auto"/>
        <w:ind w:left="420"/>
        <w:rPr>
          <w:rFonts w:hint="eastAsia" w:ascii="宋体" w:hAnsi="宋体" w:eastAsia="宋体" w:cs="宋体"/>
          <w:b w:val="0"/>
          <w:i w:val="0"/>
          <w:iCs w:val="0"/>
          <w:color w:val="auto"/>
          <w:sz w:val="24"/>
          <w:szCs w:val="24"/>
          <w:highlight w:val="none"/>
        </w:rPr>
      </w:pPr>
      <w:bookmarkStart w:id="64" w:name="_Toc254970532"/>
      <w:bookmarkStart w:id="65" w:name="_Toc254970673"/>
      <w:r>
        <w:rPr>
          <w:rFonts w:hint="eastAsia" w:ascii="宋体" w:hAnsi="宋体" w:eastAsia="宋体" w:cs="宋体"/>
          <w:b w:val="0"/>
          <w:i w:val="0"/>
          <w:iCs w:val="0"/>
          <w:color w:val="auto"/>
          <w:sz w:val="24"/>
          <w:szCs w:val="24"/>
          <w:highlight w:val="none"/>
        </w:rPr>
        <w:t>6.1本项目不允许转包。</w:t>
      </w:r>
    </w:p>
    <w:p w14:paraId="43E39CF3">
      <w:pPr>
        <w:pStyle w:val="47"/>
        <w:keepNext w:val="0"/>
        <w:keepLines w:val="0"/>
        <w:spacing w:before="0" w:after="0" w:line="360" w:lineRule="auto"/>
        <w:ind w:firstLine="480"/>
        <w:rPr>
          <w:rFonts w:hint="eastAsia" w:ascii="宋体" w:hAnsi="宋体" w:eastAsia="宋体" w:cs="宋体"/>
          <w:b w:val="0"/>
          <w:i w:val="0"/>
          <w:iCs w:val="0"/>
          <w:color w:val="auto"/>
          <w:sz w:val="24"/>
          <w:szCs w:val="24"/>
          <w:highlight w:val="none"/>
        </w:rPr>
      </w:pPr>
      <w:r>
        <w:rPr>
          <w:rFonts w:hint="eastAsia" w:ascii="宋体" w:hAnsi="宋体" w:eastAsia="宋体" w:cs="宋体"/>
          <w:b w:val="0"/>
          <w:i w:val="0"/>
          <w:iCs w:val="0"/>
          <w:color w:val="auto"/>
          <w:sz w:val="24"/>
          <w:szCs w:val="24"/>
          <w:highlight w:val="none"/>
        </w:rPr>
        <w:t>6.2本项目是否允许分包详见“供应商须知前附表”</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本项目不允许违法分包。允许分包的非主体、非关键性工作</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根据法律法规规定承担该工作需要行政许可的</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如该工作由供应商自行承担</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供应商应具备相应的行政许可</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如供应商不具备相应的行政许可必须采用分包的方式</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但分包供应商应具备相应行政许可。</w:t>
      </w:r>
    </w:p>
    <w:p w14:paraId="10774993">
      <w:pPr>
        <w:pStyle w:val="47"/>
        <w:keepNext w:val="0"/>
        <w:keepLines w:val="0"/>
        <w:spacing w:before="0" w:after="0" w:line="360" w:lineRule="auto"/>
        <w:ind w:firstLine="480"/>
        <w:rPr>
          <w:rFonts w:hint="eastAsia" w:ascii="宋体" w:hAnsi="宋体" w:eastAsia="宋体" w:cs="宋体"/>
          <w:b w:val="0"/>
          <w:i w:val="0"/>
          <w:iCs w:val="0"/>
          <w:color w:val="auto"/>
          <w:sz w:val="24"/>
          <w:szCs w:val="24"/>
          <w:highlight w:val="none"/>
        </w:rPr>
      </w:pPr>
      <w:r>
        <w:rPr>
          <w:rFonts w:hint="eastAsia" w:ascii="宋体" w:hAnsi="宋体" w:eastAsia="宋体" w:cs="宋体"/>
          <w:b w:val="0"/>
          <w:i w:val="0"/>
          <w:iCs w:val="0"/>
          <w:color w:val="auto"/>
          <w:sz w:val="24"/>
          <w:szCs w:val="24"/>
          <w:highlight w:val="none"/>
        </w:rPr>
        <w:t>6.3供应商根据磋商文件的规定和采购项目的实际情况</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拟在成交后将成交项目的非主体、非关键性工作分包的</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应当在响应文件中载明分包承担主体</w:t>
      </w:r>
      <w:r>
        <w:rPr>
          <w:rFonts w:hint="eastAsia" w:ascii="宋体" w:hAnsi="宋体" w:eastAsia="宋体" w:cs="宋体"/>
          <w:b w:val="0"/>
          <w:i w:val="0"/>
          <w:iCs w:val="0"/>
          <w:color w:val="auto"/>
          <w:sz w:val="24"/>
          <w:szCs w:val="24"/>
          <w:highlight w:val="none"/>
          <w:lang w:eastAsia="zh-CN"/>
        </w:rPr>
        <w:t>，</w:t>
      </w:r>
      <w:r>
        <w:rPr>
          <w:rFonts w:hint="eastAsia" w:ascii="宋体" w:hAnsi="宋体" w:eastAsia="宋体" w:cs="宋体"/>
          <w:b w:val="0"/>
          <w:i w:val="0"/>
          <w:iCs w:val="0"/>
          <w:color w:val="auto"/>
          <w:sz w:val="24"/>
          <w:szCs w:val="24"/>
          <w:highlight w:val="none"/>
        </w:rPr>
        <w:t>分包承担主体应当具备相应资质条件且不得再次分包。</w:t>
      </w:r>
    </w:p>
    <w:p w14:paraId="44937C4F">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7.特别说明</w:t>
      </w:r>
      <w:bookmarkEnd w:id="64"/>
      <w:bookmarkEnd w:id="65"/>
    </w:p>
    <w:p w14:paraId="0AA24A17">
      <w:pPr>
        <w:spacing w:line="360" w:lineRule="auto"/>
        <w:ind w:firstLine="640"/>
        <w:rPr>
          <w:rFonts w:hint="eastAsia" w:ascii="宋体" w:hAnsi="宋体" w:eastAsia="宋体" w:cs="宋体"/>
          <w:i w:val="0"/>
          <w:iCs w:val="0"/>
          <w:color w:val="auto"/>
          <w:sz w:val="24"/>
          <w:szCs w:val="24"/>
          <w:highlight w:val="none"/>
        </w:rPr>
      </w:pPr>
      <w:bookmarkStart w:id="66" w:name="_8.1提供相同品牌产品且通过资格审查、符合性审查的不同投标人参加同一合"/>
      <w:bookmarkEnd w:id="66"/>
      <w:r>
        <w:rPr>
          <w:rFonts w:hint="eastAsia" w:ascii="宋体" w:hAnsi="宋体" w:eastAsia="宋体" w:cs="宋体"/>
          <w:i w:val="0"/>
          <w:iCs w:val="0"/>
          <w:color w:val="auto"/>
          <w:sz w:val="24"/>
          <w:szCs w:val="24"/>
          <w:highlight w:val="none"/>
        </w:rPr>
        <w:t>7.1</w:t>
      </w:r>
      <w:bookmarkStart w:id="67" w:name="_Hlk65832145"/>
      <w:r>
        <w:rPr>
          <w:rFonts w:hint="eastAsia" w:ascii="宋体" w:hAnsi="宋体" w:eastAsia="宋体" w:cs="宋体"/>
          <w:i w:val="0"/>
          <w:iCs w:val="0"/>
          <w:color w:val="auto"/>
          <w:sz w:val="24"/>
          <w:szCs w:val="24"/>
          <w:highlight w:val="none"/>
        </w:rPr>
        <w:t>如果本磋商文件要求提供供应商或制造商的资格、信誉、荣誉、业绩与企业认证等材料的，资格、信誉、荣誉、业绩与企业认证等必须为供应商或者制造商所拥有或自身获得。</w:t>
      </w:r>
      <w:bookmarkEnd w:id="67"/>
    </w:p>
    <w:p w14:paraId="1C861CE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7.2供应商应仔细阅读磋商文件的所有内容，按照磋商文件的要求提交响应文件，并对所提供的全部资料的真实性承担法律责任。</w:t>
      </w:r>
    </w:p>
    <w:p w14:paraId="7C337E8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0B4A940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7.4在政府采购活动中，采购人员及相关人员与供应商有下列利害关系之一的，应当回避：</w:t>
      </w:r>
    </w:p>
    <w:p w14:paraId="0A902CA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（1）参加采购活动前3年内与供应商存在劳动关系；</w:t>
      </w:r>
    </w:p>
    <w:p w14:paraId="1E036F4A">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（2）参加采购活动前3年内担任供应商的董事、监事；</w:t>
      </w:r>
    </w:p>
    <w:p w14:paraId="3558DB1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（3）参加采购活动前3年内是供应商的控股股东或者实际控制人；</w:t>
      </w:r>
    </w:p>
    <w:p w14:paraId="7DD1DC0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（4）与供应商的法定代表人或者负责人有夫妻、直系血亲、三代以内旁系血亲或者近姻亲关系；</w:t>
      </w:r>
    </w:p>
    <w:p w14:paraId="3F53414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（5）与供应商有其他可能影响政府采购活动公平、公正进行的关系。</w:t>
      </w:r>
    </w:p>
    <w:p w14:paraId="6022340F">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C2DDA45">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7.5有下列情形之一的视为供应商相互串通竞标，响应文件将被视为无效：</w:t>
      </w:r>
    </w:p>
    <w:p w14:paraId="7F45492B">
      <w:pPr>
        <w:numPr>
          <w:ilvl w:val="0"/>
          <w:numId w:val="0"/>
        </w:numPr>
        <w:spacing w:line="360" w:lineRule="auto"/>
        <w:ind w:firstLine="640" w:firstLineChars="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bidi="ar-SA"/>
        </w:rPr>
        <w:t>（1）</w:t>
      </w:r>
      <w:r>
        <w:rPr>
          <w:rFonts w:hint="eastAsia" w:ascii="宋体" w:hAnsi="宋体" w:eastAsia="宋体" w:cs="宋体"/>
          <w:i w:val="0"/>
          <w:iCs w:val="0"/>
          <w:color w:val="auto"/>
          <w:sz w:val="24"/>
          <w:szCs w:val="24"/>
          <w:highlight w:val="none"/>
        </w:rPr>
        <w:t>不同供应商的响应文件由同一单位或者个人编制，或</w:t>
      </w:r>
      <w:r>
        <w:rPr>
          <w:rFonts w:hint="eastAsia" w:ascii="宋体" w:hAnsi="宋体" w:eastAsia="宋体" w:cs="宋体"/>
          <w:i w:val="0"/>
          <w:iCs w:val="0"/>
          <w:color w:val="auto"/>
          <w:sz w:val="24"/>
          <w:szCs w:val="24"/>
          <w:highlight w:val="none"/>
          <w:lang w:eastAsia="zh-CN"/>
        </w:rPr>
        <w:t>不同供应商报名时的IP地址一致</w:t>
      </w:r>
      <w:r>
        <w:rPr>
          <w:rFonts w:hint="eastAsia" w:ascii="宋体" w:hAnsi="宋体" w:eastAsia="宋体" w:cs="宋体"/>
          <w:i w:val="0"/>
          <w:iCs w:val="0"/>
          <w:color w:val="auto"/>
          <w:sz w:val="24"/>
          <w:szCs w:val="24"/>
          <w:highlight w:val="none"/>
        </w:rPr>
        <w:t>的；</w:t>
      </w:r>
    </w:p>
    <w:p w14:paraId="099A1187">
      <w:pPr>
        <w:numPr>
          <w:ilvl w:val="0"/>
          <w:numId w:val="0"/>
        </w:numPr>
        <w:spacing w:line="360" w:lineRule="auto"/>
        <w:ind w:firstLine="640" w:firstLineChars="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bidi="ar-SA"/>
        </w:rPr>
        <w:t>（2）</w:t>
      </w:r>
      <w:r>
        <w:rPr>
          <w:rFonts w:hint="eastAsia" w:ascii="宋体" w:hAnsi="宋体" w:eastAsia="宋体" w:cs="宋体"/>
          <w:i w:val="0"/>
          <w:iCs w:val="0"/>
          <w:color w:val="auto"/>
          <w:sz w:val="24"/>
          <w:szCs w:val="24"/>
          <w:highlight w:val="none"/>
        </w:rPr>
        <w:t>不同供应商委托同一单位或者个人办理竞标事宜；</w:t>
      </w:r>
    </w:p>
    <w:p w14:paraId="774DEF9F">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（3）不同的供应商的响应文件载明的项目管理员为同一个人；</w:t>
      </w:r>
    </w:p>
    <w:p w14:paraId="2AEE5E4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（4）不同供应商的响应文件异常一致或者报价呈规律性差异；</w:t>
      </w:r>
    </w:p>
    <w:p w14:paraId="3F89E56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（5）不同供应商的响应文件相互混装；</w:t>
      </w:r>
    </w:p>
    <w:p w14:paraId="0B9E038C">
      <w:pPr>
        <w:tabs>
          <w:tab w:val="left" w:pos="6931"/>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（6）不同供应商的磋商保证金从同一单位或者个人账户转出。</w:t>
      </w:r>
      <w:r>
        <w:rPr>
          <w:rFonts w:hint="eastAsia" w:ascii="宋体" w:hAnsi="宋体" w:eastAsia="宋体" w:cs="宋体"/>
          <w:i w:val="0"/>
          <w:iCs w:val="0"/>
          <w:color w:val="auto"/>
          <w:sz w:val="24"/>
          <w:szCs w:val="24"/>
          <w:highlight w:val="none"/>
        </w:rPr>
        <w:tab/>
      </w:r>
    </w:p>
    <w:p w14:paraId="4D025FED">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7.6供应商有下列情形之一的，属于恶意串通行为，将报同级监督管理部门：</w:t>
      </w:r>
    </w:p>
    <w:p w14:paraId="2DBC3A09">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（1）供应商直接或者间接从采购人或者采购代理机构处获得其他供应商的相关信息并修改其响应文件；</w:t>
      </w:r>
    </w:p>
    <w:p w14:paraId="202D9E54">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（2）供应商按照采购人或者采购代理机构的授意撤换、修改响应文件；</w:t>
      </w:r>
    </w:p>
    <w:p w14:paraId="3875928A">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（3）供应商之间协商报价、技术方案等响应文件或者响应文件的实质性内容；</w:t>
      </w:r>
    </w:p>
    <w:p w14:paraId="20F824E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（4）属于同一集团、协会、商会等组织成员的供应商按照该组织要求协同参加政府采购活动；</w:t>
      </w:r>
    </w:p>
    <w:p w14:paraId="60F39D8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（5）供应商之间事先约定一致抬高或者压低报价，或者在政府采购活动中事先约定轮流以高价位或者低价位成交，或者事先约定由某一特定供应商成交，然后再参加竞标；</w:t>
      </w:r>
    </w:p>
    <w:p w14:paraId="1DC9A81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（6）供应商之间商定部分供应商放弃参加政府采购活动或者放弃成交；</w:t>
      </w:r>
    </w:p>
    <w:p w14:paraId="14D0A5B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（7）供应商与采购人或者采购代理机构之间、供应商相互之间，为谋求特定供应商成交或者排斥其他供应商的其他串通行为。</w:t>
      </w:r>
    </w:p>
    <w:p w14:paraId="1F750548">
      <w:pPr>
        <w:spacing w:line="360" w:lineRule="auto"/>
        <w:jc w:val="center"/>
        <w:rPr>
          <w:rFonts w:hint="eastAsia" w:ascii="宋体" w:hAnsi="宋体" w:eastAsia="宋体" w:cs="宋体"/>
          <w:b/>
          <w:bCs/>
          <w:i w:val="0"/>
          <w:iCs w:val="0"/>
          <w:color w:val="auto"/>
          <w:sz w:val="24"/>
          <w:szCs w:val="24"/>
          <w:highlight w:val="none"/>
        </w:rPr>
      </w:pPr>
      <w:bookmarkStart w:id="68" w:name="_Toc254970675"/>
      <w:bookmarkStart w:id="69" w:name="_Toc254970534"/>
      <w:r>
        <w:rPr>
          <w:rFonts w:hint="eastAsia" w:ascii="宋体" w:hAnsi="宋体" w:eastAsia="宋体" w:cs="宋体"/>
          <w:b/>
          <w:bCs/>
          <w:i w:val="0"/>
          <w:iCs w:val="0"/>
          <w:color w:val="auto"/>
          <w:sz w:val="24"/>
          <w:szCs w:val="24"/>
          <w:highlight w:val="none"/>
        </w:rPr>
        <w:t>二、磋商文件</w:t>
      </w:r>
      <w:bookmarkEnd w:id="68"/>
      <w:bookmarkEnd w:id="69"/>
    </w:p>
    <w:p w14:paraId="65E0182F">
      <w:pPr>
        <w:spacing w:line="360" w:lineRule="auto"/>
        <w:rPr>
          <w:rFonts w:hint="eastAsia" w:ascii="宋体" w:hAnsi="宋体" w:eastAsia="宋体" w:cs="宋体"/>
          <w:i w:val="0"/>
          <w:iCs w:val="0"/>
          <w:color w:val="auto"/>
          <w:sz w:val="24"/>
          <w:szCs w:val="24"/>
          <w:highlight w:val="none"/>
        </w:rPr>
      </w:pPr>
    </w:p>
    <w:p w14:paraId="5F32B71F">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8.磋商文件的构成</w:t>
      </w:r>
    </w:p>
    <w:p w14:paraId="556544C6">
      <w:pPr>
        <w:spacing w:line="360" w:lineRule="auto"/>
        <w:ind w:firstLine="64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（1）竞争性磋商公告；</w:t>
      </w:r>
    </w:p>
    <w:p w14:paraId="54D3EC07">
      <w:pPr>
        <w:spacing w:line="360" w:lineRule="auto"/>
        <w:ind w:firstLine="64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（2）供应商须知；</w:t>
      </w:r>
    </w:p>
    <w:p w14:paraId="60AA93D0">
      <w:pPr>
        <w:spacing w:line="360" w:lineRule="auto"/>
        <w:ind w:firstLine="64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（3）采购需求；</w:t>
      </w:r>
    </w:p>
    <w:p w14:paraId="07B2C167">
      <w:pPr>
        <w:spacing w:line="360" w:lineRule="auto"/>
        <w:ind w:firstLine="64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（4）评审程序、评审方法和评审标准；</w:t>
      </w:r>
    </w:p>
    <w:p w14:paraId="50C8E019">
      <w:pPr>
        <w:spacing w:line="360" w:lineRule="auto"/>
        <w:ind w:firstLine="64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（5）响应文件格式；</w:t>
      </w:r>
    </w:p>
    <w:p w14:paraId="78F5210D">
      <w:pPr>
        <w:spacing w:line="360" w:lineRule="auto"/>
        <w:ind w:firstLine="640"/>
        <w:jc w:val="left"/>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（6）合同文本。</w:t>
      </w:r>
    </w:p>
    <w:p w14:paraId="272B2690">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9.供应商的询问</w:t>
      </w:r>
    </w:p>
    <w:p w14:paraId="6277910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3804CEE4">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10.磋商文件的澄清和修改</w:t>
      </w:r>
    </w:p>
    <w:p w14:paraId="3D3AF00F">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文件截止之日。</w:t>
      </w:r>
    </w:p>
    <w:p w14:paraId="7D88C001">
      <w:pPr>
        <w:spacing w:line="360" w:lineRule="auto"/>
        <w:jc w:val="center"/>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三、响应文件的编制</w:t>
      </w:r>
    </w:p>
    <w:p w14:paraId="5C6B2CC9">
      <w:pPr>
        <w:spacing w:line="360" w:lineRule="auto"/>
        <w:rPr>
          <w:rFonts w:hint="eastAsia" w:ascii="宋体" w:hAnsi="宋体" w:eastAsia="宋体" w:cs="宋体"/>
          <w:i w:val="0"/>
          <w:iCs w:val="0"/>
          <w:color w:val="auto"/>
          <w:sz w:val="24"/>
          <w:szCs w:val="24"/>
          <w:highlight w:val="none"/>
        </w:rPr>
      </w:pPr>
    </w:p>
    <w:p w14:paraId="6DBD3CEB">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11.响应文件的编制原则</w:t>
      </w:r>
    </w:p>
    <w:p w14:paraId="21D5306F">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供应商必须按照磋商文件的要求编制响应文件，并对其提交的响应文件的真实性、合法性承担法律责任。响应文件必须对磋商文件提出的要求和条件作出明确响应。</w:t>
      </w:r>
    </w:p>
    <w:p w14:paraId="5780A848">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12.响应文件的组成</w:t>
      </w:r>
    </w:p>
    <w:p w14:paraId="1CE756E4">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12.1响应文件由资格证明文件、报价文件、商务技术文件三部分组成。</w:t>
      </w:r>
    </w:p>
    <w:p w14:paraId="199EA14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12.1.1资格证明文件：详见“供应商须知前附表”</w:t>
      </w:r>
    </w:p>
    <w:p w14:paraId="4E4FEA1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12.1.2报价文件：详见“供应商须知前附表”</w:t>
      </w:r>
    </w:p>
    <w:p w14:paraId="063F61D9">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12.1.3商务技术文件：详见“供应商须知前附表”</w:t>
      </w:r>
    </w:p>
    <w:p w14:paraId="1CB87DEA">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13.计量单位</w:t>
      </w:r>
    </w:p>
    <w:p w14:paraId="08C8828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磋商文件已有明确规定的，使用磋商文件规定的计量单位；磋商文件没有规定的，应采用中华人民共和国法定计量单位，货币种类为人民币，否则视同未响应。</w:t>
      </w:r>
    </w:p>
    <w:p w14:paraId="41DD7DCC">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14.竞标的风险</w:t>
      </w:r>
    </w:p>
    <w:p w14:paraId="0BFE30B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供应商没有按照磋商文件要求提供全部资料，或者供应商没有对磋商文件在各方面作出实质性响应可能导致其响应无效，是供应商应当考虑的风险。</w:t>
      </w:r>
    </w:p>
    <w:p w14:paraId="4AC5D0B3">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15.竞标报价</w:t>
      </w:r>
    </w:p>
    <w:p w14:paraId="653A006E">
      <w:pPr>
        <w:tabs>
          <w:tab w:val="left" w:pos="2492"/>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15.1竞标报价应按磋商文件中“竞标报价表”格式填写。</w:t>
      </w:r>
    </w:p>
    <w:p w14:paraId="11EDB031">
      <w:pPr>
        <w:tabs>
          <w:tab w:val="left" w:pos="2492"/>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15.2竞标报价的内容见“供应商须知前附表”。</w:t>
      </w:r>
    </w:p>
    <w:p w14:paraId="1E51A5A1">
      <w:pPr>
        <w:tabs>
          <w:tab w:val="left" w:pos="2492"/>
        </w:tabs>
        <w:spacing w:line="360" w:lineRule="auto"/>
        <w:ind w:firstLine="640"/>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15.3</w:t>
      </w:r>
      <w:r>
        <w:rPr>
          <w:rFonts w:hint="eastAsia" w:ascii="宋体" w:hAnsi="宋体" w:eastAsia="宋体" w:cs="宋体"/>
          <w:i w:val="0"/>
          <w:iCs w:val="0"/>
          <w:color w:val="auto"/>
          <w:sz w:val="24"/>
          <w:szCs w:val="24"/>
          <w:highlight w:val="none"/>
          <w:lang w:eastAsia="zh-CN"/>
        </w:rPr>
        <w:t>报价要求</w:t>
      </w:r>
    </w:p>
    <w:p w14:paraId="3FF37172">
      <w:pPr>
        <w:tabs>
          <w:tab w:val="left" w:pos="2492"/>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15.3.1供应商的竞标报价应符合以下要求，否则响应文件按无效响应处理：</w:t>
      </w:r>
    </w:p>
    <w:p w14:paraId="1FABE47E">
      <w:pPr>
        <w:tabs>
          <w:tab w:val="left" w:pos="2492"/>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（1）供应商必须就“采购需求”中所竞标的每个分标的全部内容分别作完整唯一总价报价，不得存在漏项报价；</w:t>
      </w:r>
    </w:p>
    <w:p w14:paraId="20B73734">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（2）供应商必须就所竞标的分标的单项内容作唯一报价。</w:t>
      </w:r>
    </w:p>
    <w:p w14:paraId="2E689A3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15.3.2竞标报价（包含首次报价、最后报价）超过所竞标分标规定的采购预算金额或者最高限价的，其响应文件将按无效处理。</w:t>
      </w:r>
    </w:p>
    <w:p w14:paraId="2FEA7333">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15.3.3</w:t>
      </w:r>
      <w:bookmarkStart w:id="70" w:name="_Hlk42592874"/>
      <w:r>
        <w:rPr>
          <w:rFonts w:hint="eastAsia" w:ascii="宋体" w:hAnsi="宋体" w:eastAsia="宋体" w:cs="宋体"/>
          <w:i w:val="0"/>
          <w:iCs w:val="0"/>
          <w:color w:val="auto"/>
          <w:sz w:val="24"/>
          <w:szCs w:val="24"/>
          <w:highlight w:val="none"/>
        </w:rPr>
        <w:t>竞标报价（包含首次报价、最后报价）超过分项采购预算金额或者最高限价的，其响应文件将按无效处理。</w:t>
      </w:r>
      <w:bookmarkEnd w:id="70"/>
    </w:p>
    <w:p w14:paraId="28FFFBF9">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16.竞标有效期</w:t>
      </w:r>
    </w:p>
    <w:p w14:paraId="34B5409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16.1竞标有效期是指为保证采购人有足够的时间在提交响应文件后完成评审、确定成交供应商、合同签订等工作而要求供应商提交的响应文件在一定时间内保持有效的期限。</w:t>
      </w:r>
    </w:p>
    <w:p w14:paraId="04CC813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16.2竞标有效期应由供应商按“供应商须知前附表”规定的期限作出响应。承诺的竞标有效期低于采购文件规定期限的，供应商的响应文件作无效处理。</w:t>
      </w:r>
    </w:p>
    <w:p w14:paraId="5740CE8F">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16.3供应商的响应文件在竞标有效期内均保持有效。</w:t>
      </w:r>
    </w:p>
    <w:p w14:paraId="75BF0DC0">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17.磋商保证金</w:t>
      </w:r>
    </w:p>
    <w:p w14:paraId="20820F6A">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17.1供应商须按“供应商须知前附表”的规定提交磋商保证金。</w:t>
      </w:r>
    </w:p>
    <w:p w14:paraId="5810D323">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17.2磋商保证金的退还</w:t>
      </w:r>
    </w:p>
    <w:p w14:paraId="3F151ACD">
      <w:pPr>
        <w:spacing w:line="360" w:lineRule="auto"/>
        <w:ind w:firstLine="640"/>
        <w:rPr>
          <w:rFonts w:hint="eastAsia" w:ascii="宋体" w:hAnsi="宋体" w:eastAsia="宋体" w:cs="宋体"/>
          <w:i w:val="0"/>
          <w:iCs w:val="0"/>
          <w:color w:val="auto"/>
          <w:sz w:val="24"/>
          <w:szCs w:val="24"/>
          <w:highlight w:val="none"/>
        </w:rPr>
      </w:pPr>
      <w:bookmarkStart w:id="71" w:name="_Hlk66782243"/>
      <w:r>
        <w:rPr>
          <w:rFonts w:hint="eastAsia" w:ascii="宋体" w:hAnsi="宋体" w:eastAsia="宋体" w:cs="宋体"/>
          <w:i w:val="0"/>
          <w:iCs w:val="0"/>
          <w:color w:val="auto"/>
          <w:sz w:val="24"/>
          <w:szCs w:val="24"/>
          <w:highlight w:val="none"/>
        </w:rPr>
        <w:t>未成交供应商的磋商保证金自成交通知书发出之日起5个工作日内退还；成交供应商的磋商保证金自签订合同之日起5个工作日内退还。</w:t>
      </w:r>
      <w:bookmarkEnd w:id="71"/>
    </w:p>
    <w:p w14:paraId="0E5F783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17.3除逾期退还磋商保证金和终止采购的情形以外，磋商保证金不计息。</w:t>
      </w:r>
    </w:p>
    <w:p w14:paraId="57A4EE2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17.4供应商有下列情形之一的，磋商保证金将不予退还：</w:t>
      </w:r>
    </w:p>
    <w:p w14:paraId="0780824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（1）供应商在提交响应文件截止时间后撤回响应文件的；</w:t>
      </w:r>
    </w:p>
    <w:p w14:paraId="0CA8AC73">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（2）未按规定提交履约保证金的；</w:t>
      </w:r>
    </w:p>
    <w:p w14:paraId="4802A91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（3）供应商在响应文件中提供虚假材料的；</w:t>
      </w:r>
    </w:p>
    <w:p w14:paraId="546D287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（4）除因不可抗力或者磋商文件认可的情形以外，成交供应商不与采购人签订合同的；</w:t>
      </w:r>
    </w:p>
    <w:p w14:paraId="09E5295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（5）供应商与采购人、其他供应商或者采购代理机构恶意串通的；</w:t>
      </w:r>
    </w:p>
    <w:p w14:paraId="158A79BA">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（6）法律法规规定的其他情形。</w:t>
      </w:r>
    </w:p>
    <w:p w14:paraId="34356588">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18.响应文件编制的要求</w:t>
      </w:r>
    </w:p>
    <w:p w14:paraId="3C9D662A">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18.1供应商应按照本项目磋商文件规定的格式</w:t>
      </w:r>
      <w:r>
        <w:rPr>
          <w:rFonts w:hint="eastAsia" w:ascii="宋体" w:hAnsi="宋体" w:eastAsia="宋体" w:cs="宋体"/>
          <w:i w:val="0"/>
          <w:iCs w:val="0"/>
          <w:color w:val="auto"/>
          <w:sz w:val="24"/>
          <w:szCs w:val="24"/>
          <w:highlight w:val="none"/>
          <w:lang w:eastAsia="zh-CN"/>
        </w:rPr>
        <w:t>和顺序以及</w:t>
      </w:r>
      <w:r>
        <w:rPr>
          <w:rFonts w:hint="eastAsia" w:ascii="宋体" w:hAnsi="宋体" w:eastAsia="宋体" w:cs="宋体"/>
          <w:i w:val="0"/>
          <w:iCs w:val="0"/>
          <w:color w:val="auto"/>
          <w:sz w:val="24"/>
          <w:szCs w:val="24"/>
          <w:highlight w:val="none"/>
        </w:rPr>
        <w:t>广西政府采购云平台的要求编制响应文件并加密。响应文件内容不完整、编排混乱导致响应文件被误读、漏读或者查找不到相关内容的，由此引发的后果由供应商承担。</w:t>
      </w:r>
    </w:p>
    <w:p w14:paraId="69662A15">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06CE7FDD">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18.3响应文件须由供应商在规定位置签字、盖章（具体以供应商须知前附表或响应文件格式规定为准），否则按无效响应处理。</w:t>
      </w:r>
    </w:p>
    <w:p w14:paraId="0EA627A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18.4响应文件中标注的供应商名称应与主体资格证明（如营业执照或者事业单位法人证书或者执业许可证或者登记证书等）及公章一致，</w:t>
      </w:r>
      <w:r>
        <w:rPr>
          <w:rFonts w:hint="eastAsia" w:ascii="宋体" w:hAnsi="宋体" w:eastAsia="宋体" w:cs="宋体"/>
          <w:b/>
          <w:i w:val="0"/>
          <w:iCs w:val="0"/>
          <w:color w:val="auto"/>
          <w:sz w:val="24"/>
          <w:szCs w:val="24"/>
          <w:highlight w:val="none"/>
        </w:rPr>
        <w:t>并与广西政府采购云平台中获取采购文件的供应商名称一致，</w:t>
      </w:r>
      <w:r>
        <w:rPr>
          <w:rFonts w:hint="eastAsia" w:ascii="宋体" w:hAnsi="宋体" w:eastAsia="宋体" w:cs="宋体"/>
          <w:i w:val="0"/>
          <w:iCs w:val="0"/>
          <w:color w:val="auto"/>
          <w:sz w:val="24"/>
          <w:szCs w:val="24"/>
          <w:highlight w:val="none"/>
        </w:rPr>
        <w:t>供应商为自然人的，标注的供应商名称应与身份证姓名及签名一致，否则其响应文件按无效响应处理。</w:t>
      </w:r>
    </w:p>
    <w:p w14:paraId="48931F0D">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6DE38B4D">
      <w:pPr>
        <w:spacing w:line="360" w:lineRule="auto"/>
        <w:ind w:firstLine="643"/>
        <w:rPr>
          <w:rFonts w:hint="eastAsia" w:ascii="宋体" w:hAnsi="宋体" w:eastAsia="宋体" w:cs="宋体"/>
          <w:i w:val="0"/>
          <w:iCs w:val="0"/>
          <w:color w:val="auto"/>
          <w:sz w:val="24"/>
          <w:szCs w:val="24"/>
          <w:highlight w:val="none"/>
        </w:rPr>
      </w:pPr>
      <w:r>
        <w:rPr>
          <w:rFonts w:hint="eastAsia" w:ascii="宋体" w:hAnsi="宋体" w:eastAsia="宋体" w:cs="宋体"/>
          <w:b/>
          <w:bCs/>
          <w:i w:val="0"/>
          <w:iCs w:val="0"/>
          <w:color w:val="auto"/>
          <w:sz w:val="24"/>
          <w:szCs w:val="24"/>
          <w:highlight w:val="none"/>
        </w:rPr>
        <w:t>19.电子</w:t>
      </w:r>
      <w:r>
        <w:rPr>
          <w:rFonts w:hint="eastAsia" w:ascii="宋体" w:hAnsi="宋体" w:eastAsia="宋体" w:cs="宋体"/>
          <w:b/>
          <w:i w:val="0"/>
          <w:iCs w:val="0"/>
          <w:color w:val="auto"/>
          <w:sz w:val="24"/>
          <w:szCs w:val="24"/>
          <w:highlight w:val="none"/>
        </w:rPr>
        <w:t>备份响应文件</w:t>
      </w:r>
    </w:p>
    <w:p w14:paraId="377204B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电子备份响应文件是指通过在线编制生成且后缀名为“bfbs”的文件，是否接受电子备份响应文件</w:t>
      </w:r>
      <w:r>
        <w:rPr>
          <w:rFonts w:hint="eastAsia" w:ascii="宋体" w:hAnsi="宋体" w:eastAsia="宋体" w:cs="宋体"/>
          <w:bCs/>
          <w:i w:val="0"/>
          <w:iCs w:val="0"/>
          <w:color w:val="auto"/>
          <w:sz w:val="24"/>
          <w:szCs w:val="24"/>
          <w:highlight w:val="none"/>
        </w:rPr>
        <w:t>详见“供应商须知前附表”。</w:t>
      </w:r>
    </w:p>
    <w:p w14:paraId="0983A98D">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20.响应文件的提交</w:t>
      </w:r>
    </w:p>
    <w:p w14:paraId="1DD7B2F6">
      <w:pPr>
        <w:spacing w:line="360" w:lineRule="auto"/>
        <w:ind w:firstLine="640"/>
        <w:rPr>
          <w:rFonts w:hint="eastAsia" w:ascii="宋体" w:hAnsi="宋体" w:eastAsia="宋体" w:cs="宋体"/>
          <w:b/>
          <w:i w:val="0"/>
          <w:iCs w:val="0"/>
          <w:color w:val="auto"/>
          <w:sz w:val="24"/>
          <w:szCs w:val="24"/>
          <w:highlight w:val="none"/>
        </w:rPr>
      </w:pPr>
      <w:r>
        <w:rPr>
          <w:rFonts w:hint="eastAsia" w:ascii="宋体" w:hAnsi="宋体" w:eastAsia="宋体" w:cs="宋体"/>
          <w:bCs/>
          <w:i w:val="0"/>
          <w:iCs w:val="0"/>
          <w:color w:val="auto"/>
          <w:sz w:val="24"/>
          <w:szCs w:val="24"/>
          <w:highlight w:val="none"/>
        </w:rPr>
        <w:t>20.1供应商必须按“供应商须知前附表”规定的</w:t>
      </w:r>
      <w:r>
        <w:rPr>
          <w:rFonts w:hint="eastAsia" w:ascii="宋体" w:hAnsi="宋体" w:eastAsia="宋体" w:cs="宋体"/>
          <w:i w:val="0"/>
          <w:iCs w:val="0"/>
          <w:color w:val="auto"/>
          <w:sz w:val="24"/>
          <w:szCs w:val="24"/>
          <w:highlight w:val="none"/>
        </w:rPr>
        <w:t>时间及</w:t>
      </w:r>
      <w:r>
        <w:rPr>
          <w:rFonts w:hint="eastAsia" w:ascii="宋体" w:hAnsi="宋体" w:eastAsia="宋体" w:cs="宋体"/>
          <w:bCs/>
          <w:i w:val="0"/>
          <w:iCs w:val="0"/>
          <w:color w:val="auto"/>
          <w:sz w:val="24"/>
          <w:szCs w:val="24"/>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eastAsia="宋体" w:cs="宋体"/>
          <w:i w:val="0"/>
          <w:iCs w:val="0"/>
          <w:color w:val="auto"/>
          <w:sz w:val="24"/>
          <w:szCs w:val="24"/>
          <w:highlight w:val="none"/>
        </w:rPr>
        <w:t>广西政府采购云平台</w:t>
      </w:r>
      <w:r>
        <w:rPr>
          <w:rFonts w:hint="eastAsia" w:ascii="宋体" w:hAnsi="宋体" w:eastAsia="宋体" w:cs="宋体"/>
          <w:bCs/>
          <w:i w:val="0"/>
          <w:iCs w:val="0"/>
          <w:color w:val="auto"/>
          <w:sz w:val="24"/>
          <w:szCs w:val="24"/>
          <w:highlight w:val="none"/>
        </w:rPr>
        <w:t>。</w:t>
      </w:r>
    </w:p>
    <w:p w14:paraId="4195E42A">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20.2未在规定时间内提交或者未按照磋商文件要求加密的电子响应文件，广西政府采购云平台将拒收。</w:t>
      </w:r>
    </w:p>
    <w:p w14:paraId="0FDA75DD">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21.首次响应文件的补充、修改与撤回</w:t>
      </w:r>
    </w:p>
    <w:p w14:paraId="1EEDDF3B">
      <w:pPr>
        <w:spacing w:line="360" w:lineRule="auto"/>
        <w:ind w:firstLine="640"/>
        <w:rPr>
          <w:rFonts w:hint="eastAsia" w:ascii="宋体" w:hAnsi="宋体" w:eastAsia="宋体" w:cs="宋体"/>
          <w:i w:val="0"/>
          <w:iCs w:val="0"/>
          <w:color w:val="auto"/>
          <w:sz w:val="24"/>
          <w:szCs w:val="24"/>
          <w:highlight w:val="none"/>
        </w:rPr>
      </w:pPr>
      <w:bookmarkStart w:id="72" w:name="_Toc254970543"/>
      <w:bookmarkStart w:id="73" w:name="_Toc254970684"/>
      <w:r>
        <w:rPr>
          <w:rFonts w:hint="eastAsia" w:ascii="宋体" w:hAnsi="宋体" w:eastAsia="宋体" w:cs="宋体"/>
          <w:i w:val="0"/>
          <w:iCs w:val="0"/>
          <w:color w:val="auto"/>
          <w:sz w:val="24"/>
          <w:szCs w:val="24"/>
          <w:highlight w:val="none"/>
        </w:rPr>
        <w:t>21.1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补充、修改或者撤回方式可登录广西政府采购云平台，进入“服务中心”中查看“电子响应文件制作与投送教程”）</w:t>
      </w:r>
      <w:bookmarkEnd w:id="72"/>
      <w:bookmarkEnd w:id="73"/>
    </w:p>
    <w:p w14:paraId="6C2AFE0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21.2在提交响应文件截止时间前</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除供应商补充、修改或者撤回响应文件外</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任何单位和个人不得解密或提取响应文件。</w:t>
      </w:r>
    </w:p>
    <w:p w14:paraId="6B113F2F">
      <w:pPr>
        <w:spacing w:line="360" w:lineRule="auto"/>
        <w:ind w:firstLine="643"/>
        <w:rPr>
          <w:rFonts w:hint="eastAsia" w:ascii="宋体" w:hAnsi="宋体" w:eastAsia="宋体" w:cs="宋体"/>
          <w:b/>
          <w:bCs/>
          <w:i w:val="0"/>
          <w:iCs w:val="0"/>
          <w:color w:val="auto"/>
          <w:sz w:val="24"/>
          <w:szCs w:val="24"/>
          <w:highlight w:val="none"/>
        </w:rPr>
      </w:pPr>
      <w:bookmarkStart w:id="74" w:name="_Hlk45702405"/>
      <w:r>
        <w:rPr>
          <w:rFonts w:hint="eastAsia" w:ascii="宋体" w:hAnsi="宋体" w:eastAsia="宋体" w:cs="宋体"/>
          <w:b/>
          <w:bCs/>
          <w:i w:val="0"/>
          <w:iCs w:val="0"/>
          <w:color w:val="auto"/>
          <w:sz w:val="24"/>
          <w:szCs w:val="24"/>
          <w:highlight w:val="none"/>
        </w:rPr>
        <w:t>22.响应文件的退回</w:t>
      </w:r>
    </w:p>
    <w:p w14:paraId="423253C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采购人和采购代理机构对已提交的响应文件概不退回。</w:t>
      </w:r>
    </w:p>
    <w:p w14:paraId="0A5E6502">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23.截止时间后的撤回</w:t>
      </w:r>
    </w:p>
    <w:p w14:paraId="386C5C95">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供应商在响应文件提交截止时间后向采购人、采购代理机构书面申请撤回响应文件的，将根据本须知正文17.4的规定不予退还其磋商保证金。</w:t>
      </w:r>
      <w:bookmarkEnd w:id="74"/>
    </w:p>
    <w:p w14:paraId="58A3EFF9">
      <w:pPr>
        <w:spacing w:line="360" w:lineRule="auto"/>
        <w:rPr>
          <w:rFonts w:hint="eastAsia" w:ascii="宋体" w:hAnsi="宋体" w:eastAsia="宋体" w:cs="宋体"/>
          <w:i w:val="0"/>
          <w:iCs w:val="0"/>
          <w:color w:val="auto"/>
          <w:sz w:val="24"/>
          <w:szCs w:val="24"/>
          <w:highlight w:val="none"/>
        </w:rPr>
      </w:pPr>
    </w:p>
    <w:p w14:paraId="5149D7F3">
      <w:pPr>
        <w:spacing w:line="360" w:lineRule="auto"/>
        <w:ind w:left="420" w:firstLine="420"/>
        <w:jc w:val="center"/>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四、评审及磋商</w:t>
      </w:r>
    </w:p>
    <w:p w14:paraId="05C46955">
      <w:pPr>
        <w:spacing w:line="360" w:lineRule="auto"/>
        <w:ind w:left="420" w:firstLine="420"/>
        <w:rPr>
          <w:rFonts w:hint="eastAsia" w:ascii="宋体" w:hAnsi="宋体" w:eastAsia="宋体" w:cs="宋体"/>
          <w:i w:val="0"/>
          <w:iCs w:val="0"/>
          <w:color w:val="auto"/>
          <w:sz w:val="24"/>
          <w:szCs w:val="24"/>
          <w:highlight w:val="none"/>
        </w:rPr>
      </w:pPr>
    </w:p>
    <w:p w14:paraId="27B36C1C">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24.磋商小组成立</w:t>
      </w:r>
    </w:p>
    <w:p w14:paraId="183CC015">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14:paraId="6C84182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6ADE60C0">
      <w:pPr>
        <w:spacing w:line="360" w:lineRule="auto"/>
        <w:ind w:firstLine="640"/>
        <w:rPr>
          <w:rFonts w:hint="eastAsia" w:ascii="宋体" w:hAnsi="宋体" w:eastAsia="宋体" w:cs="宋体"/>
          <w:bCs/>
          <w:i w:val="0"/>
          <w:iCs w:val="0"/>
          <w:color w:val="auto"/>
          <w:sz w:val="24"/>
          <w:szCs w:val="24"/>
          <w:highlight w:val="none"/>
        </w:rPr>
      </w:pPr>
      <w:r>
        <w:rPr>
          <w:rFonts w:hint="eastAsia" w:ascii="宋体" w:hAnsi="宋体" w:eastAsia="宋体" w:cs="宋体"/>
          <w:i w:val="0"/>
          <w:iCs w:val="0"/>
          <w:color w:val="auto"/>
          <w:sz w:val="24"/>
          <w:szCs w:val="24"/>
          <w:highlight w:val="none"/>
        </w:rPr>
        <w:t>24.3</w:t>
      </w:r>
      <w:r>
        <w:rPr>
          <w:rFonts w:hint="eastAsia" w:ascii="宋体" w:hAnsi="宋体" w:eastAsia="宋体" w:cs="宋体"/>
          <w:bCs/>
          <w:i w:val="0"/>
          <w:iCs w:val="0"/>
          <w:color w:val="auto"/>
          <w:sz w:val="24"/>
          <w:szCs w:val="24"/>
          <w:highlight w:val="none"/>
        </w:rPr>
        <w:t>采购代理机构应当基于广西政府采购云平台抽（选）取评审专家。</w:t>
      </w:r>
    </w:p>
    <w:p w14:paraId="76D6ED8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24.4参加过采购项目前期咨询论证的专家，不得参加该采购项目的评审活动。</w:t>
      </w:r>
    </w:p>
    <w:p w14:paraId="0E89D494">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25.首次响应文件的开启和解密</w:t>
      </w:r>
    </w:p>
    <w:p w14:paraId="3DE9A27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bCs/>
          <w:i w:val="0"/>
          <w:iCs w:val="0"/>
          <w:color w:val="auto"/>
          <w:sz w:val="24"/>
          <w:szCs w:val="24"/>
          <w:highlight w:val="none"/>
        </w:rPr>
        <w:t>采购代理机构将在“供应商须知前附表”规定的时</w:t>
      </w:r>
      <w:r>
        <w:rPr>
          <w:rFonts w:hint="eastAsia" w:ascii="宋体" w:hAnsi="宋体" w:eastAsia="宋体" w:cs="宋体"/>
          <w:i w:val="0"/>
          <w:iCs w:val="0"/>
          <w:color w:val="auto"/>
          <w:sz w:val="24"/>
          <w:szCs w:val="24"/>
          <w:highlight w:val="none"/>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Pr>
          <w:rFonts w:hint="eastAsia" w:ascii="宋体" w:hAnsi="宋体" w:eastAsia="宋体" w:cs="宋体"/>
          <w:bCs/>
          <w:i w:val="0"/>
          <w:iCs w:val="0"/>
          <w:color w:val="auto"/>
          <w:sz w:val="24"/>
          <w:szCs w:val="24"/>
          <w:highlight w:val="none"/>
        </w:rPr>
        <w:t>“供应商须知前附表”</w:t>
      </w:r>
      <w:r>
        <w:rPr>
          <w:rFonts w:hint="eastAsia" w:ascii="宋体" w:hAnsi="宋体" w:eastAsia="宋体" w:cs="宋体"/>
          <w:i w:val="0"/>
          <w:iCs w:val="0"/>
          <w:color w:val="auto"/>
          <w:sz w:val="24"/>
          <w:szCs w:val="24"/>
          <w:highlight w:val="none"/>
        </w:rPr>
        <w:t>规定的时间内自行进行响应文件解密。</w:t>
      </w:r>
      <w:r>
        <w:rPr>
          <w:rFonts w:hint="eastAsia" w:ascii="宋体" w:hAnsi="宋体" w:eastAsia="宋体" w:cs="宋体"/>
          <w:b/>
          <w:i w:val="0"/>
          <w:iCs w:val="0"/>
          <w:color w:val="auto"/>
          <w:sz w:val="24"/>
          <w:szCs w:val="24"/>
          <w:highlight w:val="none"/>
        </w:rPr>
        <w:t>供应商未在规定的时间内解密响应文件或者解密失败的，供应商的响应文件作无效处理。</w:t>
      </w:r>
    </w:p>
    <w:p w14:paraId="22FC1660">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26.评审程序、评审方法和评审标准</w:t>
      </w:r>
    </w:p>
    <w:p w14:paraId="10984FF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26.1本项目的评审方法为综合评分法。</w:t>
      </w:r>
    </w:p>
    <w:p w14:paraId="4E93EE8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26.2磋商小组按照“第四章评审程序、评审方法和评审标准”规定的方法、评审因素、标准和程序对响应文件进行评审。</w:t>
      </w:r>
    </w:p>
    <w:p w14:paraId="5F9145E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26.3商务/技术要求允许负偏离的条款数详见“供应商须知前附表”。</w:t>
      </w:r>
    </w:p>
    <w:p w14:paraId="7A21EF0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26.4磋商小组成员要依法独立评审，并对评审意见承担个人责任。磋商小组成员对需要共同认定的事项存在争议的，按照少数服从多数的原则</w:t>
      </w:r>
      <w:r>
        <w:rPr>
          <w:rFonts w:hint="eastAsia" w:ascii="宋体" w:hAnsi="宋体" w:cs="宋体"/>
          <w:i w:val="0"/>
          <w:iCs w:val="0"/>
          <w:color w:val="auto"/>
          <w:sz w:val="24"/>
          <w:szCs w:val="24"/>
          <w:highlight w:val="none"/>
          <w:lang w:eastAsia="zh-CN"/>
        </w:rPr>
        <w:t>作出</w:t>
      </w:r>
      <w:r>
        <w:rPr>
          <w:rFonts w:hint="eastAsia" w:ascii="宋体" w:hAnsi="宋体" w:eastAsia="宋体" w:cs="宋体"/>
          <w:i w:val="0"/>
          <w:iCs w:val="0"/>
          <w:color w:val="auto"/>
          <w:sz w:val="24"/>
          <w:szCs w:val="24"/>
          <w:highlight w:val="none"/>
        </w:rPr>
        <w:t>结论。持不同意见的磋商小组成员应当在评审报告上签署不同意见并说明理由，否则视为同意。</w:t>
      </w:r>
    </w:p>
    <w:p w14:paraId="59729CE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26.5电子交易活动的中止。采购过程中出现以下情形，导致电子交易平台无法正常运行，或者无法保证电子交易的公平、公正和安全时，采购机构可中止电子交易活动：</w:t>
      </w:r>
    </w:p>
    <w:p w14:paraId="4DDC0B0D">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（1）电子交易平台发生故障而无法登录访问的；</w:t>
      </w:r>
    </w:p>
    <w:p w14:paraId="312DD6CC">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（2）电子交易平台应用或数据库出现错误，不能进行正常操作的；</w:t>
      </w:r>
    </w:p>
    <w:p w14:paraId="40FBD92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（3）电子交易平台发现严重安全漏洞，有潜在泄密危险的；</w:t>
      </w:r>
    </w:p>
    <w:p w14:paraId="0944828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（4）病毒发作导致不能进行正常操作的；</w:t>
      </w:r>
    </w:p>
    <w:p w14:paraId="7D888E95">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（5）其他无法保证电子交易的公平、公正和安全的情况。</w:t>
      </w:r>
    </w:p>
    <w:p w14:paraId="61BEEA99">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0389325E">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27.确定成交供应商及结果公告</w:t>
      </w:r>
    </w:p>
    <w:p w14:paraId="21D0E950">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B2FB27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75" w:name="_Hlk66782294"/>
      <w:r>
        <w:rPr>
          <w:rFonts w:hint="eastAsia" w:ascii="宋体" w:hAnsi="宋体" w:eastAsia="宋体" w:cs="宋体"/>
          <w:i w:val="0"/>
          <w:iCs w:val="0"/>
          <w:color w:val="auto"/>
          <w:sz w:val="24"/>
          <w:szCs w:val="24"/>
          <w:highlight w:val="none"/>
        </w:rPr>
        <w:t>成交供应商享受《政府采购促进中小企业发展管理办法》（财库〔2020〕46号）规定的中小企业扶持政策的，采购人、采购代理机构应当随成交结果公开成交供应商的《中小企业声明函》。</w:t>
      </w:r>
      <w:bookmarkEnd w:id="75"/>
    </w:p>
    <w:p w14:paraId="4A979767">
      <w:pPr>
        <w:spacing w:line="360" w:lineRule="auto"/>
        <w:ind w:firstLine="64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27.</w:t>
      </w:r>
      <w:r>
        <w:rPr>
          <w:rFonts w:hint="eastAsia" w:ascii="宋体" w:hAnsi="宋体" w:eastAsia="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rPr>
        <w:t>出现下列情形之一的，采购人或者采购代理机构应当终止竞争性磋商采购活动，发布项目终止公告并说明原因，重新开展采购活动：</w:t>
      </w:r>
    </w:p>
    <w:p w14:paraId="373A3216">
      <w:pPr>
        <w:spacing w:line="360" w:lineRule="auto"/>
        <w:ind w:firstLine="64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（1）因情况变化，不再符合规定的竞争性磋商采购方式适用情形的；</w:t>
      </w:r>
    </w:p>
    <w:p w14:paraId="2141310F">
      <w:pPr>
        <w:spacing w:line="360" w:lineRule="auto"/>
        <w:ind w:firstLine="64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（2）出现影响采购公正的违法、违规行为的；</w:t>
      </w:r>
    </w:p>
    <w:p w14:paraId="5B1B823E">
      <w:pPr>
        <w:spacing w:line="360" w:lineRule="auto"/>
        <w:ind w:firstLine="64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（3）除“第四章 评审程序、评审方法和评审标准”第4.3条规定的情形外，在采购过程中符合要求的供应商或者报价未超过采购预算的供应商不足3家的。</w:t>
      </w:r>
    </w:p>
    <w:p w14:paraId="6FF0DF5D">
      <w:pPr>
        <w:spacing w:line="360" w:lineRule="auto"/>
        <w:ind w:firstLine="64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27.</w:t>
      </w:r>
      <w:r>
        <w:rPr>
          <w:rFonts w:hint="eastAsia" w:ascii="宋体" w:hAnsi="宋体" w:eastAsia="宋体" w:cs="宋体"/>
          <w:b w:val="0"/>
          <w:bCs w:val="0"/>
          <w:i w:val="0"/>
          <w:iCs w:val="0"/>
          <w:color w:val="auto"/>
          <w:sz w:val="24"/>
          <w:szCs w:val="24"/>
          <w:highlight w:val="none"/>
          <w:lang w:val="en-US" w:eastAsia="zh-CN"/>
        </w:rPr>
        <w:t>4</w:t>
      </w:r>
      <w:r>
        <w:rPr>
          <w:rFonts w:hint="eastAsia" w:ascii="宋体" w:hAnsi="宋体" w:eastAsia="宋体" w:cs="宋体"/>
          <w:b w:val="0"/>
          <w:bCs w:val="0"/>
          <w:i w:val="0"/>
          <w:iCs w:val="0"/>
          <w:color w:val="auto"/>
          <w:sz w:val="24"/>
          <w:szCs w:val="24"/>
          <w:highlight w:val="none"/>
        </w:rPr>
        <w:t xml:space="preserve"> 在采购活动中因重大变故，采购任务取消的，采购人或者采购代理机构应当终止采购活动，通知所有参加采购活动的供应商，并将项目实施情况和采购任务取消原因报送本级财政部门。</w:t>
      </w:r>
    </w:p>
    <w:p w14:paraId="25BCF75D">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28.履约保证金</w:t>
      </w:r>
    </w:p>
    <w:p w14:paraId="47F5006E">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28.1履约保证金的金额、提交方式、缴纳期限、退付的时间和条件详见“供应商须知前附表”。成交供应商未按规定提交履约保证金的，视为拒绝与采购人签订合同。</w:t>
      </w:r>
    </w:p>
    <w:p w14:paraId="638EA1E3">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28.2在履约保证金退还日期前，若成交供应商的开户名称、开户银行、账号有变动的，请以书面形式通知履约保证金收取单位，否则由此产生的后果由成交供应商自行承担。</w:t>
      </w:r>
    </w:p>
    <w:p w14:paraId="593FF229">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29.签订合同</w:t>
      </w:r>
    </w:p>
    <w:p w14:paraId="260287DE">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29.1签订电子采购合同：成交供应商领取电子成交通知书后，在</w:t>
      </w:r>
      <w:r>
        <w:rPr>
          <w:rFonts w:hint="eastAsia" w:ascii="宋体" w:hAnsi="宋体" w:eastAsia="宋体" w:cs="宋体"/>
          <w:i w:val="0"/>
          <w:iCs w:val="0"/>
          <w:color w:val="auto"/>
          <w:sz w:val="24"/>
          <w:szCs w:val="24"/>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187BB810">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线下签订纸质合同：供应商领取成交通知书后，按“供应商须知前附表”规定向采购人出示相关证明材料，经采购人核验合格后方可签订合同。</w:t>
      </w:r>
    </w:p>
    <w:p w14:paraId="577B6521">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29.2签订合同时间：按成交通知书规定的时间与采购人签订合同。</w:t>
      </w:r>
    </w:p>
    <w:p w14:paraId="0D61EFAD">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D810BEB">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C64AA1C">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062A3E55">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29.6如签订合同并生效后，供应商无故拒绝或延期，除按照合同条款处理外，将承担相应的法律责任。</w:t>
      </w:r>
    </w:p>
    <w:p w14:paraId="75752541">
      <w:pPr>
        <w:spacing w:line="360" w:lineRule="auto"/>
        <w:ind w:firstLine="646"/>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4F2CC0BF">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30.政府采购合同公告</w:t>
      </w:r>
    </w:p>
    <w:p w14:paraId="0C075EF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2B4CBFD">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31.询问、质疑和投诉</w:t>
      </w:r>
    </w:p>
    <w:p w14:paraId="11155437">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31.1供应商对政府采购活动事项有疑问的，可以向采购人、采购代理机构提出询问，采购人或者采购代理机构应当在3个工作日内对供应商依法提出的询问作出答复，但答复的内容不得涉及商业秘密。</w:t>
      </w:r>
    </w:p>
    <w:p w14:paraId="1165C01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31.2供应商认为磋商文件、采购过程或者成交结果使自己的合法权益受到损害的，应当在知道或者应知其权益受到损害之日起7个工作日内，以书面形式向采购人、采购代理机构提出质疑，接收质疑函的方式、联系部门、联系电话和通讯地址等信息详见“供应商须知前附表”。具体质疑起算时间如下：</w:t>
      </w:r>
    </w:p>
    <w:p w14:paraId="3DA4D22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（1）对可以质疑的磋商文件提出质疑的，为收到磋商文件之日或者竞争性磋商公告期限届满之日；</w:t>
      </w:r>
    </w:p>
    <w:p w14:paraId="41D7D3F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（2）对采购过程提出质疑的，为各采购程序环节结束之日；</w:t>
      </w:r>
    </w:p>
    <w:p w14:paraId="495FE6E4">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（3）对成交结果提出质疑的，为成交结果公告期限届满之日。</w:t>
      </w:r>
    </w:p>
    <w:p w14:paraId="49F389D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B15320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31.4供应商提出质疑应当提交质疑函和必要的证明材料，针对同一采购程序环节的质疑必须在法定质疑期内一次性提出。质疑函应当包括下列内容</w:t>
      </w:r>
      <w:r>
        <w:rPr>
          <w:rFonts w:hint="eastAsia" w:ascii="宋体" w:hAnsi="宋体" w:eastAsia="宋体" w:cs="宋体"/>
          <w:bCs/>
          <w:i w:val="0"/>
          <w:iCs w:val="0"/>
          <w:color w:val="auto"/>
          <w:sz w:val="24"/>
          <w:szCs w:val="24"/>
          <w:highlight w:val="none"/>
        </w:rPr>
        <w:t>（质疑函格式后附）</w:t>
      </w:r>
      <w:r>
        <w:rPr>
          <w:rFonts w:hint="eastAsia" w:ascii="宋体" w:hAnsi="宋体" w:eastAsia="宋体" w:cs="宋体"/>
          <w:i w:val="0"/>
          <w:iCs w:val="0"/>
          <w:color w:val="auto"/>
          <w:sz w:val="24"/>
          <w:szCs w:val="24"/>
          <w:highlight w:val="none"/>
        </w:rPr>
        <w:t>：</w:t>
      </w:r>
    </w:p>
    <w:p w14:paraId="290B8AE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（1）供应商的姓名或者名称、地址、邮编、联系人及联系电话；</w:t>
      </w:r>
    </w:p>
    <w:p w14:paraId="23DC486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（2）质疑项目的名称、编号；</w:t>
      </w:r>
    </w:p>
    <w:p w14:paraId="7D5AC2CF">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（3）具体、明确的质疑事项和与质疑事项相关的请求；</w:t>
      </w:r>
    </w:p>
    <w:p w14:paraId="0E09632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（4）事实依据；</w:t>
      </w:r>
    </w:p>
    <w:p w14:paraId="7FB78FC3">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（5）必要的法律依据；</w:t>
      </w:r>
    </w:p>
    <w:p w14:paraId="13963A0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（6）提出质疑的日期。</w:t>
      </w:r>
    </w:p>
    <w:p w14:paraId="61013BD2">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供应商为自然人的，应当由本人签字；供应商为法人或者其他组织的，应当由法定代表人、主要负责人，或者其委托代理人签字或者盖章，并加盖公章。</w:t>
      </w:r>
    </w:p>
    <w:p w14:paraId="65E2EDCD">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16D8591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（一）对采购文件提出的质疑，依法通过澄清或者修改可以继续开展采购活动的，澄清或者修改采购文件后继续开展采购活动；否则应当修改采购文件后重新开展采购活动。</w:t>
      </w:r>
    </w:p>
    <w:p w14:paraId="7AB892A1">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11CE9B28">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质疑答复导致成交结果改变的，采购人或者采购代理机构应当将有关情况书面报告本级财政部门。</w:t>
      </w:r>
    </w:p>
    <w:p w14:paraId="5715DD9B">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0B1D52B">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32.其他内容</w:t>
      </w:r>
    </w:p>
    <w:p w14:paraId="7050008F">
      <w:pPr>
        <w:tabs>
          <w:tab w:val="left" w:pos="2835"/>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32.1代理服务收取标准及缴费账户详见“供应商须知前附表”，供应商为联合体的，可以由联合体中的一方或者多方共同交纳代理服务费。</w:t>
      </w:r>
    </w:p>
    <w:p w14:paraId="613DE2EE">
      <w:pPr>
        <w:tabs>
          <w:tab w:val="left" w:pos="2835"/>
        </w:tabs>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32.2代理服务费收费计算标准：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8"/>
        <w:gridCol w:w="1657"/>
        <w:gridCol w:w="1530"/>
        <w:gridCol w:w="1544"/>
      </w:tblGrid>
      <w:tr w14:paraId="6092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782C637E">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费率</w:t>
            </w:r>
          </w:p>
          <w:p w14:paraId="41FA1C81">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金额</w:t>
            </w:r>
          </w:p>
        </w:tc>
        <w:tc>
          <w:tcPr>
            <w:tcW w:w="1657" w:type="dxa"/>
            <w:tcBorders>
              <w:top w:val="single" w:color="auto" w:sz="4" w:space="0"/>
              <w:left w:val="single" w:color="auto" w:sz="4" w:space="0"/>
              <w:bottom w:val="single" w:color="auto" w:sz="4" w:space="0"/>
              <w:right w:val="single" w:color="auto" w:sz="4" w:space="0"/>
            </w:tcBorders>
            <w:noWrap w:val="0"/>
            <w:vAlign w:val="center"/>
          </w:tcPr>
          <w:p w14:paraId="7C8E668F">
            <w:pPr>
              <w:spacing w:line="360" w:lineRule="auto"/>
              <w:ind w:firstLine="160"/>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货物类</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6060CD9A">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服务类</w:t>
            </w:r>
          </w:p>
        </w:tc>
        <w:tc>
          <w:tcPr>
            <w:tcW w:w="1544" w:type="dxa"/>
            <w:tcBorders>
              <w:top w:val="single" w:color="auto" w:sz="4" w:space="0"/>
              <w:left w:val="single" w:color="auto" w:sz="4" w:space="0"/>
              <w:bottom w:val="single" w:color="auto" w:sz="4" w:space="0"/>
              <w:right w:val="single" w:color="auto" w:sz="4" w:space="0"/>
            </w:tcBorders>
            <w:noWrap w:val="0"/>
            <w:vAlign w:val="center"/>
          </w:tcPr>
          <w:p w14:paraId="7C29FE8F">
            <w:pPr>
              <w:spacing w:line="360" w:lineRule="auto"/>
              <w:jc w:val="center"/>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工程类</w:t>
            </w:r>
          </w:p>
        </w:tc>
      </w:tr>
      <w:tr w14:paraId="492E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678A71D5">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100万元以下</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6A292415">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1.5%                </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315E5BEF">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172552E7">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1.0% </w:t>
            </w:r>
          </w:p>
        </w:tc>
      </w:tr>
      <w:tr w14:paraId="0312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2B52AE46">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100～500万元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6D527515">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1.1%                 </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71B149D0">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0.8%</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3EE03AC0">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0.7% </w:t>
            </w:r>
          </w:p>
        </w:tc>
      </w:tr>
      <w:tr w14:paraId="5193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5EC48D9F">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500～1000万元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523E8243">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0.8%                </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4940F01A">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0.45%</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05E2C420">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0.55%</w:t>
            </w:r>
          </w:p>
        </w:tc>
      </w:tr>
      <w:tr w14:paraId="0D2D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64516782">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1000～5000万元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7D59DB1F">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0.5%                </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2096134C">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0.25%</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6F0F329A">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0.35% </w:t>
            </w:r>
          </w:p>
        </w:tc>
      </w:tr>
      <w:tr w14:paraId="0F8B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747B3792">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5000万元～1亿元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0CAFD7C5">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0.25%                 </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53118066">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0.1%</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0CE1973A">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0.2%</w:t>
            </w:r>
          </w:p>
        </w:tc>
      </w:tr>
      <w:tr w14:paraId="1D7E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33990300">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1～5亿元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72FF970A">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0.05%</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3C58230F">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0.05%</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517FB580">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0.05%</w:t>
            </w:r>
          </w:p>
        </w:tc>
      </w:tr>
      <w:tr w14:paraId="684C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3F7294C1">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5～10亿元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2B811A1C">
            <w:pPr>
              <w:spacing w:line="360" w:lineRule="auto"/>
              <w:ind w:firstLine="1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0.035%</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38984699">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0.035%</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41364705">
            <w:pPr>
              <w:spacing w:line="360" w:lineRule="auto"/>
              <w:ind w:firstLine="1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0.035%</w:t>
            </w:r>
          </w:p>
        </w:tc>
      </w:tr>
      <w:tr w14:paraId="13C4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27CC02F8">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10～50亿元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54E3B4DD">
            <w:pPr>
              <w:spacing w:line="360" w:lineRule="auto"/>
              <w:ind w:firstLine="1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0.008%</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0F26FE44">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0.008%</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7B9FF6A3">
            <w:pPr>
              <w:spacing w:line="360" w:lineRule="auto"/>
              <w:ind w:firstLine="1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0.008%</w:t>
            </w:r>
          </w:p>
        </w:tc>
      </w:tr>
      <w:tr w14:paraId="2C66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54B6ABE4">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50～100亿元</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51D81036">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0.006%</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23C948B9">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0.006%</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51A63526">
            <w:pPr>
              <w:spacing w:line="360" w:lineRule="auto"/>
              <w:ind w:firstLine="1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0.006%</w:t>
            </w:r>
          </w:p>
        </w:tc>
      </w:tr>
      <w:tr w14:paraId="69DB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468" w:type="dxa"/>
            <w:tcBorders>
              <w:top w:val="single" w:color="auto" w:sz="4" w:space="0"/>
              <w:left w:val="single" w:color="auto" w:sz="4" w:space="0"/>
              <w:bottom w:val="single" w:color="auto" w:sz="4" w:space="0"/>
              <w:right w:val="single" w:color="auto" w:sz="4" w:space="0"/>
            </w:tcBorders>
            <w:noWrap w:val="0"/>
            <w:vAlign w:val="top"/>
          </w:tcPr>
          <w:p w14:paraId="0B5EE875">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100亿以上</w:t>
            </w:r>
          </w:p>
        </w:tc>
        <w:tc>
          <w:tcPr>
            <w:tcW w:w="1657" w:type="dxa"/>
            <w:tcBorders>
              <w:top w:val="single" w:color="auto" w:sz="4" w:space="0"/>
              <w:left w:val="single" w:color="auto" w:sz="4" w:space="0"/>
              <w:bottom w:val="single" w:color="auto" w:sz="4" w:space="0"/>
              <w:right w:val="single" w:color="auto" w:sz="4" w:space="0"/>
            </w:tcBorders>
            <w:noWrap w:val="0"/>
            <w:vAlign w:val="top"/>
          </w:tcPr>
          <w:p w14:paraId="62981186">
            <w:pPr>
              <w:spacing w:line="360" w:lineRule="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 xml:space="preserve"> 0.004%</w:t>
            </w:r>
          </w:p>
        </w:tc>
        <w:tc>
          <w:tcPr>
            <w:tcW w:w="1530" w:type="dxa"/>
            <w:tcBorders>
              <w:top w:val="single" w:color="auto" w:sz="4" w:space="0"/>
              <w:left w:val="single" w:color="auto" w:sz="4" w:space="0"/>
              <w:bottom w:val="single" w:color="auto" w:sz="4" w:space="0"/>
              <w:right w:val="single" w:color="auto" w:sz="4" w:space="0"/>
            </w:tcBorders>
            <w:noWrap w:val="0"/>
            <w:vAlign w:val="top"/>
          </w:tcPr>
          <w:p w14:paraId="609EF89C">
            <w:pPr>
              <w:spacing w:line="360" w:lineRule="auto"/>
              <w:ind w:firstLine="32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0.004%</w:t>
            </w:r>
          </w:p>
        </w:tc>
        <w:tc>
          <w:tcPr>
            <w:tcW w:w="1544" w:type="dxa"/>
            <w:tcBorders>
              <w:top w:val="single" w:color="auto" w:sz="4" w:space="0"/>
              <w:left w:val="single" w:color="auto" w:sz="4" w:space="0"/>
              <w:bottom w:val="single" w:color="auto" w:sz="4" w:space="0"/>
              <w:right w:val="single" w:color="auto" w:sz="4" w:space="0"/>
            </w:tcBorders>
            <w:noWrap w:val="0"/>
            <w:vAlign w:val="top"/>
          </w:tcPr>
          <w:p w14:paraId="1B3B0C79">
            <w:pPr>
              <w:spacing w:line="360" w:lineRule="auto"/>
              <w:ind w:firstLine="16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0.004%</w:t>
            </w:r>
          </w:p>
        </w:tc>
      </w:tr>
    </w:tbl>
    <w:p w14:paraId="4D6AE41E">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注：</w:t>
      </w:r>
    </w:p>
    <w:p w14:paraId="10E4DC4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（1）按本表费率计算的收费为采购代理的收费基准价格；</w:t>
      </w:r>
    </w:p>
    <w:p w14:paraId="6B0FD926">
      <w:pPr>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（2）采购代理收费按差额定率累进法计算。</w:t>
      </w:r>
    </w:p>
    <w:p w14:paraId="279572AE">
      <w:pPr>
        <w:spacing w:line="360" w:lineRule="auto"/>
        <w:ind w:firstLine="643"/>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33.需要补充的其他内容</w:t>
      </w:r>
    </w:p>
    <w:p w14:paraId="2D1540A7">
      <w:pPr>
        <w:pStyle w:val="224"/>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33.1本磋商文件解释规则详见“供应商须知前附表”。</w:t>
      </w:r>
    </w:p>
    <w:p w14:paraId="09A587D4">
      <w:pPr>
        <w:pStyle w:val="224"/>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33.2其他事项详见“供应商须知前附表”。</w:t>
      </w:r>
    </w:p>
    <w:p w14:paraId="13A66EAB">
      <w:pPr>
        <w:pStyle w:val="224"/>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33.3本磋商文件所称中小企业</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是指在中华人民共和国境内依法设立</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依据国务院批准的中小企业划分标准确定的中型企业、小型企业和微型企业</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但与大企业的负责人为同一人</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或者与大企业存在直接控股、管理关系的除外。符合中小企业划分标准的个体工商户</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在政府采购活动中视同中小企业。在政府采购活动中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供应商提供的货物、工程或者服务符合下列情形的</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享受本磋商文件规定的中小企业扶持政策：</w:t>
      </w:r>
    </w:p>
    <w:p w14:paraId="7FCB55B6">
      <w:pPr>
        <w:pStyle w:val="224"/>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（1）在货物采购项目中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货物由中小企业制造</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即货物由中小企业生产且使用该中小企业商号或者注册商标</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不对其中涉及的工程承建商和服务的承接商作出要求；</w:t>
      </w:r>
    </w:p>
    <w:p w14:paraId="23C56E62">
      <w:pPr>
        <w:pStyle w:val="224"/>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（2）在工程采购项目中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工程由中小企业承建</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即工程施工单位为中小企业</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不对其中涉及的货物的制造商和服务的承接商作出要求；</w:t>
      </w:r>
    </w:p>
    <w:p w14:paraId="239DFC16">
      <w:pPr>
        <w:pStyle w:val="224"/>
        <w:spacing w:line="360" w:lineRule="auto"/>
        <w:ind w:firstLine="640"/>
        <w:contextualSpacing/>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（3）在服务采购项目中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服务由中小企业承接</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即提供服务的人员为中小企业依照《中华人民共和国劳动合同法》订立劳动合同的从业人员</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不对其中涉及的货物的制造商和工程承建商作出要求。</w:t>
      </w:r>
    </w:p>
    <w:p w14:paraId="71F3E51B">
      <w:pPr>
        <w:pStyle w:val="224"/>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在货物采购项目中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供应商提供的货物既有中小企业制造货物</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也有大型企业制造货物的</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不享受本磋商文件规定的中小企业扶持政策。以联合体形式参加政府采购活动</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联合体各方均为中小企业的</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联合体视同中小企业。其中</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联合体各方均为小微企业的</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联合体视同小微企业。</w:t>
      </w:r>
    </w:p>
    <w:p w14:paraId="4A651702">
      <w:pPr>
        <w:pStyle w:val="224"/>
        <w:spacing w:line="360" w:lineRule="auto"/>
        <w:ind w:firstLine="64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依据本磋商文件规定享受扶持政策获得政府采购合同的</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小微企业不得将合同分包给大中型企业</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中型企业不得将合同分包给大型企业。</w:t>
      </w:r>
    </w:p>
    <w:p w14:paraId="77E1F476">
      <w:pPr>
        <w:pStyle w:val="50"/>
        <w:jc w:val="center"/>
        <w:rPr>
          <w:rFonts w:hint="eastAsia"/>
          <w:i w:val="0"/>
          <w:iCs w:val="0"/>
          <w:color w:val="auto"/>
          <w:highlight w:val="none"/>
        </w:rPr>
      </w:pPr>
      <w:r>
        <w:rPr>
          <w:rFonts w:hint="eastAsia" w:ascii="宋体" w:hAnsi="宋体" w:eastAsia="宋体" w:cs="宋体"/>
          <w:i w:val="0"/>
          <w:iCs w:val="0"/>
          <w:color w:val="auto"/>
          <w:sz w:val="21"/>
          <w:highlight w:val="none"/>
        </w:rPr>
        <w:br w:type="page" w:clear="all"/>
      </w:r>
      <w:bookmarkStart w:id="76" w:name="_Toc28427"/>
      <w:r>
        <w:rPr>
          <w:rFonts w:hint="eastAsia"/>
          <w:i w:val="0"/>
          <w:iCs w:val="0"/>
          <w:color w:val="auto"/>
          <w:highlight w:val="none"/>
        </w:rPr>
        <w:t>第三章</w:t>
      </w:r>
      <w:r>
        <w:rPr>
          <w:rFonts w:hint="eastAsia"/>
          <w:i w:val="0"/>
          <w:iCs w:val="0"/>
          <w:color w:val="auto"/>
          <w:highlight w:val="none"/>
          <w:lang w:val="en-US" w:eastAsia="zh-CN"/>
        </w:rPr>
        <w:t xml:space="preserve"> </w:t>
      </w:r>
      <w:r>
        <w:rPr>
          <w:rFonts w:hint="eastAsia"/>
          <w:i w:val="0"/>
          <w:iCs w:val="0"/>
          <w:color w:val="auto"/>
          <w:highlight w:val="none"/>
        </w:rPr>
        <w:t>采购需求</w:t>
      </w:r>
      <w:bookmarkEnd w:id="76"/>
    </w:p>
    <w:p w14:paraId="5A4901FC">
      <w:pPr>
        <w:keepNext w:val="0"/>
        <w:keepLines w:val="0"/>
        <w:pageBreakBefore w:val="0"/>
        <w:widowControl w:val="0"/>
        <w:bidi w:val="0"/>
        <w:spacing w:line="360" w:lineRule="exact"/>
        <w:jc w:val="left"/>
        <w:rPr>
          <w:rFonts w:hint="eastAsia" w:ascii="宋体" w:hAnsi="宋体" w:cs="宋体"/>
          <w:i w:val="0"/>
          <w:iCs w:val="0"/>
          <w:color w:val="auto"/>
          <w:szCs w:val="21"/>
          <w:highlight w:val="none"/>
        </w:rPr>
      </w:pPr>
      <w:r>
        <w:rPr>
          <w:rFonts w:hint="eastAsia" w:ascii="宋体" w:hAnsi="宋体" w:cs="宋体"/>
          <w:i w:val="0"/>
          <w:iCs w:val="0"/>
          <w:color w:val="auto"/>
          <w:szCs w:val="21"/>
          <w:highlight w:val="none"/>
        </w:rPr>
        <w:t>说明：</w:t>
      </w:r>
    </w:p>
    <w:p w14:paraId="31E96DE3">
      <w:pPr>
        <w:keepNext w:val="0"/>
        <w:keepLines w:val="0"/>
        <w:pageBreakBefore w:val="0"/>
        <w:widowControl w:val="0"/>
        <w:bidi w:val="0"/>
        <w:spacing w:line="360" w:lineRule="exact"/>
        <w:ind w:firstLine="420"/>
        <w:jc w:val="left"/>
        <w:rPr>
          <w:rFonts w:hint="eastAsia"/>
          <w:i w:val="0"/>
          <w:iCs w:val="0"/>
          <w:color w:val="auto"/>
          <w:highlight w:val="none"/>
        </w:rPr>
      </w:pPr>
      <w:r>
        <w:rPr>
          <w:rFonts w:hint="eastAsia" w:ascii="宋体" w:hAnsi="宋体"/>
          <w:i w:val="0"/>
          <w:iCs w:val="0"/>
          <w:color w:val="auto"/>
          <w:highlight w:val="none"/>
        </w:rPr>
        <w:t>1</w:t>
      </w:r>
      <w:r>
        <w:rPr>
          <w:rFonts w:hint="eastAsia"/>
          <w:i w:val="0"/>
          <w:iCs w:val="0"/>
          <w:color w:val="auto"/>
          <w:highlight w:val="none"/>
        </w:rPr>
        <w:t>. 为落实政府采购政策需满足的要求</w:t>
      </w:r>
    </w:p>
    <w:p w14:paraId="41E7274B">
      <w:pPr>
        <w:keepNext w:val="0"/>
        <w:keepLines w:val="0"/>
        <w:pageBreakBefore w:val="0"/>
        <w:widowControl w:val="0"/>
        <w:bidi w:val="0"/>
        <w:spacing w:line="360" w:lineRule="exact"/>
        <w:ind w:firstLine="420"/>
        <w:jc w:val="left"/>
        <w:rPr>
          <w:rFonts w:ascii="宋体" w:hAnsi="宋体" w:cs="宋体"/>
          <w:i w:val="0"/>
          <w:iCs w:val="0"/>
          <w:color w:val="auto"/>
          <w:szCs w:val="21"/>
          <w:highlight w:val="none"/>
        </w:rPr>
      </w:pPr>
      <w:r>
        <w:rPr>
          <w:rFonts w:hint="eastAsia" w:ascii="宋体" w:hAnsi="宋体" w:cs="宋体"/>
          <w:i w:val="0"/>
          <w:iCs w:val="0"/>
          <w:color w:val="auto"/>
          <w:szCs w:val="21"/>
          <w:highlight w:val="none"/>
        </w:rPr>
        <w:t>（1）本竞争性磋商采购文件所称中小企业必须符合《政府采购促进中小企业发展管理办法》（财库〔2020〕46号）的规定。</w:t>
      </w:r>
    </w:p>
    <w:p w14:paraId="14D0F980">
      <w:pPr>
        <w:keepNext w:val="0"/>
        <w:keepLines w:val="0"/>
        <w:pageBreakBefore w:val="0"/>
        <w:widowControl w:val="0"/>
        <w:bidi w:val="0"/>
        <w:spacing w:line="360" w:lineRule="exact"/>
        <w:ind w:firstLine="420"/>
        <w:jc w:val="left"/>
        <w:rPr>
          <w:rFonts w:ascii="宋体" w:hAnsi="宋体" w:cs="宋体"/>
          <w:i w:val="0"/>
          <w:iCs w:val="0"/>
          <w:color w:val="auto"/>
          <w:szCs w:val="21"/>
          <w:highlight w:val="none"/>
        </w:rPr>
      </w:pPr>
      <w:r>
        <w:rPr>
          <w:rFonts w:hint="eastAsia" w:ascii="宋体" w:hAnsi="宋体" w:cs="宋体"/>
          <w:i w:val="0"/>
          <w:iCs w:val="0"/>
          <w:color w:val="auto"/>
          <w:szCs w:val="21"/>
          <w:highlight w:val="none"/>
        </w:rPr>
        <w:t>（2）根据《财政部司法部关于政府采购支持监狱企业发展有关问题的通知》（财库〔2014〕68号）的规定，如供应商为监狱企业，视同小型、微型企业。</w:t>
      </w:r>
    </w:p>
    <w:p w14:paraId="02D6B579">
      <w:pPr>
        <w:keepNext w:val="0"/>
        <w:keepLines w:val="0"/>
        <w:pageBreakBefore w:val="0"/>
        <w:widowControl w:val="0"/>
        <w:bidi w:val="0"/>
        <w:spacing w:line="360" w:lineRule="exact"/>
        <w:ind w:firstLine="420"/>
        <w:jc w:val="left"/>
        <w:rPr>
          <w:rFonts w:hint="eastAsia" w:ascii="宋体" w:hAnsi="宋体" w:cs="宋体"/>
          <w:i w:val="0"/>
          <w:iCs w:val="0"/>
          <w:color w:val="auto"/>
          <w:szCs w:val="21"/>
          <w:highlight w:val="none"/>
        </w:rPr>
      </w:pPr>
      <w:r>
        <w:rPr>
          <w:rFonts w:hint="eastAsia" w:ascii="宋体" w:hAnsi="宋体" w:cs="宋体"/>
          <w:i w:val="0"/>
          <w:iCs w:val="0"/>
          <w:color w:val="auto"/>
          <w:szCs w:val="21"/>
          <w:highlight w:val="none"/>
        </w:rPr>
        <w:t>（3）根据《关于促进残疾人就业政府采购政策的通知》（财库〔2017〕141号）的规定，如供应商为残疾人福利性单位，视同小型、微型企业。</w:t>
      </w:r>
    </w:p>
    <w:p w14:paraId="0B1D948E">
      <w:pPr>
        <w:keepNext w:val="0"/>
        <w:keepLines w:val="0"/>
        <w:pageBreakBefore w:val="0"/>
        <w:widowControl w:val="0"/>
        <w:bidi w:val="0"/>
        <w:spacing w:line="360" w:lineRule="exact"/>
        <w:ind w:firstLine="424"/>
        <w:jc w:val="left"/>
        <w:rPr>
          <w:rFonts w:hint="eastAsia" w:ascii="宋体" w:hAnsi="宋体" w:cs="宋体"/>
          <w:i w:val="0"/>
          <w:iCs w:val="0"/>
          <w:color w:val="auto"/>
          <w:szCs w:val="21"/>
          <w:highlight w:val="none"/>
        </w:rPr>
      </w:pPr>
      <w:r>
        <w:rPr>
          <w:rFonts w:hint="eastAsia" w:ascii="宋体" w:hAnsi="宋体" w:cs="宋体"/>
          <w:i w:val="0"/>
          <w:iCs w:val="0"/>
          <w:color w:val="auto"/>
          <w:szCs w:val="21"/>
          <w:highlight w:val="none"/>
        </w:rPr>
        <w:t>2.“实质性要求”是指采购需求中带“▲”的条款或者不能负偏离的条款或者已经指明不满足按响应文件无效处理的条款。</w:t>
      </w:r>
    </w:p>
    <w:p w14:paraId="4BD602E0">
      <w:pPr>
        <w:keepNext w:val="0"/>
        <w:keepLines w:val="0"/>
        <w:pageBreakBefore w:val="0"/>
        <w:widowControl w:val="0"/>
        <w:bidi w:val="0"/>
        <w:spacing w:line="360" w:lineRule="exact"/>
        <w:ind w:firstLine="424"/>
        <w:jc w:val="left"/>
        <w:rPr>
          <w:rFonts w:hint="eastAsia"/>
          <w:i w:val="0"/>
          <w:iCs w:val="0"/>
          <w:color w:val="auto"/>
          <w:highlight w:val="none"/>
        </w:rPr>
      </w:pPr>
      <w:r>
        <w:rPr>
          <w:rFonts w:hint="eastAsia" w:ascii="宋体" w:hAnsi="宋体" w:cs="宋体"/>
          <w:i w:val="0"/>
          <w:iCs w:val="0"/>
          <w:color w:val="auto"/>
          <w:szCs w:val="21"/>
          <w:highlight w:val="none"/>
        </w:rPr>
        <w:t>3.供应商应根据自身实际情况如实响应磋商文件</w:t>
      </w:r>
      <w:r>
        <w:rPr>
          <w:rFonts w:hint="eastAsia"/>
          <w:i w:val="0"/>
          <w:iCs w:val="0"/>
          <w:color w:val="auto"/>
          <w:highlight w:val="none"/>
        </w:rPr>
        <w:t>。</w:t>
      </w:r>
    </w:p>
    <w:p w14:paraId="76FBCC6F">
      <w:pPr>
        <w:pStyle w:val="4"/>
        <w:jc w:val="center"/>
        <w:rPr>
          <w:rFonts w:hint="eastAsia"/>
          <w:i w:val="0"/>
          <w:iCs w:val="0"/>
          <w:color w:val="auto"/>
          <w:sz w:val="30"/>
          <w:szCs w:val="30"/>
          <w:highlight w:val="none"/>
        </w:rPr>
      </w:pPr>
      <w:r>
        <w:rPr>
          <w:rFonts w:hint="eastAsia" w:ascii="宋体" w:hAnsi="宋体" w:eastAsia="宋体" w:cs="宋体"/>
          <w:b/>
          <w:bCs/>
          <w:i w:val="0"/>
          <w:iCs w:val="0"/>
          <w:color w:val="auto"/>
          <w:kern w:val="0"/>
          <w:sz w:val="30"/>
          <w:szCs w:val="30"/>
          <w:highlight w:val="none"/>
          <w:u w:val="none"/>
          <w:lang w:val="en-US" w:eastAsia="zh-CN" w:bidi="ar"/>
        </w:rPr>
        <w:t>服务需求一览表</w:t>
      </w:r>
    </w:p>
    <w:p w14:paraId="00FB074A">
      <w:pPr>
        <w:keepNext w:val="0"/>
        <w:keepLines w:val="0"/>
        <w:pageBreakBefore w:val="0"/>
        <w:widowControl w:val="0"/>
        <w:bidi w:val="0"/>
        <w:spacing w:line="360" w:lineRule="exact"/>
        <w:ind w:firstLine="420"/>
        <w:jc w:val="left"/>
        <w:rPr>
          <w:rFonts w:hint="eastAsia" w:ascii="宋体" w:hAnsi="宋体" w:eastAsia="宋体" w:cs="宋体"/>
          <w:i w:val="0"/>
          <w:iCs w:val="0"/>
          <w:color w:val="auto"/>
          <w:szCs w:val="21"/>
          <w:highlight w:val="none"/>
        </w:rPr>
      </w:pPr>
    </w:p>
    <w:tbl>
      <w:tblPr>
        <w:tblStyle w:val="36"/>
        <w:tblW w:w="96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1"/>
        <w:gridCol w:w="817"/>
        <w:gridCol w:w="7393"/>
        <w:gridCol w:w="620"/>
      </w:tblGrid>
      <w:tr w14:paraId="7AAA7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96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DE587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b/>
                <w:i w:val="0"/>
                <w:iCs w:val="0"/>
                <w:color w:val="auto"/>
                <w:kern w:val="0"/>
                <w:sz w:val="24"/>
                <w:szCs w:val="24"/>
                <w:highlight w:val="none"/>
                <w:u w:val="none"/>
                <w:lang w:val="en-US" w:eastAsia="zh-CN" w:bidi="ar"/>
              </w:rPr>
              <w:t>分标1</w:t>
            </w:r>
            <w:r>
              <w:rPr>
                <w:rFonts w:hint="eastAsia" w:ascii="宋体" w:hAnsi="宋体" w:eastAsia="宋体" w:cs="宋体"/>
                <w:b/>
                <w:i w:val="0"/>
                <w:iCs w:val="0"/>
                <w:color w:val="auto"/>
                <w:kern w:val="0"/>
                <w:sz w:val="24"/>
                <w:szCs w:val="24"/>
                <w:highlight w:val="none"/>
                <w:u w:val="none"/>
                <w:lang w:val="en-US" w:eastAsia="zh-CN" w:bidi="ar"/>
              </w:rPr>
              <w:t>，</w:t>
            </w:r>
            <w:r>
              <w:rPr>
                <w:rFonts w:ascii="Times New Roman" w:hAnsi="Times New Roman" w:eastAsia="宋体" w:cs="Times New Roman"/>
                <w:b/>
                <w:i w:val="0"/>
                <w:iCs w:val="0"/>
                <w:color w:val="auto"/>
                <w:sz w:val="24"/>
                <w:szCs w:val="24"/>
                <w:highlight w:val="none"/>
              </w:rPr>
              <w:t>采购预算为柒拾伍万伍仟元整（¥755000</w:t>
            </w:r>
            <w:r>
              <w:rPr>
                <w:rFonts w:hint="eastAsia" w:ascii="Times New Roman" w:hAnsi="Times New Roman" w:eastAsia="宋体" w:cs="Times New Roman"/>
                <w:b/>
                <w:i w:val="0"/>
                <w:iCs w:val="0"/>
                <w:color w:val="auto"/>
                <w:sz w:val="24"/>
                <w:szCs w:val="24"/>
                <w:highlight w:val="none"/>
                <w:lang w:val="en-US" w:eastAsia="zh-CN"/>
              </w:rPr>
              <w:t>.00</w:t>
            </w:r>
            <w:r>
              <w:rPr>
                <w:rFonts w:ascii="Times New Roman" w:hAnsi="Times New Roman" w:eastAsia="宋体" w:cs="Times New Roman"/>
                <w:b/>
                <w:i w:val="0"/>
                <w:iCs w:val="0"/>
                <w:color w:val="auto"/>
                <w:sz w:val="24"/>
                <w:szCs w:val="24"/>
                <w:highlight w:val="none"/>
              </w:rPr>
              <w:t>）</w:t>
            </w:r>
          </w:p>
        </w:tc>
      </w:tr>
      <w:tr w14:paraId="6E264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30D7">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标的名称</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B681">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数量及单位</w:t>
            </w:r>
          </w:p>
        </w:tc>
        <w:tc>
          <w:tcPr>
            <w:tcW w:w="7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5CC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480" w:firstLineChars="200"/>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cs="宋体"/>
                <w:i w:val="0"/>
                <w:iCs w:val="0"/>
                <w:color w:val="auto"/>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服务内容及要求</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299C">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所属行业</w:t>
            </w:r>
          </w:p>
        </w:tc>
      </w:tr>
      <w:tr w14:paraId="12D31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0"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075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both"/>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rPr>
              <w:t>2026年医药机构年度考核与日常全覆盖检查服务</w:t>
            </w:r>
            <w:r>
              <w:rPr>
                <w:rFonts w:hint="eastAsia" w:ascii="宋体" w:hAnsi="宋体" w:cs="宋体"/>
                <w:i w:val="0"/>
                <w:iCs w:val="0"/>
                <w:color w:val="auto"/>
                <w:sz w:val="24"/>
                <w:szCs w:val="24"/>
                <w:highlight w:val="none"/>
                <w:u w:val="none"/>
                <w:lang w:val="en-US" w:eastAsia="zh-CN"/>
              </w:rPr>
              <w:t>分标1</w:t>
            </w: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BD7F">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1项</w:t>
            </w:r>
          </w:p>
        </w:tc>
        <w:tc>
          <w:tcPr>
            <w:tcW w:w="7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9DB9">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eastAsia="宋体"/>
                <w:b/>
                <w:bCs w:val="0"/>
                <w:i w:val="0"/>
                <w:iCs w:val="0"/>
                <w:color w:val="auto"/>
                <w:sz w:val="24"/>
                <w:highlight w:val="none"/>
              </w:rPr>
            </w:pPr>
            <w:r>
              <w:rPr>
                <w:rFonts w:hint="eastAsia" w:ascii="Arial" w:hAnsi="Arial" w:eastAsia="宋体" w:cs="Arial"/>
                <w:b/>
                <w:bCs w:val="0"/>
                <w:i w:val="0"/>
                <w:iCs w:val="0"/>
                <w:color w:val="auto"/>
                <w:sz w:val="24"/>
                <w:szCs w:val="28"/>
                <w:highlight w:val="none"/>
                <w:lang w:val="en-US" w:eastAsia="zh-CN" w:bidi="ar-SA"/>
              </w:rPr>
              <w:t>一、</w:t>
            </w:r>
            <w:r>
              <w:rPr>
                <w:rFonts w:ascii="Times New Roman" w:hAnsi="Times New Roman" w:eastAsia="宋体" w:cs="Times New Roman"/>
                <w:b/>
                <w:bCs w:val="0"/>
                <w:i w:val="0"/>
                <w:iCs w:val="0"/>
                <w:color w:val="auto"/>
                <w:sz w:val="24"/>
                <w:highlight w:val="none"/>
              </w:rPr>
              <w:t>项目背景</w:t>
            </w:r>
          </w:p>
          <w:p w14:paraId="7C206F4B">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jc w:val="both"/>
              <w:rPr>
                <w:rFonts w:ascii="Times New Roman" w:hAnsi="Times New Roman" w:eastAsia="宋体" w:cs="Times New Roman"/>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为加强全市定点医药机构医保服务管理，规范医保服务行为，保障医保基金安全，依据《医疗机构医疗保障定点管理暂行办法》（国家医疗保障局令第2号）、《零售药店医疗保障定点管理暂行办法》（国家医疗保障局令第3号）及</w:t>
            </w:r>
            <w:r>
              <w:rPr>
                <w:rFonts w:hint="eastAsia" w:cs="Times New Roman"/>
                <w:b w:val="0"/>
                <w:bCs w:val="0"/>
                <w:i w:val="0"/>
                <w:iCs w:val="0"/>
                <w:color w:val="auto"/>
                <w:sz w:val="24"/>
                <w:highlight w:val="none"/>
                <w:lang w:val="en-US" w:eastAsia="zh-CN"/>
              </w:rPr>
              <w:t>2026年</w:t>
            </w:r>
            <w:r>
              <w:rPr>
                <w:rFonts w:ascii="Times New Roman" w:hAnsi="Times New Roman" w:eastAsia="宋体" w:cs="Times New Roman"/>
                <w:b w:val="0"/>
                <w:bCs w:val="0"/>
                <w:i w:val="0"/>
                <w:iCs w:val="0"/>
                <w:color w:val="auto"/>
                <w:sz w:val="24"/>
                <w:highlight w:val="none"/>
              </w:rPr>
              <w:t>医保服务协议相关规定，拟引入第三方专业机构协助开展全市定点医药机构医保服务年度考核与日常全覆盖检查工作。</w:t>
            </w:r>
            <w:r>
              <w:rPr>
                <w:rFonts w:hint="eastAsia" w:cs="Times New Roman"/>
                <w:b w:val="0"/>
                <w:bCs w:val="0"/>
                <w:i w:val="0"/>
                <w:iCs w:val="0"/>
                <w:color w:val="auto"/>
                <w:sz w:val="24"/>
                <w:highlight w:val="none"/>
                <w:lang w:eastAsia="zh-CN"/>
              </w:rPr>
              <w:t>重点围绕医保政策执行合规性、基金使用合理性、服务行为规范性等方面开展核查评估，推动形成常态化、精准化、闭环化的医保监管体系，切实防范欺诈骗保等违法违规行为，提升医保治理能力现代化水平。</w:t>
            </w:r>
            <w:r>
              <w:rPr>
                <w:rFonts w:ascii="Times New Roman" w:hAnsi="Times New Roman" w:eastAsia="宋体" w:cs="Times New Roman"/>
                <w:b w:val="0"/>
                <w:bCs w:val="0"/>
                <w:i w:val="0"/>
                <w:iCs w:val="0"/>
                <w:color w:val="auto"/>
                <w:sz w:val="24"/>
                <w:highlight w:val="none"/>
              </w:rPr>
              <w:t>本项目旨在通过专业化的核查与评估，提升监管效能，确保医保政策落地执行，维护参保人合法权益。</w:t>
            </w:r>
          </w:p>
          <w:p w14:paraId="39B9B5BF">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ascii="Times New Roman" w:hAnsi="Times New Roman" w:eastAsia="宋体" w:cs="Times New Roman"/>
                <w:b/>
                <w:bCs w:val="0"/>
                <w:i w:val="0"/>
                <w:iCs w:val="0"/>
                <w:color w:val="auto"/>
                <w:sz w:val="24"/>
                <w:highlight w:val="none"/>
              </w:rPr>
            </w:pPr>
            <w:r>
              <w:rPr>
                <w:rFonts w:hint="eastAsia" w:ascii="Times New Roman" w:hAnsi="Times New Roman" w:eastAsia="宋体" w:cs="Times New Roman"/>
                <w:b/>
                <w:bCs w:val="0"/>
                <w:i w:val="0"/>
                <w:iCs w:val="0"/>
                <w:color w:val="auto"/>
                <w:sz w:val="24"/>
                <w:highlight w:val="none"/>
                <w:lang w:val="en-US" w:eastAsia="zh-CN"/>
              </w:rPr>
              <w:t>二、</w:t>
            </w:r>
            <w:r>
              <w:rPr>
                <w:rFonts w:ascii="Times New Roman" w:hAnsi="Times New Roman" w:eastAsia="宋体" w:cs="Times New Roman"/>
                <w:b/>
                <w:bCs w:val="0"/>
                <w:i w:val="0"/>
                <w:iCs w:val="0"/>
                <w:color w:val="auto"/>
                <w:sz w:val="24"/>
                <w:highlight w:val="none"/>
              </w:rPr>
              <w:t>检查对象及数量</w:t>
            </w:r>
          </w:p>
          <w:p w14:paraId="6D34B6EF">
            <w:pPr>
              <w:pStyle w:val="2"/>
              <w:keepNext w:val="0"/>
              <w:keepLines w:val="0"/>
              <w:pageBreakBefore w:val="0"/>
              <w:numPr>
                <w:ilvl w:val="0"/>
                <w:numId w:val="3"/>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eastAsia="宋体"/>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检查对象：武宣</w:t>
            </w:r>
            <w:r>
              <w:rPr>
                <w:rFonts w:cs="Times New Roman"/>
                <w:b w:val="0"/>
                <w:bCs w:val="0"/>
                <w:i w:val="0"/>
                <w:iCs w:val="0"/>
                <w:color w:val="auto"/>
                <w:sz w:val="24"/>
                <w:highlight w:val="none"/>
              </w:rPr>
              <w:t>县</w:t>
            </w:r>
            <w:r>
              <w:rPr>
                <w:rFonts w:ascii="Times New Roman" w:hAnsi="Times New Roman" w:eastAsia="宋体" w:cs="Times New Roman"/>
                <w:b w:val="0"/>
                <w:bCs w:val="0"/>
                <w:i w:val="0"/>
                <w:iCs w:val="0"/>
                <w:color w:val="auto"/>
                <w:sz w:val="24"/>
                <w:highlight w:val="none"/>
              </w:rPr>
              <w:t>、象州</w:t>
            </w:r>
            <w:r>
              <w:rPr>
                <w:rFonts w:cs="Times New Roman"/>
                <w:b w:val="0"/>
                <w:bCs w:val="0"/>
                <w:i w:val="0"/>
                <w:iCs w:val="0"/>
                <w:color w:val="auto"/>
                <w:sz w:val="24"/>
                <w:highlight w:val="none"/>
              </w:rPr>
              <w:t>县</w:t>
            </w:r>
            <w:r>
              <w:rPr>
                <w:rFonts w:ascii="Times New Roman" w:hAnsi="Times New Roman" w:eastAsia="宋体" w:cs="Times New Roman"/>
                <w:b w:val="0"/>
                <w:bCs w:val="0"/>
                <w:i w:val="0"/>
                <w:iCs w:val="0"/>
                <w:color w:val="auto"/>
                <w:sz w:val="24"/>
                <w:highlight w:val="none"/>
              </w:rPr>
              <w:t>、忻城县</w:t>
            </w:r>
            <w:r>
              <w:rPr>
                <w:rFonts w:cs="Times New Roman"/>
                <w:b w:val="0"/>
                <w:bCs w:val="0"/>
                <w:i w:val="0"/>
                <w:iCs w:val="0"/>
                <w:color w:val="auto"/>
                <w:sz w:val="24"/>
                <w:highlight w:val="none"/>
              </w:rPr>
              <w:t>、金秀瑶族自治县</w:t>
            </w:r>
            <w:r>
              <w:rPr>
                <w:rFonts w:ascii="Times New Roman" w:hAnsi="Times New Roman" w:eastAsia="宋体" w:cs="Times New Roman"/>
                <w:b w:val="0"/>
                <w:bCs w:val="0"/>
                <w:i w:val="0"/>
                <w:iCs w:val="0"/>
                <w:color w:val="auto"/>
                <w:sz w:val="24"/>
                <w:highlight w:val="none"/>
              </w:rPr>
              <w:t>所有签订医保服务协议的定点医疗机构（含医院、社区卫生服务中心、诊所等）及定点零售药店。具体数量</w:t>
            </w:r>
            <w:r>
              <w:rPr>
                <w:rFonts w:hint="eastAsia" w:ascii="Times New Roman" w:hAnsi="Times New Roman" w:eastAsia="宋体" w:cs="Times New Roman"/>
                <w:b w:val="0"/>
                <w:bCs w:val="0"/>
                <w:i w:val="0"/>
                <w:iCs w:val="0"/>
                <w:color w:val="auto"/>
                <w:sz w:val="24"/>
                <w:highlight w:val="none"/>
                <w:lang w:val="en-US" w:eastAsia="zh-CN"/>
              </w:rPr>
              <w:t>以</w:t>
            </w:r>
            <w:r>
              <w:rPr>
                <w:rFonts w:hint="eastAsia" w:cs="Times New Roman"/>
                <w:b w:val="0"/>
                <w:bCs w:val="0"/>
                <w:i w:val="0"/>
                <w:iCs w:val="0"/>
                <w:color w:val="auto"/>
                <w:sz w:val="24"/>
                <w:highlight w:val="none"/>
                <w:lang w:val="en-US" w:eastAsia="zh-CN"/>
              </w:rPr>
              <w:t>采购人</w:t>
            </w:r>
            <w:r>
              <w:rPr>
                <w:rFonts w:hint="eastAsia" w:ascii="Times New Roman" w:hAnsi="Times New Roman" w:eastAsia="宋体" w:cs="Times New Roman"/>
                <w:b w:val="0"/>
                <w:bCs w:val="0"/>
                <w:i w:val="0"/>
                <w:iCs w:val="0"/>
                <w:color w:val="auto"/>
                <w:sz w:val="24"/>
                <w:highlight w:val="none"/>
                <w:lang w:val="en-US" w:eastAsia="zh-CN"/>
              </w:rPr>
              <w:t>提供的实际数量为准</w:t>
            </w:r>
            <w:r>
              <w:rPr>
                <w:rFonts w:ascii="Times New Roman" w:hAnsi="Times New Roman" w:eastAsia="宋体" w:cs="Times New Roman"/>
                <w:b w:val="0"/>
                <w:bCs w:val="0"/>
                <w:i w:val="0"/>
                <w:iCs w:val="0"/>
                <w:color w:val="auto"/>
                <w:sz w:val="24"/>
                <w:highlight w:val="none"/>
              </w:rPr>
              <w:t>。</w:t>
            </w:r>
          </w:p>
          <w:p w14:paraId="18FB6B6D">
            <w:pPr>
              <w:pStyle w:val="2"/>
              <w:keepNext w:val="0"/>
              <w:keepLines w:val="0"/>
              <w:pageBreakBefore w:val="0"/>
              <w:numPr>
                <w:ilvl w:val="0"/>
                <w:numId w:val="3"/>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eastAsia="宋体"/>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参考数量：</w:t>
            </w:r>
            <w:r>
              <w:rPr>
                <w:rFonts w:hint="eastAsia" w:cs="Times New Roman"/>
                <w:b w:val="0"/>
                <w:bCs w:val="0"/>
                <w:i w:val="0"/>
                <w:iCs w:val="0"/>
                <w:color w:val="auto"/>
                <w:sz w:val="24"/>
                <w:highlight w:val="none"/>
                <w:lang w:eastAsia="zh-CN"/>
              </w:rPr>
              <w:t>截至</w:t>
            </w:r>
            <w:r>
              <w:rPr>
                <w:rFonts w:ascii="Times New Roman" w:hAnsi="Times New Roman" w:eastAsia="宋体" w:cs="Times New Roman"/>
                <w:b w:val="0"/>
                <w:bCs w:val="0"/>
                <w:i w:val="0"/>
                <w:iCs w:val="0"/>
                <w:color w:val="auto"/>
                <w:sz w:val="24"/>
                <w:highlight w:val="none"/>
              </w:rPr>
              <w:t>2026年8月5日，上述</w:t>
            </w:r>
            <w:r>
              <w:rPr>
                <w:rFonts w:cs="Times New Roman"/>
                <w:b w:val="0"/>
                <w:bCs w:val="0"/>
                <w:i w:val="0"/>
                <w:iCs w:val="0"/>
                <w:color w:val="auto"/>
                <w:sz w:val="24"/>
                <w:highlight w:val="none"/>
              </w:rPr>
              <w:t>四个县区</w:t>
            </w:r>
            <w:r>
              <w:rPr>
                <w:rFonts w:ascii="Times New Roman" w:hAnsi="Times New Roman" w:eastAsia="宋体" w:cs="Times New Roman"/>
                <w:b w:val="0"/>
                <w:bCs w:val="0"/>
                <w:i w:val="0"/>
                <w:iCs w:val="0"/>
                <w:color w:val="auto"/>
                <w:sz w:val="24"/>
                <w:highlight w:val="none"/>
              </w:rPr>
              <w:t>二级定点医疗机构17家，一级及以下定点医疗机构49家，定点零售药店239家。</w:t>
            </w:r>
          </w:p>
          <w:p w14:paraId="6471353D">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hint="eastAsia" w:ascii="Times New Roman" w:hAnsi="Times New Roman" w:eastAsia="宋体" w:cs="Times New Roman"/>
                <w:b/>
                <w:bCs w:val="0"/>
                <w:i w:val="0"/>
                <w:iCs w:val="0"/>
                <w:color w:val="auto"/>
                <w:sz w:val="24"/>
                <w:highlight w:val="none"/>
                <w:lang w:val="en-US" w:eastAsia="zh-CN"/>
              </w:rPr>
            </w:pPr>
            <w:r>
              <w:rPr>
                <w:rFonts w:hint="eastAsia" w:ascii="Times New Roman" w:hAnsi="Times New Roman" w:eastAsia="宋体" w:cs="Times New Roman"/>
                <w:b/>
                <w:bCs w:val="0"/>
                <w:i w:val="0"/>
                <w:iCs w:val="0"/>
                <w:color w:val="auto"/>
                <w:sz w:val="24"/>
                <w:highlight w:val="none"/>
                <w:lang w:val="en-US" w:eastAsia="zh-CN"/>
              </w:rPr>
              <w:t>三、具体服务内容</w:t>
            </w:r>
          </w:p>
          <w:p w14:paraId="3140DC3C">
            <w:pPr>
              <w:pStyle w:val="7"/>
              <w:keepNext w:val="0"/>
              <w:keepLines w:val="0"/>
              <w:pageBreakBefore w:val="0"/>
              <w:widowControl w:val="0"/>
              <w:numPr>
                <w:ilvl w:val="0"/>
                <w:numId w:val="4"/>
              </w:numPr>
              <w:tabs>
                <w:tab w:val="left" w:pos="780"/>
                <w:tab w:val="clear" w:pos="210"/>
              </w:tabs>
              <w:kinsoku/>
              <w:wordWrap/>
              <w:overflowPunct/>
              <w:topLinePunct w:val="0"/>
              <w:autoSpaceDE/>
              <w:autoSpaceDN/>
              <w:bidi w:val="0"/>
              <w:spacing w:beforeAutospacing="0" w:afterAutospacing="0" w:line="400" w:lineRule="exact"/>
              <w:ind w:left="0" w:firstLine="480" w:firstLineChars="200"/>
              <w:rPr>
                <w:rFonts w:hint="default" w:ascii="Times New Roman" w:hAnsi="Times New Roman" w:eastAsia="宋体" w:cs="Times New Roman"/>
                <w:i w:val="0"/>
                <w:iCs w:val="0"/>
                <w:color w:val="auto"/>
                <w:kern w:val="2"/>
                <w:sz w:val="24"/>
                <w:szCs w:val="24"/>
                <w:highlight w:val="none"/>
                <w:lang w:val="en-US" w:eastAsia="zh-CN" w:bidi="ar-SA"/>
              </w:rPr>
            </w:pPr>
            <w:r>
              <w:rPr>
                <w:rFonts w:hint="default" w:ascii="Times New Roman" w:hAnsi="Times New Roman" w:eastAsia="宋体" w:cs="Times New Roman"/>
                <w:i w:val="0"/>
                <w:iCs w:val="0"/>
                <w:color w:val="auto"/>
                <w:kern w:val="2"/>
                <w:sz w:val="24"/>
                <w:szCs w:val="24"/>
                <w:highlight w:val="none"/>
                <w:lang w:val="en-US" w:eastAsia="zh-CN" w:bidi="ar-SA"/>
              </w:rPr>
              <w:t>2026年定点医药机构年度考核评估工作</w:t>
            </w:r>
          </w:p>
          <w:p w14:paraId="7CDC4D00">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i w:val="0"/>
                <w:iCs w:val="0"/>
                <w:color w:val="auto"/>
                <w:highlight w:val="none"/>
              </w:rPr>
            </w:pPr>
            <w:r>
              <w:rPr>
                <w:rFonts w:ascii="Times New Roman" w:hAnsi="Times New Roman" w:eastAsia="宋体" w:cs="Times New Roman"/>
                <w:i w:val="0"/>
                <w:iCs w:val="0"/>
                <w:color w:val="auto"/>
                <w:sz w:val="24"/>
                <w:highlight w:val="none"/>
              </w:rPr>
              <w:t>依据采购人制定的年度绩效考核评价标准，</w:t>
            </w:r>
            <w:r>
              <w:rPr>
                <w:rFonts w:hint="eastAsia" w:ascii="Times New Roman" w:hAnsi="Times New Roman" w:eastAsia="宋体" w:cs="Times New Roman"/>
                <w:i w:val="0"/>
                <w:iCs w:val="0"/>
                <w:color w:val="auto"/>
                <w:sz w:val="24"/>
                <w:szCs w:val="20"/>
                <w:highlight w:val="none"/>
                <w:lang w:val="en-US" w:eastAsia="zh-CN"/>
              </w:rPr>
              <w:t>供应商</w:t>
            </w:r>
            <w:r>
              <w:rPr>
                <w:rFonts w:hint="eastAsia" w:cs="Times New Roman"/>
                <w:i w:val="0"/>
                <w:iCs w:val="0"/>
                <w:color w:val="auto"/>
                <w:sz w:val="24"/>
                <w:szCs w:val="20"/>
                <w:highlight w:val="none"/>
                <w:lang w:val="en-US" w:eastAsia="zh-CN"/>
              </w:rPr>
              <w:t>应</w:t>
            </w:r>
            <w:r>
              <w:rPr>
                <w:rFonts w:hint="eastAsia" w:ascii="Times New Roman" w:hAnsi="Times New Roman" w:eastAsia="宋体" w:cs="Times New Roman"/>
                <w:i w:val="0"/>
                <w:iCs w:val="0"/>
                <w:color w:val="auto"/>
                <w:sz w:val="24"/>
                <w:szCs w:val="20"/>
                <w:highlight w:val="none"/>
                <w:lang w:val="en-US" w:eastAsia="zh-CN"/>
              </w:rPr>
              <w:t>使用具备自主知识产权</w:t>
            </w:r>
            <w:r>
              <w:rPr>
                <w:rFonts w:hint="eastAsia" w:cs="Times New Roman"/>
                <w:i w:val="0"/>
                <w:iCs w:val="0"/>
                <w:color w:val="auto"/>
                <w:sz w:val="24"/>
                <w:szCs w:val="20"/>
                <w:highlight w:val="none"/>
                <w:lang w:val="en-US" w:eastAsia="zh-CN"/>
              </w:rPr>
              <w:t>或合法授权</w:t>
            </w:r>
            <w:r>
              <w:rPr>
                <w:rFonts w:hint="eastAsia" w:ascii="Times New Roman" w:hAnsi="Times New Roman" w:eastAsia="宋体" w:cs="Times New Roman"/>
                <w:i w:val="0"/>
                <w:iCs w:val="0"/>
                <w:color w:val="auto"/>
                <w:sz w:val="24"/>
                <w:szCs w:val="20"/>
                <w:highlight w:val="none"/>
                <w:lang w:val="en-US" w:eastAsia="zh-CN"/>
              </w:rPr>
              <w:t>的成熟医保基金监管信息技术系统</w:t>
            </w:r>
            <w:r>
              <w:rPr>
                <w:rFonts w:hint="default" w:cs="Times New Roman"/>
                <w:i w:val="0"/>
                <w:iCs w:val="0"/>
                <w:color w:val="auto"/>
                <w:sz w:val="24"/>
                <w:szCs w:val="20"/>
                <w:highlight w:val="none"/>
                <w:lang w:eastAsia="zh-CN"/>
              </w:rPr>
              <w:t>，</w:t>
            </w:r>
            <w:r>
              <w:rPr>
                <w:rFonts w:hint="eastAsia" w:ascii="Times New Roman" w:hAnsi="Times New Roman" w:eastAsia="宋体" w:cs="Times New Roman"/>
                <w:i w:val="0"/>
                <w:iCs w:val="0"/>
                <w:color w:val="auto"/>
                <w:sz w:val="24"/>
                <w:szCs w:val="20"/>
                <w:highlight w:val="none"/>
                <w:lang w:val="en-US" w:eastAsia="zh-CN"/>
              </w:rPr>
              <w:t>编写筛查规则</w:t>
            </w:r>
            <w:r>
              <w:rPr>
                <w:rFonts w:hint="eastAsia" w:cs="Times New Roman"/>
                <w:i w:val="0"/>
                <w:iCs w:val="0"/>
                <w:color w:val="auto"/>
                <w:sz w:val="24"/>
                <w:szCs w:val="20"/>
                <w:highlight w:val="none"/>
                <w:lang w:val="en-US" w:eastAsia="zh-CN"/>
              </w:rPr>
              <w:t>，</w:t>
            </w:r>
            <w:r>
              <w:rPr>
                <w:rFonts w:ascii="Times New Roman" w:hAnsi="Times New Roman" w:eastAsia="宋体" w:cs="Times New Roman"/>
                <w:i w:val="0"/>
                <w:iCs w:val="0"/>
                <w:color w:val="auto"/>
                <w:sz w:val="24"/>
                <w:highlight w:val="none"/>
              </w:rPr>
              <w:t>对定点医药机构医保政策</w:t>
            </w:r>
            <w:r>
              <w:rPr>
                <w:rFonts w:hint="eastAsia" w:cs="Times New Roman"/>
                <w:i w:val="0"/>
                <w:iCs w:val="0"/>
                <w:color w:val="auto"/>
                <w:sz w:val="24"/>
                <w:highlight w:val="none"/>
                <w:lang w:eastAsia="zh-CN"/>
              </w:rPr>
              <w:t>执行</w:t>
            </w:r>
            <w:r>
              <w:rPr>
                <w:rFonts w:ascii="Times New Roman" w:hAnsi="Times New Roman" w:eastAsia="宋体" w:cs="Times New Roman"/>
                <w:i w:val="0"/>
                <w:iCs w:val="0"/>
                <w:color w:val="auto"/>
                <w:sz w:val="24"/>
                <w:highlight w:val="none"/>
              </w:rPr>
              <w:t>、服务协议</w:t>
            </w:r>
            <w:r>
              <w:rPr>
                <w:rFonts w:hint="eastAsia" w:cs="Times New Roman"/>
                <w:i w:val="0"/>
                <w:iCs w:val="0"/>
                <w:color w:val="auto"/>
                <w:sz w:val="24"/>
                <w:highlight w:val="none"/>
                <w:lang w:eastAsia="zh-CN"/>
              </w:rPr>
              <w:t>履行</w:t>
            </w:r>
            <w:r>
              <w:rPr>
                <w:rFonts w:ascii="Times New Roman" w:hAnsi="Times New Roman" w:eastAsia="宋体" w:cs="Times New Roman"/>
                <w:i w:val="0"/>
                <w:iCs w:val="0"/>
                <w:color w:val="auto"/>
                <w:sz w:val="24"/>
                <w:highlight w:val="none"/>
              </w:rPr>
              <w:t>、内部管理、信息系统建设及结算指标等情况进行综合考核</w:t>
            </w:r>
            <w:r>
              <w:rPr>
                <w:rFonts w:cs="Times New Roman"/>
                <w:i w:val="0"/>
                <w:iCs w:val="0"/>
                <w:color w:val="auto"/>
                <w:sz w:val="24"/>
                <w:highlight w:val="none"/>
              </w:rPr>
              <w:t>，完成考核指标评分</w:t>
            </w:r>
            <w:r>
              <w:rPr>
                <w:rFonts w:hint="eastAsia" w:cs="Times New Roman"/>
                <w:i w:val="0"/>
                <w:iCs w:val="0"/>
                <w:color w:val="auto"/>
                <w:sz w:val="24"/>
                <w:highlight w:val="none"/>
                <w:lang w:eastAsia="zh-CN"/>
              </w:rPr>
              <w:t>并填写年度考核表</w:t>
            </w:r>
            <w:r>
              <w:rPr>
                <w:rFonts w:cs="Times New Roman"/>
                <w:i w:val="0"/>
                <w:iCs w:val="0"/>
                <w:color w:val="auto"/>
                <w:sz w:val="24"/>
                <w:highlight w:val="none"/>
              </w:rPr>
              <w:t>，</w:t>
            </w:r>
            <w:r>
              <w:rPr>
                <w:rFonts w:hint="eastAsia" w:cs="Times New Roman"/>
                <w:i w:val="0"/>
                <w:iCs w:val="0"/>
                <w:color w:val="auto"/>
                <w:sz w:val="24"/>
                <w:highlight w:val="none"/>
                <w:lang w:eastAsia="zh-CN"/>
              </w:rPr>
              <w:t>按县域</w:t>
            </w:r>
            <w:r>
              <w:rPr>
                <w:rFonts w:cs="Times New Roman"/>
                <w:i w:val="0"/>
                <w:iCs w:val="0"/>
                <w:color w:val="auto"/>
                <w:sz w:val="24"/>
                <w:highlight w:val="none"/>
              </w:rPr>
              <w:t>汇总统计考核结果</w:t>
            </w:r>
            <w:r>
              <w:rPr>
                <w:rFonts w:hint="eastAsia" w:cs="Times New Roman"/>
                <w:i w:val="0"/>
                <w:iCs w:val="0"/>
                <w:color w:val="auto"/>
                <w:sz w:val="24"/>
                <w:highlight w:val="none"/>
                <w:lang w:eastAsia="zh-CN"/>
              </w:rPr>
              <w:t>和</w:t>
            </w:r>
            <w:r>
              <w:rPr>
                <w:rFonts w:cs="Times New Roman"/>
                <w:i w:val="0"/>
                <w:iCs w:val="0"/>
                <w:color w:val="auto"/>
                <w:sz w:val="24"/>
                <w:highlight w:val="none"/>
              </w:rPr>
              <w:t>问题清单，出具相应的年度考核报告</w:t>
            </w:r>
            <w:r>
              <w:rPr>
                <w:rFonts w:ascii="Times New Roman" w:hAnsi="Times New Roman" w:eastAsia="宋体" w:cs="Times New Roman"/>
                <w:i w:val="0"/>
                <w:iCs w:val="0"/>
                <w:color w:val="auto"/>
                <w:sz w:val="24"/>
                <w:highlight w:val="none"/>
              </w:rPr>
              <w:t>。</w:t>
            </w:r>
          </w:p>
          <w:p w14:paraId="7F16BF52">
            <w:pPr>
              <w:pStyle w:val="7"/>
              <w:keepNext w:val="0"/>
              <w:keepLines w:val="0"/>
              <w:pageBreakBefore w:val="0"/>
              <w:numPr>
                <w:ilvl w:val="0"/>
                <w:numId w:val="4"/>
              </w:numPr>
              <w:tabs>
                <w:tab w:val="left" w:pos="780"/>
                <w:tab w:val="clear" w:pos="210"/>
              </w:tabs>
              <w:kinsoku/>
              <w:wordWrap/>
              <w:overflowPunct/>
              <w:topLinePunct w:val="0"/>
              <w:autoSpaceDE/>
              <w:autoSpaceDN/>
              <w:bidi w:val="0"/>
              <w:spacing w:beforeAutospacing="0" w:afterAutospacing="0" w:line="400" w:lineRule="exact"/>
              <w:ind w:left="0" w:firstLine="480" w:firstLineChars="200"/>
              <w:rPr>
                <w:i w:val="0"/>
                <w:iCs w:val="0"/>
                <w:color w:val="auto"/>
                <w:highlight w:val="none"/>
              </w:rPr>
            </w:pPr>
            <w:r>
              <w:rPr>
                <w:rFonts w:ascii="Times New Roman" w:hAnsi="Times New Roman" w:eastAsia="宋体" w:cs="Times New Roman"/>
                <w:b w:val="0"/>
                <w:bCs w:val="0"/>
                <w:i w:val="0"/>
                <w:iCs w:val="0"/>
                <w:color w:val="auto"/>
                <w:sz w:val="24"/>
                <w:highlight w:val="none"/>
              </w:rPr>
              <w:t>日常全覆盖</w:t>
            </w:r>
            <w:r>
              <w:rPr>
                <w:rFonts w:hint="eastAsia" w:eastAsia="宋体" w:cs="Times New Roman"/>
                <w:b w:val="0"/>
                <w:bCs w:val="0"/>
                <w:i w:val="0"/>
                <w:iCs w:val="0"/>
                <w:color w:val="auto"/>
                <w:sz w:val="24"/>
                <w:highlight w:val="none"/>
                <w:lang w:eastAsia="zh-CN"/>
              </w:rPr>
              <w:t>现场</w:t>
            </w:r>
            <w:r>
              <w:rPr>
                <w:rFonts w:ascii="Times New Roman" w:hAnsi="Times New Roman" w:eastAsia="宋体" w:cs="Times New Roman"/>
                <w:b w:val="0"/>
                <w:bCs w:val="0"/>
                <w:i w:val="0"/>
                <w:iCs w:val="0"/>
                <w:color w:val="auto"/>
                <w:sz w:val="24"/>
                <w:highlight w:val="none"/>
              </w:rPr>
              <w:t>检查工作</w:t>
            </w:r>
          </w:p>
          <w:p w14:paraId="352CC170">
            <w:pPr>
              <w:snapToGrid w:val="0"/>
              <w:spacing w:line="360" w:lineRule="exact"/>
              <w:ind w:firstLine="480" w:firstLineChars="200"/>
              <w:jc w:val="left"/>
              <w:rPr>
                <w:rFonts w:hint="eastAsia"/>
                <w:i w:val="0"/>
                <w:iCs w:val="0"/>
                <w:color w:val="auto"/>
                <w:highlight w:val="none"/>
                <w:lang w:eastAsia="zh-CN"/>
              </w:rPr>
            </w:pPr>
            <w:r>
              <w:rPr>
                <w:rFonts w:hint="eastAsia" w:ascii="Times New Roman" w:hAnsi="Times New Roman" w:eastAsia="宋体" w:cs="Times New Roman"/>
                <w:b w:val="0"/>
                <w:bCs w:val="0"/>
                <w:i w:val="0"/>
                <w:iCs w:val="0"/>
                <w:color w:val="auto"/>
                <w:kern w:val="2"/>
                <w:sz w:val="24"/>
                <w:szCs w:val="24"/>
                <w:highlight w:val="none"/>
                <w:lang w:val="en-US" w:eastAsia="zh-CN" w:bidi="ar-SA"/>
              </w:rPr>
              <w:t>依据采购人提供的日常全覆盖检查名单，对每家机构</w:t>
            </w:r>
            <w:r>
              <w:rPr>
                <w:rFonts w:hint="default" w:ascii="Times New Roman" w:hAnsi="Times New Roman" w:eastAsia="宋体" w:cs="Times New Roman"/>
                <w:b w:val="0"/>
                <w:bCs w:val="0"/>
                <w:i w:val="0"/>
                <w:iCs w:val="0"/>
                <w:color w:val="auto"/>
                <w:kern w:val="2"/>
                <w:sz w:val="24"/>
                <w:szCs w:val="24"/>
                <w:highlight w:val="none"/>
                <w:lang w:val="en-US" w:eastAsia="zh-CN" w:bidi="ar-SA"/>
              </w:rPr>
              <w:t>医保</w:t>
            </w:r>
            <w:r>
              <w:rPr>
                <w:rFonts w:hint="eastAsia" w:ascii="Times New Roman" w:hAnsi="Times New Roman" w:eastAsia="宋体" w:cs="Times New Roman"/>
                <w:b w:val="0"/>
                <w:bCs w:val="0"/>
                <w:i w:val="0"/>
                <w:iCs w:val="0"/>
                <w:color w:val="auto"/>
                <w:kern w:val="2"/>
                <w:sz w:val="24"/>
                <w:szCs w:val="24"/>
                <w:highlight w:val="none"/>
                <w:lang w:val="en-US" w:eastAsia="zh-CN" w:bidi="ar-SA"/>
              </w:rPr>
              <w:t>结算</w:t>
            </w:r>
            <w:r>
              <w:rPr>
                <w:rFonts w:hint="default" w:ascii="Times New Roman" w:hAnsi="Times New Roman" w:eastAsia="宋体" w:cs="Times New Roman"/>
                <w:b w:val="0"/>
                <w:bCs w:val="0"/>
                <w:i w:val="0"/>
                <w:iCs w:val="0"/>
                <w:color w:val="auto"/>
                <w:kern w:val="2"/>
                <w:sz w:val="24"/>
                <w:szCs w:val="24"/>
                <w:highlight w:val="none"/>
                <w:lang w:val="en-US" w:eastAsia="zh-CN" w:bidi="ar-SA"/>
              </w:rPr>
              <w:t>记录、进销存管理、在岗执业资格</w:t>
            </w:r>
            <w:r>
              <w:rPr>
                <w:rFonts w:hint="eastAsia" w:ascii="Times New Roman" w:hAnsi="Times New Roman" w:eastAsia="宋体" w:cs="Times New Roman"/>
                <w:b w:val="0"/>
                <w:bCs w:val="0"/>
                <w:i w:val="0"/>
                <w:iCs w:val="0"/>
                <w:color w:val="auto"/>
                <w:kern w:val="2"/>
                <w:sz w:val="24"/>
                <w:szCs w:val="24"/>
                <w:highlight w:val="none"/>
                <w:lang w:val="en-US" w:eastAsia="zh-CN" w:bidi="ar-SA"/>
              </w:rPr>
              <w:t>、</w:t>
            </w:r>
            <w:r>
              <w:rPr>
                <w:rFonts w:hint="default" w:ascii="Times New Roman" w:hAnsi="Times New Roman" w:eastAsia="宋体" w:cs="Times New Roman"/>
                <w:b w:val="0"/>
                <w:bCs w:val="0"/>
                <w:i w:val="0"/>
                <w:iCs w:val="0"/>
                <w:color w:val="auto"/>
                <w:kern w:val="2"/>
                <w:sz w:val="24"/>
                <w:szCs w:val="24"/>
                <w:highlight w:val="none"/>
                <w:lang w:val="en-US" w:eastAsia="zh-CN" w:bidi="ar-SA"/>
              </w:rPr>
              <w:t>医保政策宣传</w:t>
            </w:r>
            <w:r>
              <w:rPr>
                <w:rFonts w:hint="eastAsia" w:ascii="Times New Roman" w:hAnsi="Times New Roman" w:eastAsia="宋体" w:cs="Times New Roman"/>
                <w:b w:val="0"/>
                <w:bCs w:val="0"/>
                <w:i w:val="0"/>
                <w:iCs w:val="0"/>
                <w:color w:val="auto"/>
                <w:kern w:val="2"/>
                <w:sz w:val="24"/>
                <w:szCs w:val="24"/>
                <w:highlight w:val="none"/>
                <w:lang w:val="en-US" w:eastAsia="zh-CN" w:bidi="ar-SA"/>
              </w:rPr>
              <w:t>等事项开展全覆盖检查；同时</w:t>
            </w:r>
            <w:r>
              <w:rPr>
                <w:rFonts w:hint="default" w:ascii="Times New Roman" w:hAnsi="Times New Roman" w:eastAsia="宋体" w:cs="Times New Roman"/>
                <w:b w:val="0"/>
                <w:bCs w:val="0"/>
                <w:i w:val="0"/>
                <w:iCs w:val="0"/>
                <w:color w:val="auto"/>
                <w:kern w:val="2"/>
                <w:sz w:val="24"/>
                <w:szCs w:val="24"/>
                <w:highlight w:val="none"/>
                <w:lang w:val="en-US" w:eastAsia="zh-CN" w:bidi="ar-SA"/>
              </w:rPr>
              <w:t>结合医保大数据分析、费用审核发现的异常</w:t>
            </w:r>
            <w:r>
              <w:rPr>
                <w:rFonts w:hint="eastAsia" w:ascii="Times New Roman" w:hAnsi="Times New Roman" w:eastAsia="宋体" w:cs="Times New Roman"/>
                <w:b w:val="0"/>
                <w:bCs w:val="0"/>
                <w:i w:val="0"/>
                <w:iCs w:val="0"/>
                <w:color w:val="auto"/>
                <w:kern w:val="2"/>
                <w:sz w:val="24"/>
                <w:szCs w:val="24"/>
                <w:highlight w:val="none"/>
                <w:lang w:val="en-US" w:eastAsia="zh-CN" w:bidi="ar-SA"/>
              </w:rPr>
              <w:t>数据</w:t>
            </w:r>
            <w:r>
              <w:rPr>
                <w:rFonts w:hint="default" w:ascii="Times New Roman" w:hAnsi="Times New Roman" w:eastAsia="宋体" w:cs="Times New Roman"/>
                <w:b w:val="0"/>
                <w:bCs w:val="0"/>
                <w:i w:val="0"/>
                <w:iCs w:val="0"/>
                <w:color w:val="auto"/>
                <w:kern w:val="2"/>
                <w:sz w:val="24"/>
                <w:szCs w:val="24"/>
                <w:highlight w:val="none"/>
                <w:lang w:val="en-US" w:eastAsia="zh-CN" w:bidi="ar-SA"/>
              </w:rPr>
              <w:t>（如频繁刷卡、大额刷卡</w:t>
            </w:r>
            <w:r>
              <w:rPr>
                <w:rFonts w:hint="eastAsia" w:ascii="Times New Roman" w:hAnsi="Times New Roman" w:eastAsia="宋体" w:cs="Times New Roman"/>
                <w:b w:val="0"/>
                <w:bCs w:val="0"/>
                <w:i w:val="0"/>
                <w:iCs w:val="0"/>
                <w:color w:val="auto"/>
                <w:kern w:val="2"/>
                <w:sz w:val="24"/>
                <w:szCs w:val="24"/>
                <w:highlight w:val="none"/>
                <w:lang w:val="en-US" w:eastAsia="zh-CN" w:bidi="ar-SA"/>
              </w:rPr>
              <w:t>等</w:t>
            </w:r>
            <w:r>
              <w:rPr>
                <w:rFonts w:hint="default" w:ascii="Times New Roman" w:hAnsi="Times New Roman" w:eastAsia="宋体" w:cs="Times New Roman"/>
                <w:b w:val="0"/>
                <w:bCs w:val="0"/>
                <w:i w:val="0"/>
                <w:iCs w:val="0"/>
                <w:color w:val="auto"/>
                <w:kern w:val="2"/>
                <w:sz w:val="24"/>
                <w:szCs w:val="24"/>
                <w:highlight w:val="none"/>
                <w:lang w:val="en-US" w:eastAsia="zh-CN" w:bidi="ar-SA"/>
              </w:rPr>
              <w:t>异常</w:t>
            </w:r>
            <w:r>
              <w:rPr>
                <w:rFonts w:hint="eastAsia" w:ascii="Times New Roman" w:hAnsi="Times New Roman" w:eastAsia="宋体" w:cs="Times New Roman"/>
                <w:b w:val="0"/>
                <w:bCs w:val="0"/>
                <w:i w:val="0"/>
                <w:iCs w:val="0"/>
                <w:color w:val="auto"/>
                <w:kern w:val="2"/>
                <w:sz w:val="24"/>
                <w:szCs w:val="24"/>
                <w:highlight w:val="none"/>
                <w:lang w:val="en-US" w:eastAsia="zh-CN" w:bidi="ar-SA"/>
              </w:rPr>
              <w:t>情形</w:t>
            </w:r>
            <w:r>
              <w:rPr>
                <w:rFonts w:hint="default" w:ascii="Times New Roman" w:hAnsi="Times New Roman" w:eastAsia="宋体" w:cs="Times New Roman"/>
                <w:b w:val="0"/>
                <w:bCs w:val="0"/>
                <w:i w:val="0"/>
                <w:iCs w:val="0"/>
                <w:color w:val="auto"/>
                <w:kern w:val="2"/>
                <w:sz w:val="24"/>
                <w:szCs w:val="24"/>
                <w:highlight w:val="none"/>
                <w:lang w:val="en-US" w:eastAsia="zh-CN" w:bidi="ar-SA"/>
              </w:rPr>
              <w:t>）</w:t>
            </w:r>
            <w:r>
              <w:rPr>
                <w:rFonts w:hint="eastAsia" w:ascii="Times New Roman" w:hAnsi="Times New Roman" w:eastAsia="宋体" w:cs="Times New Roman"/>
                <w:b w:val="0"/>
                <w:bCs w:val="0"/>
                <w:i w:val="0"/>
                <w:iCs w:val="0"/>
                <w:color w:val="auto"/>
                <w:kern w:val="2"/>
                <w:sz w:val="24"/>
                <w:szCs w:val="24"/>
                <w:highlight w:val="none"/>
                <w:lang w:val="en-US" w:eastAsia="zh-CN" w:bidi="ar-SA"/>
              </w:rPr>
              <w:t>，核查是否存在违反诊疗规范过度检查、过度诊疗、虚记收费、重复收费、超标准收费、超医保限制用药、分解收费、串换项目等违规行为。如实记录检查情况并留存佐证材料，每家机构单独形成检查问题反馈表和检查报告。</w:t>
            </w:r>
          </w:p>
          <w:p w14:paraId="01823D9E">
            <w:pPr>
              <w:pStyle w:val="7"/>
              <w:keepNext w:val="0"/>
              <w:keepLines w:val="0"/>
              <w:pageBreakBefore w:val="0"/>
              <w:numPr>
                <w:ilvl w:val="0"/>
                <w:numId w:val="4"/>
              </w:numPr>
              <w:tabs>
                <w:tab w:val="left" w:pos="780"/>
                <w:tab w:val="clear" w:pos="210"/>
              </w:tabs>
              <w:kinsoku/>
              <w:wordWrap/>
              <w:overflowPunct/>
              <w:topLinePunct w:val="0"/>
              <w:autoSpaceDE/>
              <w:autoSpaceDN/>
              <w:bidi w:val="0"/>
              <w:spacing w:beforeAutospacing="0" w:afterAutospacing="0" w:line="400" w:lineRule="exact"/>
              <w:ind w:left="0" w:firstLine="480" w:firstLineChars="200"/>
              <w:rPr>
                <w:rFonts w:eastAsia="宋体"/>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检查内容和范围</w:t>
            </w:r>
          </w:p>
          <w:p w14:paraId="6532F5F3">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ascii="Times New Roman" w:hAnsi="Times New Roman" w:eastAsia="宋体" w:cs="Times New Roman"/>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数据结算时间范围：2026年1月1日至2026年9月30日（可根据实际情况追溯检查以前年度或延伸至现场评估入场时间）的结算数据。</w:t>
            </w:r>
          </w:p>
          <w:p w14:paraId="3C4879C1">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hint="eastAsia" w:ascii="Times New Roman" w:hAnsi="Times New Roman" w:eastAsia="宋体" w:cs="Times New Roman"/>
                <w:b/>
                <w:bCs w:val="0"/>
                <w:i w:val="0"/>
                <w:iCs w:val="0"/>
                <w:color w:val="auto"/>
                <w:sz w:val="24"/>
                <w:highlight w:val="none"/>
                <w:lang w:val="en-US" w:eastAsia="zh-CN"/>
              </w:rPr>
            </w:pPr>
            <w:r>
              <w:rPr>
                <w:rFonts w:hint="eastAsia" w:ascii="Times New Roman" w:hAnsi="Times New Roman" w:eastAsia="宋体" w:cs="Times New Roman"/>
                <w:b/>
                <w:bCs w:val="0"/>
                <w:i w:val="0"/>
                <w:iCs w:val="0"/>
                <w:color w:val="auto"/>
                <w:sz w:val="24"/>
                <w:highlight w:val="none"/>
                <w:lang w:val="en-US" w:eastAsia="zh-CN"/>
              </w:rPr>
              <w:t>四、检查工作要求</w:t>
            </w:r>
          </w:p>
          <w:p w14:paraId="299B8D9E">
            <w:pPr>
              <w:pStyle w:val="7"/>
              <w:keepNext w:val="0"/>
              <w:keepLines w:val="0"/>
              <w:pageBreakBefore w:val="0"/>
              <w:numPr>
                <w:ilvl w:val="0"/>
                <w:numId w:val="5"/>
              </w:numPr>
              <w:tabs>
                <w:tab w:val="left" w:pos="780"/>
                <w:tab w:val="clear" w:pos="210"/>
              </w:tabs>
              <w:kinsoku/>
              <w:wordWrap/>
              <w:overflowPunct/>
              <w:topLinePunct w:val="0"/>
              <w:autoSpaceDE/>
              <w:autoSpaceDN/>
              <w:bidi w:val="0"/>
              <w:spacing w:beforeAutospacing="0" w:afterAutospacing="0" w:line="400" w:lineRule="exact"/>
              <w:ind w:left="0" w:firstLine="480" w:firstLineChars="200"/>
              <w:rPr>
                <w:rFonts w:eastAsia="宋体"/>
                <w:b w:val="0"/>
                <w:bCs w:val="0"/>
                <w:i w:val="0"/>
                <w:iCs w:val="0"/>
                <w:color w:val="auto"/>
                <w:sz w:val="24"/>
                <w:highlight w:val="none"/>
              </w:rPr>
            </w:pPr>
            <w:r>
              <w:rPr>
                <w:rFonts w:hint="eastAsia" w:ascii="Times New Roman" w:hAnsi="Times New Roman" w:eastAsia="宋体"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时间与人员配置标准：</w:t>
            </w:r>
          </w:p>
          <w:p w14:paraId="781CD2DD">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eastAsia="宋体"/>
                <w:i w:val="0"/>
                <w:iCs w:val="0"/>
                <w:color w:val="auto"/>
                <w:highlight w:val="none"/>
                <w:lang w:eastAsia="zh-CN"/>
              </w:rPr>
            </w:pPr>
            <w:r>
              <w:rPr>
                <w:rFonts w:hint="eastAsia" w:cs="Times New Roman"/>
                <w:b w:val="0"/>
                <w:bCs w:val="0"/>
                <w:i w:val="0"/>
                <w:iCs w:val="0"/>
                <w:color w:val="auto"/>
                <w:sz w:val="24"/>
                <w:highlight w:val="none"/>
                <w:lang w:eastAsia="zh-CN"/>
              </w:rPr>
              <w:t>（1）</w:t>
            </w:r>
            <w:r>
              <w:rPr>
                <w:rFonts w:hint="eastAsia" w:ascii="Times New Roman" w:hAnsi="Times New Roman" w:eastAsia="宋体" w:cs="Times New Roman"/>
                <w:b w:val="0"/>
                <w:bCs w:val="0"/>
                <w:i w:val="0"/>
                <w:iCs w:val="0"/>
                <w:color w:val="auto"/>
                <w:sz w:val="24"/>
                <w:highlight w:val="none"/>
                <w:lang w:eastAsia="zh-CN"/>
              </w:rPr>
              <w:t>二级定点医疗机构：</w:t>
            </w:r>
            <w:r>
              <w:rPr>
                <w:rFonts w:hint="eastAsia" w:cs="Times New Roman"/>
                <w:b w:val="0"/>
                <w:bCs w:val="0"/>
                <w:i w:val="0"/>
                <w:iCs w:val="0"/>
                <w:color w:val="auto"/>
                <w:sz w:val="24"/>
                <w:highlight w:val="none"/>
                <w:lang w:eastAsia="zh-CN"/>
              </w:rPr>
              <w:t>检查</w:t>
            </w:r>
            <w:r>
              <w:rPr>
                <w:rFonts w:hint="eastAsia" w:ascii="Times New Roman" w:hAnsi="Times New Roman" w:eastAsia="宋体" w:cs="Times New Roman"/>
                <w:b w:val="0"/>
                <w:bCs w:val="0"/>
                <w:i w:val="0"/>
                <w:iCs w:val="0"/>
                <w:color w:val="auto"/>
                <w:sz w:val="24"/>
                <w:highlight w:val="none"/>
                <w:lang w:eastAsia="zh-CN"/>
              </w:rPr>
              <w:t>时间不少于1天，</w:t>
            </w:r>
            <w:r>
              <w:rPr>
                <w:rFonts w:hint="eastAsia" w:cs="Times New Roman"/>
                <w:b w:val="0"/>
                <w:bCs w:val="0"/>
                <w:i w:val="0"/>
                <w:iCs w:val="0"/>
                <w:color w:val="auto"/>
                <w:sz w:val="24"/>
                <w:highlight w:val="none"/>
                <w:lang w:eastAsia="zh-CN"/>
              </w:rPr>
              <w:t>检查</w:t>
            </w:r>
            <w:r>
              <w:rPr>
                <w:rFonts w:hint="eastAsia" w:ascii="Times New Roman" w:hAnsi="Times New Roman" w:eastAsia="宋体" w:cs="Times New Roman"/>
                <w:b w:val="0"/>
                <w:bCs w:val="0"/>
                <w:i w:val="0"/>
                <w:iCs w:val="0"/>
                <w:color w:val="auto"/>
                <w:sz w:val="24"/>
                <w:highlight w:val="none"/>
                <w:lang w:eastAsia="zh-CN"/>
              </w:rPr>
              <w:t>组人数不少于6人</w:t>
            </w:r>
            <w:r>
              <w:rPr>
                <w:rFonts w:hint="eastAsia" w:cs="Times New Roman"/>
                <w:b w:val="0"/>
                <w:bCs w:val="0"/>
                <w:i w:val="0"/>
                <w:iCs w:val="0"/>
                <w:color w:val="auto"/>
                <w:sz w:val="24"/>
                <w:highlight w:val="none"/>
                <w:lang w:eastAsia="zh-CN"/>
              </w:rPr>
              <w:t>，</w:t>
            </w:r>
            <w:r>
              <w:rPr>
                <w:rFonts w:hint="eastAsia" w:ascii="Times New Roman" w:hAnsi="Times New Roman" w:eastAsia="宋体" w:cs="Times New Roman"/>
                <w:b w:val="0"/>
                <w:bCs w:val="0"/>
                <w:i w:val="0"/>
                <w:iCs w:val="0"/>
                <w:color w:val="auto"/>
                <w:sz w:val="24"/>
                <w:highlight w:val="none"/>
                <w:lang w:eastAsia="zh-CN"/>
              </w:rPr>
              <w:t>其中须包含</w:t>
            </w:r>
            <w:r>
              <w:rPr>
                <w:rFonts w:hint="eastAsia" w:cs="Times New Roman"/>
                <w:b w:val="0"/>
                <w:bCs w:val="0"/>
                <w:i w:val="0"/>
                <w:iCs w:val="0"/>
                <w:color w:val="auto"/>
                <w:sz w:val="24"/>
                <w:highlight w:val="none"/>
                <w:lang w:eastAsia="zh-CN"/>
              </w:rPr>
              <w:t>至少2名具有副高级</w:t>
            </w:r>
            <w:r>
              <w:rPr>
                <w:rFonts w:hint="eastAsia" w:ascii="Times New Roman" w:hAnsi="Times New Roman" w:eastAsia="宋体" w:cs="Times New Roman"/>
                <w:b w:val="0"/>
                <w:bCs w:val="0"/>
                <w:i w:val="0"/>
                <w:iCs w:val="0"/>
                <w:color w:val="auto"/>
                <w:sz w:val="24"/>
                <w:highlight w:val="none"/>
                <w:lang w:eastAsia="zh-CN"/>
              </w:rPr>
              <w:t>职称的临床专业人员</w:t>
            </w:r>
            <w:r>
              <w:rPr>
                <w:rFonts w:hint="eastAsia" w:cs="Times New Roman"/>
                <w:b w:val="0"/>
                <w:bCs w:val="0"/>
                <w:i w:val="0"/>
                <w:iCs w:val="0"/>
                <w:color w:val="auto"/>
                <w:sz w:val="24"/>
                <w:highlight w:val="none"/>
                <w:lang w:eastAsia="zh-CN"/>
              </w:rPr>
              <w:t>；</w:t>
            </w:r>
            <w:r>
              <w:rPr>
                <w:rFonts w:hint="eastAsia" w:ascii="Times New Roman" w:hAnsi="Times New Roman" w:eastAsia="宋体" w:cs="Times New Roman"/>
                <w:b w:val="0"/>
                <w:bCs w:val="0"/>
                <w:i w:val="0"/>
                <w:iCs w:val="0"/>
                <w:color w:val="auto"/>
                <w:sz w:val="24"/>
                <w:highlight w:val="none"/>
                <w:lang w:eastAsia="zh-CN"/>
              </w:rPr>
              <w:t>至少1名病案编码人员</w:t>
            </w:r>
            <w:r>
              <w:rPr>
                <w:rFonts w:hint="eastAsia" w:cs="Times New Roman"/>
                <w:b w:val="0"/>
                <w:bCs w:val="0"/>
                <w:i w:val="0"/>
                <w:iCs w:val="0"/>
                <w:color w:val="auto"/>
                <w:sz w:val="24"/>
                <w:highlight w:val="none"/>
                <w:lang w:eastAsia="zh-CN"/>
              </w:rPr>
              <w:t>，</w:t>
            </w:r>
            <w:r>
              <w:rPr>
                <w:rFonts w:hint="eastAsia" w:ascii="Times New Roman" w:hAnsi="Times New Roman" w:eastAsia="宋体" w:cs="Times New Roman"/>
                <w:b w:val="0"/>
                <w:bCs w:val="0"/>
                <w:i w:val="0"/>
                <w:iCs w:val="0"/>
                <w:color w:val="auto"/>
                <w:sz w:val="24"/>
                <w:highlight w:val="none"/>
                <w:lang w:eastAsia="zh-CN"/>
              </w:rPr>
              <w:t>至少1名信息技术人员</w:t>
            </w:r>
            <w:r>
              <w:rPr>
                <w:rFonts w:hint="eastAsia" w:cs="Times New Roman"/>
                <w:b w:val="0"/>
                <w:bCs w:val="0"/>
                <w:i w:val="0"/>
                <w:iCs w:val="0"/>
                <w:color w:val="auto"/>
                <w:sz w:val="24"/>
                <w:highlight w:val="none"/>
                <w:lang w:eastAsia="zh-CN"/>
              </w:rPr>
              <w:t>，以及</w:t>
            </w:r>
            <w:r>
              <w:rPr>
                <w:rFonts w:hint="eastAsia" w:ascii="Times New Roman" w:hAnsi="Times New Roman" w:eastAsia="宋体" w:cs="Times New Roman"/>
                <w:b w:val="0"/>
                <w:bCs w:val="0"/>
                <w:i w:val="0"/>
                <w:iCs w:val="0"/>
                <w:color w:val="auto"/>
                <w:sz w:val="24"/>
                <w:highlight w:val="none"/>
                <w:lang w:eastAsia="zh-CN"/>
              </w:rPr>
              <w:t xml:space="preserve">至少1名财务会计审核人员。  </w:t>
            </w:r>
          </w:p>
          <w:p w14:paraId="24D94D68">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eastAsia="宋体"/>
                <w:i w:val="0"/>
                <w:iCs w:val="0"/>
                <w:color w:val="auto"/>
                <w:highlight w:val="none"/>
                <w:lang w:eastAsia="zh-CN"/>
              </w:rPr>
            </w:pPr>
            <w:r>
              <w:rPr>
                <w:rFonts w:hint="eastAsia"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2）一级及未定级住院类定点医疗机构、血液透析中心：检查时间不少于0.5天，检查组人数不少于5人，其中须包含至少1名具有副高级及职称</w:t>
            </w:r>
            <w:r>
              <w:rPr>
                <w:rFonts w:hint="eastAsia" w:cs="Times New Roman"/>
                <w:b w:val="0"/>
                <w:bCs w:val="0"/>
                <w:i w:val="0"/>
                <w:iCs w:val="0"/>
                <w:color w:val="auto"/>
                <w:sz w:val="24"/>
                <w:highlight w:val="none"/>
                <w:lang w:eastAsia="zh-CN"/>
              </w:rPr>
              <w:t xml:space="preserve">的临床专业人员；至少1名病案编码人员，至少1名信息技术人员，以及至少1名财务会计审核人员。  </w:t>
            </w:r>
          </w:p>
          <w:p w14:paraId="1BE663DE">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cs="Times New Roman"/>
                <w:b w:val="0"/>
                <w:bCs w:val="0"/>
                <w:i w:val="0"/>
                <w:iCs w:val="0"/>
                <w:color w:val="auto"/>
                <w:sz w:val="24"/>
                <w:highlight w:val="none"/>
                <w:lang w:eastAsia="zh-CN"/>
              </w:rPr>
            </w:pPr>
            <w:r>
              <w:rPr>
                <w:rFonts w:hint="eastAsia"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3）非住院类定点医疗机构：检查时间不少于0.5天，检查组人数不少于4人，其中须包含至少1名具有副高级及职称</w:t>
            </w:r>
            <w:r>
              <w:rPr>
                <w:rFonts w:hint="eastAsia" w:cs="Times New Roman"/>
                <w:b w:val="0"/>
                <w:bCs w:val="0"/>
                <w:i w:val="0"/>
                <w:iCs w:val="0"/>
                <w:color w:val="auto"/>
                <w:sz w:val="24"/>
                <w:highlight w:val="none"/>
                <w:lang w:eastAsia="zh-CN"/>
              </w:rPr>
              <w:t>的临床专业人员；至少1名信息技术人员，以及至少1名财务会计审核人员。</w:t>
            </w:r>
          </w:p>
          <w:p w14:paraId="5BD1935D">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cs="Times New Roman"/>
                <w:b w:val="0"/>
                <w:bCs w:val="0"/>
                <w:i w:val="0"/>
                <w:iCs w:val="0"/>
                <w:color w:val="auto"/>
                <w:sz w:val="24"/>
                <w:highlight w:val="none"/>
                <w:lang w:val="en-US" w:eastAsia="zh-CN"/>
              </w:rPr>
            </w:pPr>
            <w:r>
              <w:rPr>
                <w:rFonts w:hint="eastAsia" w:cs="Times New Roman"/>
                <w:b w:val="0"/>
                <w:bCs w:val="0"/>
                <w:i w:val="0"/>
                <w:iCs w:val="0"/>
                <w:color w:val="auto"/>
                <w:sz w:val="24"/>
                <w:highlight w:val="none"/>
                <w:lang w:val="en-US" w:eastAsia="zh-CN"/>
              </w:rPr>
              <w:t>（4）检查定点零售药店的人员不少于2人，其中至少包含1名临床医学（或药学、护理）等医学相关专业人员，在检查门诊统筹及门诊特殊慢性病定点零售药店时，还需额外配备至少1名财务专业人员。</w:t>
            </w:r>
          </w:p>
          <w:p w14:paraId="0D1F2D90">
            <w:pPr>
              <w:snapToGrid w:val="0"/>
              <w:spacing w:line="360" w:lineRule="exact"/>
              <w:ind w:firstLine="480" w:firstLineChars="200"/>
              <w:jc w:val="left"/>
              <w:rPr>
                <w:rFonts w:hint="eastAsia" w:cs="Times New Roman"/>
                <w:b w:val="0"/>
                <w:bCs w:val="0"/>
                <w:i w:val="0"/>
                <w:iCs w:val="0"/>
                <w:color w:val="auto"/>
                <w:sz w:val="24"/>
                <w:highlight w:val="none"/>
                <w:lang w:eastAsia="zh-CN"/>
              </w:rPr>
            </w:pPr>
            <w:r>
              <w:rPr>
                <w:rFonts w:hint="eastAsia"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5</w:t>
            </w:r>
            <w:r>
              <w:rPr>
                <w:rFonts w:hint="eastAsia" w:cs="Times New Roman"/>
                <w:b w:val="0"/>
                <w:bCs w:val="0"/>
                <w:i w:val="0"/>
                <w:iCs w:val="0"/>
                <w:color w:val="auto"/>
                <w:sz w:val="24"/>
                <w:highlight w:val="none"/>
                <w:lang w:eastAsia="zh-CN"/>
              </w:rPr>
              <w:t>）专科要求：对设有康复医学科或精神科的定点医疗机构，须安排相应专业（康复医学科</w:t>
            </w:r>
            <w:r>
              <w:rPr>
                <w:rFonts w:hint="eastAsia" w:cs="Times New Roman"/>
                <w:b w:val="0"/>
                <w:bCs w:val="0"/>
                <w:i w:val="0"/>
                <w:iCs w:val="0"/>
                <w:color w:val="auto"/>
                <w:sz w:val="24"/>
                <w:highlight w:val="none"/>
                <w:lang w:val="en-US" w:eastAsia="zh-CN"/>
              </w:rPr>
              <w:t>/精神科</w:t>
            </w:r>
            <w:r>
              <w:rPr>
                <w:rFonts w:hint="eastAsia" w:cs="Times New Roman"/>
                <w:b w:val="0"/>
                <w:bCs w:val="0"/>
                <w:i w:val="0"/>
                <w:iCs w:val="0"/>
                <w:color w:val="auto"/>
                <w:sz w:val="24"/>
                <w:highlight w:val="none"/>
                <w:lang w:eastAsia="zh-CN"/>
              </w:rPr>
              <w:t>）的医学人员参与检查工作。</w:t>
            </w:r>
          </w:p>
          <w:p w14:paraId="511AF4B4">
            <w:pPr>
              <w:snapToGrid w:val="0"/>
              <w:spacing w:line="360" w:lineRule="exact"/>
              <w:ind w:firstLine="480" w:firstLineChars="200"/>
              <w:jc w:val="left"/>
              <w:rPr>
                <w:rFonts w:hint="eastAsia" w:cs="Times New Roman"/>
                <w:b w:val="0"/>
                <w:bCs w:val="0"/>
                <w:i w:val="0"/>
                <w:iCs w:val="0"/>
                <w:color w:val="auto"/>
                <w:sz w:val="24"/>
                <w:highlight w:val="none"/>
                <w:lang w:eastAsia="zh-CN"/>
              </w:rPr>
            </w:pPr>
            <w:r>
              <w:rPr>
                <w:rFonts w:hint="eastAsia" w:cs="Times New Roman"/>
                <w:b w:val="0"/>
                <w:bCs w:val="0"/>
                <w:i w:val="0"/>
                <w:iCs w:val="0"/>
                <w:color w:val="auto"/>
                <w:sz w:val="24"/>
                <w:highlight w:val="none"/>
                <w:lang w:eastAsia="zh-CN"/>
              </w:rPr>
              <w:t>在响应文件中提供上述人员的人员一览表、人员相关证书（毕业证书或学位证书及职称证书）复印件及有效期内的劳动合同复印件。所有人员应依法参加基本医疗保险，严格遵守采购人的保密、安全、工作纪律等各项要求。</w:t>
            </w:r>
          </w:p>
          <w:p w14:paraId="26BE8913">
            <w:pPr>
              <w:pStyle w:val="7"/>
              <w:keepNext w:val="0"/>
              <w:keepLines w:val="0"/>
              <w:pageBreakBefore w:val="0"/>
              <w:widowControl/>
              <w:numPr>
                <w:ilvl w:val="0"/>
                <w:numId w:val="5"/>
              </w:numPr>
              <w:tabs>
                <w:tab w:val="left" w:pos="780"/>
                <w:tab w:val="clear" w:pos="210"/>
              </w:tabs>
              <w:kinsoku/>
              <w:wordWrap/>
              <w:overflowPunct/>
              <w:topLinePunct w:val="0"/>
              <w:autoSpaceDE/>
              <w:autoSpaceDN/>
              <w:bidi w:val="0"/>
              <w:spacing w:beforeAutospacing="0" w:afterAutospacing="0" w:line="400" w:lineRule="exact"/>
              <w:ind w:left="0" w:firstLine="480" w:firstLineChars="200"/>
              <w:rPr>
                <w:rFonts w:ascii="Times New Roman" w:hAnsi="Times New Roman" w:eastAsia="宋体" w:cs="Times New Roman"/>
                <w:b w:val="0"/>
                <w:bCs w:val="0"/>
                <w:i w:val="0"/>
                <w:iCs w:val="0"/>
                <w:color w:val="auto"/>
                <w:sz w:val="24"/>
                <w:highlight w:val="none"/>
                <w:u w:val="none"/>
              </w:rPr>
            </w:pPr>
            <w:r>
              <w:rPr>
                <w:rFonts w:ascii="Times New Roman" w:hAnsi="Times New Roman" w:eastAsia="宋体" w:cs="Times New Roman"/>
                <w:b w:val="0"/>
                <w:bCs w:val="0"/>
                <w:i w:val="0"/>
                <w:iCs w:val="0"/>
                <w:color w:val="auto"/>
                <w:sz w:val="24"/>
                <w:highlight w:val="none"/>
                <w:u w:val="none"/>
              </w:rPr>
              <w:t>报告</w:t>
            </w:r>
            <w:r>
              <w:rPr>
                <w:rFonts w:hint="eastAsia" w:ascii="Times New Roman" w:hAnsi="Times New Roman" w:eastAsia="宋体" w:cs="Times New Roman"/>
                <w:b w:val="0"/>
                <w:bCs w:val="0"/>
                <w:i w:val="0"/>
                <w:iCs w:val="0"/>
                <w:color w:val="auto"/>
                <w:sz w:val="24"/>
                <w:highlight w:val="none"/>
                <w:u w:val="none"/>
                <w:lang w:val="en-US" w:eastAsia="zh-CN"/>
              </w:rPr>
              <w:t>及问题表</w:t>
            </w:r>
            <w:r>
              <w:rPr>
                <w:rFonts w:ascii="Times New Roman" w:hAnsi="Times New Roman" w:eastAsia="宋体" w:cs="Times New Roman"/>
                <w:b w:val="0"/>
                <w:bCs w:val="0"/>
                <w:i w:val="0"/>
                <w:iCs w:val="0"/>
                <w:color w:val="auto"/>
                <w:sz w:val="24"/>
                <w:highlight w:val="none"/>
                <w:u w:val="none"/>
              </w:rPr>
              <w:t>出具规范：</w:t>
            </w:r>
          </w:p>
          <w:p w14:paraId="0EDD465F">
            <w:pPr>
              <w:pStyle w:val="2"/>
              <w:keepNext w:val="0"/>
              <w:keepLines w:val="0"/>
              <w:pageBreakBefore w:val="0"/>
              <w:widowControl/>
              <w:kinsoku/>
              <w:wordWrap/>
              <w:overflowPunct/>
              <w:topLinePunct w:val="0"/>
              <w:autoSpaceDE/>
              <w:autoSpaceDN/>
              <w:bidi w:val="0"/>
              <w:spacing w:beforeAutospacing="0" w:after="0" w:afterAutospacing="0" w:line="400" w:lineRule="exact"/>
              <w:ind w:left="0" w:firstLine="480" w:firstLineChars="200"/>
              <w:rPr>
                <w:rFonts w:hint="eastAsia" w:cs="Times New Roman"/>
                <w:b w:val="0"/>
                <w:bCs w:val="0"/>
                <w:i w:val="0"/>
                <w:iCs w:val="0"/>
                <w:color w:val="auto"/>
                <w:sz w:val="24"/>
                <w:highlight w:val="none"/>
                <w:lang w:val="en-US" w:eastAsia="zh-CN"/>
              </w:rPr>
            </w:pPr>
            <w:r>
              <w:rPr>
                <w:rFonts w:hint="eastAsia" w:cs="Times New Roman"/>
                <w:b w:val="0"/>
                <w:bCs w:val="0"/>
                <w:i w:val="0"/>
                <w:iCs w:val="0"/>
                <w:color w:val="auto"/>
                <w:sz w:val="24"/>
                <w:highlight w:val="none"/>
                <w:lang w:val="en-US" w:eastAsia="zh-CN"/>
              </w:rPr>
              <w:t>（1）</w:t>
            </w:r>
            <w:r>
              <w:rPr>
                <w:rFonts w:hint="eastAsia" w:ascii="Times New Roman" w:hAnsi="Times New Roman" w:eastAsia="宋体" w:cs="Times New Roman"/>
                <w:b w:val="0"/>
                <w:bCs w:val="0"/>
                <w:i w:val="0"/>
                <w:iCs w:val="0"/>
                <w:color w:val="auto"/>
                <w:sz w:val="24"/>
                <w:highlight w:val="none"/>
                <w:lang w:val="en-US" w:eastAsia="zh-CN"/>
              </w:rPr>
              <w:t>检查报告须准确、清晰、完整地记载检查的基本情况，并具体列明存在违法违规或违约行为所涉项目的名称、数量、金额等内容</w:t>
            </w:r>
            <w:r>
              <w:rPr>
                <w:rFonts w:hint="eastAsia" w:cs="Times New Roman"/>
                <w:b w:val="0"/>
                <w:bCs w:val="0"/>
                <w:i w:val="0"/>
                <w:iCs w:val="0"/>
                <w:color w:val="auto"/>
                <w:sz w:val="24"/>
                <w:highlight w:val="none"/>
                <w:lang w:val="en-US" w:eastAsia="zh-CN"/>
              </w:rPr>
              <w:t xml:space="preserve">。问题表应逐条说明违规事实、所依据的相关政策条款、涉及金额以及处理建议，确保内容可追溯、可核查。 </w:t>
            </w:r>
          </w:p>
          <w:p w14:paraId="31314F36">
            <w:pPr>
              <w:pStyle w:val="2"/>
              <w:keepNext w:val="0"/>
              <w:keepLines w:val="0"/>
              <w:pageBreakBefore w:val="0"/>
              <w:widowControl/>
              <w:kinsoku/>
              <w:wordWrap/>
              <w:overflowPunct/>
              <w:topLinePunct w:val="0"/>
              <w:autoSpaceDE/>
              <w:autoSpaceDN/>
              <w:bidi w:val="0"/>
              <w:spacing w:beforeAutospacing="0" w:after="0" w:afterAutospacing="0" w:line="400" w:lineRule="exact"/>
              <w:ind w:left="0" w:firstLine="480" w:firstLineChars="200"/>
              <w:rPr>
                <w:rFonts w:ascii="Times New Roman" w:hAnsi="Times New Roman" w:eastAsia="宋体" w:cs="Times New Roman"/>
                <w:b w:val="0"/>
                <w:bCs w:val="0"/>
                <w:i w:val="0"/>
                <w:iCs w:val="0"/>
                <w:color w:val="auto"/>
                <w:sz w:val="24"/>
                <w:highlight w:val="none"/>
                <w:u w:val="none"/>
              </w:rPr>
            </w:pPr>
            <w:r>
              <w:rPr>
                <w:rFonts w:hint="eastAsia"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2</w:t>
            </w:r>
            <w:r>
              <w:rPr>
                <w:rFonts w:hint="eastAsia" w:cs="Times New Roman"/>
                <w:b w:val="0"/>
                <w:bCs w:val="0"/>
                <w:i w:val="0"/>
                <w:iCs w:val="0"/>
                <w:color w:val="auto"/>
                <w:sz w:val="24"/>
                <w:highlight w:val="none"/>
                <w:lang w:eastAsia="zh-CN"/>
              </w:rPr>
              <w:t>）</w:t>
            </w:r>
            <w:r>
              <w:rPr>
                <w:rFonts w:ascii="Times New Roman" w:hAnsi="Times New Roman" w:eastAsia="宋体" w:cs="Times New Roman"/>
                <w:b w:val="0"/>
                <w:bCs w:val="0"/>
                <w:i w:val="0"/>
                <w:iCs w:val="0"/>
                <w:color w:val="auto"/>
                <w:sz w:val="24"/>
                <w:highlight w:val="none"/>
              </w:rPr>
              <w:t>检查过程中发现定点零售药店存在欺诈骗保情况的，须及时向</w:t>
            </w:r>
            <w:r>
              <w:rPr>
                <w:rFonts w:hint="eastAsia" w:cs="Times New Roman"/>
                <w:b w:val="0"/>
                <w:bCs w:val="0"/>
                <w:i w:val="0"/>
                <w:iCs w:val="0"/>
                <w:color w:val="auto"/>
                <w:sz w:val="24"/>
                <w:highlight w:val="none"/>
                <w:lang w:eastAsia="zh-CN"/>
              </w:rPr>
              <w:t>采购人</w:t>
            </w:r>
            <w:r>
              <w:rPr>
                <w:rFonts w:ascii="Times New Roman" w:hAnsi="Times New Roman" w:eastAsia="宋体" w:cs="Times New Roman"/>
                <w:b w:val="0"/>
                <w:bCs w:val="0"/>
                <w:i w:val="0"/>
                <w:iCs w:val="0"/>
                <w:color w:val="auto"/>
                <w:sz w:val="24"/>
                <w:highlight w:val="none"/>
              </w:rPr>
              <w:t>报告，并配合做好取证等相关工作。</w:t>
            </w:r>
          </w:p>
          <w:p w14:paraId="3DC0198F">
            <w:pPr>
              <w:pStyle w:val="7"/>
              <w:keepNext w:val="0"/>
              <w:keepLines w:val="0"/>
              <w:pageBreakBefore w:val="0"/>
              <w:numPr>
                <w:ilvl w:val="0"/>
                <w:numId w:val="5"/>
              </w:numPr>
              <w:tabs>
                <w:tab w:val="left" w:pos="780"/>
                <w:tab w:val="clear" w:pos="210"/>
              </w:tabs>
              <w:kinsoku/>
              <w:wordWrap/>
              <w:overflowPunct/>
              <w:topLinePunct w:val="0"/>
              <w:autoSpaceDE/>
              <w:autoSpaceDN/>
              <w:bidi w:val="0"/>
              <w:spacing w:beforeAutospacing="0" w:afterAutospacing="0" w:line="400" w:lineRule="exact"/>
              <w:ind w:left="0" w:firstLine="480" w:firstLineChars="200"/>
              <w:rPr>
                <w:rFonts w:eastAsia="宋体"/>
                <w:b w:val="0"/>
                <w:bCs w:val="0"/>
                <w:i w:val="0"/>
                <w:iCs w:val="0"/>
                <w:color w:val="auto"/>
                <w:sz w:val="24"/>
                <w:highlight w:val="none"/>
                <w:u w:val="none"/>
              </w:rPr>
            </w:pPr>
            <w:r>
              <w:rPr>
                <w:rFonts w:ascii="Times New Roman" w:hAnsi="Times New Roman" w:eastAsia="宋体" w:cs="Times New Roman"/>
                <w:b w:val="0"/>
                <w:bCs w:val="0"/>
                <w:i w:val="0"/>
                <w:iCs w:val="0"/>
                <w:color w:val="auto"/>
                <w:sz w:val="24"/>
                <w:highlight w:val="none"/>
                <w:u w:val="none"/>
              </w:rPr>
              <w:t>现场评估时限：现场评估工作应在2026年11月30日前完成。</w:t>
            </w:r>
          </w:p>
          <w:p w14:paraId="084B21F5">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hint="eastAsia" w:ascii="Times New Roman" w:hAnsi="Times New Roman" w:eastAsia="宋体" w:cs="Times New Roman"/>
                <w:b/>
                <w:bCs w:val="0"/>
                <w:i w:val="0"/>
                <w:iCs w:val="0"/>
                <w:color w:val="auto"/>
                <w:sz w:val="24"/>
                <w:highlight w:val="none"/>
                <w:lang w:val="en-US" w:eastAsia="zh-CN"/>
              </w:rPr>
            </w:pPr>
            <w:r>
              <w:rPr>
                <w:rFonts w:hint="eastAsia" w:ascii="Times New Roman" w:hAnsi="Times New Roman" w:eastAsia="宋体" w:cs="Times New Roman"/>
                <w:b/>
                <w:bCs w:val="0"/>
                <w:i w:val="0"/>
                <w:iCs w:val="0"/>
                <w:color w:val="auto"/>
                <w:sz w:val="24"/>
                <w:highlight w:val="none"/>
                <w:lang w:val="en-US" w:eastAsia="zh-CN"/>
              </w:rPr>
              <w:t>五、检查人员及团队要求</w:t>
            </w:r>
          </w:p>
          <w:p w14:paraId="6B65160D">
            <w:pPr>
              <w:pStyle w:val="2"/>
              <w:keepNext w:val="0"/>
              <w:keepLines w:val="0"/>
              <w:pageBreakBefore w:val="0"/>
              <w:numPr>
                <w:ilvl w:val="0"/>
                <w:numId w:val="6"/>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eastAsia="宋体"/>
                <w:b w:val="0"/>
                <w:bCs w:val="0"/>
                <w:i w:val="0"/>
                <w:iCs w:val="0"/>
                <w:color w:val="auto"/>
                <w:sz w:val="24"/>
                <w:highlight w:val="none"/>
              </w:rPr>
            </w:pPr>
            <w:r>
              <w:rPr>
                <w:rFonts w:hint="eastAsia"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人员要求：供应商按照被检医药机构等级组建专业</w:t>
            </w:r>
            <w:r>
              <w:rPr>
                <w:rFonts w:hint="eastAsia" w:cs="Times New Roman"/>
                <w:b w:val="0"/>
                <w:bCs w:val="0"/>
                <w:i w:val="0"/>
                <w:iCs w:val="0"/>
                <w:color w:val="auto"/>
                <w:sz w:val="24"/>
                <w:highlight w:val="none"/>
                <w:lang w:eastAsia="zh-CN"/>
              </w:rPr>
              <w:t>检查</w:t>
            </w:r>
            <w:r>
              <w:rPr>
                <w:rFonts w:ascii="Times New Roman" w:hAnsi="Times New Roman" w:eastAsia="宋体" w:cs="Times New Roman"/>
                <w:b w:val="0"/>
                <w:bCs w:val="0"/>
                <w:i w:val="0"/>
                <w:iCs w:val="0"/>
                <w:color w:val="auto"/>
                <w:sz w:val="24"/>
                <w:highlight w:val="none"/>
              </w:rPr>
              <w:t>小组，须保证一支16人（含）以上相对稳定的服务团队</w:t>
            </w:r>
            <w:r>
              <w:rPr>
                <w:rFonts w:hint="eastAsia" w:cs="Times New Roman"/>
                <w:b w:val="0"/>
                <w:bCs w:val="0"/>
                <w:i w:val="0"/>
                <w:iCs w:val="0"/>
                <w:color w:val="auto"/>
                <w:sz w:val="24"/>
                <w:highlight w:val="none"/>
                <w:lang w:eastAsia="zh-CN"/>
              </w:rPr>
              <w:t>，</w:t>
            </w:r>
            <w:r>
              <w:rPr>
                <w:rFonts w:ascii="Times New Roman" w:hAnsi="Times New Roman" w:eastAsia="宋体" w:cs="Times New Roman"/>
                <w:b w:val="0"/>
                <w:bCs w:val="0"/>
                <w:i w:val="0"/>
                <w:iCs w:val="0"/>
                <w:color w:val="auto"/>
                <w:sz w:val="24"/>
                <w:highlight w:val="none"/>
              </w:rPr>
              <w:t>服务团队中须包含1名项目经理。</w:t>
            </w:r>
          </w:p>
          <w:p w14:paraId="783C5546">
            <w:pPr>
              <w:pStyle w:val="2"/>
              <w:keepNext w:val="0"/>
              <w:keepLines w:val="0"/>
              <w:pageBreakBefore w:val="0"/>
              <w:numPr>
                <w:ilvl w:val="0"/>
                <w:numId w:val="6"/>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eastAsia="宋体"/>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专家配备要求：</w:t>
            </w:r>
          </w:p>
          <w:p w14:paraId="1354B803">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ascii="Times New Roman" w:hAnsi="Times New Roman" w:eastAsia="宋体" w:cs="Times New Roman"/>
                <w:b w:val="0"/>
                <w:bCs w:val="0"/>
                <w:i w:val="0"/>
                <w:iCs w:val="0"/>
                <w:color w:val="auto"/>
                <w:sz w:val="24"/>
                <w:highlight w:val="none"/>
              </w:rPr>
            </w:pPr>
            <w:r>
              <w:rPr>
                <w:rFonts w:hint="eastAsia"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1</w:t>
            </w:r>
            <w:r>
              <w:rPr>
                <w:rFonts w:hint="eastAsia" w:cs="Times New Roman"/>
                <w:b w:val="0"/>
                <w:bCs w:val="0"/>
                <w:i w:val="0"/>
                <w:iCs w:val="0"/>
                <w:color w:val="auto"/>
                <w:sz w:val="24"/>
                <w:highlight w:val="none"/>
                <w:lang w:eastAsia="zh-CN"/>
              </w:rPr>
              <w:t>）</w:t>
            </w:r>
            <w:r>
              <w:rPr>
                <w:rFonts w:hint="eastAsia" w:ascii="Times New Roman" w:hAnsi="Times New Roman" w:eastAsia="宋体" w:cs="Times New Roman"/>
                <w:b w:val="0"/>
                <w:bCs w:val="0"/>
                <w:i w:val="0"/>
                <w:iCs w:val="0"/>
                <w:color w:val="auto"/>
                <w:sz w:val="24"/>
                <w:highlight w:val="none"/>
                <w:lang w:eastAsia="zh-CN"/>
              </w:rPr>
              <w:t>供应商服务团队应</w:t>
            </w:r>
            <w:r>
              <w:rPr>
                <w:rFonts w:hint="eastAsia" w:cs="Times New Roman"/>
                <w:b w:val="0"/>
                <w:bCs w:val="0"/>
                <w:i w:val="0"/>
                <w:iCs w:val="0"/>
                <w:color w:val="auto"/>
                <w:sz w:val="24"/>
                <w:highlight w:val="none"/>
                <w:lang w:eastAsia="zh-CN"/>
              </w:rPr>
              <w:t>至少配备3名具有副高级及以上</w:t>
            </w:r>
            <w:r>
              <w:rPr>
                <w:rFonts w:hint="eastAsia" w:ascii="Times New Roman" w:hAnsi="Times New Roman" w:eastAsia="宋体" w:cs="Times New Roman"/>
                <w:b w:val="0"/>
                <w:bCs w:val="0"/>
                <w:i w:val="0"/>
                <w:iCs w:val="0"/>
                <w:color w:val="auto"/>
                <w:sz w:val="24"/>
                <w:highlight w:val="none"/>
                <w:lang w:eastAsia="zh-CN"/>
              </w:rPr>
              <w:t>职称、在康复科、内科、外科、临床检验等相关专业</w:t>
            </w:r>
            <w:r>
              <w:rPr>
                <w:rFonts w:hint="eastAsia" w:cs="Times New Roman"/>
                <w:b w:val="0"/>
                <w:bCs w:val="0"/>
                <w:i w:val="0"/>
                <w:iCs w:val="0"/>
                <w:color w:val="auto"/>
                <w:sz w:val="24"/>
                <w:highlight w:val="none"/>
                <w:lang w:eastAsia="zh-CN"/>
              </w:rPr>
              <w:t>执业的</w:t>
            </w:r>
            <w:r>
              <w:rPr>
                <w:rFonts w:hint="eastAsia" w:ascii="Times New Roman" w:hAnsi="Times New Roman" w:eastAsia="宋体" w:cs="Times New Roman"/>
                <w:b w:val="0"/>
                <w:bCs w:val="0"/>
                <w:i w:val="0"/>
                <w:iCs w:val="0"/>
                <w:color w:val="auto"/>
                <w:sz w:val="24"/>
                <w:highlight w:val="none"/>
                <w:lang w:eastAsia="zh-CN"/>
              </w:rPr>
              <w:t>临床专家参与现场检查工作（检查专科医院时，须配备具备相应专业技术职称的人员）</w:t>
            </w:r>
            <w:r>
              <w:rPr>
                <w:rFonts w:hint="eastAsia" w:cs="Times New Roman"/>
                <w:b w:val="0"/>
                <w:bCs w:val="0"/>
                <w:i w:val="0"/>
                <w:iCs w:val="0"/>
                <w:color w:val="auto"/>
                <w:sz w:val="24"/>
                <w:highlight w:val="none"/>
                <w:lang w:eastAsia="zh-CN"/>
              </w:rPr>
              <w:t>，</w:t>
            </w:r>
            <w:r>
              <w:rPr>
                <w:rFonts w:hint="eastAsia" w:ascii="Times New Roman" w:hAnsi="Times New Roman" w:eastAsia="宋体" w:cs="Times New Roman"/>
                <w:b w:val="0"/>
                <w:bCs w:val="0"/>
                <w:i w:val="0"/>
                <w:iCs w:val="0"/>
                <w:color w:val="auto"/>
                <w:sz w:val="24"/>
                <w:highlight w:val="none"/>
                <w:lang w:eastAsia="zh-CN"/>
              </w:rPr>
              <w:t>其余参与检查的专业人员应具有临床医学、药学、护理等医学相关专业</w:t>
            </w:r>
            <w:r>
              <w:rPr>
                <w:rFonts w:hint="eastAsia" w:cs="Times New Roman"/>
                <w:b w:val="0"/>
                <w:bCs w:val="0"/>
                <w:i w:val="0"/>
                <w:iCs w:val="0"/>
                <w:color w:val="auto"/>
                <w:sz w:val="24"/>
                <w:highlight w:val="none"/>
                <w:lang w:eastAsia="zh-CN"/>
              </w:rPr>
              <w:t>背景</w:t>
            </w:r>
            <w:r>
              <w:rPr>
                <w:rFonts w:hint="eastAsia" w:ascii="Times New Roman" w:hAnsi="Times New Roman" w:eastAsia="宋体" w:cs="Times New Roman"/>
                <w:b w:val="0"/>
                <w:bCs w:val="0"/>
                <w:i w:val="0"/>
                <w:iCs w:val="0"/>
                <w:color w:val="auto"/>
                <w:sz w:val="24"/>
                <w:highlight w:val="none"/>
                <w:lang w:eastAsia="zh-CN"/>
              </w:rPr>
              <w:t>。</w:t>
            </w:r>
          </w:p>
          <w:p w14:paraId="7A51EEC0">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ascii="Times New Roman" w:hAnsi="Times New Roman" w:eastAsia="宋体" w:cs="Times New Roman"/>
                <w:b w:val="0"/>
                <w:bCs w:val="0"/>
                <w:i w:val="0"/>
                <w:iCs w:val="0"/>
                <w:color w:val="auto"/>
                <w:sz w:val="24"/>
                <w:highlight w:val="none"/>
              </w:rPr>
            </w:pPr>
            <w:r>
              <w:rPr>
                <w:rFonts w:hint="eastAsia" w:cs="Times New Roman"/>
                <w:b w:val="0"/>
                <w:bCs w:val="0"/>
                <w:i w:val="0"/>
                <w:iCs w:val="0"/>
                <w:color w:val="auto"/>
                <w:sz w:val="24"/>
                <w:highlight w:val="none"/>
                <w:lang w:eastAsia="zh-CN"/>
              </w:rPr>
              <w:t>（</w:t>
            </w:r>
            <w:r>
              <w:rPr>
                <w:rFonts w:hint="eastAsia" w:cs="Times New Roman"/>
                <w:b w:val="0"/>
                <w:bCs w:val="0"/>
                <w:i w:val="0"/>
                <w:iCs w:val="0"/>
                <w:color w:val="auto"/>
                <w:sz w:val="24"/>
                <w:highlight w:val="none"/>
                <w:lang w:val="en-US" w:eastAsia="zh-CN"/>
              </w:rPr>
              <w:t>2</w:t>
            </w:r>
            <w:r>
              <w:rPr>
                <w:rFonts w:hint="eastAsia" w:cs="Times New Roman"/>
                <w:b w:val="0"/>
                <w:bCs w:val="0"/>
                <w:i w:val="0"/>
                <w:iCs w:val="0"/>
                <w:color w:val="auto"/>
                <w:sz w:val="24"/>
                <w:highlight w:val="none"/>
                <w:lang w:eastAsia="zh-CN"/>
              </w:rPr>
              <w:t>）</w:t>
            </w:r>
            <w:r>
              <w:rPr>
                <w:rFonts w:ascii="Times New Roman" w:hAnsi="Times New Roman" w:eastAsia="宋体" w:cs="Times New Roman"/>
                <w:b w:val="0"/>
                <w:bCs w:val="0"/>
                <w:i w:val="0"/>
                <w:iCs w:val="0"/>
                <w:color w:val="auto"/>
                <w:sz w:val="24"/>
                <w:highlight w:val="none"/>
              </w:rPr>
              <w:t>至少配备1名信息技术人员和1名财务会计审核人员。</w:t>
            </w:r>
          </w:p>
          <w:p w14:paraId="7D544D6F">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ascii="Times New Roman" w:hAnsi="Times New Roman" w:eastAsia="宋体" w:cs="Times New Roman"/>
                <w:b w:val="0"/>
                <w:bCs w:val="0"/>
                <w:i w:val="0"/>
                <w:iCs w:val="0"/>
                <w:strike/>
                <w:dstrike w:val="0"/>
                <w:color w:val="auto"/>
                <w:sz w:val="24"/>
                <w:highlight w:val="none"/>
              </w:rPr>
            </w:pPr>
            <w:r>
              <w:rPr>
                <w:rFonts w:hint="eastAsia" w:cs="Times New Roman"/>
                <w:b w:val="0"/>
                <w:bCs w:val="0"/>
                <w:i w:val="0"/>
                <w:iCs w:val="0"/>
                <w:strike w:val="0"/>
                <w:dstrike w:val="0"/>
                <w:color w:val="auto"/>
                <w:sz w:val="24"/>
                <w:highlight w:val="none"/>
                <w:lang w:eastAsia="zh-CN"/>
              </w:rPr>
              <w:t>（</w:t>
            </w:r>
            <w:r>
              <w:rPr>
                <w:rFonts w:hint="eastAsia" w:cs="Times New Roman"/>
                <w:b w:val="0"/>
                <w:bCs w:val="0"/>
                <w:i w:val="0"/>
                <w:iCs w:val="0"/>
                <w:strike w:val="0"/>
                <w:dstrike w:val="0"/>
                <w:color w:val="auto"/>
                <w:sz w:val="24"/>
                <w:highlight w:val="none"/>
                <w:lang w:val="en-US" w:eastAsia="zh-CN"/>
              </w:rPr>
              <w:t>3</w:t>
            </w:r>
            <w:r>
              <w:rPr>
                <w:rFonts w:hint="eastAsia" w:cs="Times New Roman"/>
                <w:b w:val="0"/>
                <w:bCs w:val="0"/>
                <w:i w:val="0"/>
                <w:iCs w:val="0"/>
                <w:strike w:val="0"/>
                <w:dstrike w:val="0"/>
                <w:color w:val="auto"/>
                <w:sz w:val="24"/>
                <w:highlight w:val="none"/>
                <w:lang w:eastAsia="zh-CN"/>
              </w:rPr>
              <w:t>）服务团队检查人员需</w:t>
            </w:r>
            <w:r>
              <w:rPr>
                <w:rFonts w:hint="eastAsia" w:cs="Times New Roman"/>
                <w:b w:val="0"/>
                <w:bCs w:val="0"/>
                <w:i w:val="0"/>
                <w:iCs w:val="0"/>
                <w:color w:val="auto"/>
                <w:sz w:val="24"/>
                <w:highlight w:val="none"/>
                <w:lang w:eastAsia="zh-CN"/>
              </w:rPr>
              <w:t>与被检查机构无利害关系，并执行回避制度。</w:t>
            </w:r>
          </w:p>
          <w:p w14:paraId="3DFA6CD4">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rightChars="0"/>
              <w:rPr>
                <w:rFonts w:eastAsia="宋体"/>
                <w:b w:val="0"/>
                <w:bCs w:val="0"/>
                <w:i w:val="0"/>
                <w:iCs w:val="0"/>
                <w:color w:val="auto"/>
                <w:sz w:val="24"/>
                <w:highlight w:val="none"/>
                <w:u w:val="none"/>
              </w:rPr>
            </w:pPr>
            <w:r>
              <w:rPr>
                <w:rFonts w:hint="eastAsia" w:cs="Times New Roman"/>
                <w:b w:val="0"/>
                <w:bCs w:val="0"/>
                <w:i w:val="0"/>
                <w:iCs w:val="0"/>
                <w:color w:val="auto"/>
                <w:sz w:val="24"/>
                <w:highlight w:val="none"/>
                <w:u w:val="none"/>
                <w:lang w:val="en-US" w:eastAsia="zh-CN"/>
              </w:rPr>
              <w:t xml:space="preserve">    3.</w:t>
            </w:r>
            <w:r>
              <w:rPr>
                <w:rFonts w:ascii="Times New Roman" w:hAnsi="Times New Roman" w:eastAsia="宋体" w:cs="Times New Roman"/>
                <w:b w:val="0"/>
                <w:bCs w:val="0"/>
                <w:i w:val="0"/>
                <w:iCs w:val="0"/>
                <w:color w:val="auto"/>
                <w:sz w:val="24"/>
                <w:highlight w:val="none"/>
                <w:u w:val="none"/>
              </w:rPr>
              <w:t>纪律与</w:t>
            </w:r>
            <w:r>
              <w:rPr>
                <w:rFonts w:hint="eastAsia" w:cs="Times New Roman"/>
                <w:b w:val="0"/>
                <w:bCs w:val="0"/>
                <w:i w:val="0"/>
                <w:iCs w:val="0"/>
                <w:color w:val="auto"/>
                <w:sz w:val="24"/>
                <w:highlight w:val="none"/>
                <w:u w:val="none"/>
                <w:lang w:eastAsia="zh-CN"/>
              </w:rPr>
              <w:t>执行要求</w:t>
            </w:r>
          </w:p>
          <w:p w14:paraId="7978E681">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ascii="Times New Roman" w:hAnsi="Times New Roman" w:eastAsia="宋体" w:cs="Times New Roman"/>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全部人员要严格遵守采购人的保密、安全、工作纪律等各项要求。团队需指定小组负责人，并在规定时间内完成现场检查工作。</w:t>
            </w:r>
          </w:p>
          <w:p w14:paraId="5B71EE71">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hint="eastAsia" w:ascii="Times New Roman" w:hAnsi="Times New Roman" w:eastAsia="宋体" w:cs="Times New Roman"/>
                <w:b/>
                <w:bCs w:val="0"/>
                <w:i w:val="0"/>
                <w:iCs w:val="0"/>
                <w:color w:val="auto"/>
                <w:sz w:val="24"/>
                <w:highlight w:val="none"/>
                <w:lang w:val="en-US" w:eastAsia="zh-CN"/>
              </w:rPr>
            </w:pPr>
            <w:r>
              <w:rPr>
                <w:rFonts w:hint="eastAsia" w:ascii="Times New Roman" w:hAnsi="Times New Roman" w:eastAsia="宋体" w:cs="Times New Roman"/>
                <w:b/>
                <w:bCs w:val="0"/>
                <w:i w:val="0"/>
                <w:iCs w:val="0"/>
                <w:color w:val="auto"/>
                <w:sz w:val="24"/>
                <w:highlight w:val="none"/>
                <w:lang w:val="en-US" w:eastAsia="zh-CN"/>
              </w:rPr>
              <w:t>六、成果提交要求</w:t>
            </w:r>
          </w:p>
          <w:p w14:paraId="3BB54873">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 xml:space="preserve">供应商须依照要求提交相应成果资料，所有成果资料应保证数据真实、逻辑严谨、内容完备、格式规范，纸质版一式两份，电子版（存储于U盘）一式一份，具体提交内容如下：  </w:t>
            </w:r>
          </w:p>
          <w:p w14:paraId="219D1D63">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（一）单家机构层面（</w:t>
            </w:r>
            <w:r>
              <w:rPr>
                <w:rFonts w:hint="eastAsia" w:cs="Times New Roman"/>
                <w:b w:val="0"/>
                <w:bCs w:val="0"/>
                <w:i w:val="0"/>
                <w:iCs w:val="0"/>
                <w:color w:val="auto"/>
                <w:sz w:val="24"/>
                <w:highlight w:val="none"/>
                <w:lang w:val="en-US" w:eastAsia="zh-CN"/>
              </w:rPr>
              <w:t>每家定点医药机构</w:t>
            </w:r>
            <w:r>
              <w:rPr>
                <w:rFonts w:hint="eastAsia" w:ascii="Times New Roman" w:hAnsi="Times New Roman" w:eastAsia="宋体" w:cs="Times New Roman"/>
                <w:b w:val="0"/>
                <w:bCs w:val="0"/>
                <w:i w:val="0"/>
                <w:iCs w:val="0"/>
                <w:color w:val="auto"/>
                <w:sz w:val="24"/>
                <w:highlight w:val="none"/>
                <w:lang w:val="en-US" w:eastAsia="zh-CN"/>
              </w:rPr>
              <w:t>均须分别</w:t>
            </w:r>
            <w:r>
              <w:rPr>
                <w:rFonts w:hint="eastAsia" w:cs="Times New Roman"/>
                <w:b w:val="0"/>
                <w:bCs w:val="0"/>
                <w:i w:val="0"/>
                <w:iCs w:val="0"/>
                <w:color w:val="auto"/>
                <w:sz w:val="24"/>
                <w:highlight w:val="none"/>
                <w:lang w:val="en-US" w:eastAsia="zh-CN"/>
              </w:rPr>
              <w:t>整理，按属地管理原则，向各县/区医保部门提交</w:t>
            </w:r>
            <w:r>
              <w:rPr>
                <w:rFonts w:hint="eastAsia" w:ascii="Times New Roman" w:hAnsi="Times New Roman" w:eastAsia="宋体" w:cs="Times New Roman"/>
                <w:b w:val="0"/>
                <w:bCs w:val="0"/>
                <w:i w:val="0"/>
                <w:iCs w:val="0"/>
                <w:color w:val="auto"/>
                <w:sz w:val="24"/>
                <w:highlight w:val="none"/>
                <w:lang w:val="en-US" w:eastAsia="zh-CN"/>
              </w:rPr>
              <w:t xml:space="preserve">）：  </w:t>
            </w:r>
          </w:p>
          <w:p w14:paraId="48BFEFD5">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i w:val="0"/>
                <w:iCs w:val="0"/>
                <w:strike w:val="0"/>
                <w:dstrike w:val="0"/>
                <w:color w:val="auto"/>
                <w:sz w:val="24"/>
                <w:highlight w:val="none"/>
                <w:lang w:val="en-US" w:eastAsia="zh-CN"/>
              </w:rPr>
            </w:pPr>
            <w:r>
              <w:rPr>
                <w:rFonts w:hint="eastAsia" w:ascii="Times New Roman" w:hAnsi="Times New Roman" w:eastAsia="宋体" w:cs="Times New Roman"/>
                <w:b w:val="0"/>
                <w:bCs w:val="0"/>
                <w:i w:val="0"/>
                <w:iCs w:val="0"/>
                <w:color w:val="auto"/>
                <w:kern w:val="2"/>
                <w:sz w:val="24"/>
                <w:szCs w:val="24"/>
                <w:highlight w:val="none"/>
                <w:lang w:val="en-US" w:eastAsia="zh-CN" w:bidi="ar-SA"/>
              </w:rPr>
              <w:t>1.只开展年度考核评估的：现场检查通知书、该机构的考核细则；</w:t>
            </w:r>
            <w:r>
              <w:rPr>
                <w:rFonts w:hint="eastAsia" w:ascii="Times New Roman" w:hAnsi="Times New Roman" w:eastAsia="宋体" w:cs="Times New Roman"/>
                <w:b w:val="0"/>
                <w:bCs w:val="0"/>
                <w:i w:val="0"/>
                <w:iCs w:val="0"/>
                <w:strike w:val="0"/>
                <w:dstrike w:val="0"/>
                <w:color w:val="auto"/>
                <w:kern w:val="2"/>
                <w:sz w:val="24"/>
                <w:szCs w:val="24"/>
                <w:highlight w:val="none"/>
                <w:lang w:val="en-US" w:eastAsia="zh-CN" w:bidi="ar-SA"/>
              </w:rPr>
              <w:t>存在违规问题的，出具该机构的检查问题反馈表、违规问题佐证材料</w:t>
            </w:r>
            <w:r>
              <w:rPr>
                <w:rFonts w:hint="eastAsia" w:cs="Times New Roman"/>
                <w:b w:val="0"/>
                <w:bCs w:val="0"/>
                <w:i w:val="0"/>
                <w:iCs w:val="0"/>
                <w:strike w:val="0"/>
                <w:dstrike w:val="0"/>
                <w:color w:val="auto"/>
                <w:sz w:val="24"/>
                <w:highlight w:val="none"/>
                <w:lang w:val="en-US" w:eastAsia="zh-CN"/>
              </w:rPr>
              <w:t>；</w:t>
            </w:r>
          </w:p>
          <w:p w14:paraId="0B2F27CF">
            <w:pPr>
              <w:pStyle w:val="2"/>
              <w:keepNext w:val="0"/>
              <w:keepLines w:val="0"/>
              <w:pageBreakBefore w:val="0"/>
              <w:kinsoku/>
              <w:wordWrap/>
              <w:overflowPunct/>
              <w:topLinePunct w:val="0"/>
              <w:autoSpaceDE/>
              <w:autoSpaceDN/>
              <w:bidi w:val="0"/>
              <w:adjustRightInd/>
              <w:snapToGrid/>
              <w:spacing w:beforeAutospacing="0" w:after="0" w:afterAutospacing="0" w:line="400" w:lineRule="exact"/>
              <w:ind w:left="0" w:leftChars="0" w:firstLine="480" w:firstLineChars="200"/>
              <w:textAlignment w:val="auto"/>
              <w:rPr>
                <w:rFonts w:hint="eastAsia" w:ascii="Times New Roman" w:hAnsi="Times New Roman" w:eastAsia="宋体" w:cs="Times New Roman"/>
                <w:b w:val="0"/>
                <w:bCs w:val="0"/>
                <w:i w:val="0"/>
                <w:iCs w:val="0"/>
                <w:color w:val="auto"/>
                <w:sz w:val="24"/>
                <w:highlight w:val="none"/>
                <w:lang w:val="en-US" w:eastAsia="zh-CN"/>
              </w:rPr>
            </w:pPr>
            <w:r>
              <w:rPr>
                <w:rFonts w:hint="eastAsia" w:cs="Times New Roman"/>
                <w:b w:val="0"/>
                <w:bCs w:val="0"/>
                <w:i w:val="0"/>
                <w:iCs w:val="0"/>
                <w:color w:val="auto"/>
                <w:sz w:val="24"/>
                <w:highlight w:val="none"/>
                <w:lang w:val="en-US" w:eastAsia="zh-CN"/>
              </w:rPr>
              <w:t>2.同时开展年度考核和日常全覆盖检查的：现场检查通知书、该机构的考核细则、日常全覆盖现场检查报告、检查问题反馈表、违规问题佐证材料。</w:t>
            </w:r>
            <w:r>
              <w:rPr>
                <w:rFonts w:hint="eastAsia" w:ascii="Times New Roman" w:hAnsi="Times New Roman" w:eastAsia="宋体" w:cs="Times New Roman"/>
                <w:b w:val="0"/>
                <w:bCs w:val="0"/>
                <w:i w:val="0"/>
                <w:iCs w:val="0"/>
                <w:color w:val="auto"/>
                <w:sz w:val="24"/>
                <w:highlight w:val="none"/>
                <w:lang w:val="en-US" w:eastAsia="zh-CN"/>
              </w:rPr>
              <w:t xml:space="preserve">  </w:t>
            </w:r>
          </w:p>
          <w:p w14:paraId="42E5B8E1">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（二）属地汇总层面（按属地管理原则，</w:t>
            </w:r>
            <w:r>
              <w:rPr>
                <w:rFonts w:hint="eastAsia" w:cs="Times New Roman"/>
                <w:b w:val="0"/>
                <w:bCs w:val="0"/>
                <w:i w:val="0"/>
                <w:iCs w:val="0"/>
                <w:color w:val="auto"/>
                <w:sz w:val="24"/>
                <w:highlight w:val="none"/>
                <w:lang w:val="en-US" w:eastAsia="zh-CN"/>
              </w:rPr>
              <w:t>向各县/区医保部门提交</w:t>
            </w:r>
            <w:r>
              <w:rPr>
                <w:rFonts w:hint="eastAsia" w:ascii="Times New Roman" w:hAnsi="Times New Roman" w:eastAsia="宋体" w:cs="Times New Roman"/>
                <w:b w:val="0"/>
                <w:bCs w:val="0"/>
                <w:i w:val="0"/>
                <w:iCs w:val="0"/>
                <w:color w:val="auto"/>
                <w:sz w:val="24"/>
                <w:highlight w:val="none"/>
                <w:lang w:val="en-US" w:eastAsia="zh-CN"/>
              </w:rPr>
              <w:t xml:space="preserve">）：  </w:t>
            </w:r>
          </w:p>
          <w:p w14:paraId="02DD4BE5">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1.</w:t>
            </w:r>
            <w:r>
              <w:rPr>
                <w:rFonts w:hint="eastAsia" w:cs="Times New Roman"/>
                <w:b w:val="0"/>
                <w:bCs w:val="0"/>
                <w:i w:val="0"/>
                <w:iCs w:val="0"/>
                <w:color w:val="auto"/>
                <w:sz w:val="24"/>
                <w:highlight w:val="none"/>
                <w:lang w:val="en-US" w:eastAsia="zh-CN"/>
              </w:rPr>
              <w:t>只开展年度考核评估的：</w:t>
            </w:r>
            <w:r>
              <w:rPr>
                <w:rFonts w:hint="eastAsia" w:ascii="Times New Roman" w:hAnsi="Times New Roman" w:eastAsia="宋体" w:cs="Times New Roman"/>
                <w:b w:val="0"/>
                <w:bCs w:val="0"/>
                <w:i w:val="0"/>
                <w:iCs w:val="0"/>
                <w:color w:val="auto"/>
                <w:sz w:val="24"/>
                <w:highlight w:val="none"/>
                <w:lang w:val="en-US" w:eastAsia="zh-CN"/>
              </w:rPr>
              <w:t>属地年度检查总报告及辖区</w:t>
            </w:r>
            <w:r>
              <w:rPr>
                <w:rFonts w:hint="eastAsia" w:cs="Times New Roman"/>
                <w:b w:val="0"/>
                <w:bCs w:val="0"/>
                <w:i w:val="0"/>
                <w:iCs w:val="0"/>
                <w:color w:val="auto"/>
                <w:sz w:val="24"/>
                <w:highlight w:val="none"/>
                <w:lang w:val="en-US" w:eastAsia="zh-CN"/>
              </w:rPr>
              <w:t>检查</w:t>
            </w:r>
            <w:r>
              <w:rPr>
                <w:rFonts w:hint="eastAsia" w:ascii="Times New Roman" w:hAnsi="Times New Roman" w:eastAsia="宋体" w:cs="Times New Roman"/>
                <w:b w:val="0"/>
                <w:bCs w:val="0"/>
                <w:i w:val="0"/>
                <w:iCs w:val="0"/>
                <w:color w:val="auto"/>
                <w:sz w:val="24"/>
                <w:highlight w:val="none"/>
                <w:lang w:val="en-US" w:eastAsia="zh-CN"/>
              </w:rPr>
              <w:t xml:space="preserve">问题汇总清单；  </w:t>
            </w:r>
          </w:p>
          <w:p w14:paraId="45931E0E">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2.</w:t>
            </w:r>
            <w:r>
              <w:rPr>
                <w:rFonts w:hint="eastAsia" w:cs="Times New Roman"/>
                <w:b w:val="0"/>
                <w:bCs w:val="0"/>
                <w:i w:val="0"/>
                <w:iCs w:val="0"/>
                <w:color w:val="auto"/>
                <w:sz w:val="24"/>
                <w:highlight w:val="none"/>
                <w:lang w:val="en-US" w:eastAsia="zh-CN"/>
              </w:rPr>
              <w:t>同时开展年度考核和日常全覆盖检查的：</w:t>
            </w:r>
            <w:r>
              <w:rPr>
                <w:rFonts w:hint="eastAsia" w:ascii="Times New Roman" w:hAnsi="Times New Roman" w:eastAsia="宋体" w:cs="Times New Roman"/>
                <w:b w:val="0"/>
                <w:bCs w:val="0"/>
                <w:i w:val="0"/>
                <w:iCs w:val="0"/>
                <w:color w:val="auto"/>
                <w:sz w:val="24"/>
                <w:highlight w:val="none"/>
                <w:lang w:val="en-US" w:eastAsia="zh-CN"/>
              </w:rPr>
              <w:t>属地年度检查总报告</w:t>
            </w:r>
            <w:r>
              <w:rPr>
                <w:rFonts w:hint="eastAsia" w:cs="Times New Roman"/>
                <w:b w:val="0"/>
                <w:bCs w:val="0"/>
                <w:i w:val="0"/>
                <w:iCs w:val="0"/>
                <w:color w:val="auto"/>
                <w:sz w:val="24"/>
                <w:highlight w:val="none"/>
                <w:lang w:val="en-US" w:eastAsia="zh-CN"/>
              </w:rPr>
              <w:t>、</w:t>
            </w:r>
            <w:r>
              <w:rPr>
                <w:rFonts w:hint="eastAsia" w:ascii="Times New Roman" w:hAnsi="Times New Roman" w:eastAsia="宋体" w:cs="Times New Roman"/>
                <w:b w:val="0"/>
                <w:bCs w:val="0"/>
                <w:i w:val="0"/>
                <w:iCs w:val="0"/>
                <w:color w:val="auto"/>
                <w:sz w:val="24"/>
                <w:highlight w:val="none"/>
                <w:lang w:val="en-US" w:eastAsia="zh-CN"/>
              </w:rPr>
              <w:t>日常全覆盖</w:t>
            </w:r>
            <w:r>
              <w:rPr>
                <w:rFonts w:hint="eastAsia" w:cs="Times New Roman"/>
                <w:b w:val="0"/>
                <w:bCs w:val="0"/>
                <w:i w:val="0"/>
                <w:iCs w:val="0"/>
                <w:color w:val="auto"/>
                <w:sz w:val="24"/>
                <w:highlight w:val="none"/>
                <w:lang w:val="en-US" w:eastAsia="zh-CN"/>
              </w:rPr>
              <w:t>现场</w:t>
            </w:r>
            <w:r>
              <w:rPr>
                <w:rFonts w:hint="eastAsia" w:ascii="Times New Roman" w:hAnsi="Times New Roman" w:eastAsia="宋体" w:cs="Times New Roman"/>
                <w:b w:val="0"/>
                <w:bCs w:val="0"/>
                <w:i w:val="0"/>
                <w:iCs w:val="0"/>
                <w:color w:val="auto"/>
                <w:sz w:val="24"/>
                <w:highlight w:val="none"/>
                <w:lang w:val="en-US" w:eastAsia="zh-CN"/>
              </w:rPr>
              <w:t>检查工作总结报告</w:t>
            </w:r>
            <w:r>
              <w:rPr>
                <w:rFonts w:hint="eastAsia" w:cs="Times New Roman"/>
                <w:b w:val="0"/>
                <w:bCs w:val="0"/>
                <w:i w:val="0"/>
                <w:iCs w:val="0"/>
                <w:color w:val="auto"/>
                <w:sz w:val="24"/>
                <w:highlight w:val="none"/>
                <w:lang w:val="en-US" w:eastAsia="zh-CN"/>
              </w:rPr>
              <w:t>及检查问题汇总清单</w:t>
            </w:r>
            <w:r>
              <w:rPr>
                <w:rFonts w:hint="eastAsia" w:ascii="Times New Roman" w:hAnsi="Times New Roman" w:eastAsia="宋体" w:cs="Times New Roman"/>
                <w:b w:val="0"/>
                <w:bCs w:val="0"/>
                <w:i w:val="0"/>
                <w:iCs w:val="0"/>
                <w:color w:val="auto"/>
                <w:sz w:val="24"/>
                <w:highlight w:val="none"/>
                <w:lang w:val="en-US" w:eastAsia="zh-CN"/>
              </w:rPr>
              <w:t xml:space="preserve">。  </w:t>
            </w:r>
          </w:p>
          <w:p w14:paraId="7D30DE95">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 xml:space="preserve">（三）市级汇总层面（向市医保中心提交）：  </w:t>
            </w:r>
          </w:p>
          <w:p w14:paraId="6056E150">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1.</w:t>
            </w:r>
            <w:r>
              <w:rPr>
                <w:rFonts w:hint="eastAsia" w:cs="Times New Roman"/>
                <w:b w:val="0"/>
                <w:bCs w:val="0"/>
                <w:i w:val="0"/>
                <w:iCs w:val="0"/>
                <w:color w:val="auto"/>
                <w:sz w:val="24"/>
                <w:highlight w:val="none"/>
                <w:lang w:val="en-US" w:eastAsia="zh-CN"/>
              </w:rPr>
              <w:t>只开展年度考核评估的：</w:t>
            </w:r>
            <w:r>
              <w:rPr>
                <w:rFonts w:hint="eastAsia" w:ascii="Times New Roman" w:hAnsi="Times New Roman" w:eastAsia="宋体" w:cs="Times New Roman"/>
                <w:b w:val="0"/>
                <w:bCs w:val="0"/>
                <w:i w:val="0"/>
                <w:iCs w:val="0"/>
                <w:color w:val="auto"/>
                <w:sz w:val="24"/>
                <w:highlight w:val="none"/>
                <w:lang w:val="en-US" w:eastAsia="zh-CN"/>
              </w:rPr>
              <w:t>属地年度检查总报告及辖区</w:t>
            </w:r>
            <w:r>
              <w:rPr>
                <w:rFonts w:hint="eastAsia" w:cs="Times New Roman"/>
                <w:b w:val="0"/>
                <w:bCs w:val="0"/>
                <w:i w:val="0"/>
                <w:iCs w:val="0"/>
                <w:color w:val="auto"/>
                <w:sz w:val="24"/>
                <w:highlight w:val="none"/>
                <w:lang w:val="en-US" w:eastAsia="zh-CN"/>
              </w:rPr>
              <w:t>检查</w:t>
            </w:r>
            <w:r>
              <w:rPr>
                <w:rFonts w:hint="eastAsia" w:ascii="Times New Roman" w:hAnsi="Times New Roman" w:eastAsia="宋体" w:cs="Times New Roman"/>
                <w:b w:val="0"/>
                <w:bCs w:val="0"/>
                <w:i w:val="0"/>
                <w:iCs w:val="0"/>
                <w:color w:val="auto"/>
                <w:sz w:val="24"/>
                <w:highlight w:val="none"/>
                <w:lang w:val="en-US" w:eastAsia="zh-CN"/>
              </w:rPr>
              <w:t xml:space="preserve">问题汇总清单；  </w:t>
            </w:r>
          </w:p>
          <w:p w14:paraId="7C073A36">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2.</w:t>
            </w:r>
            <w:r>
              <w:rPr>
                <w:rFonts w:hint="eastAsia" w:cs="Times New Roman"/>
                <w:b w:val="0"/>
                <w:bCs w:val="0"/>
                <w:i w:val="0"/>
                <w:iCs w:val="0"/>
                <w:color w:val="auto"/>
                <w:sz w:val="24"/>
                <w:highlight w:val="none"/>
                <w:lang w:val="en-US" w:eastAsia="zh-CN"/>
              </w:rPr>
              <w:t>同时开展年度考核和日常全覆盖检查的：</w:t>
            </w:r>
            <w:r>
              <w:rPr>
                <w:rFonts w:hint="eastAsia" w:ascii="Times New Roman" w:hAnsi="Times New Roman" w:eastAsia="宋体" w:cs="Times New Roman"/>
                <w:b w:val="0"/>
                <w:bCs w:val="0"/>
                <w:i w:val="0"/>
                <w:iCs w:val="0"/>
                <w:color w:val="auto"/>
                <w:sz w:val="24"/>
                <w:highlight w:val="none"/>
                <w:lang w:val="en-US" w:eastAsia="zh-CN"/>
              </w:rPr>
              <w:t>属地年度检查总报告</w:t>
            </w:r>
            <w:r>
              <w:rPr>
                <w:rFonts w:hint="eastAsia" w:cs="Times New Roman"/>
                <w:b w:val="0"/>
                <w:bCs w:val="0"/>
                <w:i w:val="0"/>
                <w:iCs w:val="0"/>
                <w:color w:val="auto"/>
                <w:sz w:val="24"/>
                <w:highlight w:val="none"/>
                <w:lang w:val="en-US" w:eastAsia="zh-CN"/>
              </w:rPr>
              <w:t>、</w:t>
            </w:r>
            <w:r>
              <w:rPr>
                <w:rFonts w:hint="eastAsia" w:ascii="Times New Roman" w:hAnsi="Times New Roman" w:eastAsia="宋体" w:cs="Times New Roman"/>
                <w:b w:val="0"/>
                <w:bCs w:val="0"/>
                <w:i w:val="0"/>
                <w:iCs w:val="0"/>
                <w:color w:val="auto"/>
                <w:sz w:val="24"/>
                <w:highlight w:val="none"/>
                <w:lang w:val="en-US" w:eastAsia="zh-CN"/>
              </w:rPr>
              <w:t>日常全覆盖检查工作总结报告</w:t>
            </w:r>
            <w:r>
              <w:rPr>
                <w:rFonts w:hint="eastAsia" w:cs="Times New Roman"/>
                <w:b w:val="0"/>
                <w:bCs w:val="0"/>
                <w:i w:val="0"/>
                <w:iCs w:val="0"/>
                <w:color w:val="auto"/>
                <w:sz w:val="24"/>
                <w:highlight w:val="none"/>
                <w:lang w:val="en-US" w:eastAsia="zh-CN"/>
              </w:rPr>
              <w:t>及检查问题汇总清单</w:t>
            </w:r>
            <w:r>
              <w:rPr>
                <w:rFonts w:hint="eastAsia" w:ascii="Times New Roman" w:hAnsi="Times New Roman" w:eastAsia="宋体" w:cs="Times New Roman"/>
                <w:b w:val="0"/>
                <w:bCs w:val="0"/>
                <w:i w:val="0"/>
                <w:iCs w:val="0"/>
                <w:color w:val="auto"/>
                <w:sz w:val="24"/>
                <w:highlight w:val="none"/>
                <w:lang w:val="en-US" w:eastAsia="zh-CN"/>
              </w:rPr>
              <w:t xml:space="preserve">。   </w:t>
            </w:r>
          </w:p>
          <w:p w14:paraId="629FA2F6">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3. 武宣县、象州县、忻城县、金秀瑶族自治县汇总综合总报告及问题汇总清单。所有成果文件应于现场评估结束后10个工作日内提交至采购人指定地点，并确保电子版与纸质版内容一致。逾期未提交或提交材料不符合规范要求的，视为未按合同履约。</w:t>
            </w:r>
          </w:p>
          <w:p w14:paraId="450FEE5F">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hint="eastAsia" w:ascii="Times New Roman" w:hAnsi="Times New Roman" w:eastAsia="宋体" w:cs="Times New Roman"/>
                <w:b/>
                <w:bCs w:val="0"/>
                <w:i w:val="0"/>
                <w:iCs w:val="0"/>
                <w:color w:val="auto"/>
                <w:sz w:val="24"/>
                <w:highlight w:val="none"/>
                <w:lang w:val="en-US" w:eastAsia="zh-CN"/>
              </w:rPr>
            </w:pPr>
            <w:r>
              <w:rPr>
                <w:rFonts w:hint="default" w:ascii="Times New Roman" w:hAnsi="Times New Roman" w:eastAsia="宋体" w:cs="Times New Roman"/>
                <w:b/>
                <w:bCs w:val="0"/>
                <w:i w:val="0"/>
                <w:iCs w:val="0"/>
                <w:color w:val="auto"/>
                <w:sz w:val="24"/>
                <w:highlight w:val="none"/>
                <w:lang w:val="en-US" w:eastAsia="zh-CN"/>
              </w:rPr>
              <w:t>七、成果验收</w:t>
            </w:r>
          </w:p>
          <w:p w14:paraId="5BE6DDE5">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default" w:ascii="Times New Roman" w:hAnsi="Times New Roman" w:eastAsia="宋体" w:cs="Times New Roman"/>
                <w:b w:val="0"/>
                <w:bCs w:val="0"/>
                <w:i w:val="0"/>
                <w:iCs w:val="0"/>
                <w:color w:val="auto"/>
                <w:sz w:val="24"/>
                <w:highlight w:val="none"/>
                <w:lang w:val="en-US" w:eastAsia="zh-CN"/>
              </w:rPr>
              <w:t>各县（市、区）医保部门负责对本辖区成果资料进行验收，出具书面验收意见并报送市医保中心备案；市医保中心仅对各县（市、区）报送的验收结果进行核验确认，不再另行组织市级验收。验收不合格的，供应商须在收到整改通知后5个工作日内完成修正并重新提交，直至验收合格。最终验收结果作为合同尾款支付依据。</w:t>
            </w:r>
          </w:p>
          <w:p w14:paraId="6884B16A">
            <w:pPr>
              <w:pStyle w:val="6"/>
              <w:keepNext w:val="0"/>
              <w:keepLines w:val="0"/>
              <w:pageBreakBefore w:val="0"/>
              <w:numPr>
                <w:ilvl w:val="0"/>
                <w:numId w:val="0"/>
              </w:numPr>
              <w:tabs>
                <w:tab w:val="left" w:pos="963"/>
              </w:tabs>
              <w:kinsoku/>
              <w:wordWrap/>
              <w:overflowPunct/>
              <w:topLinePunct w:val="0"/>
              <w:autoSpaceDE/>
              <w:autoSpaceDN/>
              <w:bidi w:val="0"/>
              <w:spacing w:beforeAutospacing="0" w:after="0" w:afterAutospacing="0" w:line="400" w:lineRule="exact"/>
              <w:ind w:left="0" w:leftChars="0" w:firstLine="482" w:firstLineChars="200"/>
              <w:rPr>
                <w:rFonts w:hint="eastAsia" w:ascii="Times New Roman" w:hAnsi="Times New Roman" w:eastAsia="宋体" w:cs="Times New Roman"/>
                <w:b/>
                <w:bCs w:val="0"/>
                <w:i w:val="0"/>
                <w:iCs w:val="0"/>
                <w:color w:val="auto"/>
                <w:sz w:val="24"/>
                <w:highlight w:val="none"/>
                <w:lang w:val="en-US" w:eastAsia="zh-CN"/>
              </w:rPr>
            </w:pPr>
            <w:r>
              <w:rPr>
                <w:rFonts w:hint="eastAsia" w:ascii="Times New Roman" w:hAnsi="Times New Roman" w:eastAsia="宋体" w:cs="Times New Roman"/>
                <w:b/>
                <w:bCs w:val="0"/>
                <w:i w:val="0"/>
                <w:iCs w:val="0"/>
                <w:color w:val="auto"/>
                <w:sz w:val="24"/>
                <w:highlight w:val="none"/>
                <w:lang w:val="en-US" w:eastAsia="zh-CN"/>
              </w:rPr>
              <w:t>八、审查作业规范</w:t>
            </w:r>
          </w:p>
          <w:p w14:paraId="026ACC05">
            <w:pPr>
              <w:pStyle w:val="2"/>
              <w:keepNext w:val="0"/>
              <w:keepLines w:val="0"/>
              <w:pageBreakBefore w:val="0"/>
              <w:numPr>
                <w:ilvl w:val="0"/>
                <w:numId w:val="7"/>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eastAsia="宋体"/>
                <w:b w:val="0"/>
                <w:bCs w:val="0"/>
                <w:i w:val="0"/>
                <w:iCs w:val="0"/>
                <w:color w:val="auto"/>
                <w:sz w:val="24"/>
                <w:highlight w:val="none"/>
              </w:rPr>
            </w:pPr>
            <w:r>
              <w:rPr>
                <w:rFonts w:ascii="Times New Roman" w:hAnsi="Times New Roman" w:eastAsia="宋体" w:cs="Times New Roman"/>
                <w:b w:val="0"/>
                <w:bCs w:val="0"/>
                <w:i w:val="0"/>
                <w:iCs w:val="0"/>
                <w:color w:val="auto"/>
                <w:sz w:val="24"/>
                <w:highlight w:val="none"/>
              </w:rPr>
              <w:t>严格按照“具体检查内容”完成对被检机构的核查。</w:t>
            </w:r>
          </w:p>
          <w:p w14:paraId="6DECF34B">
            <w:pPr>
              <w:pStyle w:val="2"/>
              <w:keepNext w:val="0"/>
              <w:keepLines w:val="0"/>
              <w:pageBreakBefore w:val="0"/>
              <w:numPr>
                <w:ilvl w:val="0"/>
                <w:numId w:val="7"/>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eastAsia="宋体"/>
                <w:b w:val="0"/>
                <w:bCs w:val="0"/>
                <w:i w:val="0"/>
                <w:iCs w:val="0"/>
                <w:color w:val="auto"/>
                <w:sz w:val="24"/>
                <w:highlight w:val="none"/>
              </w:rPr>
            </w:pPr>
            <w:r>
              <w:rPr>
                <w:rFonts w:hint="eastAsia" w:ascii="Times New Roman" w:hAnsi="Times New Roman" w:eastAsia="宋体" w:cs="Times New Roman"/>
                <w:b w:val="0"/>
                <w:bCs w:val="0"/>
                <w:i w:val="0"/>
                <w:iCs w:val="0"/>
                <w:color w:val="auto"/>
                <w:sz w:val="24"/>
                <w:highlight w:val="none"/>
                <w:lang w:eastAsia="zh-CN"/>
              </w:rPr>
              <w:t>药品和耗材的盘存审查数量原则上均不少于</w:t>
            </w:r>
            <w:r>
              <w:rPr>
                <w:rFonts w:hint="eastAsia" w:cs="Times New Roman"/>
                <w:b w:val="0"/>
                <w:bCs w:val="0"/>
                <w:i w:val="0"/>
                <w:iCs w:val="0"/>
                <w:color w:val="auto"/>
                <w:sz w:val="24"/>
                <w:highlight w:val="none"/>
                <w:lang w:val="en-US" w:eastAsia="zh-CN"/>
              </w:rPr>
              <w:t>5</w:t>
            </w:r>
            <w:r>
              <w:rPr>
                <w:rFonts w:hint="eastAsia" w:ascii="Times New Roman" w:hAnsi="Times New Roman" w:eastAsia="宋体" w:cs="Times New Roman"/>
                <w:b w:val="0"/>
                <w:bCs w:val="0"/>
                <w:i w:val="0"/>
                <w:iCs w:val="0"/>
                <w:color w:val="auto"/>
                <w:sz w:val="24"/>
                <w:highlight w:val="none"/>
                <w:lang w:eastAsia="zh-CN"/>
              </w:rPr>
              <w:t>个。</w:t>
            </w:r>
          </w:p>
          <w:p w14:paraId="10075AE6">
            <w:pPr>
              <w:pStyle w:val="2"/>
              <w:keepNext w:val="0"/>
              <w:keepLines w:val="0"/>
              <w:pageBreakBefore w:val="0"/>
              <w:numPr>
                <w:ilvl w:val="0"/>
                <w:numId w:val="7"/>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hint="eastAsia" w:ascii="宋体" w:hAnsi="宋体" w:eastAsia="宋体" w:cs="宋体"/>
                <w:i w:val="0"/>
                <w:iCs w:val="0"/>
                <w:color w:val="auto"/>
                <w:sz w:val="24"/>
                <w:szCs w:val="24"/>
                <w:highlight w:val="none"/>
                <w:u w:val="none"/>
              </w:rPr>
            </w:pPr>
            <w:r>
              <w:rPr>
                <w:rFonts w:ascii="Times New Roman" w:hAnsi="Times New Roman" w:eastAsia="宋体" w:cs="Times New Roman"/>
                <w:b w:val="0"/>
                <w:bCs w:val="0"/>
                <w:i w:val="0"/>
                <w:iCs w:val="0"/>
                <w:color w:val="auto"/>
                <w:sz w:val="24"/>
                <w:highlight w:val="none"/>
                <w:u w:val="none"/>
              </w:rPr>
              <w:t>重点检查领域：</w:t>
            </w:r>
            <w:r>
              <w:rPr>
                <w:rFonts w:hint="eastAsia" w:cs="Times New Roman"/>
                <w:b w:val="0"/>
                <w:bCs w:val="0"/>
                <w:i w:val="0"/>
                <w:iCs w:val="0"/>
                <w:color w:val="auto"/>
                <w:sz w:val="24"/>
                <w:highlight w:val="none"/>
                <w:u w:val="none"/>
                <w:lang w:val="en-US" w:eastAsia="zh-CN"/>
              </w:rPr>
              <w:t>是否存在违反协议约定的诊疗服务行为，如超范围执业、超量开药、分解处方、串换项目等；是否按规定上传真实、完整的结算数据和电子病历信息；是否落实实名就医管理要求，核验参保人身份与就诊信息的一致性；是否规范执行医保目录及支付标准，杜绝将自费项目违规纳入医保报销；以及是否建立健全内部医保管理制度，配备专（兼）职医保管理人员并有效履行协议义务。所有核查应以医保服务协议条款为依据，确保机构履约行为合法合规。</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395F">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其他未列明行业</w:t>
            </w:r>
          </w:p>
        </w:tc>
      </w:tr>
    </w:tbl>
    <w:p w14:paraId="466F0C08">
      <w:pPr>
        <w:keepNext w:val="0"/>
        <w:keepLines w:val="0"/>
        <w:pageBreakBefore w:val="0"/>
        <w:kinsoku/>
        <w:wordWrap/>
        <w:overflowPunct/>
        <w:topLinePunct w:val="0"/>
        <w:autoSpaceDE/>
        <w:autoSpaceDN/>
        <w:bidi w:val="0"/>
        <w:spacing w:beforeAutospacing="0" w:afterAutospacing="0" w:line="400" w:lineRule="exact"/>
        <w:ind w:firstLine="420" w:firstLineChars="200"/>
        <w:rPr>
          <w:i w:val="0"/>
          <w:iCs w:val="0"/>
          <w:color w:val="auto"/>
          <w:highlight w:val="none"/>
        </w:rPr>
      </w:pPr>
    </w:p>
    <w:p w14:paraId="6E32E18F">
      <w:pPr>
        <w:keepNext w:val="0"/>
        <w:keepLines w:val="0"/>
        <w:pageBreakBefore w:val="0"/>
        <w:kinsoku/>
        <w:wordWrap/>
        <w:overflowPunct/>
        <w:topLinePunct w:val="0"/>
        <w:autoSpaceDE/>
        <w:autoSpaceDN/>
        <w:bidi w:val="0"/>
        <w:spacing w:beforeAutospacing="0" w:afterAutospacing="0" w:line="400" w:lineRule="exact"/>
        <w:ind w:firstLine="420" w:firstLineChars="200"/>
        <w:rPr>
          <w:i w:val="0"/>
          <w:iCs w:val="0"/>
          <w:color w:val="auto"/>
          <w:highlight w:val="none"/>
        </w:rPr>
      </w:pPr>
    </w:p>
    <w:p w14:paraId="33D62062">
      <w:pPr>
        <w:keepNext w:val="0"/>
        <w:keepLines w:val="0"/>
        <w:pageBreakBefore w:val="0"/>
        <w:kinsoku/>
        <w:wordWrap/>
        <w:overflowPunct/>
        <w:topLinePunct w:val="0"/>
        <w:autoSpaceDE/>
        <w:autoSpaceDN/>
        <w:bidi w:val="0"/>
        <w:spacing w:beforeAutospacing="0" w:afterAutospacing="0" w:line="400" w:lineRule="exact"/>
        <w:ind w:firstLine="420" w:firstLineChars="200"/>
        <w:rPr>
          <w:i w:val="0"/>
          <w:iCs w:val="0"/>
          <w:color w:val="auto"/>
          <w:highlight w:val="none"/>
        </w:rPr>
      </w:pPr>
      <w:r>
        <w:rPr>
          <w:i w:val="0"/>
          <w:iCs w:val="0"/>
          <w:color w:val="auto"/>
          <w:highlight w:val="none"/>
        </w:rPr>
        <w:br w:type="page"/>
      </w:r>
    </w:p>
    <w:tbl>
      <w:tblPr>
        <w:tblStyle w:val="36"/>
        <w:tblW w:w="965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4"/>
        <w:gridCol w:w="752"/>
        <w:gridCol w:w="7004"/>
        <w:gridCol w:w="699"/>
      </w:tblGrid>
      <w:tr w14:paraId="08F5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9579" w:type="dxa"/>
            <w:gridSpan w:val="4"/>
            <w:shd w:val="clear" w:color="auto" w:fill="auto"/>
            <w:vAlign w:val="center"/>
          </w:tcPr>
          <w:p w14:paraId="56F95E31">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i w:val="0"/>
                <w:iCs w:val="0"/>
                <w:color w:val="auto"/>
                <w:kern w:val="0"/>
                <w:sz w:val="24"/>
                <w:szCs w:val="24"/>
                <w:highlight w:val="none"/>
                <w:u w:val="none"/>
                <w:lang w:val="en-US" w:eastAsia="zh-CN" w:bidi="ar"/>
              </w:rPr>
              <w:t>分标2，采购预算为柒拾陆万伍仟元整（¥765000.00）</w:t>
            </w:r>
          </w:p>
        </w:tc>
      </w:tr>
      <w:tr w14:paraId="0406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1124" w:type="dxa"/>
            <w:shd w:val="clear" w:color="auto" w:fill="auto"/>
            <w:vAlign w:val="center"/>
          </w:tcPr>
          <w:p w14:paraId="4CB0B956">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标的名称</w:t>
            </w:r>
          </w:p>
        </w:tc>
        <w:tc>
          <w:tcPr>
            <w:tcW w:w="752" w:type="dxa"/>
            <w:shd w:val="clear" w:color="auto" w:fill="auto"/>
            <w:vAlign w:val="center"/>
          </w:tcPr>
          <w:p w14:paraId="2FB823DF">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数量及单位</w:t>
            </w:r>
          </w:p>
        </w:tc>
        <w:tc>
          <w:tcPr>
            <w:tcW w:w="7004" w:type="dxa"/>
            <w:shd w:val="clear" w:color="auto" w:fill="auto"/>
            <w:vAlign w:val="center"/>
          </w:tcPr>
          <w:p w14:paraId="78C57BA7">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服务内容及要求</w:t>
            </w:r>
          </w:p>
        </w:tc>
        <w:tc>
          <w:tcPr>
            <w:tcW w:w="699" w:type="dxa"/>
            <w:shd w:val="clear" w:color="auto" w:fill="auto"/>
            <w:noWrap/>
            <w:vAlign w:val="center"/>
          </w:tcPr>
          <w:p w14:paraId="3B4B1FF9">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所属行业</w:t>
            </w:r>
          </w:p>
        </w:tc>
      </w:tr>
      <w:tr w14:paraId="4790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 w:hRule="atLeast"/>
        </w:trPr>
        <w:tc>
          <w:tcPr>
            <w:tcW w:w="1124" w:type="dxa"/>
            <w:shd w:val="clear" w:color="auto" w:fill="auto"/>
            <w:vAlign w:val="center"/>
          </w:tcPr>
          <w:p w14:paraId="2A921C97">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2026年医药机构年度考核与日常全覆盖检查服务分标2</w:t>
            </w:r>
          </w:p>
        </w:tc>
        <w:tc>
          <w:tcPr>
            <w:tcW w:w="752" w:type="dxa"/>
            <w:shd w:val="clear" w:color="auto" w:fill="auto"/>
            <w:noWrap/>
            <w:vAlign w:val="center"/>
          </w:tcPr>
          <w:p w14:paraId="752B2C22">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1项</w:t>
            </w:r>
          </w:p>
        </w:tc>
        <w:tc>
          <w:tcPr>
            <w:tcW w:w="7004" w:type="dxa"/>
            <w:shd w:val="clear" w:color="auto" w:fill="auto"/>
            <w:vAlign w:val="center"/>
          </w:tcPr>
          <w:p w14:paraId="58F8C91C">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项目背景</w:t>
            </w:r>
          </w:p>
          <w:p w14:paraId="28BF9E64">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为加强全市定点医药机构医保服务管理，规范医保服务行为，保障医保基金安全，依据《医疗机构医疗保障定点管理暂行办法》（国家医疗保障局令第2号）、《零售药店医疗保障定点管理暂行办法》（国家医疗保障局令第3号）及</w:t>
            </w:r>
            <w:r>
              <w:rPr>
                <w:rFonts w:hint="eastAsia" w:ascii="宋体" w:hAnsi="宋体" w:eastAsia="宋体" w:cs="宋体"/>
                <w:b w:val="0"/>
                <w:bCs w:val="0"/>
                <w:i w:val="0"/>
                <w:iCs w:val="0"/>
                <w:color w:val="auto"/>
                <w:sz w:val="24"/>
                <w:szCs w:val="24"/>
                <w:highlight w:val="none"/>
                <w:lang w:val="en-US" w:eastAsia="zh-CN"/>
              </w:rPr>
              <w:t>2026年</w:t>
            </w:r>
            <w:r>
              <w:rPr>
                <w:rFonts w:hint="eastAsia" w:ascii="宋体" w:hAnsi="宋体" w:eastAsia="宋体" w:cs="宋体"/>
                <w:b w:val="0"/>
                <w:bCs w:val="0"/>
                <w:i w:val="0"/>
                <w:iCs w:val="0"/>
                <w:color w:val="auto"/>
                <w:sz w:val="24"/>
                <w:szCs w:val="24"/>
                <w:highlight w:val="none"/>
              </w:rPr>
              <w:t>医保服务协议相关规定，拟引入第三方专业机构协助开展全市定点医药机构医保服务年度考核与日常全覆盖检查工作。本项目旨在通过专业化的核查与评估，提升监管效能，确保医保政策落地执行，维护参保人合法权益。</w:t>
            </w:r>
          </w:p>
          <w:p w14:paraId="04919AF1">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检查对象及数量</w:t>
            </w:r>
          </w:p>
          <w:p w14:paraId="104971C6">
            <w:pPr>
              <w:pStyle w:val="2"/>
              <w:keepNext w:val="0"/>
              <w:keepLines w:val="0"/>
              <w:pageBreakBefore w:val="0"/>
              <w:widowControl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检查对象：</w:t>
            </w:r>
            <w:r>
              <w:rPr>
                <w:rFonts w:hint="eastAsia" w:ascii="宋体" w:hAnsi="宋体" w:eastAsia="宋体" w:cs="宋体"/>
                <w:b w:val="0"/>
                <w:bCs w:val="0"/>
                <w:i w:val="0"/>
                <w:iCs w:val="0"/>
                <w:color w:val="auto"/>
                <w:sz w:val="24"/>
                <w:szCs w:val="24"/>
                <w:highlight w:val="none"/>
                <w:lang w:eastAsia="zh-CN"/>
              </w:rPr>
              <w:t>来宾市市本级、兴宾区、合山市</w:t>
            </w:r>
            <w:r>
              <w:rPr>
                <w:rFonts w:hint="eastAsia" w:ascii="宋体" w:hAnsi="宋体" w:eastAsia="宋体" w:cs="宋体"/>
                <w:b w:val="0"/>
                <w:bCs w:val="0"/>
                <w:i w:val="0"/>
                <w:iCs w:val="0"/>
                <w:color w:val="auto"/>
                <w:sz w:val="24"/>
                <w:szCs w:val="24"/>
                <w:highlight w:val="none"/>
              </w:rPr>
              <w:t>所有签订医保服务协议的定点医疗机构（含医院、社区卫生服务中心、诊所等）及定点零售药店。具体数量</w:t>
            </w:r>
            <w:r>
              <w:rPr>
                <w:rFonts w:hint="eastAsia" w:ascii="宋体" w:hAnsi="宋体" w:eastAsia="宋体" w:cs="宋体"/>
                <w:b w:val="0"/>
                <w:bCs w:val="0"/>
                <w:i w:val="0"/>
                <w:iCs w:val="0"/>
                <w:color w:val="auto"/>
                <w:sz w:val="24"/>
                <w:szCs w:val="24"/>
                <w:highlight w:val="none"/>
                <w:lang w:val="en-US" w:eastAsia="zh-CN"/>
              </w:rPr>
              <w:t>以采购人提供的实际数量为准</w:t>
            </w:r>
            <w:r>
              <w:rPr>
                <w:rFonts w:hint="eastAsia" w:ascii="宋体" w:hAnsi="宋体" w:eastAsia="宋体" w:cs="宋体"/>
                <w:b w:val="0"/>
                <w:bCs w:val="0"/>
                <w:i w:val="0"/>
                <w:iCs w:val="0"/>
                <w:color w:val="auto"/>
                <w:sz w:val="24"/>
                <w:szCs w:val="24"/>
                <w:highlight w:val="none"/>
              </w:rPr>
              <w:t>。</w:t>
            </w:r>
          </w:p>
          <w:p w14:paraId="2189F995">
            <w:pPr>
              <w:pStyle w:val="2"/>
              <w:keepNext w:val="0"/>
              <w:keepLines w:val="0"/>
              <w:pageBreakBefore w:val="0"/>
              <w:widowControl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rPr>
              <w:t>参考数量：</w:t>
            </w:r>
            <w:r>
              <w:rPr>
                <w:rFonts w:hint="eastAsia" w:ascii="宋体" w:hAnsi="宋体" w:eastAsia="宋体" w:cs="宋体"/>
                <w:b w:val="0"/>
                <w:bCs w:val="0"/>
                <w:i w:val="0"/>
                <w:iCs w:val="0"/>
                <w:color w:val="auto"/>
                <w:sz w:val="24"/>
                <w:szCs w:val="24"/>
                <w:highlight w:val="none"/>
                <w:lang w:eastAsia="zh-CN"/>
              </w:rPr>
              <w:t>截至</w:t>
            </w:r>
            <w:r>
              <w:rPr>
                <w:rFonts w:hint="eastAsia" w:ascii="宋体" w:hAnsi="宋体" w:eastAsia="宋体" w:cs="宋体"/>
                <w:b w:val="0"/>
                <w:bCs w:val="0"/>
                <w:i w:val="0"/>
                <w:iCs w:val="0"/>
                <w:color w:val="auto"/>
                <w:sz w:val="24"/>
                <w:szCs w:val="24"/>
                <w:highlight w:val="none"/>
              </w:rPr>
              <w:t>2026年8月5日，上述</w:t>
            </w:r>
            <w:r>
              <w:rPr>
                <w:rFonts w:hint="eastAsia" w:ascii="宋体" w:hAnsi="宋体" w:eastAsia="宋体" w:cs="宋体"/>
                <w:b w:val="0"/>
                <w:bCs w:val="0"/>
                <w:i w:val="0"/>
                <w:iCs w:val="0"/>
                <w:color w:val="auto"/>
                <w:sz w:val="24"/>
                <w:szCs w:val="24"/>
                <w:highlight w:val="none"/>
                <w:lang w:eastAsia="zh-CN"/>
              </w:rPr>
              <w:t>市本级及两个县（市、区）：三级定点医疗机构</w:t>
            </w:r>
            <w:r>
              <w:rPr>
                <w:rFonts w:hint="eastAsia" w:ascii="宋体" w:hAnsi="宋体" w:eastAsia="宋体" w:cs="宋体"/>
                <w:b w:val="0"/>
                <w:bCs w:val="0"/>
                <w:i w:val="0"/>
                <w:iCs w:val="0"/>
                <w:color w:val="auto"/>
                <w:sz w:val="24"/>
                <w:szCs w:val="24"/>
                <w:highlight w:val="none"/>
                <w:lang w:val="en-US" w:eastAsia="zh-CN"/>
              </w:rPr>
              <w:t>3家；</w:t>
            </w:r>
            <w:r>
              <w:rPr>
                <w:rFonts w:hint="eastAsia" w:ascii="宋体" w:hAnsi="宋体" w:eastAsia="宋体" w:cs="宋体"/>
                <w:b w:val="0"/>
                <w:bCs w:val="0"/>
                <w:i w:val="0"/>
                <w:iCs w:val="0"/>
                <w:color w:val="auto"/>
                <w:sz w:val="24"/>
                <w:szCs w:val="24"/>
                <w:highlight w:val="none"/>
              </w:rPr>
              <w:t>二级定点医疗机构</w:t>
            </w:r>
            <w:r>
              <w:rPr>
                <w:rFonts w:hint="eastAsia" w:ascii="宋体" w:hAnsi="宋体" w:eastAsia="宋体" w:cs="宋体"/>
                <w:b w:val="0"/>
                <w:bCs w:val="0"/>
                <w:i w:val="0"/>
                <w:iCs w:val="0"/>
                <w:color w:val="auto"/>
                <w:sz w:val="24"/>
                <w:szCs w:val="24"/>
                <w:highlight w:val="none"/>
                <w:lang w:val="en-US" w:eastAsia="zh-CN"/>
              </w:rPr>
              <w:t>13</w:t>
            </w:r>
            <w:r>
              <w:rPr>
                <w:rFonts w:hint="eastAsia" w:ascii="宋体" w:hAnsi="宋体" w:eastAsia="宋体" w:cs="宋体"/>
                <w:b w:val="0"/>
                <w:bCs w:val="0"/>
                <w:i w:val="0"/>
                <w:iCs w:val="0"/>
                <w:color w:val="auto"/>
                <w:sz w:val="24"/>
                <w:szCs w:val="24"/>
                <w:highlight w:val="none"/>
              </w:rPr>
              <w:t>家</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一级及以下定点医疗机构</w:t>
            </w:r>
            <w:r>
              <w:rPr>
                <w:rFonts w:hint="eastAsia" w:ascii="宋体" w:hAnsi="宋体" w:eastAsia="宋体" w:cs="宋体"/>
                <w:b w:val="0"/>
                <w:bCs w:val="0"/>
                <w:i w:val="0"/>
                <w:iCs w:val="0"/>
                <w:color w:val="auto"/>
                <w:sz w:val="24"/>
                <w:szCs w:val="24"/>
                <w:highlight w:val="none"/>
                <w:lang w:val="en-US" w:eastAsia="zh-CN"/>
              </w:rPr>
              <w:t>51</w:t>
            </w:r>
            <w:r>
              <w:rPr>
                <w:rFonts w:hint="eastAsia" w:ascii="宋体" w:hAnsi="宋体" w:eastAsia="宋体" w:cs="宋体"/>
                <w:b w:val="0"/>
                <w:bCs w:val="0"/>
                <w:i w:val="0"/>
                <w:iCs w:val="0"/>
                <w:color w:val="auto"/>
                <w:sz w:val="24"/>
                <w:szCs w:val="24"/>
                <w:highlight w:val="none"/>
              </w:rPr>
              <w:t>家</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定点零售药店</w:t>
            </w:r>
            <w:r>
              <w:rPr>
                <w:rFonts w:hint="eastAsia" w:ascii="宋体" w:hAnsi="宋体" w:eastAsia="宋体" w:cs="宋体"/>
                <w:b w:val="0"/>
                <w:bCs w:val="0"/>
                <w:i w:val="0"/>
                <w:iCs w:val="0"/>
                <w:color w:val="auto"/>
                <w:sz w:val="24"/>
                <w:szCs w:val="24"/>
                <w:highlight w:val="none"/>
                <w:lang w:val="en-US" w:eastAsia="zh-CN"/>
              </w:rPr>
              <w:t>287</w:t>
            </w:r>
            <w:r>
              <w:rPr>
                <w:rFonts w:hint="eastAsia" w:ascii="宋体" w:hAnsi="宋体" w:eastAsia="宋体" w:cs="宋体"/>
                <w:b w:val="0"/>
                <w:bCs w:val="0"/>
                <w:i w:val="0"/>
                <w:iCs w:val="0"/>
                <w:color w:val="auto"/>
                <w:sz w:val="24"/>
                <w:szCs w:val="24"/>
                <w:highlight w:val="none"/>
              </w:rPr>
              <w:t>家。</w:t>
            </w:r>
          </w:p>
          <w:p w14:paraId="3A862C3B">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具体服务内容</w:t>
            </w:r>
          </w:p>
          <w:p w14:paraId="3595DFE9">
            <w:pPr>
              <w:pStyle w:val="7"/>
              <w:keepNext w:val="0"/>
              <w:keepLines w:val="0"/>
              <w:pageBreakBefore w:val="0"/>
              <w:widowControl w:val="0"/>
              <w:numPr>
                <w:ilvl w:val="0"/>
                <w:numId w:val="0"/>
              </w:numPr>
              <w:tabs>
                <w:tab w:val="left" w:pos="780"/>
              </w:tabs>
              <w:kinsoku/>
              <w:wordWrap/>
              <w:overflowPunct/>
              <w:topLinePunct w:val="0"/>
              <w:autoSpaceDE/>
              <w:autoSpaceDN/>
              <w:bidi w:val="0"/>
              <w:spacing w:beforeAutospacing="0" w:afterAutospacing="0" w:line="400" w:lineRule="exact"/>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2026年定点医药机构年度考核评估工作</w:t>
            </w:r>
          </w:p>
          <w:p w14:paraId="04B21C46">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依据采购人制定的年度绩效考核评价标准，</w:t>
            </w:r>
            <w:r>
              <w:rPr>
                <w:rFonts w:hint="eastAsia" w:ascii="宋体" w:hAnsi="宋体" w:eastAsia="宋体" w:cs="宋体"/>
                <w:i w:val="0"/>
                <w:iCs w:val="0"/>
                <w:color w:val="auto"/>
                <w:sz w:val="24"/>
                <w:szCs w:val="24"/>
                <w:highlight w:val="none"/>
                <w:lang w:val="en-US" w:eastAsia="zh-CN"/>
              </w:rPr>
              <w:t>供应商应使用具备自主知识产权或合法授权的成熟医保基金监管信息技术系统</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lang w:val="en-US" w:eastAsia="zh-CN"/>
              </w:rPr>
              <w:t>编写筛查规则，</w:t>
            </w:r>
            <w:r>
              <w:rPr>
                <w:rFonts w:hint="eastAsia" w:ascii="宋体" w:hAnsi="宋体" w:eastAsia="宋体" w:cs="宋体"/>
                <w:i w:val="0"/>
                <w:iCs w:val="0"/>
                <w:color w:val="auto"/>
                <w:sz w:val="24"/>
                <w:szCs w:val="24"/>
                <w:highlight w:val="none"/>
              </w:rPr>
              <w:t>对定点医药机构医保政策</w:t>
            </w:r>
            <w:r>
              <w:rPr>
                <w:rFonts w:hint="eastAsia" w:ascii="宋体" w:hAnsi="宋体" w:eastAsia="宋体" w:cs="宋体"/>
                <w:i w:val="0"/>
                <w:iCs w:val="0"/>
                <w:color w:val="auto"/>
                <w:sz w:val="24"/>
                <w:szCs w:val="24"/>
                <w:highlight w:val="none"/>
                <w:lang w:eastAsia="zh-CN"/>
              </w:rPr>
              <w:t>执行</w:t>
            </w:r>
            <w:r>
              <w:rPr>
                <w:rFonts w:hint="eastAsia" w:ascii="宋体" w:hAnsi="宋体" w:eastAsia="宋体" w:cs="宋体"/>
                <w:i w:val="0"/>
                <w:iCs w:val="0"/>
                <w:color w:val="auto"/>
                <w:sz w:val="24"/>
                <w:szCs w:val="24"/>
                <w:highlight w:val="none"/>
              </w:rPr>
              <w:t>、服务协议</w:t>
            </w:r>
            <w:r>
              <w:rPr>
                <w:rFonts w:hint="eastAsia" w:ascii="宋体" w:hAnsi="宋体" w:eastAsia="宋体" w:cs="宋体"/>
                <w:i w:val="0"/>
                <w:iCs w:val="0"/>
                <w:color w:val="auto"/>
                <w:sz w:val="24"/>
                <w:szCs w:val="24"/>
                <w:highlight w:val="none"/>
                <w:lang w:eastAsia="zh-CN"/>
              </w:rPr>
              <w:t>履行</w:t>
            </w:r>
            <w:r>
              <w:rPr>
                <w:rFonts w:hint="eastAsia" w:ascii="宋体" w:hAnsi="宋体" w:eastAsia="宋体" w:cs="宋体"/>
                <w:i w:val="0"/>
                <w:iCs w:val="0"/>
                <w:color w:val="auto"/>
                <w:sz w:val="24"/>
                <w:szCs w:val="24"/>
                <w:highlight w:val="none"/>
              </w:rPr>
              <w:t>、内部管理、信息系统建设及结算指标等情况进行综合考核，完成考核指标评分</w:t>
            </w:r>
            <w:r>
              <w:rPr>
                <w:rFonts w:hint="eastAsia" w:ascii="宋体" w:hAnsi="宋体" w:eastAsia="宋体" w:cs="宋体"/>
                <w:i w:val="0"/>
                <w:iCs w:val="0"/>
                <w:color w:val="auto"/>
                <w:sz w:val="24"/>
                <w:szCs w:val="24"/>
                <w:highlight w:val="none"/>
                <w:lang w:eastAsia="zh-CN"/>
              </w:rPr>
              <w:t>并填写年度考核表</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eastAsia="zh-CN"/>
              </w:rPr>
              <w:t>按县域</w:t>
            </w:r>
            <w:r>
              <w:rPr>
                <w:rFonts w:hint="eastAsia" w:ascii="宋体" w:hAnsi="宋体" w:eastAsia="宋体" w:cs="宋体"/>
                <w:i w:val="0"/>
                <w:iCs w:val="0"/>
                <w:color w:val="auto"/>
                <w:sz w:val="24"/>
                <w:szCs w:val="24"/>
                <w:highlight w:val="none"/>
              </w:rPr>
              <w:t>汇总统计考核结果</w:t>
            </w:r>
            <w:r>
              <w:rPr>
                <w:rFonts w:hint="eastAsia" w:ascii="宋体" w:hAnsi="宋体" w:eastAsia="宋体" w:cs="宋体"/>
                <w:i w:val="0"/>
                <w:iCs w:val="0"/>
                <w:color w:val="auto"/>
                <w:sz w:val="24"/>
                <w:szCs w:val="24"/>
                <w:highlight w:val="none"/>
                <w:lang w:eastAsia="zh-CN"/>
              </w:rPr>
              <w:t>和</w:t>
            </w:r>
            <w:r>
              <w:rPr>
                <w:rFonts w:hint="eastAsia" w:ascii="宋体" w:hAnsi="宋体" w:eastAsia="宋体" w:cs="宋体"/>
                <w:i w:val="0"/>
                <w:iCs w:val="0"/>
                <w:color w:val="auto"/>
                <w:sz w:val="24"/>
                <w:szCs w:val="24"/>
                <w:highlight w:val="none"/>
              </w:rPr>
              <w:t>问题清单，出具相应的年度考核报告。</w:t>
            </w:r>
          </w:p>
          <w:p w14:paraId="71B33752">
            <w:pPr>
              <w:pStyle w:val="7"/>
              <w:keepNext w:val="0"/>
              <w:keepLines w:val="0"/>
              <w:pageBreakBefore w:val="0"/>
              <w:numPr>
                <w:ilvl w:val="0"/>
                <w:numId w:val="0"/>
              </w:numPr>
              <w:tabs>
                <w:tab w:val="left" w:pos="780"/>
              </w:tabs>
              <w:kinsoku/>
              <w:wordWrap/>
              <w:overflowPunct/>
              <w:topLinePunct w:val="0"/>
              <w:autoSpaceDE/>
              <w:autoSpaceDN/>
              <w:bidi w:val="0"/>
              <w:spacing w:beforeAutospacing="0" w:afterAutospacing="0" w:line="400" w:lineRule="exact"/>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rPr>
              <w:t>日常全覆盖检查工作</w:t>
            </w:r>
          </w:p>
          <w:p w14:paraId="71ED42FE">
            <w:pPr>
              <w:snapToGrid w:val="0"/>
              <w:spacing w:line="360" w:lineRule="exact"/>
              <w:ind w:firstLine="480" w:firstLineChars="200"/>
              <w:jc w:val="left"/>
              <w:rPr>
                <w:rFonts w:hint="eastAsia" w:ascii="宋体" w:hAnsi="宋体" w:eastAsia="宋体" w:cs="宋体"/>
                <w:i w:val="0"/>
                <w:iCs w:val="0"/>
                <w:color w:val="auto"/>
                <w:sz w:val="24"/>
                <w:szCs w:val="24"/>
                <w:highlight w:val="none"/>
              </w:rPr>
            </w:pPr>
            <w:r>
              <w:rPr>
                <w:rFonts w:hint="eastAsia" w:ascii="宋体" w:hAnsi="宋体" w:eastAsia="宋体" w:cs="宋体"/>
                <w:b w:val="0"/>
                <w:bCs w:val="0"/>
                <w:i w:val="0"/>
                <w:iCs w:val="0"/>
                <w:color w:val="auto"/>
                <w:kern w:val="2"/>
                <w:sz w:val="24"/>
                <w:szCs w:val="24"/>
                <w:highlight w:val="none"/>
                <w:lang w:val="en-US" w:eastAsia="zh-CN" w:bidi="ar-SA"/>
              </w:rPr>
              <w:t>依据采购人提供的全覆盖检查名单，对每家机构医保刷卡记录、进销存管理、在岗执业资格、医保政策宣传等事项开展全覆盖检查；同时结合医保大数据分析、费用审核发现的异常数据（如频繁刷卡、大额刷卡等异常情形），核查是否存在违反诊疗规范过度检查、过度诊疗、虚记收费、重复收费、超标准收费、超医保限制用药、分解收费、串换项目等违规行为。如实记录检查情况并留存佐证材料，每家机构单独形成问题清单和检查报告。</w:t>
            </w:r>
          </w:p>
          <w:p w14:paraId="40CBD312">
            <w:pPr>
              <w:pStyle w:val="7"/>
              <w:keepNext w:val="0"/>
              <w:keepLines w:val="0"/>
              <w:pageBreakBefore w:val="0"/>
              <w:numPr>
                <w:ilvl w:val="0"/>
                <w:numId w:val="0"/>
              </w:numPr>
              <w:tabs>
                <w:tab w:val="left" w:pos="780"/>
              </w:tabs>
              <w:kinsoku/>
              <w:wordWrap/>
              <w:overflowPunct/>
              <w:topLinePunct w:val="0"/>
              <w:autoSpaceDE/>
              <w:autoSpaceDN/>
              <w:bidi w:val="0"/>
              <w:spacing w:beforeAutospacing="0" w:afterAutospacing="0" w:line="400" w:lineRule="exact"/>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rPr>
              <w:t>检查内容和范围</w:t>
            </w:r>
          </w:p>
          <w:p w14:paraId="2A3A6EF9">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数据结算时间范围：2026年1月1日至2026年9月30日（可根据实际情况追溯检查以前年度或延伸至现场评估入场时间）的结算数据。</w:t>
            </w:r>
          </w:p>
          <w:p w14:paraId="0F77236E">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检查工作要求</w:t>
            </w:r>
          </w:p>
          <w:p w14:paraId="13D92FD3">
            <w:pPr>
              <w:pStyle w:val="7"/>
              <w:keepNext w:val="0"/>
              <w:keepLines w:val="0"/>
              <w:pageBreakBefore w:val="0"/>
              <w:numPr>
                <w:ilvl w:val="0"/>
                <w:numId w:val="0"/>
              </w:numPr>
              <w:tabs>
                <w:tab w:val="left" w:pos="780"/>
              </w:tabs>
              <w:kinsoku/>
              <w:wordWrap/>
              <w:overflowPunct/>
              <w:topLinePunct w:val="0"/>
              <w:autoSpaceDE/>
              <w:autoSpaceDN/>
              <w:bidi w:val="0"/>
              <w:spacing w:beforeAutospacing="0" w:afterAutospacing="0" w:line="400" w:lineRule="exact"/>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lang w:eastAsia="zh-CN"/>
              </w:rPr>
              <w:t>检查</w:t>
            </w:r>
            <w:r>
              <w:rPr>
                <w:rFonts w:hint="eastAsia" w:ascii="宋体" w:hAnsi="宋体" w:eastAsia="宋体" w:cs="宋体"/>
                <w:b w:val="0"/>
                <w:bCs w:val="0"/>
                <w:i w:val="0"/>
                <w:iCs w:val="0"/>
                <w:color w:val="auto"/>
                <w:sz w:val="24"/>
                <w:szCs w:val="24"/>
                <w:highlight w:val="none"/>
              </w:rPr>
              <w:t>时间与人员配置标准：</w:t>
            </w:r>
          </w:p>
          <w:p w14:paraId="2ABF04A6">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i w:val="0"/>
                <w:iCs w:val="0"/>
                <w:color w:val="auto"/>
                <w:sz w:val="24"/>
                <w:szCs w:val="24"/>
                <w:highlight w:val="none"/>
                <w:u w:val="none"/>
                <w:lang w:val="en-US" w:eastAsia="zh-CN" w:bidi="ar"/>
              </w:rPr>
            </w:pPr>
            <w:r>
              <w:rPr>
                <w:rFonts w:hint="eastAsia" w:ascii="宋体" w:hAnsi="宋体" w:eastAsia="宋体" w:cs="宋体"/>
                <w:b w:val="0"/>
                <w:bCs w:val="0"/>
                <w:i w:val="0"/>
                <w:iCs w:val="0"/>
                <w:color w:val="auto"/>
                <w:sz w:val="24"/>
                <w:szCs w:val="24"/>
                <w:highlight w:val="none"/>
              </w:rPr>
              <w:t>（</w:t>
            </w: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w:t>
            </w:r>
            <w:r>
              <w:rPr>
                <w:rFonts w:hint="eastAsia" w:ascii="宋体" w:hAnsi="宋体" w:eastAsia="宋体" w:cs="宋体"/>
                <w:i w:val="0"/>
                <w:iCs w:val="0"/>
                <w:color w:val="auto"/>
                <w:sz w:val="24"/>
                <w:szCs w:val="24"/>
                <w:highlight w:val="none"/>
                <w:u w:val="none"/>
                <w:lang w:val="en-US" w:eastAsia="zh-CN" w:bidi="ar"/>
              </w:rPr>
              <w:t>三级定点医疗机构：检查时间不少于2天，检查组人数不少于7人，其中须包含至少3名副高级及职称的临床专业人员、不少于1名病案编码人员、不少于1名信息技术人员以及不少于1名财务会计审核人员。</w:t>
            </w:r>
          </w:p>
          <w:p w14:paraId="647CCEE3">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u w:val="none"/>
                <w:lang w:val="en-US" w:eastAsia="zh-CN" w:bidi="ar"/>
              </w:rPr>
              <w:t>（2）</w:t>
            </w:r>
            <w:r>
              <w:rPr>
                <w:rFonts w:hint="eastAsia" w:ascii="宋体" w:hAnsi="宋体" w:eastAsia="宋体" w:cs="宋体"/>
                <w:b w:val="0"/>
                <w:bCs w:val="0"/>
                <w:i w:val="0"/>
                <w:iCs w:val="0"/>
                <w:color w:val="auto"/>
                <w:sz w:val="24"/>
                <w:szCs w:val="24"/>
                <w:highlight w:val="none"/>
                <w:lang w:eastAsia="zh-CN"/>
              </w:rPr>
              <w:t xml:space="preserve">二级定点医疗机构：检查时间不少于1天，检查组人数不少于6人，其中须包含至少2名具有副高级及职称的临床专业人员、至少1名病案编码人员、至少1名信息技术人员以及至少1名财务会计审核人员。  </w:t>
            </w:r>
          </w:p>
          <w:p w14:paraId="6CA285FA">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3）一级及未定级住院类定点医疗机构、血液透析中心：检查时间不少于0.5天，检查组人数不少于5人，其中须包含至少1名具有副高级及职称</w:t>
            </w:r>
            <w:r>
              <w:rPr>
                <w:rFonts w:hint="eastAsia" w:ascii="宋体" w:hAnsi="宋体" w:eastAsia="宋体" w:cs="宋体"/>
                <w:b w:val="0"/>
                <w:bCs w:val="0"/>
                <w:i w:val="0"/>
                <w:iCs w:val="0"/>
                <w:color w:val="auto"/>
                <w:sz w:val="24"/>
                <w:szCs w:val="24"/>
                <w:highlight w:val="none"/>
                <w:lang w:eastAsia="zh-CN"/>
              </w:rPr>
              <w:t xml:space="preserve">的临床专业人员、至少1名病案编码人员、至少1名信息技术人员以及至少1名财务会计审核人员。  </w:t>
            </w:r>
          </w:p>
          <w:p w14:paraId="1CBAB5BA">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4）非住院类定点医疗机构：检查时间不少于0.5天，检查组人数不少于4人，其中须包含至少1名具有副高级及职称</w:t>
            </w:r>
            <w:r>
              <w:rPr>
                <w:rFonts w:hint="eastAsia" w:ascii="宋体" w:hAnsi="宋体" w:eastAsia="宋体" w:cs="宋体"/>
                <w:b w:val="0"/>
                <w:bCs w:val="0"/>
                <w:i w:val="0"/>
                <w:iCs w:val="0"/>
                <w:color w:val="auto"/>
                <w:sz w:val="24"/>
                <w:szCs w:val="24"/>
                <w:highlight w:val="none"/>
                <w:lang w:eastAsia="zh-CN"/>
              </w:rPr>
              <w:t>的临床专业人员、至少1名信息技术人员以及至少1名财务会计审核人员。</w:t>
            </w:r>
          </w:p>
          <w:p w14:paraId="752403FA">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5）</w:t>
            </w:r>
            <w:r>
              <w:rPr>
                <w:rFonts w:hint="eastAsia" w:ascii="宋体" w:hAnsi="宋体" w:eastAsia="宋体" w:cs="宋体"/>
                <w:i w:val="0"/>
                <w:iCs w:val="0"/>
                <w:color w:val="auto"/>
                <w:sz w:val="24"/>
                <w:szCs w:val="24"/>
                <w:highlight w:val="none"/>
                <w:u w:val="none"/>
                <w:lang w:val="en-US" w:eastAsia="zh-CN" w:bidi="ar"/>
              </w:rPr>
              <w:t>检查定点零售药店的人员不少于2人，其中至少包含1名临床医学（或药学、护理）等医学相关专业人员；在检查门诊统筹及门诊特殊慢性病定点零售药店时，还需额外配备至少1名财务专业人员。</w:t>
            </w:r>
          </w:p>
          <w:p w14:paraId="6E51D0BF">
            <w:pPr>
              <w:pStyle w:val="2"/>
              <w:keepNext w:val="0"/>
              <w:keepLines w:val="0"/>
              <w:pageBreakBefore w:val="0"/>
              <w:widowControl w:val="0"/>
              <w:numPr>
                <w:ilvl w:val="0"/>
                <w:numId w:val="0"/>
              </w:numPr>
              <w:tabs>
                <w:tab w:val="left" w:pos="691"/>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6</w:t>
            </w:r>
            <w:r>
              <w:rPr>
                <w:rFonts w:hint="eastAsia" w:ascii="宋体" w:hAnsi="宋体" w:eastAsia="宋体" w:cs="宋体"/>
                <w:b w:val="0"/>
                <w:bCs w:val="0"/>
                <w:i w:val="0"/>
                <w:iCs w:val="0"/>
                <w:color w:val="auto"/>
                <w:sz w:val="24"/>
                <w:szCs w:val="24"/>
                <w:highlight w:val="none"/>
                <w:lang w:eastAsia="zh-CN"/>
              </w:rPr>
              <w:t>）专科要求：对设有康复医学科或精神科的定点医疗机构，须安排相应专业</w:t>
            </w:r>
            <w:r>
              <w:rPr>
                <w:rFonts w:hint="eastAsia" w:ascii="宋体" w:hAnsi="宋体" w:cs="宋体"/>
                <w:b w:val="0"/>
                <w:bCs w:val="0"/>
                <w:i w:val="0"/>
                <w:iCs w:val="0"/>
                <w:color w:val="auto"/>
                <w:sz w:val="24"/>
                <w:szCs w:val="24"/>
                <w:highlight w:val="none"/>
                <w:lang w:eastAsia="zh-CN"/>
              </w:rPr>
              <w:t>（康复医学科</w:t>
            </w:r>
            <w:r>
              <w:rPr>
                <w:rFonts w:hint="eastAsia" w:ascii="宋体" w:hAnsi="宋体" w:cs="宋体"/>
                <w:b w:val="0"/>
                <w:bCs w:val="0"/>
                <w:i w:val="0"/>
                <w:iCs w:val="0"/>
                <w:color w:val="auto"/>
                <w:sz w:val="24"/>
                <w:szCs w:val="24"/>
                <w:highlight w:val="none"/>
                <w:lang w:val="en-US" w:eastAsia="zh-CN"/>
              </w:rPr>
              <w:t>/精神科</w:t>
            </w:r>
            <w:r>
              <w:rPr>
                <w:rFonts w:hint="eastAsia" w:ascii="宋体" w:hAnsi="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eastAsia="zh-CN"/>
              </w:rPr>
              <w:t>的医学人员参与检查工作。</w:t>
            </w:r>
          </w:p>
          <w:p w14:paraId="4F5FA936">
            <w:pPr>
              <w:snapToGrid w:val="0"/>
              <w:spacing w:line="360" w:lineRule="exact"/>
              <w:ind w:firstLine="480" w:firstLineChars="200"/>
              <w:jc w:val="left"/>
              <w:rPr>
                <w:rFonts w:hint="eastAsia" w:ascii="宋体" w:hAnsi="宋体" w:eastAsia="宋体" w:cs="宋体"/>
                <w:i w:val="0"/>
                <w:iCs w:val="0"/>
                <w:color w:val="auto"/>
                <w:kern w:val="2"/>
                <w:sz w:val="24"/>
                <w:szCs w:val="24"/>
                <w:highlight w:val="none"/>
                <w:u w:val="none"/>
                <w:lang w:val="en-US" w:eastAsia="zh-CN" w:bidi="ar"/>
              </w:rPr>
            </w:pPr>
            <w:r>
              <w:rPr>
                <w:rFonts w:hint="eastAsia" w:ascii="宋体" w:hAnsi="宋体" w:eastAsia="宋体" w:cs="宋体"/>
                <w:i w:val="0"/>
                <w:iCs w:val="0"/>
                <w:color w:val="auto"/>
                <w:kern w:val="2"/>
                <w:sz w:val="24"/>
                <w:szCs w:val="24"/>
                <w:highlight w:val="none"/>
                <w:u w:val="none"/>
                <w:lang w:val="en-US" w:eastAsia="zh-CN" w:bidi="ar"/>
              </w:rPr>
              <w:t>在响应文件中提供上述人员的人员一览表、人员相关证书（毕业证书或学位证书或职称证书）复印件及有效期内的劳动合同复印件。所有人员应依法参加基本医疗保险，严格遵守采购人的保密、安全、工作纪律等各项要求。</w:t>
            </w:r>
          </w:p>
          <w:p w14:paraId="47442E8A">
            <w:pPr>
              <w:pStyle w:val="7"/>
              <w:keepNext w:val="0"/>
              <w:keepLines w:val="0"/>
              <w:pageBreakBefore w:val="0"/>
              <w:widowControl/>
              <w:numPr>
                <w:ilvl w:val="0"/>
                <w:numId w:val="0"/>
              </w:numPr>
              <w:tabs>
                <w:tab w:val="left" w:pos="780"/>
              </w:tabs>
              <w:kinsoku/>
              <w:wordWrap/>
              <w:overflowPunct/>
              <w:topLinePunct w:val="0"/>
              <w:autoSpaceDE/>
              <w:autoSpaceDN/>
              <w:bidi w:val="0"/>
              <w:spacing w:beforeAutospacing="0" w:afterAutospacing="0" w:line="400" w:lineRule="exact"/>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u w:val="none"/>
                <w:lang w:val="en-US" w:eastAsia="zh-CN"/>
              </w:rPr>
              <w:t>2.</w:t>
            </w:r>
            <w:r>
              <w:rPr>
                <w:rFonts w:hint="eastAsia" w:ascii="宋体" w:hAnsi="宋体" w:eastAsia="宋体" w:cs="宋体"/>
                <w:b w:val="0"/>
                <w:bCs w:val="0"/>
                <w:i w:val="0"/>
                <w:iCs w:val="0"/>
                <w:color w:val="auto"/>
                <w:sz w:val="24"/>
                <w:szCs w:val="24"/>
                <w:highlight w:val="none"/>
                <w:u w:val="none"/>
              </w:rPr>
              <w:t>报告出具规范：</w:t>
            </w:r>
          </w:p>
          <w:p w14:paraId="66C7813E">
            <w:pPr>
              <w:pStyle w:val="2"/>
              <w:keepNext w:val="0"/>
              <w:keepLines w:val="0"/>
              <w:pageBreakBefore w:val="0"/>
              <w:widowControl/>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 xml:space="preserve">（1）检查报告须准确、清晰、完整地记载检查的基本情况，并具体列明存在违法违规或违约行为所涉项目的名称、数量、金额等内容。问题表应逐条说明违规事实、所依据的相关政策条款、涉及金额以及处理建议，确保内容可追溯、可核查等。 </w:t>
            </w:r>
          </w:p>
          <w:p w14:paraId="0381E174">
            <w:pPr>
              <w:pStyle w:val="2"/>
              <w:keepNext w:val="0"/>
              <w:keepLines w:val="0"/>
              <w:pageBreakBefore w:val="0"/>
              <w:widowControl/>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检查过程中发现定点零售药店存在欺诈骗保情况的，须及时向</w:t>
            </w:r>
            <w:r>
              <w:rPr>
                <w:rFonts w:hint="eastAsia" w:ascii="宋体" w:hAnsi="宋体" w:eastAsia="宋体" w:cs="宋体"/>
                <w:b w:val="0"/>
                <w:bCs w:val="0"/>
                <w:i w:val="0"/>
                <w:iCs w:val="0"/>
                <w:color w:val="auto"/>
                <w:sz w:val="24"/>
                <w:szCs w:val="24"/>
                <w:highlight w:val="none"/>
                <w:lang w:eastAsia="zh-CN"/>
              </w:rPr>
              <w:t>采购人</w:t>
            </w:r>
            <w:r>
              <w:rPr>
                <w:rFonts w:hint="eastAsia" w:ascii="宋体" w:hAnsi="宋体" w:eastAsia="宋体" w:cs="宋体"/>
                <w:b w:val="0"/>
                <w:bCs w:val="0"/>
                <w:i w:val="0"/>
                <w:iCs w:val="0"/>
                <w:color w:val="auto"/>
                <w:sz w:val="24"/>
                <w:szCs w:val="24"/>
                <w:highlight w:val="none"/>
              </w:rPr>
              <w:t>报告，并配合做好取证等相关工作。</w:t>
            </w:r>
          </w:p>
          <w:p w14:paraId="4663EA4E">
            <w:pPr>
              <w:pStyle w:val="7"/>
              <w:keepNext w:val="0"/>
              <w:keepLines w:val="0"/>
              <w:pageBreakBefore w:val="0"/>
              <w:numPr>
                <w:ilvl w:val="0"/>
                <w:numId w:val="0"/>
              </w:numPr>
              <w:tabs>
                <w:tab w:val="left" w:pos="780"/>
              </w:tabs>
              <w:kinsoku/>
              <w:wordWrap/>
              <w:overflowPunct/>
              <w:topLinePunct w:val="0"/>
              <w:autoSpaceDE/>
              <w:autoSpaceDN/>
              <w:bidi w:val="0"/>
              <w:spacing w:beforeAutospacing="0" w:afterAutospacing="0" w:line="400" w:lineRule="exact"/>
              <w:ind w:firstLine="480" w:firstLineChars="200"/>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sz w:val="24"/>
                <w:szCs w:val="24"/>
                <w:highlight w:val="none"/>
                <w:lang w:val="en-US" w:eastAsia="zh-CN"/>
              </w:rPr>
              <w:t>3.现场评估时限：现场评估工作应在2026年1</w:t>
            </w:r>
            <w:r>
              <w:rPr>
                <w:rFonts w:hint="eastAsia" w:ascii="宋体" w:hAnsi="宋体" w:eastAsia="宋体" w:cs="宋体"/>
                <w:b w:val="0"/>
                <w:bCs w:val="0"/>
                <w:i w:val="0"/>
                <w:iCs w:val="0"/>
                <w:color w:val="auto"/>
                <w:sz w:val="24"/>
                <w:szCs w:val="24"/>
                <w:highlight w:val="none"/>
                <w:u w:val="none"/>
              </w:rPr>
              <w:t>1月30日前完成。</w:t>
            </w:r>
          </w:p>
          <w:p w14:paraId="23EA7BEA">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lang w:eastAsia="zh-CN"/>
              </w:rPr>
              <w:t>检查</w:t>
            </w:r>
            <w:r>
              <w:rPr>
                <w:rFonts w:hint="eastAsia" w:ascii="宋体" w:hAnsi="宋体" w:eastAsia="宋体" w:cs="宋体"/>
                <w:b/>
                <w:bCs/>
                <w:i w:val="0"/>
                <w:iCs w:val="0"/>
                <w:color w:val="auto"/>
                <w:sz w:val="24"/>
                <w:szCs w:val="24"/>
                <w:highlight w:val="none"/>
              </w:rPr>
              <w:t>人员及团队要求</w:t>
            </w:r>
          </w:p>
          <w:p w14:paraId="53F15E50">
            <w:pPr>
              <w:pStyle w:val="2"/>
              <w:keepNext w:val="0"/>
              <w:keepLines w:val="0"/>
              <w:pageBreakBefore w:val="0"/>
              <w:numPr>
                <w:ilvl w:val="0"/>
                <w:numId w:val="9"/>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检查</w:t>
            </w:r>
            <w:r>
              <w:rPr>
                <w:rFonts w:hint="eastAsia" w:ascii="宋体" w:hAnsi="宋体" w:eastAsia="宋体" w:cs="宋体"/>
                <w:b w:val="0"/>
                <w:bCs w:val="0"/>
                <w:i w:val="0"/>
                <w:iCs w:val="0"/>
                <w:color w:val="auto"/>
                <w:sz w:val="24"/>
                <w:szCs w:val="24"/>
                <w:highlight w:val="none"/>
              </w:rPr>
              <w:t>人员要求：供应商按照被检医药机构等级组建专业</w:t>
            </w:r>
            <w:r>
              <w:rPr>
                <w:rFonts w:hint="eastAsia" w:ascii="宋体" w:hAnsi="宋体" w:eastAsia="宋体" w:cs="宋体"/>
                <w:b w:val="0"/>
                <w:bCs w:val="0"/>
                <w:i w:val="0"/>
                <w:iCs w:val="0"/>
                <w:color w:val="auto"/>
                <w:sz w:val="24"/>
                <w:szCs w:val="24"/>
                <w:highlight w:val="none"/>
                <w:lang w:eastAsia="zh-CN"/>
              </w:rPr>
              <w:t>检查</w:t>
            </w:r>
            <w:r>
              <w:rPr>
                <w:rFonts w:hint="eastAsia" w:ascii="宋体" w:hAnsi="宋体" w:eastAsia="宋体" w:cs="宋体"/>
                <w:b w:val="0"/>
                <w:bCs w:val="0"/>
                <w:i w:val="0"/>
                <w:iCs w:val="0"/>
                <w:color w:val="auto"/>
                <w:sz w:val="24"/>
                <w:szCs w:val="24"/>
                <w:highlight w:val="none"/>
              </w:rPr>
              <w:t>小组，须保证一支16人（含）以上相对稳定的服务团队，服务团队中须包含1名项目经理。</w:t>
            </w:r>
          </w:p>
          <w:p w14:paraId="3D4A1B7C">
            <w:pPr>
              <w:pStyle w:val="2"/>
              <w:keepNext w:val="0"/>
              <w:keepLines w:val="0"/>
              <w:pageBreakBefore w:val="0"/>
              <w:numPr>
                <w:ilvl w:val="0"/>
                <w:numId w:val="9"/>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专家配备要求：</w:t>
            </w:r>
          </w:p>
          <w:p w14:paraId="36E05619">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lang w:eastAsia="zh-CN"/>
              </w:rPr>
              <w:t>）供应商服务团队应至少配备3名具有副高级及</w:t>
            </w:r>
            <w:r>
              <w:rPr>
                <w:rFonts w:hint="eastAsia" w:ascii="宋体" w:hAnsi="宋体" w:cs="宋体"/>
                <w:b w:val="0"/>
                <w:bCs w:val="0"/>
                <w:i w:val="0"/>
                <w:iCs w:val="0"/>
                <w:color w:val="auto"/>
                <w:sz w:val="24"/>
                <w:szCs w:val="24"/>
                <w:highlight w:val="none"/>
                <w:lang w:eastAsia="zh-CN"/>
              </w:rPr>
              <w:t>以上</w:t>
            </w:r>
            <w:r>
              <w:rPr>
                <w:rFonts w:hint="eastAsia" w:ascii="宋体" w:hAnsi="宋体" w:eastAsia="宋体" w:cs="宋体"/>
                <w:b w:val="0"/>
                <w:bCs w:val="0"/>
                <w:i w:val="0"/>
                <w:iCs w:val="0"/>
                <w:color w:val="auto"/>
                <w:sz w:val="24"/>
                <w:szCs w:val="24"/>
                <w:highlight w:val="none"/>
                <w:lang w:eastAsia="zh-CN"/>
              </w:rPr>
              <w:t>职称、在康复科、内科、外科、临床检验等相关专业执业的临床专家参与现场检查工作（检查专科医院时，须配备具备相应专业技术职称的人员）；其余参与检查的专业人员应具有临床医学、药学、护理等医学相关专业背景。</w:t>
            </w:r>
          </w:p>
          <w:p w14:paraId="768BA1F8">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至少配备1名信息技术人员和1名财务会计审核人员。</w:t>
            </w:r>
          </w:p>
          <w:p w14:paraId="6B9F8377">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strike/>
                <w:dstrike w:val="0"/>
                <w:color w:val="auto"/>
                <w:sz w:val="24"/>
                <w:szCs w:val="24"/>
                <w:highlight w:val="none"/>
              </w:rPr>
            </w:pPr>
            <w:r>
              <w:rPr>
                <w:rFonts w:hint="eastAsia" w:ascii="宋体" w:hAnsi="宋体" w:eastAsia="宋体" w:cs="宋体"/>
                <w:b w:val="0"/>
                <w:bCs w:val="0"/>
                <w:i w:val="0"/>
                <w:iCs w:val="0"/>
                <w:strike w:val="0"/>
                <w:dstrike w:val="0"/>
                <w:color w:val="auto"/>
                <w:sz w:val="24"/>
                <w:szCs w:val="24"/>
                <w:highlight w:val="none"/>
                <w:lang w:eastAsia="zh-CN"/>
              </w:rPr>
              <w:t>（</w:t>
            </w:r>
            <w:r>
              <w:rPr>
                <w:rFonts w:hint="eastAsia" w:ascii="宋体" w:hAnsi="宋体" w:eastAsia="宋体" w:cs="宋体"/>
                <w:b w:val="0"/>
                <w:bCs w:val="0"/>
                <w:i w:val="0"/>
                <w:iCs w:val="0"/>
                <w:strike w:val="0"/>
                <w:dstrike w:val="0"/>
                <w:color w:val="auto"/>
                <w:sz w:val="24"/>
                <w:szCs w:val="24"/>
                <w:highlight w:val="none"/>
                <w:lang w:val="en-US" w:eastAsia="zh-CN"/>
              </w:rPr>
              <w:t>3</w:t>
            </w:r>
            <w:r>
              <w:rPr>
                <w:rFonts w:hint="eastAsia" w:ascii="宋体" w:hAnsi="宋体" w:eastAsia="宋体" w:cs="宋体"/>
                <w:b w:val="0"/>
                <w:bCs w:val="0"/>
                <w:i w:val="0"/>
                <w:iCs w:val="0"/>
                <w:strike w:val="0"/>
                <w:dstrike w:val="0"/>
                <w:color w:val="auto"/>
                <w:sz w:val="24"/>
                <w:szCs w:val="24"/>
                <w:highlight w:val="none"/>
                <w:lang w:eastAsia="zh-CN"/>
              </w:rPr>
              <w:t>）服务团队检查人员需</w:t>
            </w:r>
            <w:r>
              <w:rPr>
                <w:rFonts w:hint="eastAsia" w:ascii="宋体" w:hAnsi="宋体" w:eastAsia="宋体" w:cs="宋体"/>
                <w:b w:val="0"/>
                <w:bCs w:val="0"/>
                <w:i w:val="0"/>
                <w:iCs w:val="0"/>
                <w:color w:val="auto"/>
                <w:sz w:val="24"/>
                <w:szCs w:val="24"/>
                <w:highlight w:val="none"/>
                <w:lang w:eastAsia="zh-CN"/>
              </w:rPr>
              <w:t>与被检查机构无利害关系并执行回避制度。</w:t>
            </w:r>
          </w:p>
          <w:p w14:paraId="5526179F">
            <w:pPr>
              <w:pStyle w:val="2"/>
              <w:keepNext w:val="0"/>
              <w:keepLines w:val="0"/>
              <w:pageBreakBefore w:val="0"/>
              <w:numPr>
                <w:ilvl w:val="0"/>
                <w:numId w:val="9"/>
              </w:numPr>
              <w:tabs>
                <w:tab w:val="left" w:pos="780"/>
                <w:tab w:val="clear" w:pos="210"/>
              </w:tabs>
              <w:kinsoku/>
              <w:wordWrap/>
              <w:overflowPunct/>
              <w:topLinePunct w:val="0"/>
              <w:autoSpaceDE/>
              <w:autoSpaceDN/>
              <w:bidi w:val="0"/>
              <w:spacing w:beforeAutospacing="0" w:after="0" w:afterAutospacing="0" w:line="400" w:lineRule="exact"/>
              <w:ind w:left="0" w:right="0" w:firstLine="480" w:firstLineChars="200"/>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sz w:val="24"/>
                <w:szCs w:val="24"/>
                <w:highlight w:val="none"/>
                <w:u w:val="none"/>
              </w:rPr>
              <w:t>纪律与</w:t>
            </w:r>
            <w:r>
              <w:rPr>
                <w:rFonts w:hint="eastAsia" w:ascii="宋体" w:hAnsi="宋体" w:eastAsia="宋体" w:cs="宋体"/>
                <w:b w:val="0"/>
                <w:bCs w:val="0"/>
                <w:i w:val="0"/>
                <w:iCs w:val="0"/>
                <w:color w:val="auto"/>
                <w:sz w:val="24"/>
                <w:szCs w:val="24"/>
                <w:highlight w:val="none"/>
                <w:u w:val="none"/>
                <w:lang w:eastAsia="zh-CN"/>
              </w:rPr>
              <w:t>执行要求</w:t>
            </w:r>
          </w:p>
          <w:p w14:paraId="15201935">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全部人员要严格遵守采购人的保密、安全、工作纪律等各项要求。团队需指定小组负责人，并在规定时间内完成现场检查工作。</w:t>
            </w:r>
          </w:p>
          <w:p w14:paraId="4D17EB61">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lang w:val="en-US" w:eastAsia="zh-CN"/>
              </w:rPr>
            </w:pPr>
            <w:r>
              <w:rPr>
                <w:rFonts w:hint="eastAsia" w:ascii="宋体" w:hAnsi="宋体" w:eastAsia="宋体" w:cs="宋体"/>
                <w:b/>
                <w:bCs/>
                <w:i w:val="0"/>
                <w:iCs w:val="0"/>
                <w:color w:val="auto"/>
                <w:sz w:val="24"/>
                <w:szCs w:val="24"/>
                <w:highlight w:val="none"/>
                <w:lang w:val="en-US" w:eastAsia="zh-CN"/>
              </w:rPr>
              <w:t>成果提交要求</w:t>
            </w:r>
          </w:p>
          <w:p w14:paraId="5CD46149">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 xml:space="preserve">供应商须依照要求提交相应成果资料，所有成果资料应保证数据真实、逻辑严谨、内容完备、格式规范，纸质版一式两份，电子版（存储于U盘）一式一份，具体提交内容如下：  </w:t>
            </w:r>
          </w:p>
          <w:p w14:paraId="1B7D364C">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（一）单家机构层面（</w:t>
            </w:r>
            <w:r>
              <w:rPr>
                <w:rFonts w:hint="eastAsia" w:cs="Times New Roman"/>
                <w:b w:val="0"/>
                <w:bCs w:val="0"/>
                <w:i w:val="0"/>
                <w:iCs w:val="0"/>
                <w:color w:val="auto"/>
                <w:sz w:val="24"/>
                <w:highlight w:val="none"/>
                <w:lang w:val="en-US" w:eastAsia="zh-CN"/>
              </w:rPr>
              <w:t>每家定点医药机构</w:t>
            </w:r>
            <w:r>
              <w:rPr>
                <w:rFonts w:hint="eastAsia" w:ascii="Times New Roman" w:hAnsi="Times New Roman" w:eastAsia="宋体" w:cs="Times New Roman"/>
                <w:b w:val="0"/>
                <w:bCs w:val="0"/>
                <w:i w:val="0"/>
                <w:iCs w:val="0"/>
                <w:color w:val="auto"/>
                <w:sz w:val="24"/>
                <w:highlight w:val="none"/>
                <w:lang w:val="en-US" w:eastAsia="zh-CN"/>
              </w:rPr>
              <w:t>均须分别</w:t>
            </w:r>
            <w:r>
              <w:rPr>
                <w:rFonts w:hint="eastAsia" w:cs="Times New Roman"/>
                <w:b w:val="0"/>
                <w:bCs w:val="0"/>
                <w:i w:val="0"/>
                <w:iCs w:val="0"/>
                <w:color w:val="auto"/>
                <w:sz w:val="24"/>
                <w:highlight w:val="none"/>
                <w:lang w:val="en-US" w:eastAsia="zh-CN"/>
              </w:rPr>
              <w:t>整理，按属地管理原则，向各县/区医保部门提交</w:t>
            </w:r>
            <w:r>
              <w:rPr>
                <w:rFonts w:hint="eastAsia" w:ascii="Times New Roman" w:hAnsi="Times New Roman" w:eastAsia="宋体" w:cs="Times New Roman"/>
                <w:b w:val="0"/>
                <w:bCs w:val="0"/>
                <w:i w:val="0"/>
                <w:iCs w:val="0"/>
                <w:color w:val="auto"/>
                <w:sz w:val="24"/>
                <w:highlight w:val="none"/>
                <w:lang w:val="en-US" w:eastAsia="zh-CN"/>
              </w:rPr>
              <w:t xml:space="preserve">）：  </w:t>
            </w:r>
          </w:p>
          <w:p w14:paraId="6D7B25EB">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cs="Times New Roman"/>
                <w:b w:val="0"/>
                <w:bCs w:val="0"/>
                <w:i w:val="0"/>
                <w:iCs w:val="0"/>
                <w:strike w:val="0"/>
                <w:dstrike w:val="0"/>
                <w:color w:val="auto"/>
                <w:sz w:val="24"/>
                <w:highlight w:val="none"/>
                <w:lang w:val="en-US" w:eastAsia="zh-CN"/>
              </w:rPr>
            </w:pPr>
            <w:r>
              <w:rPr>
                <w:rFonts w:hint="eastAsia" w:ascii="Times New Roman" w:hAnsi="Times New Roman" w:eastAsia="宋体" w:cs="Times New Roman"/>
                <w:b w:val="0"/>
                <w:bCs w:val="0"/>
                <w:i w:val="0"/>
                <w:iCs w:val="0"/>
                <w:color w:val="auto"/>
                <w:kern w:val="2"/>
                <w:sz w:val="24"/>
                <w:szCs w:val="24"/>
                <w:highlight w:val="none"/>
                <w:lang w:val="en-US" w:eastAsia="zh-CN" w:bidi="ar-SA"/>
              </w:rPr>
              <w:t>1.只开展年度考核评估的：现场检查通知书、该机构的考核细则；</w:t>
            </w:r>
            <w:r>
              <w:rPr>
                <w:rFonts w:hint="eastAsia" w:ascii="Times New Roman" w:hAnsi="Times New Roman" w:eastAsia="宋体" w:cs="Times New Roman"/>
                <w:b w:val="0"/>
                <w:bCs w:val="0"/>
                <w:i w:val="0"/>
                <w:iCs w:val="0"/>
                <w:strike w:val="0"/>
                <w:dstrike w:val="0"/>
                <w:color w:val="auto"/>
                <w:kern w:val="2"/>
                <w:sz w:val="24"/>
                <w:szCs w:val="24"/>
                <w:highlight w:val="none"/>
                <w:lang w:val="en-US" w:eastAsia="zh-CN" w:bidi="ar-SA"/>
              </w:rPr>
              <w:t>存在违规问题的，出具该机构的检查问题反馈表、违规问题佐证材料</w:t>
            </w:r>
            <w:r>
              <w:rPr>
                <w:rFonts w:hint="eastAsia" w:cs="Times New Roman"/>
                <w:b w:val="0"/>
                <w:bCs w:val="0"/>
                <w:i w:val="0"/>
                <w:iCs w:val="0"/>
                <w:strike w:val="0"/>
                <w:dstrike w:val="0"/>
                <w:color w:val="auto"/>
                <w:sz w:val="24"/>
                <w:highlight w:val="none"/>
                <w:lang w:val="en-US" w:eastAsia="zh-CN"/>
              </w:rPr>
              <w:t>；</w:t>
            </w:r>
          </w:p>
          <w:p w14:paraId="06D2F3A0">
            <w:pPr>
              <w:pStyle w:val="2"/>
              <w:keepNext w:val="0"/>
              <w:keepLines w:val="0"/>
              <w:pageBreakBefore w:val="0"/>
              <w:kinsoku/>
              <w:wordWrap/>
              <w:overflowPunct/>
              <w:topLinePunct w:val="0"/>
              <w:autoSpaceDE/>
              <w:autoSpaceDN/>
              <w:bidi w:val="0"/>
              <w:adjustRightInd/>
              <w:snapToGrid/>
              <w:spacing w:beforeAutospacing="0" w:after="0" w:afterAutospacing="0" w:line="400" w:lineRule="exact"/>
              <w:ind w:left="0" w:leftChars="0" w:firstLine="480" w:firstLineChars="200"/>
              <w:textAlignment w:val="auto"/>
              <w:rPr>
                <w:rFonts w:hint="eastAsia" w:ascii="Times New Roman" w:hAnsi="Times New Roman" w:eastAsia="宋体" w:cs="Times New Roman"/>
                <w:b w:val="0"/>
                <w:bCs w:val="0"/>
                <w:i w:val="0"/>
                <w:iCs w:val="0"/>
                <w:color w:val="auto"/>
                <w:sz w:val="24"/>
                <w:highlight w:val="none"/>
                <w:lang w:val="en-US" w:eastAsia="zh-CN"/>
              </w:rPr>
            </w:pPr>
            <w:r>
              <w:rPr>
                <w:rFonts w:hint="eastAsia" w:cs="Times New Roman"/>
                <w:b w:val="0"/>
                <w:bCs w:val="0"/>
                <w:i w:val="0"/>
                <w:iCs w:val="0"/>
                <w:color w:val="auto"/>
                <w:sz w:val="24"/>
                <w:highlight w:val="none"/>
                <w:lang w:val="en-US" w:eastAsia="zh-CN"/>
              </w:rPr>
              <w:t>2.同时开展年度考核和日常全覆盖检查的：现场检查通知书、该机构的考核细则、日常全覆盖现场检查报告、检查问题反馈表、违规问题佐证材料。</w:t>
            </w:r>
            <w:r>
              <w:rPr>
                <w:rFonts w:hint="eastAsia" w:ascii="Times New Roman" w:hAnsi="Times New Roman" w:eastAsia="宋体" w:cs="Times New Roman"/>
                <w:b w:val="0"/>
                <w:bCs w:val="0"/>
                <w:i w:val="0"/>
                <w:iCs w:val="0"/>
                <w:color w:val="auto"/>
                <w:sz w:val="24"/>
                <w:highlight w:val="none"/>
                <w:lang w:val="en-US" w:eastAsia="zh-CN"/>
              </w:rPr>
              <w:t xml:space="preserve">  </w:t>
            </w:r>
          </w:p>
          <w:p w14:paraId="0B2E4FDD">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（二）属地汇总层面（按属地管理原则，</w:t>
            </w:r>
            <w:r>
              <w:rPr>
                <w:rFonts w:hint="eastAsia" w:cs="Times New Roman"/>
                <w:b w:val="0"/>
                <w:bCs w:val="0"/>
                <w:i w:val="0"/>
                <w:iCs w:val="0"/>
                <w:color w:val="auto"/>
                <w:sz w:val="24"/>
                <w:highlight w:val="none"/>
                <w:lang w:val="en-US" w:eastAsia="zh-CN"/>
              </w:rPr>
              <w:t>向各县</w:t>
            </w:r>
            <w:r>
              <w:rPr>
                <w:rFonts w:hint="default" w:cs="Times New Roman"/>
                <w:b w:val="0"/>
                <w:bCs w:val="0"/>
                <w:i w:val="0"/>
                <w:iCs w:val="0"/>
                <w:color w:val="auto"/>
                <w:sz w:val="24"/>
                <w:highlight w:val="none"/>
                <w:lang w:eastAsia="zh-CN"/>
              </w:rPr>
              <w:t>/区</w:t>
            </w:r>
            <w:r>
              <w:rPr>
                <w:rFonts w:hint="eastAsia" w:cs="Times New Roman"/>
                <w:b w:val="0"/>
                <w:bCs w:val="0"/>
                <w:i w:val="0"/>
                <w:iCs w:val="0"/>
                <w:color w:val="auto"/>
                <w:sz w:val="24"/>
                <w:highlight w:val="none"/>
                <w:lang w:val="en-US" w:eastAsia="zh-CN"/>
              </w:rPr>
              <w:t>医保部门提交</w:t>
            </w:r>
            <w:r>
              <w:rPr>
                <w:rFonts w:hint="eastAsia" w:ascii="Times New Roman" w:hAnsi="Times New Roman" w:eastAsia="宋体" w:cs="Times New Roman"/>
                <w:b w:val="0"/>
                <w:bCs w:val="0"/>
                <w:i w:val="0"/>
                <w:iCs w:val="0"/>
                <w:color w:val="auto"/>
                <w:sz w:val="24"/>
                <w:highlight w:val="none"/>
                <w:lang w:val="en-US" w:eastAsia="zh-CN"/>
              </w:rPr>
              <w:t xml:space="preserve">）：  </w:t>
            </w:r>
          </w:p>
          <w:p w14:paraId="6E7A4AC6">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1.</w:t>
            </w:r>
            <w:r>
              <w:rPr>
                <w:rFonts w:hint="eastAsia" w:cs="Times New Roman"/>
                <w:b w:val="0"/>
                <w:bCs w:val="0"/>
                <w:i w:val="0"/>
                <w:iCs w:val="0"/>
                <w:color w:val="auto"/>
                <w:sz w:val="24"/>
                <w:highlight w:val="none"/>
                <w:lang w:val="en-US" w:eastAsia="zh-CN"/>
              </w:rPr>
              <w:t>只开展年度考核评估的：</w:t>
            </w:r>
            <w:r>
              <w:rPr>
                <w:rFonts w:hint="eastAsia" w:ascii="Times New Roman" w:hAnsi="Times New Roman" w:eastAsia="宋体" w:cs="Times New Roman"/>
                <w:b w:val="0"/>
                <w:bCs w:val="0"/>
                <w:i w:val="0"/>
                <w:iCs w:val="0"/>
                <w:color w:val="auto"/>
                <w:sz w:val="24"/>
                <w:highlight w:val="none"/>
                <w:lang w:val="en-US" w:eastAsia="zh-CN"/>
              </w:rPr>
              <w:t>属地年度检查总报告及辖区</w:t>
            </w:r>
            <w:r>
              <w:rPr>
                <w:rFonts w:hint="eastAsia" w:cs="Times New Roman"/>
                <w:b w:val="0"/>
                <w:bCs w:val="0"/>
                <w:i w:val="0"/>
                <w:iCs w:val="0"/>
                <w:color w:val="auto"/>
                <w:sz w:val="24"/>
                <w:highlight w:val="none"/>
                <w:lang w:val="en-US" w:eastAsia="zh-CN"/>
              </w:rPr>
              <w:t>检查</w:t>
            </w:r>
            <w:r>
              <w:rPr>
                <w:rFonts w:hint="eastAsia" w:ascii="Times New Roman" w:hAnsi="Times New Roman" w:eastAsia="宋体" w:cs="Times New Roman"/>
                <w:b w:val="0"/>
                <w:bCs w:val="0"/>
                <w:i w:val="0"/>
                <w:iCs w:val="0"/>
                <w:color w:val="auto"/>
                <w:sz w:val="24"/>
                <w:highlight w:val="none"/>
                <w:lang w:val="en-US" w:eastAsia="zh-CN"/>
              </w:rPr>
              <w:t xml:space="preserve">问题汇总清单；  </w:t>
            </w:r>
          </w:p>
          <w:p w14:paraId="67DF9E74">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2.</w:t>
            </w:r>
            <w:r>
              <w:rPr>
                <w:rFonts w:hint="eastAsia" w:cs="Times New Roman"/>
                <w:b w:val="0"/>
                <w:bCs w:val="0"/>
                <w:i w:val="0"/>
                <w:iCs w:val="0"/>
                <w:color w:val="auto"/>
                <w:sz w:val="24"/>
                <w:highlight w:val="none"/>
                <w:lang w:val="en-US" w:eastAsia="zh-CN"/>
              </w:rPr>
              <w:t>同时开展年度考核和日常全覆盖检查的：</w:t>
            </w:r>
            <w:r>
              <w:rPr>
                <w:rFonts w:hint="eastAsia" w:ascii="Times New Roman" w:hAnsi="Times New Roman" w:eastAsia="宋体" w:cs="Times New Roman"/>
                <w:b w:val="0"/>
                <w:bCs w:val="0"/>
                <w:i w:val="0"/>
                <w:iCs w:val="0"/>
                <w:color w:val="auto"/>
                <w:sz w:val="24"/>
                <w:highlight w:val="none"/>
                <w:lang w:val="en-US" w:eastAsia="zh-CN"/>
              </w:rPr>
              <w:t>属地年度检查总报告</w:t>
            </w:r>
            <w:r>
              <w:rPr>
                <w:rFonts w:hint="eastAsia" w:cs="Times New Roman"/>
                <w:b w:val="0"/>
                <w:bCs w:val="0"/>
                <w:i w:val="0"/>
                <w:iCs w:val="0"/>
                <w:color w:val="auto"/>
                <w:sz w:val="24"/>
                <w:highlight w:val="none"/>
                <w:lang w:val="en-US" w:eastAsia="zh-CN"/>
              </w:rPr>
              <w:t>、</w:t>
            </w:r>
            <w:r>
              <w:rPr>
                <w:rFonts w:hint="eastAsia" w:ascii="Times New Roman" w:hAnsi="Times New Roman" w:eastAsia="宋体" w:cs="Times New Roman"/>
                <w:b w:val="0"/>
                <w:bCs w:val="0"/>
                <w:i w:val="0"/>
                <w:iCs w:val="0"/>
                <w:color w:val="auto"/>
                <w:sz w:val="24"/>
                <w:highlight w:val="none"/>
                <w:lang w:val="en-US" w:eastAsia="zh-CN"/>
              </w:rPr>
              <w:t>日常全覆盖</w:t>
            </w:r>
            <w:r>
              <w:rPr>
                <w:rFonts w:hint="eastAsia" w:cs="Times New Roman"/>
                <w:b w:val="0"/>
                <w:bCs w:val="0"/>
                <w:i w:val="0"/>
                <w:iCs w:val="0"/>
                <w:color w:val="auto"/>
                <w:sz w:val="24"/>
                <w:highlight w:val="none"/>
                <w:lang w:val="en-US" w:eastAsia="zh-CN"/>
              </w:rPr>
              <w:t>现场</w:t>
            </w:r>
            <w:r>
              <w:rPr>
                <w:rFonts w:hint="eastAsia" w:ascii="Times New Roman" w:hAnsi="Times New Roman" w:eastAsia="宋体" w:cs="Times New Roman"/>
                <w:b w:val="0"/>
                <w:bCs w:val="0"/>
                <w:i w:val="0"/>
                <w:iCs w:val="0"/>
                <w:color w:val="auto"/>
                <w:sz w:val="24"/>
                <w:highlight w:val="none"/>
                <w:lang w:val="en-US" w:eastAsia="zh-CN"/>
              </w:rPr>
              <w:t>检查工作总结报告</w:t>
            </w:r>
            <w:r>
              <w:rPr>
                <w:rFonts w:hint="eastAsia" w:cs="Times New Roman"/>
                <w:b w:val="0"/>
                <w:bCs w:val="0"/>
                <w:i w:val="0"/>
                <w:iCs w:val="0"/>
                <w:color w:val="auto"/>
                <w:sz w:val="24"/>
                <w:highlight w:val="none"/>
                <w:lang w:val="en-US" w:eastAsia="zh-CN"/>
              </w:rPr>
              <w:t>及检查问题汇总清单</w:t>
            </w:r>
            <w:r>
              <w:rPr>
                <w:rFonts w:hint="eastAsia" w:ascii="Times New Roman" w:hAnsi="Times New Roman" w:eastAsia="宋体" w:cs="Times New Roman"/>
                <w:b w:val="0"/>
                <w:bCs w:val="0"/>
                <w:i w:val="0"/>
                <w:iCs w:val="0"/>
                <w:color w:val="auto"/>
                <w:sz w:val="24"/>
                <w:highlight w:val="none"/>
                <w:lang w:val="en-US" w:eastAsia="zh-CN"/>
              </w:rPr>
              <w:t xml:space="preserve">。  </w:t>
            </w:r>
          </w:p>
          <w:p w14:paraId="22FB8EF7">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 xml:space="preserve">（三）市级汇总层面（向市医保中心提交）：  </w:t>
            </w:r>
          </w:p>
          <w:p w14:paraId="6C08C8C2">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Times New Roman" w:hAnsi="Times New Roman" w:eastAsia="宋体" w:cs="Times New Roman"/>
                <w:b w:val="0"/>
                <w:bCs w:val="0"/>
                <w:i w:val="0"/>
                <w:iCs w:val="0"/>
                <w:color w:val="auto"/>
                <w:sz w:val="24"/>
                <w:highlight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1.</w:t>
            </w:r>
            <w:r>
              <w:rPr>
                <w:rFonts w:hint="eastAsia" w:cs="Times New Roman"/>
                <w:b w:val="0"/>
                <w:bCs w:val="0"/>
                <w:i w:val="0"/>
                <w:iCs w:val="0"/>
                <w:color w:val="auto"/>
                <w:sz w:val="24"/>
                <w:highlight w:val="none"/>
                <w:lang w:val="en-US" w:eastAsia="zh-CN"/>
              </w:rPr>
              <w:t>只开展年度考核评估的：</w:t>
            </w:r>
            <w:r>
              <w:rPr>
                <w:rFonts w:hint="eastAsia" w:ascii="Times New Roman" w:hAnsi="Times New Roman" w:eastAsia="宋体" w:cs="Times New Roman"/>
                <w:b w:val="0"/>
                <w:bCs w:val="0"/>
                <w:i w:val="0"/>
                <w:iCs w:val="0"/>
                <w:color w:val="auto"/>
                <w:sz w:val="24"/>
                <w:highlight w:val="none"/>
                <w:lang w:val="en-US" w:eastAsia="zh-CN"/>
              </w:rPr>
              <w:t>属地年度检查总报告及辖区</w:t>
            </w:r>
            <w:r>
              <w:rPr>
                <w:rFonts w:hint="eastAsia" w:cs="Times New Roman"/>
                <w:b w:val="0"/>
                <w:bCs w:val="0"/>
                <w:i w:val="0"/>
                <w:iCs w:val="0"/>
                <w:color w:val="auto"/>
                <w:sz w:val="24"/>
                <w:highlight w:val="none"/>
                <w:lang w:val="en-US" w:eastAsia="zh-CN"/>
              </w:rPr>
              <w:t>检查</w:t>
            </w:r>
            <w:r>
              <w:rPr>
                <w:rFonts w:hint="eastAsia" w:ascii="Times New Roman" w:hAnsi="Times New Roman" w:eastAsia="宋体" w:cs="Times New Roman"/>
                <w:b w:val="0"/>
                <w:bCs w:val="0"/>
                <w:i w:val="0"/>
                <w:iCs w:val="0"/>
                <w:color w:val="auto"/>
                <w:sz w:val="24"/>
                <w:highlight w:val="none"/>
                <w:lang w:val="en-US" w:eastAsia="zh-CN"/>
              </w:rPr>
              <w:t xml:space="preserve">问题汇总清单；  </w:t>
            </w:r>
          </w:p>
          <w:p w14:paraId="4AB6097C">
            <w:pPr>
              <w:pStyle w:val="2"/>
              <w:keepNext w:val="0"/>
              <w:keepLines w:val="0"/>
              <w:pageBreakBefore w:val="0"/>
              <w:kinsoku/>
              <w:wordWrap/>
              <w:overflowPunct/>
              <w:topLinePunct w:val="0"/>
              <w:autoSpaceDE/>
              <w:autoSpaceDN/>
              <w:bidi w:val="0"/>
              <w:spacing w:beforeAutospacing="0" w:after="0" w:afterAutospacing="0" w:line="400" w:lineRule="exact"/>
              <w:ind w:lef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Times New Roman" w:hAnsi="Times New Roman" w:eastAsia="宋体" w:cs="Times New Roman"/>
                <w:b w:val="0"/>
                <w:bCs w:val="0"/>
                <w:i w:val="0"/>
                <w:iCs w:val="0"/>
                <w:color w:val="auto"/>
                <w:sz w:val="24"/>
                <w:highlight w:val="none"/>
                <w:lang w:val="en-US" w:eastAsia="zh-CN"/>
              </w:rPr>
              <w:t>2.</w:t>
            </w:r>
            <w:r>
              <w:rPr>
                <w:rFonts w:hint="eastAsia" w:cs="Times New Roman"/>
                <w:b w:val="0"/>
                <w:bCs w:val="0"/>
                <w:i w:val="0"/>
                <w:iCs w:val="0"/>
                <w:color w:val="auto"/>
                <w:sz w:val="24"/>
                <w:highlight w:val="none"/>
                <w:lang w:val="en-US" w:eastAsia="zh-CN"/>
              </w:rPr>
              <w:t>同时开展年度考核和日常全覆盖检查的：</w:t>
            </w:r>
            <w:r>
              <w:rPr>
                <w:rFonts w:hint="eastAsia" w:ascii="Times New Roman" w:hAnsi="Times New Roman" w:eastAsia="宋体" w:cs="Times New Roman"/>
                <w:b w:val="0"/>
                <w:bCs w:val="0"/>
                <w:i w:val="0"/>
                <w:iCs w:val="0"/>
                <w:color w:val="auto"/>
                <w:sz w:val="24"/>
                <w:highlight w:val="none"/>
                <w:lang w:val="en-US" w:eastAsia="zh-CN"/>
              </w:rPr>
              <w:t>属地年度检查总报告</w:t>
            </w:r>
            <w:r>
              <w:rPr>
                <w:rFonts w:hint="eastAsia" w:cs="Times New Roman"/>
                <w:b w:val="0"/>
                <w:bCs w:val="0"/>
                <w:i w:val="0"/>
                <w:iCs w:val="0"/>
                <w:color w:val="auto"/>
                <w:sz w:val="24"/>
                <w:highlight w:val="none"/>
                <w:lang w:val="en-US" w:eastAsia="zh-CN"/>
              </w:rPr>
              <w:t>、</w:t>
            </w:r>
            <w:r>
              <w:rPr>
                <w:rFonts w:hint="eastAsia" w:ascii="Times New Roman" w:hAnsi="Times New Roman" w:eastAsia="宋体" w:cs="Times New Roman"/>
                <w:b w:val="0"/>
                <w:bCs w:val="0"/>
                <w:i w:val="0"/>
                <w:iCs w:val="0"/>
                <w:color w:val="auto"/>
                <w:sz w:val="24"/>
                <w:highlight w:val="none"/>
                <w:lang w:val="en-US" w:eastAsia="zh-CN"/>
              </w:rPr>
              <w:t>日常全覆盖检查工作总结报告</w:t>
            </w:r>
            <w:r>
              <w:rPr>
                <w:rFonts w:hint="eastAsia" w:cs="Times New Roman"/>
                <w:b w:val="0"/>
                <w:bCs w:val="0"/>
                <w:i w:val="0"/>
                <w:iCs w:val="0"/>
                <w:color w:val="auto"/>
                <w:sz w:val="24"/>
                <w:highlight w:val="none"/>
                <w:lang w:val="en-US" w:eastAsia="zh-CN"/>
              </w:rPr>
              <w:t>及检查问题汇总清单</w:t>
            </w:r>
            <w:r>
              <w:rPr>
                <w:rFonts w:hint="eastAsia" w:ascii="Times New Roman" w:hAnsi="Times New Roman" w:eastAsia="宋体" w:cs="Times New Roman"/>
                <w:b w:val="0"/>
                <w:bCs w:val="0"/>
                <w:i w:val="0"/>
                <w:iCs w:val="0"/>
                <w:color w:val="auto"/>
                <w:sz w:val="24"/>
                <w:highlight w:val="none"/>
                <w:lang w:val="en-US" w:eastAsia="zh-CN"/>
              </w:rPr>
              <w:t xml:space="preserve">。   </w:t>
            </w:r>
            <w:r>
              <w:rPr>
                <w:rFonts w:hint="eastAsia" w:ascii="宋体" w:hAnsi="宋体" w:eastAsia="宋体" w:cs="宋体"/>
                <w:b w:val="0"/>
                <w:bCs w:val="0"/>
                <w:i w:val="0"/>
                <w:iCs w:val="0"/>
                <w:color w:val="auto"/>
                <w:sz w:val="24"/>
                <w:szCs w:val="24"/>
                <w:highlight w:val="none"/>
                <w:u w:val="none"/>
                <w:lang w:val="en-US" w:eastAsia="zh-CN"/>
              </w:rPr>
              <w:t xml:space="preserve">  </w:t>
            </w:r>
          </w:p>
          <w:p w14:paraId="116E731C">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 来宾市市本级、兴宾区、合山市汇总综合总报告及问题汇总清单。</w:t>
            </w:r>
          </w:p>
          <w:p w14:paraId="643042F1">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所有成果文件应于现场评估结束后10个工作日内提交至采购人指定地点，并确保电子版与纸质版内容一致。逾期未提交或提交材料不符合规范要求的，视为未按合同履约。</w:t>
            </w:r>
          </w:p>
          <w:p w14:paraId="780C1791">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lang w:val="en-US" w:eastAsia="zh-CN"/>
              </w:rPr>
            </w:pPr>
            <w:r>
              <w:rPr>
                <w:rFonts w:hint="eastAsia" w:ascii="宋体" w:hAnsi="宋体" w:eastAsia="宋体" w:cs="宋体"/>
                <w:b/>
                <w:bCs/>
                <w:i w:val="0"/>
                <w:iCs w:val="0"/>
                <w:color w:val="auto"/>
                <w:sz w:val="24"/>
                <w:szCs w:val="24"/>
                <w:highlight w:val="none"/>
                <w:lang w:val="en-US" w:eastAsia="zh-CN"/>
              </w:rPr>
              <w:t>成果验收</w:t>
            </w:r>
          </w:p>
          <w:p w14:paraId="3B6F0037">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市本级医疗机构由市医保中心对资料进行验收，各县（市、区）医保部门负责对本辖区成果资料进行验收，出具书面验收意见并报送市医保中心备案；市医保中心仅对各县（市、区）报送的验收结果进行核验确认，不再另行组织市级验收。验收不合格的，供应商须在收到整改通知后5个工作日内完成修正并重新提交，直至验收合格。最终验收结果作为合同尾款支付依据。</w:t>
            </w:r>
          </w:p>
          <w:p w14:paraId="3C2862F3">
            <w:pPr>
              <w:pStyle w:val="4"/>
              <w:keepNext w:val="0"/>
              <w:keepLines w:val="0"/>
              <w:pageBreakBefore w:val="0"/>
              <w:numPr>
                <w:ilvl w:val="0"/>
                <w:numId w:val="8"/>
              </w:numPr>
              <w:tabs>
                <w:tab w:val="left" w:pos="420"/>
                <w:tab w:val="left" w:pos="963"/>
              </w:tabs>
              <w:kinsoku/>
              <w:wordWrap/>
              <w:overflowPunct/>
              <w:topLinePunct w:val="0"/>
              <w:autoSpaceDE/>
              <w:autoSpaceDN/>
              <w:bidi w:val="0"/>
              <w:spacing w:before="0" w:beforeAutospacing="0" w:afterAutospacing="0" w:line="400" w:lineRule="exact"/>
              <w:ind w:left="0" w:firstLine="482" w:firstLineChars="20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审查作业规范</w:t>
            </w:r>
          </w:p>
          <w:p w14:paraId="5A1E1878">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1.严格按照“具体检查内容”完成对被检机构的核查。</w:t>
            </w:r>
          </w:p>
          <w:p w14:paraId="1BD230A2">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2.药品和耗材的盘存审查数量原则上均不少于5个。</w:t>
            </w:r>
          </w:p>
          <w:p w14:paraId="5F8A531E">
            <w:pPr>
              <w:pStyle w:val="2"/>
              <w:keepNext w:val="0"/>
              <w:keepLines w:val="0"/>
              <w:pageBreakBefore w:val="0"/>
              <w:numPr>
                <w:ilvl w:val="0"/>
                <w:numId w:val="0"/>
              </w:numPr>
              <w:tabs>
                <w:tab w:val="left" w:pos="780"/>
              </w:tabs>
              <w:kinsoku/>
              <w:wordWrap/>
              <w:overflowPunct/>
              <w:topLinePunct w:val="0"/>
              <w:autoSpaceDE/>
              <w:autoSpaceDN/>
              <w:bidi w:val="0"/>
              <w:spacing w:beforeAutospacing="0" w:after="0" w:afterAutospacing="0" w:line="400" w:lineRule="exact"/>
              <w:ind w:right="0" w:firstLine="480" w:firstLineChars="200"/>
              <w:rPr>
                <w:rFonts w:hint="eastAsia" w:ascii="宋体" w:hAnsi="宋体" w:eastAsia="宋体" w:cs="宋体"/>
                <w:i w:val="0"/>
                <w:iCs w:val="0"/>
                <w:color w:val="auto"/>
                <w:sz w:val="24"/>
                <w:szCs w:val="24"/>
                <w:highlight w:val="none"/>
                <w:u w:val="none"/>
              </w:rPr>
            </w:pPr>
            <w:r>
              <w:rPr>
                <w:rFonts w:hint="eastAsia" w:ascii="宋体" w:hAnsi="宋体" w:eastAsia="宋体" w:cs="宋体"/>
                <w:b w:val="0"/>
                <w:bCs w:val="0"/>
                <w:i w:val="0"/>
                <w:iCs w:val="0"/>
                <w:color w:val="auto"/>
                <w:sz w:val="24"/>
                <w:szCs w:val="24"/>
                <w:highlight w:val="none"/>
                <w:u w:val="none"/>
                <w:lang w:val="en-US" w:eastAsia="zh-CN"/>
              </w:rPr>
              <w:t>3.重点检查领域：是否存在违反协议约定的诊疗服务行为，如超范围执业、超量开药、分解处方、串换项目等；是否按规定上传真实、完整的结算数据和电子病历信息；是否落实实名就医管理要求，核验参保人身份与就诊信息的一致性；是否规范执行医保目录及支付标准，杜绝将自费项目违规纳入医保报销；以及是否建立健全内部医保管理制度，配备专（兼）职医保管理人员并有效履行协议义务。所有核查应以医保服务协议条款为依据，确保机构履约行为合法合规。</w:t>
            </w:r>
          </w:p>
        </w:tc>
        <w:tc>
          <w:tcPr>
            <w:tcW w:w="699" w:type="dxa"/>
            <w:shd w:val="clear" w:color="auto" w:fill="auto"/>
            <w:vAlign w:val="center"/>
          </w:tcPr>
          <w:p w14:paraId="541AE5ED">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其他未列明行业</w:t>
            </w:r>
          </w:p>
        </w:tc>
      </w:tr>
    </w:tbl>
    <w:p w14:paraId="57F64B3B">
      <w:pPr>
        <w:keepNext w:val="0"/>
        <w:keepLines w:val="0"/>
        <w:pageBreakBefore w:val="0"/>
        <w:kinsoku/>
        <w:wordWrap/>
        <w:overflowPunct/>
        <w:topLinePunct w:val="0"/>
        <w:autoSpaceDE/>
        <w:autoSpaceDN/>
        <w:bidi w:val="0"/>
        <w:spacing w:beforeAutospacing="0" w:afterAutospacing="0" w:line="400" w:lineRule="exact"/>
        <w:ind w:firstLine="420" w:firstLineChars="200"/>
        <w:rPr>
          <w:i w:val="0"/>
          <w:iCs w:val="0"/>
          <w:color w:val="auto"/>
          <w:highlight w:val="none"/>
        </w:rPr>
      </w:pPr>
    </w:p>
    <w:tbl>
      <w:tblPr>
        <w:tblStyle w:val="36"/>
        <w:tblW w:w="965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28"/>
        <w:gridCol w:w="8029"/>
      </w:tblGrid>
      <w:tr w14:paraId="095C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657" w:type="dxa"/>
            <w:gridSpan w:val="2"/>
            <w:shd w:val="clear" w:color="auto" w:fill="auto"/>
            <w:noWrap/>
            <w:vAlign w:val="center"/>
          </w:tcPr>
          <w:p w14:paraId="4C32AEF1">
            <w:pPr>
              <w:rPr>
                <w:rFonts w:hint="eastAsia" w:ascii="宋体" w:hAnsi="宋体" w:eastAsia="宋体" w:cs="宋体"/>
                <w:b/>
                <w:i w:val="0"/>
                <w:iCs w:val="0"/>
                <w:color w:val="auto"/>
                <w:kern w:val="0"/>
                <w:sz w:val="24"/>
                <w:szCs w:val="24"/>
                <w:highlight w:val="none"/>
                <w:u w:val="none"/>
                <w:lang w:val="en-US" w:eastAsia="zh-CN" w:bidi="ar"/>
              </w:rPr>
            </w:pPr>
            <w:r>
              <w:rPr>
                <w:i w:val="0"/>
                <w:iCs w:val="0"/>
                <w:color w:val="auto"/>
                <w:highlight w:val="none"/>
              </w:rPr>
              <w:br w:type="page"/>
            </w:r>
            <w:r>
              <w:rPr>
                <w:rFonts w:hint="eastAsia" w:ascii="宋体" w:hAnsi="宋体" w:eastAsia="宋体" w:cs="宋体"/>
                <w:b/>
                <w:i w:val="0"/>
                <w:iCs w:val="0"/>
                <w:color w:val="auto"/>
                <w:kern w:val="0"/>
                <w:sz w:val="24"/>
                <w:szCs w:val="24"/>
                <w:highlight w:val="none"/>
                <w:u w:val="none"/>
                <w:lang w:val="en-US" w:eastAsia="zh-CN" w:bidi="ar"/>
              </w:rPr>
              <w:t>商务要求（适用分标1、分标2）</w:t>
            </w:r>
          </w:p>
        </w:tc>
      </w:tr>
      <w:tr w14:paraId="161B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628" w:type="dxa"/>
            <w:shd w:val="clear" w:color="auto" w:fill="auto"/>
            <w:vAlign w:val="center"/>
          </w:tcPr>
          <w:p w14:paraId="08CD036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合同签订期</w:t>
            </w:r>
          </w:p>
        </w:tc>
        <w:tc>
          <w:tcPr>
            <w:tcW w:w="8029" w:type="dxa"/>
            <w:shd w:val="clear" w:color="auto" w:fill="auto"/>
            <w:noWrap/>
            <w:vAlign w:val="center"/>
          </w:tcPr>
          <w:p w14:paraId="55FD3A4F">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自成交通知书发出之日起25日内</w:t>
            </w:r>
          </w:p>
        </w:tc>
      </w:tr>
      <w:tr w14:paraId="1CA92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628" w:type="dxa"/>
            <w:shd w:val="clear" w:color="auto" w:fill="auto"/>
            <w:vAlign w:val="center"/>
          </w:tcPr>
          <w:p w14:paraId="34AB91D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服务期限及服务地点</w:t>
            </w:r>
          </w:p>
        </w:tc>
        <w:tc>
          <w:tcPr>
            <w:tcW w:w="8029" w:type="dxa"/>
            <w:shd w:val="clear" w:color="auto" w:fill="auto"/>
            <w:noWrap/>
            <w:vAlign w:val="center"/>
          </w:tcPr>
          <w:p w14:paraId="26C1206C">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服务期限：</w:t>
            </w:r>
            <w:r>
              <w:rPr>
                <w:rFonts w:hint="eastAsia" w:ascii="宋体" w:hAnsi="宋体" w:eastAsia="宋体" w:cs="宋体"/>
                <w:b w:val="0"/>
                <w:bCs w:val="0"/>
                <w:i w:val="0"/>
                <w:iCs w:val="0"/>
                <w:color w:val="auto"/>
                <w:sz w:val="24"/>
                <w:szCs w:val="24"/>
                <w:highlight w:val="none"/>
                <w:lang w:eastAsia="zh-CN"/>
              </w:rPr>
              <w:t>于</w:t>
            </w:r>
            <w:r>
              <w:rPr>
                <w:rFonts w:hint="eastAsia" w:ascii="宋体" w:hAnsi="宋体" w:eastAsia="宋体" w:cs="宋体"/>
                <w:b w:val="0"/>
                <w:bCs w:val="0"/>
                <w:i w:val="0"/>
                <w:iCs w:val="0"/>
                <w:color w:val="auto"/>
                <w:sz w:val="24"/>
                <w:szCs w:val="24"/>
                <w:highlight w:val="none"/>
              </w:rPr>
              <w:t>2026年11月30日前完成全部现场</w:t>
            </w:r>
            <w:r>
              <w:rPr>
                <w:rFonts w:hint="eastAsia" w:ascii="宋体" w:hAnsi="宋体" w:eastAsia="宋体" w:cs="宋体"/>
                <w:b w:val="0"/>
                <w:bCs w:val="0"/>
                <w:i w:val="0"/>
                <w:iCs w:val="0"/>
                <w:color w:val="auto"/>
                <w:sz w:val="24"/>
                <w:szCs w:val="24"/>
                <w:highlight w:val="none"/>
                <w:lang w:eastAsia="zh-CN"/>
              </w:rPr>
              <w:t>检查</w:t>
            </w:r>
            <w:r>
              <w:rPr>
                <w:rFonts w:hint="eastAsia" w:ascii="宋体" w:hAnsi="宋体" w:eastAsia="宋体" w:cs="宋体"/>
                <w:b w:val="0"/>
                <w:bCs w:val="0"/>
                <w:i w:val="0"/>
                <w:iCs w:val="0"/>
                <w:color w:val="auto"/>
                <w:sz w:val="24"/>
                <w:szCs w:val="24"/>
                <w:highlight w:val="none"/>
              </w:rPr>
              <w:t>任务，并向来宾市医疗保险服务中心提交相关</w:t>
            </w:r>
            <w:r>
              <w:rPr>
                <w:rFonts w:hint="eastAsia" w:ascii="宋体" w:hAnsi="宋体" w:eastAsia="宋体" w:cs="宋体"/>
                <w:b w:val="0"/>
                <w:bCs w:val="0"/>
                <w:i w:val="0"/>
                <w:iCs w:val="0"/>
                <w:color w:val="auto"/>
                <w:sz w:val="24"/>
                <w:szCs w:val="24"/>
                <w:highlight w:val="none"/>
                <w:lang w:eastAsia="zh-CN"/>
              </w:rPr>
              <w:t>检查</w:t>
            </w:r>
            <w:r>
              <w:rPr>
                <w:rFonts w:hint="eastAsia" w:ascii="宋体" w:hAnsi="宋体" w:eastAsia="宋体" w:cs="宋体"/>
                <w:b w:val="0"/>
                <w:bCs w:val="0"/>
                <w:i w:val="0"/>
                <w:iCs w:val="0"/>
                <w:color w:val="auto"/>
                <w:sz w:val="24"/>
                <w:szCs w:val="24"/>
                <w:highlight w:val="none"/>
              </w:rPr>
              <w:t>材料；</w:t>
            </w:r>
            <w:r>
              <w:rPr>
                <w:rFonts w:hint="eastAsia" w:ascii="宋体" w:hAnsi="宋体" w:eastAsia="宋体" w:cs="宋体"/>
                <w:b w:val="0"/>
                <w:bCs w:val="0"/>
                <w:i w:val="0"/>
                <w:iCs w:val="0"/>
                <w:color w:val="auto"/>
                <w:sz w:val="24"/>
                <w:szCs w:val="24"/>
                <w:highlight w:val="none"/>
                <w:lang w:eastAsia="zh-CN"/>
              </w:rPr>
              <w:t>全程做好被检查机构的申诉对接、答疑应诉工作并</w:t>
            </w:r>
            <w:r>
              <w:rPr>
                <w:rFonts w:hint="eastAsia" w:ascii="宋体" w:hAnsi="宋体" w:eastAsia="宋体" w:cs="宋体"/>
                <w:b w:val="0"/>
                <w:bCs w:val="0"/>
                <w:i w:val="0"/>
                <w:iCs w:val="0"/>
                <w:color w:val="auto"/>
                <w:sz w:val="24"/>
                <w:szCs w:val="24"/>
                <w:highlight w:val="none"/>
              </w:rPr>
              <w:t>于2026年12月10日前配合完成全部后期</w:t>
            </w:r>
            <w:r>
              <w:rPr>
                <w:rFonts w:hint="eastAsia" w:ascii="宋体" w:hAnsi="宋体" w:eastAsia="宋体" w:cs="宋体"/>
                <w:b w:val="0"/>
                <w:bCs w:val="0"/>
                <w:i w:val="0"/>
                <w:iCs w:val="0"/>
                <w:color w:val="auto"/>
                <w:sz w:val="24"/>
                <w:szCs w:val="24"/>
                <w:highlight w:val="none"/>
                <w:lang w:eastAsia="zh-CN"/>
              </w:rPr>
              <w:t>检查</w:t>
            </w:r>
            <w:r>
              <w:rPr>
                <w:rFonts w:hint="eastAsia" w:ascii="宋体" w:hAnsi="宋体" w:eastAsia="宋体" w:cs="宋体"/>
                <w:b w:val="0"/>
                <w:bCs w:val="0"/>
                <w:i w:val="0"/>
                <w:iCs w:val="0"/>
                <w:color w:val="auto"/>
                <w:sz w:val="24"/>
                <w:szCs w:val="24"/>
                <w:highlight w:val="none"/>
              </w:rPr>
              <w:t>确认工作。服务期内，供应商必须每周向来宾市医疗保险服务中心汇报1次审查任务完成情况，直至全部任务完成。</w:t>
            </w:r>
          </w:p>
          <w:p w14:paraId="0B26CA73">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rPr>
              <w:t>服务地点：广西来宾市采购人指定的检查对象所在地点。</w:t>
            </w:r>
          </w:p>
        </w:tc>
      </w:tr>
      <w:tr w14:paraId="6E8A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628" w:type="dxa"/>
            <w:shd w:val="clear" w:color="auto" w:fill="auto"/>
            <w:vAlign w:val="center"/>
          </w:tcPr>
          <w:p w14:paraId="166E3B02">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付款方式</w:t>
            </w:r>
          </w:p>
        </w:tc>
        <w:tc>
          <w:tcPr>
            <w:tcW w:w="8029" w:type="dxa"/>
            <w:shd w:val="clear" w:color="auto" w:fill="auto"/>
            <w:vAlign w:val="center"/>
          </w:tcPr>
          <w:p w14:paraId="3D5DD154">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1.成交供应商应于合同生效之日起10日内提交工作方案，采购人审核通过后5个工作日内支付合同价款的30%；项目现场审查工作完成后支付合同价款的50%（无息）；任务全部完成并经验收合格后10个工作日内支付剩余20%（若验收不合格，则不予支付，供应商需整改直至验收合格）。每次付款前，成交供应商须向采购人开具合法且等额的发票。</w:t>
            </w:r>
          </w:p>
          <w:p w14:paraId="03BFDF7C">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default"/>
                <w:color w:val="auto"/>
                <w:highlight w:val="none"/>
                <w:lang w:val="en-US" w:eastAsia="zh-CN"/>
              </w:rPr>
            </w:pPr>
            <w:r>
              <w:rPr>
                <w:rFonts w:hint="eastAsia" w:ascii="宋体" w:hAnsi="宋体" w:eastAsia="宋体" w:cs="宋体"/>
                <w:b w:val="0"/>
                <w:bCs w:val="0"/>
                <w:i w:val="0"/>
                <w:iCs w:val="0"/>
                <w:color w:val="auto"/>
                <w:sz w:val="24"/>
                <w:szCs w:val="24"/>
                <w:highlight w:val="none"/>
                <w:lang w:val="en-US" w:eastAsia="zh-CN"/>
              </w:rPr>
              <w:t>2.本项目最终结算总价，以采购人实际书面通知要求检查的机构数量及成交单价据实结算。若因采购人原因主动减少检查数量，双方按实际检查数量结算。</w:t>
            </w:r>
          </w:p>
        </w:tc>
      </w:tr>
      <w:tr w14:paraId="56E8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1628" w:type="dxa"/>
            <w:shd w:val="clear" w:color="auto" w:fill="auto"/>
            <w:vAlign w:val="center"/>
          </w:tcPr>
          <w:p w14:paraId="402B7976">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报价要求</w:t>
            </w:r>
          </w:p>
        </w:tc>
        <w:tc>
          <w:tcPr>
            <w:tcW w:w="8029" w:type="dxa"/>
            <w:shd w:val="clear" w:color="auto" w:fill="auto"/>
            <w:vAlign w:val="center"/>
          </w:tcPr>
          <w:p w14:paraId="0C45D047">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1.报价必须含以下部分，包括： （1）服务的价格；（2）必要的保险费用和各项税金；（3）其他（如劳务、管理、安装、调试、培训、技术支持、售后服务等费用）。</w:t>
            </w:r>
          </w:p>
          <w:p w14:paraId="7D95F901">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2.本项目为包干价，采购人不再支付报价以外的任何其他费用。</w:t>
            </w:r>
          </w:p>
        </w:tc>
      </w:tr>
      <w:tr w14:paraId="3F66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628" w:type="dxa"/>
            <w:shd w:val="clear" w:color="auto" w:fill="auto"/>
            <w:vAlign w:val="center"/>
          </w:tcPr>
          <w:p w14:paraId="0C8D0EA0">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质量保证及验收标准</w:t>
            </w:r>
          </w:p>
        </w:tc>
        <w:tc>
          <w:tcPr>
            <w:tcW w:w="8029" w:type="dxa"/>
            <w:shd w:val="clear" w:color="auto" w:fill="auto"/>
            <w:noWrap/>
            <w:vAlign w:val="center"/>
          </w:tcPr>
          <w:p w14:paraId="645EE87E">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采购标的需执行国家相关标准、行业标准</w:t>
            </w:r>
            <w:r>
              <w:rPr>
                <w:rFonts w:hint="eastAsia" w:ascii="宋体" w:hAnsi="宋体" w:eastAsia="宋体" w:cs="宋体"/>
                <w:b w:val="0"/>
                <w:bCs w:val="0"/>
                <w:i w:val="0"/>
                <w:iCs w:val="0"/>
                <w:color w:val="auto"/>
                <w:sz w:val="24"/>
                <w:szCs w:val="24"/>
                <w:highlight w:val="none"/>
                <w:lang w:eastAsia="zh-CN"/>
              </w:rPr>
              <w:t>等</w:t>
            </w:r>
            <w:r>
              <w:rPr>
                <w:rFonts w:hint="eastAsia" w:ascii="宋体" w:hAnsi="宋体" w:eastAsia="宋体" w:cs="宋体"/>
                <w:b w:val="0"/>
                <w:bCs w:val="0"/>
                <w:i w:val="0"/>
                <w:iCs w:val="0"/>
                <w:color w:val="auto"/>
                <w:sz w:val="24"/>
                <w:szCs w:val="24"/>
                <w:highlight w:val="none"/>
              </w:rPr>
              <w:t>规范。</w:t>
            </w:r>
          </w:p>
          <w:p w14:paraId="7FD13534">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rPr>
              <w:t>采购人根据竞争性磋商文件要求、响应文件承诺以及合同条款进行核验。核验不合格的，不予验收，同时报相关监督管理部门处理，由此造成采购人经济损失的由供应商负责承担全部赔偿责任。</w:t>
            </w:r>
          </w:p>
          <w:p w14:paraId="683EE1D3">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lang w:eastAsia="zh-CN"/>
              </w:rPr>
              <w:t>采购人如对验收结果有异议，应在验收完成后的10个工作日内以书面形式向供应商提出；供应商须在收到该书面异议之日起5日内及时予以解决。若未按期解决，则不予验收，且供应商</w:t>
            </w:r>
            <w:r>
              <w:rPr>
                <w:rFonts w:hint="eastAsia" w:ascii="宋体" w:hAnsi="宋体" w:eastAsia="宋体" w:cs="宋体"/>
                <w:b w:val="0"/>
                <w:bCs w:val="0"/>
                <w:i w:val="0"/>
                <w:iCs w:val="0"/>
                <w:color w:val="auto"/>
                <w:sz w:val="24"/>
                <w:szCs w:val="24"/>
                <w:highlight w:val="none"/>
                <w:lang w:val="en-US" w:eastAsia="zh-CN"/>
              </w:rPr>
              <w:t>必须</w:t>
            </w:r>
            <w:r>
              <w:rPr>
                <w:rFonts w:hint="eastAsia" w:ascii="宋体" w:hAnsi="宋体" w:eastAsia="宋体" w:cs="宋体"/>
                <w:b w:val="0"/>
                <w:bCs w:val="0"/>
                <w:i w:val="0"/>
                <w:iCs w:val="0"/>
                <w:color w:val="auto"/>
                <w:sz w:val="24"/>
                <w:szCs w:val="24"/>
                <w:highlight w:val="none"/>
                <w:lang w:eastAsia="zh-CN"/>
              </w:rPr>
              <w:t>退还已收取的合同价款。</w:t>
            </w:r>
          </w:p>
          <w:p w14:paraId="5C480430">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i w:val="0"/>
                <w:iCs w:val="0"/>
                <w:color w:val="auto"/>
                <w:sz w:val="24"/>
                <w:szCs w:val="24"/>
                <w:highlight w:val="none"/>
                <w:lang w:val="en-US"/>
              </w:rPr>
            </w:pPr>
            <w:r>
              <w:rPr>
                <w:rFonts w:hint="eastAsia" w:ascii="宋体" w:hAnsi="宋体" w:eastAsia="宋体" w:cs="宋体"/>
                <w:b w:val="0"/>
                <w:bCs w:val="0"/>
                <w:i w:val="0"/>
                <w:iCs w:val="0"/>
                <w:color w:val="auto"/>
                <w:sz w:val="24"/>
                <w:szCs w:val="24"/>
                <w:highlight w:val="none"/>
                <w:lang w:val="en-US" w:eastAsia="zh-CN"/>
              </w:rPr>
              <w:t>4.验收费用由成交供应商负责。</w:t>
            </w:r>
          </w:p>
        </w:tc>
      </w:tr>
      <w:tr w14:paraId="04C9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628" w:type="dxa"/>
            <w:shd w:val="clear" w:color="auto" w:fill="auto"/>
            <w:vAlign w:val="center"/>
          </w:tcPr>
          <w:p w14:paraId="53619426">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知识产权要求</w:t>
            </w:r>
          </w:p>
        </w:tc>
        <w:tc>
          <w:tcPr>
            <w:tcW w:w="8029" w:type="dxa"/>
            <w:shd w:val="clear" w:color="auto" w:fill="auto"/>
            <w:noWrap/>
            <w:vAlign w:val="center"/>
          </w:tcPr>
          <w:p w14:paraId="0BABCE2B">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供应商必须保证所提供服务涉及的知识产权和相关技术资料是合法取得的。采购人在接收及使用服务成果时</w:t>
            </w:r>
            <w:r>
              <w:rPr>
                <w:rFonts w:hint="eastAsia" w:ascii="宋体" w:hAnsi="宋体" w:eastAsia="宋体" w:cs="宋体"/>
                <w:b w:val="0"/>
                <w:bCs w:val="0"/>
                <w:i w:val="0"/>
                <w:iCs w:val="0"/>
                <w:color w:val="auto"/>
                <w:sz w:val="24"/>
                <w:szCs w:val="24"/>
                <w:highlight w:val="none"/>
                <w:lang w:eastAsia="zh-CN"/>
              </w:rPr>
              <w:t>，不会</w:t>
            </w:r>
            <w:r>
              <w:rPr>
                <w:rFonts w:hint="eastAsia" w:ascii="宋体" w:hAnsi="宋体" w:eastAsia="宋体" w:cs="宋体"/>
                <w:b w:val="0"/>
                <w:bCs w:val="0"/>
                <w:i w:val="0"/>
                <w:iCs w:val="0"/>
                <w:color w:val="auto"/>
                <w:sz w:val="24"/>
                <w:szCs w:val="24"/>
                <w:highlight w:val="none"/>
              </w:rPr>
              <w:t>侵犯任何第三方的专利权、商标权、工业设计权或其他权利，不会遭受第三方侵权指控。否则，供应商负责解决由此引起的一切纠纷，采购人有权追究其法律责任，其不利后果由供应商全部承担。</w:t>
            </w:r>
          </w:p>
          <w:p w14:paraId="612328E0">
            <w:pPr>
              <w:pStyle w:val="2"/>
              <w:keepNext w:val="0"/>
              <w:keepLines w:val="0"/>
              <w:pageBreakBefore w:val="0"/>
              <w:widowControl w:val="0"/>
              <w:kinsoku/>
              <w:wordWrap/>
              <w:overflowPunct/>
              <w:topLinePunct w:val="0"/>
              <w:autoSpaceDE/>
              <w:autoSpaceDN/>
              <w:bidi w:val="0"/>
              <w:adjustRightInd/>
              <w:snapToGrid/>
              <w:spacing w:beforeAutospacing="0" w:after="0" w:afterAutospacing="0" w:line="400" w:lineRule="exact"/>
              <w:ind w:left="0" w:firstLine="480" w:firstLineChars="200"/>
              <w:textAlignment w:val="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eastAsia="zh-CN"/>
              </w:rPr>
              <w:t>审查结果所有权：本项目所形成的数据和报告归采购人所有。供应商未经采购人授权，不得将未公开的数据和本项目审查结果相关信息透露给任何第三方，不得对外泄露采购人所提供的信息和数据。</w:t>
            </w:r>
          </w:p>
        </w:tc>
      </w:tr>
      <w:tr w14:paraId="52AB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57" w:type="dxa"/>
            <w:gridSpan w:val="2"/>
            <w:shd w:val="clear" w:color="auto" w:fill="auto"/>
            <w:noWrap/>
            <w:vAlign w:val="center"/>
          </w:tcPr>
          <w:p w14:paraId="2010EB15">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482" w:firstLineChars="200"/>
              <w:jc w:val="both"/>
              <w:textAlignment w:val="center"/>
              <w:rPr>
                <w:rFonts w:hint="eastAsia" w:ascii="宋体" w:hAnsi="宋体" w:eastAsia="宋体" w:cs="宋体"/>
                <w:b/>
                <w:i w:val="0"/>
                <w:iCs w:val="0"/>
                <w:color w:val="auto"/>
                <w:sz w:val="24"/>
                <w:szCs w:val="24"/>
                <w:highlight w:val="none"/>
                <w:u w:val="none"/>
              </w:rPr>
            </w:pPr>
            <w:r>
              <w:rPr>
                <w:rFonts w:hint="eastAsia" w:ascii="宋体" w:hAnsi="宋体" w:eastAsia="宋体" w:cs="宋体"/>
                <w:b/>
                <w:i w:val="0"/>
                <w:iCs w:val="0"/>
                <w:color w:val="auto"/>
                <w:kern w:val="0"/>
                <w:sz w:val="24"/>
                <w:szCs w:val="24"/>
                <w:highlight w:val="none"/>
                <w:u w:val="none"/>
                <w:lang w:val="en-US" w:eastAsia="zh-CN" w:bidi="ar"/>
              </w:rPr>
              <w:t>与实现项目相关的其他要求</w:t>
            </w:r>
          </w:p>
        </w:tc>
      </w:tr>
      <w:tr w14:paraId="100B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1628" w:type="dxa"/>
            <w:vMerge w:val="restart"/>
            <w:shd w:val="clear" w:color="auto" w:fill="auto"/>
            <w:vAlign w:val="center"/>
          </w:tcPr>
          <w:p w14:paraId="38E42FAD">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其他</w:t>
            </w:r>
          </w:p>
        </w:tc>
        <w:tc>
          <w:tcPr>
            <w:tcW w:w="8029" w:type="dxa"/>
            <w:shd w:val="clear" w:color="auto" w:fill="auto"/>
            <w:vAlign w:val="center"/>
          </w:tcPr>
          <w:p w14:paraId="18D2F691">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482" w:firstLineChars="20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（一）磋商说明</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在磋商过程中，磋商小组可能会根据磋商文件和磋商情况实质性变动采购需求中的技术、服务内容及要求以及合同草案条款，对磋商文件作出的实质性变动是磋商文件的有效组成部分，磋商小组以书面形式同时通知所有参加磋商的供应商。请各供应商做好磋商应答准备。</w:t>
            </w:r>
          </w:p>
        </w:tc>
      </w:tr>
      <w:tr w14:paraId="7D67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28" w:type="dxa"/>
            <w:vMerge w:val="continue"/>
            <w:shd w:val="clear" w:color="auto" w:fill="auto"/>
            <w:vAlign w:val="center"/>
          </w:tcPr>
          <w:p w14:paraId="4C01C1E3">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jc w:val="center"/>
              <w:rPr>
                <w:rFonts w:hint="eastAsia" w:ascii="宋体" w:hAnsi="宋体" w:eastAsia="宋体" w:cs="宋体"/>
                <w:i w:val="0"/>
                <w:iCs w:val="0"/>
                <w:color w:val="auto"/>
                <w:sz w:val="24"/>
                <w:szCs w:val="24"/>
                <w:highlight w:val="none"/>
                <w:u w:val="none"/>
              </w:rPr>
            </w:pPr>
          </w:p>
        </w:tc>
        <w:tc>
          <w:tcPr>
            <w:tcW w:w="8029" w:type="dxa"/>
            <w:shd w:val="clear" w:color="auto" w:fill="auto"/>
            <w:vAlign w:val="center"/>
          </w:tcPr>
          <w:p w14:paraId="742F75A8">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482" w:firstLineChars="20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（二）兼投不兼中规则</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供应商可同时参与两个分标的磋商。若同一供应商在两个分标中综合得分均排名第一，该供应商只能成为分标1的第一成交候选人，分标2由排名第二的供应商递补。</w:t>
            </w:r>
          </w:p>
        </w:tc>
      </w:tr>
      <w:tr w14:paraId="09D0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628" w:type="dxa"/>
            <w:vMerge w:val="continue"/>
            <w:shd w:val="clear" w:color="auto" w:fill="auto"/>
            <w:vAlign w:val="center"/>
          </w:tcPr>
          <w:p w14:paraId="63CE621A">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jc w:val="center"/>
              <w:rPr>
                <w:rFonts w:hint="eastAsia" w:ascii="宋体" w:hAnsi="宋体" w:eastAsia="宋体" w:cs="宋体"/>
                <w:i w:val="0"/>
                <w:iCs w:val="0"/>
                <w:color w:val="auto"/>
                <w:sz w:val="24"/>
                <w:szCs w:val="24"/>
                <w:highlight w:val="none"/>
                <w:u w:val="none"/>
              </w:rPr>
            </w:pPr>
          </w:p>
        </w:tc>
        <w:tc>
          <w:tcPr>
            <w:tcW w:w="8029" w:type="dxa"/>
            <w:shd w:val="clear" w:color="auto" w:fill="auto"/>
            <w:vAlign w:val="center"/>
          </w:tcPr>
          <w:p w14:paraId="50E60752">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firstLine="480" w:firstLineChars="20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（三）其他说明</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1.本项目为服务项目，无核心产品要求，不涉及进口产品。</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2.供应商根据自身情况，结合项目采购需求及评审方法提供针对本项目的服务方案、质量控制措施、安全及保密控制方案、信誉及业绩等。</w:t>
            </w:r>
          </w:p>
        </w:tc>
      </w:tr>
    </w:tbl>
    <w:p w14:paraId="775E2DDD">
      <w:pPr>
        <w:keepNext w:val="0"/>
        <w:keepLines w:val="0"/>
        <w:pageBreakBefore w:val="0"/>
        <w:kinsoku/>
        <w:wordWrap/>
        <w:overflowPunct/>
        <w:topLinePunct w:val="0"/>
        <w:autoSpaceDE/>
        <w:autoSpaceDN/>
        <w:bidi w:val="0"/>
        <w:spacing w:beforeAutospacing="0" w:afterAutospacing="0" w:line="400" w:lineRule="exact"/>
        <w:ind w:firstLine="420" w:firstLineChars="200"/>
        <w:rPr>
          <w:i w:val="0"/>
          <w:iCs w:val="0"/>
          <w:color w:val="auto"/>
          <w:highlight w:val="none"/>
        </w:rPr>
      </w:pPr>
    </w:p>
    <w:p w14:paraId="5795DC20">
      <w:pPr>
        <w:pStyle w:val="2"/>
        <w:ind w:left="0" w:leftChars="0" w:firstLine="0" w:firstLineChars="0"/>
      </w:pPr>
    </w:p>
    <w:p w14:paraId="18E44249">
      <w:pPr>
        <w:keepNext w:val="0"/>
        <w:keepLines w:val="0"/>
        <w:pageBreakBefore w:val="0"/>
        <w:kinsoku/>
        <w:wordWrap/>
        <w:overflowPunct/>
        <w:topLinePunct w:val="0"/>
        <w:autoSpaceDE/>
        <w:autoSpaceDN/>
        <w:bidi w:val="0"/>
        <w:spacing w:beforeAutospacing="0" w:afterAutospacing="0" w:line="400" w:lineRule="exact"/>
        <w:ind w:firstLine="420" w:firstLineChars="200"/>
        <w:rPr>
          <w:i w:val="0"/>
          <w:iCs w:val="0"/>
          <w:color w:val="auto"/>
          <w:highlight w:val="none"/>
        </w:rPr>
      </w:pPr>
    </w:p>
    <w:p w14:paraId="2302D7F5">
      <w:pPr>
        <w:spacing w:line="360" w:lineRule="auto"/>
        <w:jc w:val="left"/>
        <w:rPr>
          <w:rFonts w:hint="eastAsia" w:ascii="仿宋_GB2312" w:hAnsi="仿宋_GB2312" w:eastAsia="仿宋_GB2312" w:cs="仿宋_GB2312"/>
          <w:b/>
          <w:bCs/>
          <w:i w:val="0"/>
          <w:iCs w:val="0"/>
          <w:color w:val="auto"/>
          <w:sz w:val="32"/>
          <w:szCs w:val="32"/>
          <w:highlight w:val="none"/>
          <w:lang w:val="en-US" w:eastAsia="zh-CN"/>
        </w:rPr>
      </w:pPr>
    </w:p>
    <w:p w14:paraId="3DEF4859">
      <w:pPr>
        <w:rPr>
          <w:rFonts w:hint="eastAsia" w:ascii="仿宋_GB2312" w:hAnsi="仿宋_GB2312" w:eastAsia="仿宋_GB2312" w:cs="仿宋_GB2312"/>
          <w:i w:val="0"/>
          <w:iCs w:val="0"/>
          <w:color w:val="auto"/>
          <w:sz w:val="32"/>
          <w:szCs w:val="32"/>
          <w:highlight w:val="none"/>
          <w:shd w:val="clear" w:color="auto" w:fill="FFFFFF"/>
          <w:lang w:val="en-US" w:eastAsia="zh-CN"/>
        </w:rPr>
      </w:pPr>
      <w:bookmarkStart w:id="77" w:name="_Toc15636"/>
      <w:bookmarkEnd w:id="77"/>
      <w:r>
        <w:rPr>
          <w:rFonts w:hint="eastAsia" w:ascii="仿宋_GB2312" w:hAnsi="仿宋_GB2312" w:eastAsia="仿宋_GB2312" w:cs="仿宋_GB2312"/>
          <w:i w:val="0"/>
          <w:iCs w:val="0"/>
          <w:color w:val="auto"/>
          <w:sz w:val="32"/>
          <w:szCs w:val="32"/>
          <w:highlight w:val="none"/>
          <w:shd w:val="clear" w:color="auto" w:fill="FFFFFF"/>
          <w:lang w:val="en-US" w:eastAsia="zh-CN"/>
        </w:rPr>
        <w:br w:type="page"/>
      </w:r>
    </w:p>
    <w:p w14:paraId="7F812FAD">
      <w:pPr>
        <w:widowControl/>
        <w:jc w:val="left"/>
        <w:rPr>
          <w:rFonts w:ascii="黑体" w:hAnsi="黑体" w:eastAsia="黑体" w:cs="黑体"/>
          <w:i w:val="0"/>
          <w:iCs w:val="0"/>
          <w:color w:val="auto"/>
          <w:sz w:val="32"/>
          <w:szCs w:val="32"/>
          <w:highlight w:val="none"/>
        </w:rPr>
      </w:pPr>
      <w:r>
        <w:rPr>
          <w:rFonts w:hint="eastAsia" w:ascii="黑体" w:hAnsi="黑体" w:eastAsia="黑体" w:cs="黑体"/>
          <w:i w:val="0"/>
          <w:iCs w:val="0"/>
          <w:color w:val="auto"/>
          <w:sz w:val="32"/>
          <w:szCs w:val="32"/>
          <w:highlight w:val="none"/>
        </w:rPr>
        <w:t>附件1：</w:t>
      </w:r>
    </w:p>
    <w:p w14:paraId="03EF49F3">
      <w:pPr>
        <w:pStyle w:val="53"/>
        <w:jc w:val="center"/>
        <w:rPr>
          <w:rFonts w:hint="eastAsia"/>
          <w:b/>
          <w:i w:val="0"/>
          <w:iCs w:val="0"/>
          <w:color w:val="auto"/>
          <w:sz w:val="28"/>
          <w:szCs w:val="28"/>
          <w:highlight w:val="none"/>
        </w:rPr>
      </w:pPr>
      <w:r>
        <w:rPr>
          <w:rFonts w:hint="eastAsia"/>
          <w:b/>
          <w:i w:val="0"/>
          <w:iCs w:val="0"/>
          <w:color w:val="auto"/>
          <w:sz w:val="28"/>
          <w:szCs w:val="28"/>
          <w:highlight w:val="none"/>
        </w:rPr>
        <w:t>中小企业划型标准规定</w:t>
      </w:r>
    </w:p>
    <w:p w14:paraId="65AAF44C">
      <w:pPr>
        <w:pStyle w:val="53"/>
        <w:jc w:val="center"/>
        <w:rPr>
          <w:rFonts w:ascii="宋体" w:hAnsi="宋体"/>
          <w:i w:val="0"/>
          <w:iCs w:val="0"/>
          <w:color w:val="auto"/>
          <w:szCs w:val="21"/>
          <w:highlight w:val="none"/>
        </w:rPr>
      </w:pPr>
      <w:r>
        <w:rPr>
          <w:rFonts w:hint="eastAsia" w:ascii="宋体" w:hAnsi="宋体"/>
          <w:i w:val="0"/>
          <w:iCs w:val="0"/>
          <w:color w:val="auto"/>
          <w:szCs w:val="21"/>
          <w:highlight w:val="none"/>
        </w:rPr>
        <w:t>工信部联企业〔2011〕300号</w:t>
      </w:r>
    </w:p>
    <w:p w14:paraId="510D98D6">
      <w:pPr>
        <w:pStyle w:val="53"/>
        <w:rPr>
          <w:rFonts w:hint="eastAsia"/>
          <w:i w:val="0"/>
          <w:iCs w:val="0"/>
          <w:color w:val="auto"/>
          <w:sz w:val="24"/>
          <w:szCs w:val="21"/>
          <w:highlight w:val="none"/>
        </w:rPr>
      </w:pPr>
    </w:p>
    <w:p w14:paraId="56D24AB0">
      <w:pPr>
        <w:pStyle w:val="53"/>
        <w:rPr>
          <w:i w:val="0"/>
          <w:iCs w:val="0"/>
          <w:color w:val="auto"/>
          <w:szCs w:val="21"/>
          <w:highlight w:val="none"/>
        </w:rPr>
      </w:pPr>
      <w:r>
        <w:rPr>
          <w:rFonts w:hint="eastAsia"/>
          <w:i w:val="0"/>
          <w:iCs w:val="0"/>
          <w:color w:val="auto"/>
          <w:szCs w:val="21"/>
          <w:highlight w:val="none"/>
        </w:rPr>
        <w:t>一、根据《中华人民共和国中小企业促进法》和《国务院关于进一步促进中小企业发展的若干意见》</w:t>
      </w:r>
      <w:r>
        <w:rPr>
          <w:i w:val="0"/>
          <w:iCs w:val="0"/>
          <w:color w:val="auto"/>
          <w:szCs w:val="21"/>
          <w:highlight w:val="none"/>
        </w:rPr>
        <w:t>(国发〔2009〕36号)</w:t>
      </w:r>
      <w:r>
        <w:rPr>
          <w:rFonts w:hint="eastAsia"/>
          <w:i w:val="0"/>
          <w:iCs w:val="0"/>
          <w:color w:val="auto"/>
          <w:szCs w:val="21"/>
          <w:highlight w:val="none"/>
          <w:lang w:eastAsia="zh-CN"/>
        </w:rPr>
        <w:t>，</w:t>
      </w:r>
      <w:r>
        <w:rPr>
          <w:rFonts w:hint="eastAsia"/>
          <w:i w:val="0"/>
          <w:iCs w:val="0"/>
          <w:color w:val="auto"/>
          <w:szCs w:val="21"/>
          <w:highlight w:val="none"/>
        </w:rPr>
        <w:t>制定本规定。</w:t>
      </w:r>
    </w:p>
    <w:p w14:paraId="1AF44ECF">
      <w:pPr>
        <w:pStyle w:val="53"/>
        <w:rPr>
          <w:i w:val="0"/>
          <w:iCs w:val="0"/>
          <w:color w:val="auto"/>
          <w:szCs w:val="21"/>
          <w:highlight w:val="none"/>
        </w:rPr>
      </w:pPr>
      <w:r>
        <w:rPr>
          <w:rFonts w:hint="eastAsia"/>
          <w:i w:val="0"/>
          <w:iCs w:val="0"/>
          <w:color w:val="auto"/>
          <w:szCs w:val="21"/>
          <w:highlight w:val="none"/>
        </w:rPr>
        <w:t>二、中小企业划分为中型、小型、微型三种类型</w:t>
      </w:r>
      <w:r>
        <w:rPr>
          <w:rFonts w:hint="eastAsia"/>
          <w:i w:val="0"/>
          <w:iCs w:val="0"/>
          <w:color w:val="auto"/>
          <w:szCs w:val="21"/>
          <w:highlight w:val="none"/>
          <w:lang w:eastAsia="zh-CN"/>
        </w:rPr>
        <w:t>，</w:t>
      </w:r>
      <w:r>
        <w:rPr>
          <w:rFonts w:hint="eastAsia"/>
          <w:i w:val="0"/>
          <w:iCs w:val="0"/>
          <w:color w:val="auto"/>
          <w:szCs w:val="21"/>
          <w:highlight w:val="none"/>
        </w:rPr>
        <w:t>具体标准根据企业从业人员、营业收入、资产总额等指标</w:t>
      </w:r>
      <w:r>
        <w:rPr>
          <w:rFonts w:hint="eastAsia"/>
          <w:i w:val="0"/>
          <w:iCs w:val="0"/>
          <w:color w:val="auto"/>
          <w:szCs w:val="21"/>
          <w:highlight w:val="none"/>
          <w:lang w:eastAsia="zh-CN"/>
        </w:rPr>
        <w:t>，</w:t>
      </w:r>
      <w:r>
        <w:rPr>
          <w:rFonts w:hint="eastAsia"/>
          <w:i w:val="0"/>
          <w:iCs w:val="0"/>
          <w:color w:val="auto"/>
          <w:szCs w:val="21"/>
          <w:highlight w:val="none"/>
        </w:rPr>
        <w:t>结合行业特点制定。</w:t>
      </w:r>
    </w:p>
    <w:p w14:paraId="5E2CD916">
      <w:pPr>
        <w:pStyle w:val="53"/>
        <w:rPr>
          <w:i w:val="0"/>
          <w:iCs w:val="0"/>
          <w:color w:val="auto"/>
          <w:szCs w:val="21"/>
          <w:highlight w:val="none"/>
        </w:rPr>
      </w:pPr>
      <w:r>
        <w:rPr>
          <w:rFonts w:hint="eastAsia"/>
          <w:i w:val="0"/>
          <w:iCs w:val="0"/>
          <w:color w:val="auto"/>
          <w:szCs w:val="21"/>
          <w:highlight w:val="none"/>
        </w:rPr>
        <w:t>三、本规定适用的行业包括：农、林、牧、渔业</w:t>
      </w:r>
      <w:r>
        <w:rPr>
          <w:rFonts w:hint="eastAsia"/>
          <w:i w:val="0"/>
          <w:iCs w:val="0"/>
          <w:color w:val="auto"/>
          <w:szCs w:val="21"/>
          <w:highlight w:val="none"/>
          <w:lang w:eastAsia="zh-CN"/>
        </w:rPr>
        <w:t>，</w:t>
      </w:r>
      <w:r>
        <w:rPr>
          <w:rFonts w:hint="eastAsia"/>
          <w:i w:val="0"/>
          <w:iCs w:val="0"/>
          <w:color w:val="auto"/>
          <w:szCs w:val="21"/>
          <w:highlight w:val="none"/>
        </w:rPr>
        <w:t>工业（包括采矿业</w:t>
      </w:r>
      <w:r>
        <w:rPr>
          <w:rFonts w:hint="eastAsia"/>
          <w:i w:val="0"/>
          <w:iCs w:val="0"/>
          <w:color w:val="auto"/>
          <w:szCs w:val="21"/>
          <w:highlight w:val="none"/>
          <w:lang w:eastAsia="zh-CN"/>
        </w:rPr>
        <w:t>，</w:t>
      </w:r>
      <w:r>
        <w:rPr>
          <w:rFonts w:hint="eastAsia"/>
          <w:i w:val="0"/>
          <w:iCs w:val="0"/>
          <w:color w:val="auto"/>
          <w:szCs w:val="21"/>
          <w:highlight w:val="none"/>
        </w:rPr>
        <w:t>制造业</w:t>
      </w:r>
      <w:r>
        <w:rPr>
          <w:rFonts w:hint="eastAsia"/>
          <w:i w:val="0"/>
          <w:iCs w:val="0"/>
          <w:color w:val="auto"/>
          <w:szCs w:val="21"/>
          <w:highlight w:val="none"/>
          <w:lang w:eastAsia="zh-CN"/>
        </w:rPr>
        <w:t>，</w:t>
      </w:r>
      <w:r>
        <w:rPr>
          <w:rFonts w:hint="eastAsia"/>
          <w:i w:val="0"/>
          <w:iCs w:val="0"/>
          <w:color w:val="auto"/>
          <w:szCs w:val="21"/>
          <w:highlight w:val="none"/>
        </w:rPr>
        <w:t>电力、热力、燃气及水生产和供应业）</w:t>
      </w:r>
      <w:r>
        <w:rPr>
          <w:rFonts w:hint="eastAsia"/>
          <w:i w:val="0"/>
          <w:iCs w:val="0"/>
          <w:color w:val="auto"/>
          <w:szCs w:val="21"/>
          <w:highlight w:val="none"/>
          <w:lang w:eastAsia="zh-CN"/>
        </w:rPr>
        <w:t>，</w:t>
      </w:r>
      <w:r>
        <w:rPr>
          <w:rFonts w:hint="eastAsia"/>
          <w:i w:val="0"/>
          <w:iCs w:val="0"/>
          <w:color w:val="auto"/>
          <w:szCs w:val="21"/>
          <w:highlight w:val="none"/>
        </w:rPr>
        <w:t>建筑业</w:t>
      </w:r>
      <w:r>
        <w:rPr>
          <w:rFonts w:hint="eastAsia"/>
          <w:i w:val="0"/>
          <w:iCs w:val="0"/>
          <w:color w:val="auto"/>
          <w:szCs w:val="21"/>
          <w:highlight w:val="none"/>
          <w:lang w:eastAsia="zh-CN"/>
        </w:rPr>
        <w:t>，</w:t>
      </w:r>
      <w:r>
        <w:rPr>
          <w:rFonts w:hint="eastAsia"/>
          <w:i w:val="0"/>
          <w:iCs w:val="0"/>
          <w:color w:val="auto"/>
          <w:szCs w:val="21"/>
          <w:highlight w:val="none"/>
        </w:rPr>
        <w:t>批发业</w:t>
      </w:r>
      <w:r>
        <w:rPr>
          <w:rFonts w:hint="eastAsia"/>
          <w:i w:val="0"/>
          <w:iCs w:val="0"/>
          <w:color w:val="auto"/>
          <w:szCs w:val="21"/>
          <w:highlight w:val="none"/>
          <w:lang w:eastAsia="zh-CN"/>
        </w:rPr>
        <w:t>，</w:t>
      </w:r>
      <w:r>
        <w:rPr>
          <w:rFonts w:hint="eastAsia"/>
          <w:i w:val="0"/>
          <w:iCs w:val="0"/>
          <w:color w:val="auto"/>
          <w:szCs w:val="21"/>
          <w:highlight w:val="none"/>
        </w:rPr>
        <w:t>零售业</w:t>
      </w:r>
      <w:r>
        <w:rPr>
          <w:rFonts w:hint="eastAsia"/>
          <w:i w:val="0"/>
          <w:iCs w:val="0"/>
          <w:color w:val="auto"/>
          <w:szCs w:val="21"/>
          <w:highlight w:val="none"/>
          <w:lang w:eastAsia="zh-CN"/>
        </w:rPr>
        <w:t>，</w:t>
      </w:r>
      <w:r>
        <w:rPr>
          <w:rFonts w:hint="eastAsia"/>
          <w:i w:val="0"/>
          <w:iCs w:val="0"/>
          <w:color w:val="auto"/>
          <w:szCs w:val="21"/>
          <w:highlight w:val="none"/>
        </w:rPr>
        <w:t>交通运输业（不含铁路运输业）</w:t>
      </w:r>
      <w:r>
        <w:rPr>
          <w:rFonts w:hint="eastAsia"/>
          <w:i w:val="0"/>
          <w:iCs w:val="0"/>
          <w:color w:val="auto"/>
          <w:szCs w:val="21"/>
          <w:highlight w:val="none"/>
          <w:lang w:eastAsia="zh-CN"/>
        </w:rPr>
        <w:t>，</w:t>
      </w:r>
      <w:r>
        <w:rPr>
          <w:rFonts w:hint="eastAsia"/>
          <w:i w:val="0"/>
          <w:iCs w:val="0"/>
          <w:color w:val="auto"/>
          <w:szCs w:val="21"/>
          <w:highlight w:val="none"/>
        </w:rPr>
        <w:t>仓储业</w:t>
      </w:r>
      <w:r>
        <w:rPr>
          <w:rFonts w:hint="eastAsia"/>
          <w:i w:val="0"/>
          <w:iCs w:val="0"/>
          <w:color w:val="auto"/>
          <w:szCs w:val="21"/>
          <w:highlight w:val="none"/>
          <w:lang w:eastAsia="zh-CN"/>
        </w:rPr>
        <w:t>，</w:t>
      </w:r>
      <w:r>
        <w:rPr>
          <w:rFonts w:hint="eastAsia"/>
          <w:i w:val="0"/>
          <w:iCs w:val="0"/>
          <w:color w:val="auto"/>
          <w:szCs w:val="21"/>
          <w:highlight w:val="none"/>
        </w:rPr>
        <w:t>邮政业</w:t>
      </w:r>
      <w:r>
        <w:rPr>
          <w:rFonts w:hint="eastAsia"/>
          <w:i w:val="0"/>
          <w:iCs w:val="0"/>
          <w:color w:val="auto"/>
          <w:szCs w:val="21"/>
          <w:highlight w:val="none"/>
          <w:lang w:eastAsia="zh-CN"/>
        </w:rPr>
        <w:t>，</w:t>
      </w:r>
      <w:r>
        <w:rPr>
          <w:rFonts w:hint="eastAsia"/>
          <w:i w:val="0"/>
          <w:iCs w:val="0"/>
          <w:color w:val="auto"/>
          <w:szCs w:val="21"/>
          <w:highlight w:val="none"/>
        </w:rPr>
        <w:t>住宿业</w:t>
      </w:r>
      <w:r>
        <w:rPr>
          <w:rFonts w:hint="eastAsia"/>
          <w:i w:val="0"/>
          <w:iCs w:val="0"/>
          <w:color w:val="auto"/>
          <w:szCs w:val="21"/>
          <w:highlight w:val="none"/>
          <w:lang w:eastAsia="zh-CN"/>
        </w:rPr>
        <w:t>，</w:t>
      </w:r>
      <w:r>
        <w:rPr>
          <w:rFonts w:hint="eastAsia"/>
          <w:i w:val="0"/>
          <w:iCs w:val="0"/>
          <w:color w:val="auto"/>
          <w:szCs w:val="21"/>
          <w:highlight w:val="none"/>
        </w:rPr>
        <w:t>餐饮业</w:t>
      </w:r>
      <w:r>
        <w:rPr>
          <w:rFonts w:hint="eastAsia"/>
          <w:i w:val="0"/>
          <w:iCs w:val="0"/>
          <w:color w:val="auto"/>
          <w:szCs w:val="21"/>
          <w:highlight w:val="none"/>
          <w:lang w:eastAsia="zh-CN"/>
        </w:rPr>
        <w:t>，</w:t>
      </w:r>
      <w:r>
        <w:rPr>
          <w:rFonts w:hint="eastAsia"/>
          <w:i w:val="0"/>
          <w:iCs w:val="0"/>
          <w:color w:val="auto"/>
          <w:szCs w:val="21"/>
          <w:highlight w:val="none"/>
        </w:rPr>
        <w:t>信息传输业（包括电信、互联网和相关服务）</w:t>
      </w:r>
      <w:r>
        <w:rPr>
          <w:rFonts w:hint="eastAsia"/>
          <w:i w:val="0"/>
          <w:iCs w:val="0"/>
          <w:color w:val="auto"/>
          <w:szCs w:val="21"/>
          <w:highlight w:val="none"/>
          <w:lang w:eastAsia="zh-CN"/>
        </w:rPr>
        <w:t>，</w:t>
      </w:r>
      <w:r>
        <w:rPr>
          <w:rFonts w:hint="eastAsia"/>
          <w:i w:val="0"/>
          <w:iCs w:val="0"/>
          <w:color w:val="auto"/>
          <w:szCs w:val="21"/>
          <w:highlight w:val="none"/>
        </w:rPr>
        <w:t>软件和信息技术服务业</w:t>
      </w:r>
      <w:r>
        <w:rPr>
          <w:rFonts w:hint="eastAsia"/>
          <w:i w:val="0"/>
          <w:iCs w:val="0"/>
          <w:color w:val="auto"/>
          <w:szCs w:val="21"/>
          <w:highlight w:val="none"/>
          <w:lang w:eastAsia="zh-CN"/>
        </w:rPr>
        <w:t>，</w:t>
      </w:r>
      <w:r>
        <w:rPr>
          <w:rFonts w:hint="eastAsia"/>
          <w:i w:val="0"/>
          <w:iCs w:val="0"/>
          <w:color w:val="auto"/>
          <w:szCs w:val="21"/>
          <w:highlight w:val="none"/>
        </w:rPr>
        <w:t>房地产开发经营</w:t>
      </w:r>
      <w:r>
        <w:rPr>
          <w:rFonts w:hint="eastAsia"/>
          <w:i w:val="0"/>
          <w:iCs w:val="0"/>
          <w:color w:val="auto"/>
          <w:szCs w:val="21"/>
          <w:highlight w:val="none"/>
          <w:lang w:eastAsia="zh-CN"/>
        </w:rPr>
        <w:t>，</w:t>
      </w:r>
      <w:r>
        <w:rPr>
          <w:rFonts w:hint="eastAsia"/>
          <w:i w:val="0"/>
          <w:iCs w:val="0"/>
          <w:color w:val="auto"/>
          <w:szCs w:val="21"/>
          <w:highlight w:val="none"/>
        </w:rPr>
        <w:t>物业管理</w:t>
      </w:r>
      <w:r>
        <w:rPr>
          <w:rFonts w:hint="eastAsia"/>
          <w:i w:val="0"/>
          <w:iCs w:val="0"/>
          <w:color w:val="auto"/>
          <w:szCs w:val="21"/>
          <w:highlight w:val="none"/>
          <w:lang w:eastAsia="zh-CN"/>
        </w:rPr>
        <w:t>，</w:t>
      </w:r>
      <w:r>
        <w:rPr>
          <w:rFonts w:hint="eastAsia"/>
          <w:i w:val="0"/>
          <w:iCs w:val="0"/>
          <w:color w:val="auto"/>
          <w:szCs w:val="21"/>
          <w:highlight w:val="none"/>
        </w:rPr>
        <w:t>租赁和商务服务业</w:t>
      </w:r>
      <w:r>
        <w:rPr>
          <w:rFonts w:hint="eastAsia"/>
          <w:i w:val="0"/>
          <w:iCs w:val="0"/>
          <w:color w:val="auto"/>
          <w:szCs w:val="21"/>
          <w:highlight w:val="none"/>
          <w:lang w:eastAsia="zh-CN"/>
        </w:rPr>
        <w:t>，</w:t>
      </w:r>
      <w:r>
        <w:rPr>
          <w:rFonts w:hint="eastAsia"/>
          <w:i w:val="0"/>
          <w:iCs w:val="0"/>
          <w:color w:val="auto"/>
          <w:szCs w:val="21"/>
          <w:highlight w:val="none"/>
        </w:rPr>
        <w:t>其他未列明行业（包括科学研究和技术服务业</w:t>
      </w:r>
      <w:r>
        <w:rPr>
          <w:rFonts w:hint="eastAsia"/>
          <w:i w:val="0"/>
          <w:iCs w:val="0"/>
          <w:color w:val="auto"/>
          <w:szCs w:val="21"/>
          <w:highlight w:val="none"/>
          <w:lang w:eastAsia="zh-CN"/>
        </w:rPr>
        <w:t>，</w:t>
      </w:r>
      <w:r>
        <w:rPr>
          <w:rFonts w:hint="eastAsia"/>
          <w:i w:val="0"/>
          <w:iCs w:val="0"/>
          <w:color w:val="auto"/>
          <w:szCs w:val="21"/>
          <w:highlight w:val="none"/>
        </w:rPr>
        <w:t>水利、环境和公共设施管理业</w:t>
      </w:r>
      <w:r>
        <w:rPr>
          <w:rFonts w:hint="eastAsia"/>
          <w:i w:val="0"/>
          <w:iCs w:val="0"/>
          <w:color w:val="auto"/>
          <w:szCs w:val="21"/>
          <w:highlight w:val="none"/>
          <w:lang w:eastAsia="zh-CN"/>
        </w:rPr>
        <w:t>，</w:t>
      </w:r>
      <w:r>
        <w:rPr>
          <w:rFonts w:hint="eastAsia"/>
          <w:i w:val="0"/>
          <w:iCs w:val="0"/>
          <w:color w:val="auto"/>
          <w:szCs w:val="21"/>
          <w:highlight w:val="none"/>
        </w:rPr>
        <w:t>居民服务、修理和其他服务业</w:t>
      </w:r>
      <w:r>
        <w:rPr>
          <w:rFonts w:hint="eastAsia"/>
          <w:i w:val="0"/>
          <w:iCs w:val="0"/>
          <w:color w:val="auto"/>
          <w:szCs w:val="21"/>
          <w:highlight w:val="none"/>
          <w:lang w:eastAsia="zh-CN"/>
        </w:rPr>
        <w:t>，</w:t>
      </w:r>
      <w:r>
        <w:rPr>
          <w:rFonts w:hint="eastAsia"/>
          <w:i w:val="0"/>
          <w:iCs w:val="0"/>
          <w:color w:val="auto"/>
          <w:szCs w:val="21"/>
          <w:highlight w:val="none"/>
        </w:rPr>
        <w:t>社会工作</w:t>
      </w:r>
      <w:r>
        <w:rPr>
          <w:rFonts w:hint="eastAsia"/>
          <w:i w:val="0"/>
          <w:iCs w:val="0"/>
          <w:color w:val="auto"/>
          <w:szCs w:val="21"/>
          <w:highlight w:val="none"/>
          <w:lang w:eastAsia="zh-CN"/>
        </w:rPr>
        <w:t>，</w:t>
      </w:r>
      <w:r>
        <w:rPr>
          <w:rFonts w:hint="eastAsia"/>
          <w:i w:val="0"/>
          <w:iCs w:val="0"/>
          <w:color w:val="auto"/>
          <w:szCs w:val="21"/>
          <w:highlight w:val="none"/>
        </w:rPr>
        <w:t>文化、体育和娱乐业等）。</w:t>
      </w:r>
    </w:p>
    <w:p w14:paraId="2256D5FC">
      <w:pPr>
        <w:pStyle w:val="53"/>
        <w:rPr>
          <w:i w:val="0"/>
          <w:iCs w:val="0"/>
          <w:color w:val="auto"/>
          <w:szCs w:val="21"/>
          <w:highlight w:val="none"/>
        </w:rPr>
      </w:pPr>
      <w:r>
        <w:rPr>
          <w:rFonts w:hint="eastAsia"/>
          <w:i w:val="0"/>
          <w:iCs w:val="0"/>
          <w:color w:val="auto"/>
          <w:szCs w:val="21"/>
          <w:highlight w:val="none"/>
        </w:rPr>
        <w:t>四、各行业划型标准为：</w:t>
      </w:r>
    </w:p>
    <w:p w14:paraId="5052046B">
      <w:pPr>
        <w:pStyle w:val="53"/>
        <w:rPr>
          <w:i w:val="0"/>
          <w:iCs w:val="0"/>
          <w:color w:val="auto"/>
          <w:szCs w:val="21"/>
          <w:highlight w:val="none"/>
        </w:rPr>
      </w:pPr>
      <w:r>
        <w:rPr>
          <w:rFonts w:hint="eastAsia"/>
          <w:i w:val="0"/>
          <w:iCs w:val="0"/>
          <w:color w:val="auto"/>
          <w:szCs w:val="21"/>
          <w:highlight w:val="none"/>
        </w:rPr>
        <w:t>（一）农、林、牧、渔业。营业收入</w:t>
      </w:r>
      <w:r>
        <w:rPr>
          <w:i w:val="0"/>
          <w:iCs w:val="0"/>
          <w:color w:val="auto"/>
          <w:szCs w:val="21"/>
          <w:highlight w:val="none"/>
        </w:rPr>
        <w:t>20000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营业收入</w:t>
      </w:r>
      <w:r>
        <w:rPr>
          <w:i w:val="0"/>
          <w:iCs w:val="0"/>
          <w:color w:val="auto"/>
          <w:szCs w:val="21"/>
          <w:highlight w:val="none"/>
        </w:rPr>
        <w:t>500</w:t>
      </w:r>
      <w:r>
        <w:rPr>
          <w:rFonts w:hint="eastAsia"/>
          <w:i w:val="0"/>
          <w:iCs w:val="0"/>
          <w:color w:val="auto"/>
          <w:szCs w:val="21"/>
          <w:highlight w:val="none"/>
        </w:rPr>
        <w:t>万元及以上的为中型企业</w:t>
      </w:r>
      <w:r>
        <w:rPr>
          <w:rFonts w:hint="eastAsia"/>
          <w:i w:val="0"/>
          <w:iCs w:val="0"/>
          <w:color w:val="auto"/>
          <w:szCs w:val="21"/>
          <w:highlight w:val="none"/>
          <w:lang w:eastAsia="zh-CN"/>
        </w:rPr>
        <w:t>，</w:t>
      </w:r>
      <w:r>
        <w:rPr>
          <w:rFonts w:hint="eastAsia"/>
          <w:i w:val="0"/>
          <w:iCs w:val="0"/>
          <w:color w:val="auto"/>
          <w:szCs w:val="21"/>
          <w:highlight w:val="none"/>
        </w:rPr>
        <w:t>营业收入</w:t>
      </w:r>
      <w:r>
        <w:rPr>
          <w:i w:val="0"/>
          <w:iCs w:val="0"/>
          <w:color w:val="auto"/>
          <w:szCs w:val="21"/>
          <w:highlight w:val="none"/>
        </w:rPr>
        <w:t>50</w:t>
      </w:r>
      <w:r>
        <w:rPr>
          <w:rFonts w:hint="eastAsia"/>
          <w:i w:val="0"/>
          <w:iCs w:val="0"/>
          <w:color w:val="auto"/>
          <w:szCs w:val="21"/>
          <w:highlight w:val="none"/>
        </w:rPr>
        <w:t>万元及以上的为小型企业</w:t>
      </w:r>
      <w:r>
        <w:rPr>
          <w:rFonts w:hint="eastAsia"/>
          <w:i w:val="0"/>
          <w:iCs w:val="0"/>
          <w:color w:val="auto"/>
          <w:szCs w:val="21"/>
          <w:highlight w:val="none"/>
          <w:lang w:eastAsia="zh-CN"/>
        </w:rPr>
        <w:t>，</w:t>
      </w:r>
      <w:r>
        <w:rPr>
          <w:rFonts w:hint="eastAsia"/>
          <w:i w:val="0"/>
          <w:iCs w:val="0"/>
          <w:color w:val="auto"/>
          <w:szCs w:val="21"/>
          <w:highlight w:val="none"/>
        </w:rPr>
        <w:t>营业收入</w:t>
      </w:r>
      <w:r>
        <w:rPr>
          <w:i w:val="0"/>
          <w:iCs w:val="0"/>
          <w:color w:val="auto"/>
          <w:szCs w:val="21"/>
          <w:highlight w:val="none"/>
        </w:rPr>
        <w:t>50</w:t>
      </w:r>
      <w:r>
        <w:rPr>
          <w:rFonts w:hint="eastAsia"/>
          <w:i w:val="0"/>
          <w:iCs w:val="0"/>
          <w:color w:val="auto"/>
          <w:szCs w:val="21"/>
          <w:highlight w:val="none"/>
        </w:rPr>
        <w:t>万元以下的为微型企业。</w:t>
      </w:r>
    </w:p>
    <w:p w14:paraId="4D9FE77E">
      <w:pPr>
        <w:pStyle w:val="53"/>
        <w:rPr>
          <w:i w:val="0"/>
          <w:iCs w:val="0"/>
          <w:color w:val="auto"/>
          <w:szCs w:val="21"/>
          <w:highlight w:val="none"/>
        </w:rPr>
      </w:pPr>
      <w:r>
        <w:rPr>
          <w:rFonts w:hint="eastAsia"/>
          <w:i w:val="0"/>
          <w:iCs w:val="0"/>
          <w:color w:val="auto"/>
          <w:szCs w:val="21"/>
          <w:highlight w:val="none"/>
        </w:rPr>
        <w:t>（二）工业。从业人员</w:t>
      </w:r>
      <w:r>
        <w:rPr>
          <w:i w:val="0"/>
          <w:iCs w:val="0"/>
          <w:color w:val="auto"/>
          <w:szCs w:val="21"/>
          <w:highlight w:val="none"/>
        </w:rPr>
        <w:t>1000</w:t>
      </w:r>
      <w:r>
        <w:rPr>
          <w:rFonts w:hint="eastAsia"/>
          <w:i w:val="0"/>
          <w:iCs w:val="0"/>
          <w:color w:val="auto"/>
          <w:szCs w:val="21"/>
          <w:highlight w:val="none"/>
        </w:rPr>
        <w:t>人以下或营业收入</w:t>
      </w:r>
      <w:r>
        <w:rPr>
          <w:i w:val="0"/>
          <w:iCs w:val="0"/>
          <w:color w:val="auto"/>
          <w:szCs w:val="21"/>
          <w:highlight w:val="none"/>
        </w:rPr>
        <w:t>40000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300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2000</w:t>
      </w:r>
      <w:r>
        <w:rPr>
          <w:rFonts w:hint="eastAsia"/>
          <w:i w:val="0"/>
          <w:iCs w:val="0"/>
          <w:color w:val="auto"/>
          <w:szCs w:val="21"/>
          <w:highlight w:val="none"/>
        </w:rPr>
        <w:t>万元及以上的为中型企业；从业人员</w:t>
      </w:r>
      <w:r>
        <w:rPr>
          <w:i w:val="0"/>
          <w:iCs w:val="0"/>
          <w:color w:val="auto"/>
          <w:szCs w:val="21"/>
          <w:highlight w:val="none"/>
        </w:rPr>
        <w:t>20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300</w:t>
      </w:r>
      <w:r>
        <w:rPr>
          <w:rFonts w:hint="eastAsia"/>
          <w:i w:val="0"/>
          <w:iCs w:val="0"/>
          <w:color w:val="auto"/>
          <w:szCs w:val="21"/>
          <w:highlight w:val="none"/>
        </w:rPr>
        <w:t>万元及以上的为小型企业；从业人员</w:t>
      </w:r>
      <w:r>
        <w:rPr>
          <w:i w:val="0"/>
          <w:iCs w:val="0"/>
          <w:color w:val="auto"/>
          <w:szCs w:val="21"/>
          <w:highlight w:val="none"/>
        </w:rPr>
        <w:t>20</w:t>
      </w:r>
      <w:r>
        <w:rPr>
          <w:rFonts w:hint="eastAsia"/>
          <w:i w:val="0"/>
          <w:iCs w:val="0"/>
          <w:color w:val="auto"/>
          <w:szCs w:val="21"/>
          <w:highlight w:val="none"/>
        </w:rPr>
        <w:t>人以下或营业收入</w:t>
      </w:r>
      <w:r>
        <w:rPr>
          <w:i w:val="0"/>
          <w:iCs w:val="0"/>
          <w:color w:val="auto"/>
          <w:szCs w:val="21"/>
          <w:highlight w:val="none"/>
        </w:rPr>
        <w:t>300</w:t>
      </w:r>
      <w:r>
        <w:rPr>
          <w:rFonts w:hint="eastAsia"/>
          <w:i w:val="0"/>
          <w:iCs w:val="0"/>
          <w:color w:val="auto"/>
          <w:szCs w:val="21"/>
          <w:highlight w:val="none"/>
        </w:rPr>
        <w:t>万元以下的为微型企业。</w:t>
      </w:r>
    </w:p>
    <w:p w14:paraId="1BF9FA95">
      <w:pPr>
        <w:pStyle w:val="53"/>
        <w:rPr>
          <w:i w:val="0"/>
          <w:iCs w:val="0"/>
          <w:color w:val="auto"/>
          <w:szCs w:val="21"/>
          <w:highlight w:val="none"/>
        </w:rPr>
      </w:pPr>
      <w:r>
        <w:rPr>
          <w:rFonts w:hint="eastAsia"/>
          <w:i w:val="0"/>
          <w:iCs w:val="0"/>
          <w:color w:val="auto"/>
          <w:szCs w:val="21"/>
          <w:highlight w:val="none"/>
        </w:rPr>
        <w:t>（三）建筑业。营业收入</w:t>
      </w:r>
      <w:r>
        <w:rPr>
          <w:i w:val="0"/>
          <w:iCs w:val="0"/>
          <w:color w:val="auto"/>
          <w:szCs w:val="21"/>
          <w:highlight w:val="none"/>
        </w:rPr>
        <w:t>80000</w:t>
      </w:r>
      <w:r>
        <w:rPr>
          <w:rFonts w:hint="eastAsia"/>
          <w:i w:val="0"/>
          <w:iCs w:val="0"/>
          <w:color w:val="auto"/>
          <w:szCs w:val="21"/>
          <w:highlight w:val="none"/>
        </w:rPr>
        <w:t>万元以下或资产总额</w:t>
      </w:r>
      <w:r>
        <w:rPr>
          <w:i w:val="0"/>
          <w:iCs w:val="0"/>
          <w:color w:val="auto"/>
          <w:szCs w:val="21"/>
          <w:highlight w:val="none"/>
        </w:rPr>
        <w:t>80000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营业收入</w:t>
      </w:r>
      <w:r>
        <w:rPr>
          <w:i w:val="0"/>
          <w:iCs w:val="0"/>
          <w:color w:val="auto"/>
          <w:szCs w:val="21"/>
          <w:highlight w:val="none"/>
        </w:rPr>
        <w:t>6000</w:t>
      </w:r>
      <w:r>
        <w:rPr>
          <w:rFonts w:hint="eastAsia"/>
          <w:i w:val="0"/>
          <w:iCs w:val="0"/>
          <w:color w:val="auto"/>
          <w:szCs w:val="21"/>
          <w:highlight w:val="none"/>
        </w:rPr>
        <w:t>万元及以上</w:t>
      </w:r>
      <w:r>
        <w:rPr>
          <w:rFonts w:hint="eastAsia"/>
          <w:i w:val="0"/>
          <w:iCs w:val="0"/>
          <w:color w:val="auto"/>
          <w:szCs w:val="21"/>
          <w:highlight w:val="none"/>
          <w:lang w:eastAsia="zh-CN"/>
        </w:rPr>
        <w:t>，</w:t>
      </w:r>
      <w:r>
        <w:rPr>
          <w:rFonts w:hint="eastAsia"/>
          <w:i w:val="0"/>
          <w:iCs w:val="0"/>
          <w:color w:val="auto"/>
          <w:szCs w:val="21"/>
          <w:highlight w:val="none"/>
        </w:rPr>
        <w:t>且资产总额</w:t>
      </w:r>
      <w:r>
        <w:rPr>
          <w:i w:val="0"/>
          <w:iCs w:val="0"/>
          <w:color w:val="auto"/>
          <w:szCs w:val="21"/>
          <w:highlight w:val="none"/>
        </w:rPr>
        <w:t>5000</w:t>
      </w:r>
      <w:r>
        <w:rPr>
          <w:rFonts w:hint="eastAsia"/>
          <w:i w:val="0"/>
          <w:iCs w:val="0"/>
          <w:color w:val="auto"/>
          <w:szCs w:val="21"/>
          <w:highlight w:val="none"/>
        </w:rPr>
        <w:t>万元及以上的为中型企业；营业收入</w:t>
      </w:r>
      <w:r>
        <w:rPr>
          <w:i w:val="0"/>
          <w:iCs w:val="0"/>
          <w:color w:val="auto"/>
          <w:szCs w:val="21"/>
          <w:highlight w:val="none"/>
        </w:rPr>
        <w:t>300</w:t>
      </w:r>
      <w:r>
        <w:rPr>
          <w:rFonts w:hint="eastAsia"/>
          <w:i w:val="0"/>
          <w:iCs w:val="0"/>
          <w:color w:val="auto"/>
          <w:szCs w:val="21"/>
          <w:highlight w:val="none"/>
        </w:rPr>
        <w:t>万元及以上</w:t>
      </w:r>
      <w:r>
        <w:rPr>
          <w:rFonts w:hint="eastAsia"/>
          <w:i w:val="0"/>
          <w:iCs w:val="0"/>
          <w:color w:val="auto"/>
          <w:szCs w:val="21"/>
          <w:highlight w:val="none"/>
          <w:lang w:eastAsia="zh-CN"/>
        </w:rPr>
        <w:t>，</w:t>
      </w:r>
      <w:r>
        <w:rPr>
          <w:rFonts w:hint="eastAsia"/>
          <w:i w:val="0"/>
          <w:iCs w:val="0"/>
          <w:color w:val="auto"/>
          <w:szCs w:val="21"/>
          <w:highlight w:val="none"/>
        </w:rPr>
        <w:t>且资产总额</w:t>
      </w:r>
      <w:r>
        <w:rPr>
          <w:i w:val="0"/>
          <w:iCs w:val="0"/>
          <w:color w:val="auto"/>
          <w:szCs w:val="21"/>
          <w:highlight w:val="none"/>
        </w:rPr>
        <w:t>300</w:t>
      </w:r>
      <w:r>
        <w:rPr>
          <w:rFonts w:hint="eastAsia"/>
          <w:i w:val="0"/>
          <w:iCs w:val="0"/>
          <w:color w:val="auto"/>
          <w:szCs w:val="21"/>
          <w:highlight w:val="none"/>
        </w:rPr>
        <w:t>万元及以上的为小型企业；营业收入</w:t>
      </w:r>
      <w:r>
        <w:rPr>
          <w:i w:val="0"/>
          <w:iCs w:val="0"/>
          <w:color w:val="auto"/>
          <w:szCs w:val="21"/>
          <w:highlight w:val="none"/>
        </w:rPr>
        <w:t>300</w:t>
      </w:r>
      <w:r>
        <w:rPr>
          <w:rFonts w:hint="eastAsia"/>
          <w:i w:val="0"/>
          <w:iCs w:val="0"/>
          <w:color w:val="auto"/>
          <w:szCs w:val="21"/>
          <w:highlight w:val="none"/>
        </w:rPr>
        <w:t>万元以下或资产总额</w:t>
      </w:r>
      <w:r>
        <w:rPr>
          <w:i w:val="0"/>
          <w:iCs w:val="0"/>
          <w:color w:val="auto"/>
          <w:szCs w:val="21"/>
          <w:highlight w:val="none"/>
        </w:rPr>
        <w:t>300</w:t>
      </w:r>
      <w:r>
        <w:rPr>
          <w:rFonts w:hint="eastAsia"/>
          <w:i w:val="0"/>
          <w:iCs w:val="0"/>
          <w:color w:val="auto"/>
          <w:szCs w:val="21"/>
          <w:highlight w:val="none"/>
        </w:rPr>
        <w:t>万元以下的为微型企业。</w:t>
      </w:r>
    </w:p>
    <w:p w14:paraId="14C9E1BF">
      <w:pPr>
        <w:pStyle w:val="53"/>
        <w:rPr>
          <w:i w:val="0"/>
          <w:iCs w:val="0"/>
          <w:color w:val="auto"/>
          <w:szCs w:val="21"/>
          <w:highlight w:val="none"/>
        </w:rPr>
      </w:pPr>
      <w:r>
        <w:rPr>
          <w:rFonts w:hint="eastAsia"/>
          <w:i w:val="0"/>
          <w:iCs w:val="0"/>
          <w:color w:val="auto"/>
          <w:szCs w:val="21"/>
          <w:highlight w:val="none"/>
        </w:rPr>
        <w:t>（四）批发业。从业人员</w:t>
      </w:r>
      <w:r>
        <w:rPr>
          <w:i w:val="0"/>
          <w:iCs w:val="0"/>
          <w:color w:val="auto"/>
          <w:szCs w:val="21"/>
          <w:highlight w:val="none"/>
        </w:rPr>
        <w:t>200</w:t>
      </w:r>
      <w:r>
        <w:rPr>
          <w:rFonts w:hint="eastAsia"/>
          <w:i w:val="0"/>
          <w:iCs w:val="0"/>
          <w:color w:val="auto"/>
          <w:szCs w:val="21"/>
          <w:highlight w:val="none"/>
        </w:rPr>
        <w:t>人以下或营业收入</w:t>
      </w:r>
      <w:r>
        <w:rPr>
          <w:i w:val="0"/>
          <w:iCs w:val="0"/>
          <w:color w:val="auto"/>
          <w:szCs w:val="21"/>
          <w:highlight w:val="none"/>
        </w:rPr>
        <w:t>40000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20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5000</w:t>
      </w:r>
      <w:r>
        <w:rPr>
          <w:rFonts w:hint="eastAsia"/>
          <w:i w:val="0"/>
          <w:iCs w:val="0"/>
          <w:color w:val="auto"/>
          <w:szCs w:val="21"/>
          <w:highlight w:val="none"/>
        </w:rPr>
        <w:t>万元及以上的为中型企业；从业人员</w:t>
      </w:r>
      <w:r>
        <w:rPr>
          <w:i w:val="0"/>
          <w:iCs w:val="0"/>
          <w:color w:val="auto"/>
          <w:szCs w:val="21"/>
          <w:highlight w:val="none"/>
        </w:rPr>
        <w:t>5</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1000</w:t>
      </w:r>
      <w:r>
        <w:rPr>
          <w:rFonts w:hint="eastAsia"/>
          <w:i w:val="0"/>
          <w:iCs w:val="0"/>
          <w:color w:val="auto"/>
          <w:szCs w:val="21"/>
          <w:highlight w:val="none"/>
        </w:rPr>
        <w:t>万元及以上的为小型企业；从业人员</w:t>
      </w:r>
      <w:r>
        <w:rPr>
          <w:i w:val="0"/>
          <w:iCs w:val="0"/>
          <w:color w:val="auto"/>
          <w:szCs w:val="21"/>
          <w:highlight w:val="none"/>
        </w:rPr>
        <w:t>5</w:t>
      </w:r>
      <w:r>
        <w:rPr>
          <w:rFonts w:hint="eastAsia"/>
          <w:i w:val="0"/>
          <w:iCs w:val="0"/>
          <w:color w:val="auto"/>
          <w:szCs w:val="21"/>
          <w:highlight w:val="none"/>
        </w:rPr>
        <w:t>人以下或营业收入</w:t>
      </w:r>
      <w:r>
        <w:rPr>
          <w:i w:val="0"/>
          <w:iCs w:val="0"/>
          <w:color w:val="auto"/>
          <w:szCs w:val="21"/>
          <w:highlight w:val="none"/>
        </w:rPr>
        <w:t>1000</w:t>
      </w:r>
      <w:r>
        <w:rPr>
          <w:rFonts w:hint="eastAsia"/>
          <w:i w:val="0"/>
          <w:iCs w:val="0"/>
          <w:color w:val="auto"/>
          <w:szCs w:val="21"/>
          <w:highlight w:val="none"/>
        </w:rPr>
        <w:t>万元以下的为微型企业。</w:t>
      </w:r>
    </w:p>
    <w:p w14:paraId="6F064B8C">
      <w:pPr>
        <w:pStyle w:val="53"/>
        <w:rPr>
          <w:i w:val="0"/>
          <w:iCs w:val="0"/>
          <w:color w:val="auto"/>
          <w:szCs w:val="21"/>
          <w:highlight w:val="none"/>
        </w:rPr>
      </w:pPr>
      <w:r>
        <w:rPr>
          <w:rFonts w:hint="eastAsia"/>
          <w:i w:val="0"/>
          <w:iCs w:val="0"/>
          <w:color w:val="auto"/>
          <w:szCs w:val="21"/>
          <w:highlight w:val="none"/>
        </w:rPr>
        <w:t>（五）零售业。从业人员</w:t>
      </w:r>
      <w:r>
        <w:rPr>
          <w:i w:val="0"/>
          <w:iCs w:val="0"/>
          <w:color w:val="auto"/>
          <w:szCs w:val="21"/>
          <w:highlight w:val="none"/>
        </w:rPr>
        <w:t>300</w:t>
      </w:r>
      <w:r>
        <w:rPr>
          <w:rFonts w:hint="eastAsia"/>
          <w:i w:val="0"/>
          <w:iCs w:val="0"/>
          <w:color w:val="auto"/>
          <w:szCs w:val="21"/>
          <w:highlight w:val="none"/>
        </w:rPr>
        <w:t>人以下或营业收入</w:t>
      </w:r>
      <w:r>
        <w:rPr>
          <w:i w:val="0"/>
          <w:iCs w:val="0"/>
          <w:color w:val="auto"/>
          <w:szCs w:val="21"/>
          <w:highlight w:val="none"/>
        </w:rPr>
        <w:t>20000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50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500</w:t>
      </w:r>
      <w:r>
        <w:rPr>
          <w:rFonts w:hint="eastAsia"/>
          <w:i w:val="0"/>
          <w:iCs w:val="0"/>
          <w:color w:val="auto"/>
          <w:szCs w:val="21"/>
          <w:highlight w:val="none"/>
        </w:rPr>
        <w:t>万元及以上的为中型企业；从业人员</w:t>
      </w:r>
      <w:r>
        <w:rPr>
          <w:i w:val="0"/>
          <w:iCs w:val="0"/>
          <w:color w:val="auto"/>
          <w:szCs w:val="21"/>
          <w:highlight w:val="none"/>
        </w:rPr>
        <w:t>10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10</w:t>
      </w:r>
      <w:r>
        <w:rPr>
          <w:rFonts w:hint="eastAsia"/>
          <w:i w:val="0"/>
          <w:iCs w:val="0"/>
          <w:color w:val="auto"/>
          <w:szCs w:val="21"/>
          <w:highlight w:val="none"/>
        </w:rPr>
        <w:t>人以下或营业收入</w:t>
      </w:r>
      <w:r>
        <w:rPr>
          <w:i w:val="0"/>
          <w:iCs w:val="0"/>
          <w:color w:val="auto"/>
          <w:szCs w:val="21"/>
          <w:highlight w:val="none"/>
        </w:rPr>
        <w:t>100</w:t>
      </w:r>
      <w:r>
        <w:rPr>
          <w:rFonts w:hint="eastAsia"/>
          <w:i w:val="0"/>
          <w:iCs w:val="0"/>
          <w:color w:val="auto"/>
          <w:szCs w:val="21"/>
          <w:highlight w:val="none"/>
        </w:rPr>
        <w:t>万元以下的为微型企业。</w:t>
      </w:r>
    </w:p>
    <w:p w14:paraId="2BB0B131">
      <w:pPr>
        <w:pStyle w:val="53"/>
        <w:rPr>
          <w:i w:val="0"/>
          <w:iCs w:val="0"/>
          <w:color w:val="auto"/>
          <w:szCs w:val="21"/>
          <w:highlight w:val="none"/>
        </w:rPr>
      </w:pPr>
      <w:r>
        <w:rPr>
          <w:rFonts w:hint="eastAsia"/>
          <w:i w:val="0"/>
          <w:iCs w:val="0"/>
          <w:color w:val="auto"/>
          <w:szCs w:val="21"/>
          <w:highlight w:val="none"/>
        </w:rPr>
        <w:t>（六）交通运输业。从业人员</w:t>
      </w:r>
      <w:r>
        <w:rPr>
          <w:i w:val="0"/>
          <w:iCs w:val="0"/>
          <w:color w:val="auto"/>
          <w:szCs w:val="21"/>
          <w:highlight w:val="none"/>
        </w:rPr>
        <w:t>1000</w:t>
      </w:r>
      <w:r>
        <w:rPr>
          <w:rFonts w:hint="eastAsia"/>
          <w:i w:val="0"/>
          <w:iCs w:val="0"/>
          <w:color w:val="auto"/>
          <w:szCs w:val="21"/>
          <w:highlight w:val="none"/>
        </w:rPr>
        <w:t>人以下或营业收入</w:t>
      </w:r>
      <w:r>
        <w:rPr>
          <w:i w:val="0"/>
          <w:iCs w:val="0"/>
          <w:color w:val="auto"/>
          <w:szCs w:val="21"/>
          <w:highlight w:val="none"/>
        </w:rPr>
        <w:t>30000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300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3000</w:t>
      </w:r>
      <w:r>
        <w:rPr>
          <w:rFonts w:hint="eastAsia"/>
          <w:i w:val="0"/>
          <w:iCs w:val="0"/>
          <w:color w:val="auto"/>
          <w:szCs w:val="21"/>
          <w:highlight w:val="none"/>
        </w:rPr>
        <w:t>万元及以上的为中型企业；从业人员</w:t>
      </w:r>
      <w:r>
        <w:rPr>
          <w:i w:val="0"/>
          <w:iCs w:val="0"/>
          <w:color w:val="auto"/>
          <w:szCs w:val="21"/>
          <w:highlight w:val="none"/>
        </w:rPr>
        <w:t>20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200</w:t>
      </w:r>
      <w:r>
        <w:rPr>
          <w:rFonts w:hint="eastAsia"/>
          <w:i w:val="0"/>
          <w:iCs w:val="0"/>
          <w:color w:val="auto"/>
          <w:szCs w:val="21"/>
          <w:highlight w:val="none"/>
        </w:rPr>
        <w:t>万元及以上的为小型企业；从业人员</w:t>
      </w:r>
      <w:r>
        <w:rPr>
          <w:i w:val="0"/>
          <w:iCs w:val="0"/>
          <w:color w:val="auto"/>
          <w:szCs w:val="21"/>
          <w:highlight w:val="none"/>
        </w:rPr>
        <w:t>20</w:t>
      </w:r>
      <w:r>
        <w:rPr>
          <w:rFonts w:hint="eastAsia"/>
          <w:i w:val="0"/>
          <w:iCs w:val="0"/>
          <w:color w:val="auto"/>
          <w:szCs w:val="21"/>
          <w:highlight w:val="none"/>
        </w:rPr>
        <w:t>人以下或营业收入</w:t>
      </w:r>
      <w:r>
        <w:rPr>
          <w:i w:val="0"/>
          <w:iCs w:val="0"/>
          <w:color w:val="auto"/>
          <w:szCs w:val="21"/>
          <w:highlight w:val="none"/>
        </w:rPr>
        <w:t>200</w:t>
      </w:r>
      <w:r>
        <w:rPr>
          <w:rFonts w:hint="eastAsia"/>
          <w:i w:val="0"/>
          <w:iCs w:val="0"/>
          <w:color w:val="auto"/>
          <w:szCs w:val="21"/>
          <w:highlight w:val="none"/>
        </w:rPr>
        <w:t>万元以下的为微型企业。</w:t>
      </w:r>
    </w:p>
    <w:p w14:paraId="561E339E">
      <w:pPr>
        <w:pStyle w:val="53"/>
        <w:rPr>
          <w:i w:val="0"/>
          <w:iCs w:val="0"/>
          <w:color w:val="auto"/>
          <w:szCs w:val="21"/>
          <w:highlight w:val="none"/>
        </w:rPr>
      </w:pPr>
      <w:r>
        <w:rPr>
          <w:rFonts w:hint="eastAsia"/>
          <w:i w:val="0"/>
          <w:iCs w:val="0"/>
          <w:color w:val="auto"/>
          <w:szCs w:val="21"/>
          <w:highlight w:val="none"/>
        </w:rPr>
        <w:t>（七）仓储业。从业人员</w:t>
      </w:r>
      <w:r>
        <w:rPr>
          <w:i w:val="0"/>
          <w:iCs w:val="0"/>
          <w:color w:val="auto"/>
          <w:szCs w:val="21"/>
          <w:highlight w:val="none"/>
        </w:rPr>
        <w:t>200</w:t>
      </w:r>
      <w:r>
        <w:rPr>
          <w:rFonts w:hint="eastAsia"/>
          <w:i w:val="0"/>
          <w:iCs w:val="0"/>
          <w:color w:val="auto"/>
          <w:szCs w:val="21"/>
          <w:highlight w:val="none"/>
        </w:rPr>
        <w:t>人以下或营业收入</w:t>
      </w:r>
      <w:r>
        <w:rPr>
          <w:i w:val="0"/>
          <w:iCs w:val="0"/>
          <w:color w:val="auto"/>
          <w:szCs w:val="21"/>
          <w:highlight w:val="none"/>
        </w:rPr>
        <w:t>30000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1000</w:t>
      </w:r>
      <w:r>
        <w:rPr>
          <w:rFonts w:hint="eastAsia"/>
          <w:i w:val="0"/>
          <w:iCs w:val="0"/>
          <w:color w:val="auto"/>
          <w:szCs w:val="21"/>
          <w:highlight w:val="none"/>
        </w:rPr>
        <w:t>万元及以上的为中型企业；从业人员</w:t>
      </w:r>
      <w:r>
        <w:rPr>
          <w:i w:val="0"/>
          <w:iCs w:val="0"/>
          <w:color w:val="auto"/>
          <w:szCs w:val="21"/>
          <w:highlight w:val="none"/>
        </w:rPr>
        <w:t>20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20</w:t>
      </w:r>
      <w:r>
        <w:rPr>
          <w:rFonts w:hint="eastAsia"/>
          <w:i w:val="0"/>
          <w:iCs w:val="0"/>
          <w:color w:val="auto"/>
          <w:szCs w:val="21"/>
          <w:highlight w:val="none"/>
        </w:rPr>
        <w:t>人以下或营业收入</w:t>
      </w:r>
      <w:r>
        <w:rPr>
          <w:i w:val="0"/>
          <w:iCs w:val="0"/>
          <w:color w:val="auto"/>
          <w:szCs w:val="21"/>
          <w:highlight w:val="none"/>
        </w:rPr>
        <w:t>100</w:t>
      </w:r>
      <w:r>
        <w:rPr>
          <w:rFonts w:hint="eastAsia"/>
          <w:i w:val="0"/>
          <w:iCs w:val="0"/>
          <w:color w:val="auto"/>
          <w:szCs w:val="21"/>
          <w:highlight w:val="none"/>
        </w:rPr>
        <w:t>万元以下的为微型企业。</w:t>
      </w:r>
    </w:p>
    <w:p w14:paraId="540D220D">
      <w:pPr>
        <w:pStyle w:val="53"/>
        <w:rPr>
          <w:i w:val="0"/>
          <w:iCs w:val="0"/>
          <w:color w:val="auto"/>
          <w:szCs w:val="21"/>
          <w:highlight w:val="none"/>
        </w:rPr>
      </w:pPr>
      <w:r>
        <w:rPr>
          <w:rFonts w:hint="eastAsia"/>
          <w:i w:val="0"/>
          <w:iCs w:val="0"/>
          <w:color w:val="auto"/>
          <w:szCs w:val="21"/>
          <w:highlight w:val="none"/>
        </w:rPr>
        <w:t>（八）邮政业。从业人员</w:t>
      </w:r>
      <w:r>
        <w:rPr>
          <w:i w:val="0"/>
          <w:iCs w:val="0"/>
          <w:color w:val="auto"/>
          <w:szCs w:val="21"/>
          <w:highlight w:val="none"/>
        </w:rPr>
        <w:t>1000</w:t>
      </w:r>
      <w:r>
        <w:rPr>
          <w:rFonts w:hint="eastAsia"/>
          <w:i w:val="0"/>
          <w:iCs w:val="0"/>
          <w:color w:val="auto"/>
          <w:szCs w:val="21"/>
          <w:highlight w:val="none"/>
        </w:rPr>
        <w:t>人以下或营业收入</w:t>
      </w:r>
      <w:r>
        <w:rPr>
          <w:i w:val="0"/>
          <w:iCs w:val="0"/>
          <w:color w:val="auto"/>
          <w:szCs w:val="21"/>
          <w:highlight w:val="none"/>
        </w:rPr>
        <w:t>30000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300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2000</w:t>
      </w:r>
      <w:r>
        <w:rPr>
          <w:rFonts w:hint="eastAsia"/>
          <w:i w:val="0"/>
          <w:iCs w:val="0"/>
          <w:color w:val="auto"/>
          <w:szCs w:val="21"/>
          <w:highlight w:val="none"/>
        </w:rPr>
        <w:t>万元及以上的为中型企业；从业人员</w:t>
      </w:r>
      <w:r>
        <w:rPr>
          <w:i w:val="0"/>
          <w:iCs w:val="0"/>
          <w:color w:val="auto"/>
          <w:szCs w:val="21"/>
          <w:highlight w:val="none"/>
        </w:rPr>
        <w:t>20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20</w:t>
      </w:r>
      <w:r>
        <w:rPr>
          <w:rFonts w:hint="eastAsia"/>
          <w:i w:val="0"/>
          <w:iCs w:val="0"/>
          <w:color w:val="auto"/>
          <w:szCs w:val="21"/>
          <w:highlight w:val="none"/>
        </w:rPr>
        <w:t>人以下或营业收入</w:t>
      </w:r>
      <w:r>
        <w:rPr>
          <w:i w:val="0"/>
          <w:iCs w:val="0"/>
          <w:color w:val="auto"/>
          <w:szCs w:val="21"/>
          <w:highlight w:val="none"/>
        </w:rPr>
        <w:t>100</w:t>
      </w:r>
      <w:r>
        <w:rPr>
          <w:rFonts w:hint="eastAsia"/>
          <w:i w:val="0"/>
          <w:iCs w:val="0"/>
          <w:color w:val="auto"/>
          <w:szCs w:val="21"/>
          <w:highlight w:val="none"/>
        </w:rPr>
        <w:t>万元以下的为微型企业。</w:t>
      </w:r>
    </w:p>
    <w:p w14:paraId="582FEE49">
      <w:pPr>
        <w:pStyle w:val="53"/>
        <w:rPr>
          <w:i w:val="0"/>
          <w:iCs w:val="0"/>
          <w:color w:val="auto"/>
          <w:szCs w:val="21"/>
          <w:highlight w:val="none"/>
        </w:rPr>
      </w:pPr>
      <w:r>
        <w:rPr>
          <w:rFonts w:hint="eastAsia"/>
          <w:i w:val="0"/>
          <w:iCs w:val="0"/>
          <w:color w:val="auto"/>
          <w:szCs w:val="21"/>
          <w:highlight w:val="none"/>
        </w:rPr>
        <w:t>（九）住宿业。从业人员</w:t>
      </w:r>
      <w:r>
        <w:rPr>
          <w:i w:val="0"/>
          <w:iCs w:val="0"/>
          <w:color w:val="auto"/>
          <w:szCs w:val="21"/>
          <w:highlight w:val="none"/>
        </w:rPr>
        <w:t>300</w:t>
      </w:r>
      <w:r>
        <w:rPr>
          <w:rFonts w:hint="eastAsia"/>
          <w:i w:val="0"/>
          <w:iCs w:val="0"/>
          <w:color w:val="auto"/>
          <w:szCs w:val="21"/>
          <w:highlight w:val="none"/>
        </w:rPr>
        <w:t>人以下或营业收入</w:t>
      </w:r>
      <w:r>
        <w:rPr>
          <w:i w:val="0"/>
          <w:iCs w:val="0"/>
          <w:color w:val="auto"/>
          <w:szCs w:val="21"/>
          <w:highlight w:val="none"/>
        </w:rPr>
        <w:t>10000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2000</w:t>
      </w:r>
      <w:r>
        <w:rPr>
          <w:rFonts w:hint="eastAsia"/>
          <w:i w:val="0"/>
          <w:iCs w:val="0"/>
          <w:color w:val="auto"/>
          <w:szCs w:val="21"/>
          <w:highlight w:val="none"/>
        </w:rPr>
        <w:t>万元及以上的为中型企业；从业人员</w:t>
      </w:r>
      <w:r>
        <w:rPr>
          <w:i w:val="0"/>
          <w:iCs w:val="0"/>
          <w:color w:val="auto"/>
          <w:szCs w:val="21"/>
          <w:highlight w:val="none"/>
        </w:rPr>
        <w:t>10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10</w:t>
      </w:r>
      <w:r>
        <w:rPr>
          <w:rFonts w:hint="eastAsia"/>
          <w:i w:val="0"/>
          <w:iCs w:val="0"/>
          <w:color w:val="auto"/>
          <w:szCs w:val="21"/>
          <w:highlight w:val="none"/>
        </w:rPr>
        <w:t>人以下或营业收入</w:t>
      </w:r>
      <w:r>
        <w:rPr>
          <w:i w:val="0"/>
          <w:iCs w:val="0"/>
          <w:color w:val="auto"/>
          <w:szCs w:val="21"/>
          <w:highlight w:val="none"/>
        </w:rPr>
        <w:t>100</w:t>
      </w:r>
      <w:r>
        <w:rPr>
          <w:rFonts w:hint="eastAsia"/>
          <w:i w:val="0"/>
          <w:iCs w:val="0"/>
          <w:color w:val="auto"/>
          <w:szCs w:val="21"/>
          <w:highlight w:val="none"/>
        </w:rPr>
        <w:t>万元以下的为微型企业。</w:t>
      </w:r>
    </w:p>
    <w:p w14:paraId="5C8F669E">
      <w:pPr>
        <w:pStyle w:val="53"/>
        <w:rPr>
          <w:i w:val="0"/>
          <w:iCs w:val="0"/>
          <w:color w:val="auto"/>
          <w:szCs w:val="21"/>
          <w:highlight w:val="none"/>
        </w:rPr>
      </w:pPr>
      <w:r>
        <w:rPr>
          <w:rFonts w:hint="eastAsia"/>
          <w:i w:val="0"/>
          <w:iCs w:val="0"/>
          <w:color w:val="auto"/>
          <w:szCs w:val="21"/>
          <w:highlight w:val="none"/>
        </w:rPr>
        <w:t>（十）餐饮业。从业人员</w:t>
      </w:r>
      <w:r>
        <w:rPr>
          <w:i w:val="0"/>
          <w:iCs w:val="0"/>
          <w:color w:val="auto"/>
          <w:szCs w:val="21"/>
          <w:highlight w:val="none"/>
        </w:rPr>
        <w:t>300</w:t>
      </w:r>
      <w:r>
        <w:rPr>
          <w:rFonts w:hint="eastAsia"/>
          <w:i w:val="0"/>
          <w:iCs w:val="0"/>
          <w:color w:val="auto"/>
          <w:szCs w:val="21"/>
          <w:highlight w:val="none"/>
        </w:rPr>
        <w:t>人以下或营业收入</w:t>
      </w:r>
      <w:r>
        <w:rPr>
          <w:i w:val="0"/>
          <w:iCs w:val="0"/>
          <w:color w:val="auto"/>
          <w:szCs w:val="21"/>
          <w:highlight w:val="none"/>
        </w:rPr>
        <w:t>10000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2000</w:t>
      </w:r>
      <w:r>
        <w:rPr>
          <w:rFonts w:hint="eastAsia"/>
          <w:i w:val="0"/>
          <w:iCs w:val="0"/>
          <w:color w:val="auto"/>
          <w:szCs w:val="21"/>
          <w:highlight w:val="none"/>
        </w:rPr>
        <w:t>万元及以上的为中型企业；从业人员</w:t>
      </w:r>
      <w:r>
        <w:rPr>
          <w:i w:val="0"/>
          <w:iCs w:val="0"/>
          <w:color w:val="auto"/>
          <w:szCs w:val="21"/>
          <w:highlight w:val="none"/>
        </w:rPr>
        <w:t>10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10</w:t>
      </w:r>
      <w:r>
        <w:rPr>
          <w:rFonts w:hint="eastAsia"/>
          <w:i w:val="0"/>
          <w:iCs w:val="0"/>
          <w:color w:val="auto"/>
          <w:szCs w:val="21"/>
          <w:highlight w:val="none"/>
        </w:rPr>
        <w:t>人以下或营业收入</w:t>
      </w:r>
      <w:r>
        <w:rPr>
          <w:i w:val="0"/>
          <w:iCs w:val="0"/>
          <w:color w:val="auto"/>
          <w:szCs w:val="21"/>
          <w:highlight w:val="none"/>
        </w:rPr>
        <w:t>100</w:t>
      </w:r>
      <w:r>
        <w:rPr>
          <w:rFonts w:hint="eastAsia"/>
          <w:i w:val="0"/>
          <w:iCs w:val="0"/>
          <w:color w:val="auto"/>
          <w:szCs w:val="21"/>
          <w:highlight w:val="none"/>
        </w:rPr>
        <w:t>万元以下的为微型企业。</w:t>
      </w:r>
    </w:p>
    <w:p w14:paraId="237DCE81">
      <w:pPr>
        <w:pStyle w:val="53"/>
        <w:rPr>
          <w:i w:val="0"/>
          <w:iCs w:val="0"/>
          <w:color w:val="auto"/>
          <w:szCs w:val="21"/>
          <w:highlight w:val="none"/>
        </w:rPr>
      </w:pPr>
      <w:r>
        <w:rPr>
          <w:rFonts w:hint="eastAsia"/>
          <w:i w:val="0"/>
          <w:iCs w:val="0"/>
          <w:color w:val="auto"/>
          <w:szCs w:val="21"/>
          <w:highlight w:val="none"/>
        </w:rPr>
        <w:t>（十一）信息传输业。从业人员</w:t>
      </w:r>
      <w:r>
        <w:rPr>
          <w:i w:val="0"/>
          <w:iCs w:val="0"/>
          <w:color w:val="auto"/>
          <w:szCs w:val="21"/>
          <w:highlight w:val="none"/>
        </w:rPr>
        <w:t>2000</w:t>
      </w:r>
      <w:r>
        <w:rPr>
          <w:rFonts w:hint="eastAsia"/>
          <w:i w:val="0"/>
          <w:iCs w:val="0"/>
          <w:color w:val="auto"/>
          <w:szCs w:val="21"/>
          <w:highlight w:val="none"/>
        </w:rPr>
        <w:t>人以下或营业收入</w:t>
      </w:r>
      <w:r>
        <w:rPr>
          <w:i w:val="0"/>
          <w:iCs w:val="0"/>
          <w:color w:val="auto"/>
          <w:szCs w:val="21"/>
          <w:highlight w:val="none"/>
        </w:rPr>
        <w:t>100000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1000</w:t>
      </w:r>
      <w:r>
        <w:rPr>
          <w:rFonts w:hint="eastAsia"/>
          <w:i w:val="0"/>
          <w:iCs w:val="0"/>
          <w:color w:val="auto"/>
          <w:szCs w:val="21"/>
          <w:highlight w:val="none"/>
        </w:rPr>
        <w:t>万元及以上的为中型企业；从业人员</w:t>
      </w:r>
      <w:r>
        <w:rPr>
          <w:i w:val="0"/>
          <w:iCs w:val="0"/>
          <w:color w:val="auto"/>
          <w:szCs w:val="21"/>
          <w:highlight w:val="none"/>
        </w:rPr>
        <w:t>10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10</w:t>
      </w:r>
      <w:r>
        <w:rPr>
          <w:rFonts w:hint="eastAsia"/>
          <w:i w:val="0"/>
          <w:iCs w:val="0"/>
          <w:color w:val="auto"/>
          <w:szCs w:val="21"/>
          <w:highlight w:val="none"/>
        </w:rPr>
        <w:t>人以下或营业收入</w:t>
      </w:r>
      <w:r>
        <w:rPr>
          <w:i w:val="0"/>
          <w:iCs w:val="0"/>
          <w:color w:val="auto"/>
          <w:szCs w:val="21"/>
          <w:highlight w:val="none"/>
        </w:rPr>
        <w:t>100</w:t>
      </w:r>
      <w:r>
        <w:rPr>
          <w:rFonts w:hint="eastAsia"/>
          <w:i w:val="0"/>
          <w:iCs w:val="0"/>
          <w:color w:val="auto"/>
          <w:szCs w:val="21"/>
          <w:highlight w:val="none"/>
        </w:rPr>
        <w:t>万元以下的为微型企业。</w:t>
      </w:r>
    </w:p>
    <w:p w14:paraId="603C07FC">
      <w:pPr>
        <w:pStyle w:val="53"/>
        <w:rPr>
          <w:i w:val="0"/>
          <w:iCs w:val="0"/>
          <w:color w:val="auto"/>
          <w:szCs w:val="21"/>
          <w:highlight w:val="none"/>
        </w:rPr>
      </w:pPr>
      <w:r>
        <w:rPr>
          <w:rFonts w:hint="eastAsia"/>
          <w:i w:val="0"/>
          <w:iCs w:val="0"/>
          <w:color w:val="auto"/>
          <w:szCs w:val="21"/>
          <w:highlight w:val="none"/>
        </w:rPr>
        <w:t>（十二）软件和信息技术服务业。从业人员</w:t>
      </w:r>
      <w:r>
        <w:rPr>
          <w:i w:val="0"/>
          <w:iCs w:val="0"/>
          <w:color w:val="auto"/>
          <w:szCs w:val="21"/>
          <w:highlight w:val="none"/>
        </w:rPr>
        <w:t>300</w:t>
      </w:r>
      <w:r>
        <w:rPr>
          <w:rFonts w:hint="eastAsia"/>
          <w:i w:val="0"/>
          <w:iCs w:val="0"/>
          <w:color w:val="auto"/>
          <w:szCs w:val="21"/>
          <w:highlight w:val="none"/>
        </w:rPr>
        <w:t>人以下或营业收入</w:t>
      </w:r>
      <w:r>
        <w:rPr>
          <w:i w:val="0"/>
          <w:iCs w:val="0"/>
          <w:color w:val="auto"/>
          <w:szCs w:val="21"/>
          <w:highlight w:val="none"/>
        </w:rPr>
        <w:t>10000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1000</w:t>
      </w:r>
      <w:r>
        <w:rPr>
          <w:rFonts w:hint="eastAsia"/>
          <w:i w:val="0"/>
          <w:iCs w:val="0"/>
          <w:color w:val="auto"/>
          <w:szCs w:val="21"/>
          <w:highlight w:val="none"/>
        </w:rPr>
        <w:t>万元及以上的为中型企业；从业人员</w:t>
      </w:r>
      <w:r>
        <w:rPr>
          <w:i w:val="0"/>
          <w:iCs w:val="0"/>
          <w:color w:val="auto"/>
          <w:szCs w:val="21"/>
          <w:highlight w:val="none"/>
        </w:rPr>
        <w:t>10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50</w:t>
      </w:r>
      <w:r>
        <w:rPr>
          <w:rFonts w:hint="eastAsia"/>
          <w:i w:val="0"/>
          <w:iCs w:val="0"/>
          <w:color w:val="auto"/>
          <w:szCs w:val="21"/>
          <w:highlight w:val="none"/>
        </w:rPr>
        <w:t>万元及以上的为小型企业；从业人员</w:t>
      </w:r>
      <w:r>
        <w:rPr>
          <w:i w:val="0"/>
          <w:iCs w:val="0"/>
          <w:color w:val="auto"/>
          <w:szCs w:val="21"/>
          <w:highlight w:val="none"/>
        </w:rPr>
        <w:t>10</w:t>
      </w:r>
      <w:r>
        <w:rPr>
          <w:rFonts w:hint="eastAsia"/>
          <w:i w:val="0"/>
          <w:iCs w:val="0"/>
          <w:color w:val="auto"/>
          <w:szCs w:val="21"/>
          <w:highlight w:val="none"/>
        </w:rPr>
        <w:t>人以下或营业收入</w:t>
      </w:r>
      <w:r>
        <w:rPr>
          <w:i w:val="0"/>
          <w:iCs w:val="0"/>
          <w:color w:val="auto"/>
          <w:szCs w:val="21"/>
          <w:highlight w:val="none"/>
        </w:rPr>
        <w:t>50</w:t>
      </w:r>
      <w:r>
        <w:rPr>
          <w:rFonts w:hint="eastAsia"/>
          <w:i w:val="0"/>
          <w:iCs w:val="0"/>
          <w:color w:val="auto"/>
          <w:szCs w:val="21"/>
          <w:highlight w:val="none"/>
        </w:rPr>
        <w:t>万元以下的为微型企业。</w:t>
      </w:r>
    </w:p>
    <w:p w14:paraId="527976EF">
      <w:pPr>
        <w:pStyle w:val="53"/>
        <w:rPr>
          <w:i w:val="0"/>
          <w:iCs w:val="0"/>
          <w:color w:val="auto"/>
          <w:szCs w:val="21"/>
          <w:highlight w:val="none"/>
        </w:rPr>
      </w:pPr>
      <w:r>
        <w:rPr>
          <w:rFonts w:hint="eastAsia"/>
          <w:i w:val="0"/>
          <w:iCs w:val="0"/>
          <w:color w:val="auto"/>
          <w:szCs w:val="21"/>
          <w:highlight w:val="none"/>
        </w:rPr>
        <w:t>（十三）房地产开发经营。营业收入</w:t>
      </w:r>
      <w:r>
        <w:rPr>
          <w:i w:val="0"/>
          <w:iCs w:val="0"/>
          <w:color w:val="auto"/>
          <w:szCs w:val="21"/>
          <w:highlight w:val="none"/>
        </w:rPr>
        <w:t>200000</w:t>
      </w:r>
      <w:r>
        <w:rPr>
          <w:rFonts w:hint="eastAsia"/>
          <w:i w:val="0"/>
          <w:iCs w:val="0"/>
          <w:color w:val="auto"/>
          <w:szCs w:val="21"/>
          <w:highlight w:val="none"/>
        </w:rPr>
        <w:t>万元以下或资产总额</w:t>
      </w:r>
      <w:r>
        <w:rPr>
          <w:i w:val="0"/>
          <w:iCs w:val="0"/>
          <w:color w:val="auto"/>
          <w:szCs w:val="21"/>
          <w:highlight w:val="none"/>
        </w:rPr>
        <w:t>10000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营业收入</w:t>
      </w:r>
      <w:r>
        <w:rPr>
          <w:i w:val="0"/>
          <w:iCs w:val="0"/>
          <w:color w:val="auto"/>
          <w:szCs w:val="21"/>
          <w:highlight w:val="none"/>
        </w:rPr>
        <w:t>1000</w:t>
      </w:r>
      <w:r>
        <w:rPr>
          <w:rFonts w:hint="eastAsia"/>
          <w:i w:val="0"/>
          <w:iCs w:val="0"/>
          <w:color w:val="auto"/>
          <w:szCs w:val="21"/>
          <w:highlight w:val="none"/>
        </w:rPr>
        <w:t>万元及以上</w:t>
      </w:r>
      <w:r>
        <w:rPr>
          <w:rFonts w:hint="eastAsia"/>
          <w:i w:val="0"/>
          <w:iCs w:val="0"/>
          <w:color w:val="auto"/>
          <w:szCs w:val="21"/>
          <w:highlight w:val="none"/>
          <w:lang w:eastAsia="zh-CN"/>
        </w:rPr>
        <w:t>，</w:t>
      </w:r>
      <w:r>
        <w:rPr>
          <w:rFonts w:hint="eastAsia"/>
          <w:i w:val="0"/>
          <w:iCs w:val="0"/>
          <w:color w:val="auto"/>
          <w:szCs w:val="21"/>
          <w:highlight w:val="none"/>
        </w:rPr>
        <w:t>且资产总额</w:t>
      </w:r>
      <w:r>
        <w:rPr>
          <w:i w:val="0"/>
          <w:iCs w:val="0"/>
          <w:color w:val="auto"/>
          <w:szCs w:val="21"/>
          <w:highlight w:val="none"/>
        </w:rPr>
        <w:t>5000</w:t>
      </w:r>
      <w:r>
        <w:rPr>
          <w:rFonts w:hint="eastAsia"/>
          <w:i w:val="0"/>
          <w:iCs w:val="0"/>
          <w:color w:val="auto"/>
          <w:szCs w:val="21"/>
          <w:highlight w:val="none"/>
        </w:rPr>
        <w:t>万元及以上的为中型企业；营业收入</w:t>
      </w:r>
      <w:r>
        <w:rPr>
          <w:i w:val="0"/>
          <w:iCs w:val="0"/>
          <w:color w:val="auto"/>
          <w:szCs w:val="21"/>
          <w:highlight w:val="none"/>
        </w:rPr>
        <w:t>100</w:t>
      </w:r>
      <w:r>
        <w:rPr>
          <w:rFonts w:hint="eastAsia"/>
          <w:i w:val="0"/>
          <w:iCs w:val="0"/>
          <w:color w:val="auto"/>
          <w:szCs w:val="21"/>
          <w:highlight w:val="none"/>
        </w:rPr>
        <w:t>万元及以上</w:t>
      </w:r>
      <w:r>
        <w:rPr>
          <w:rFonts w:hint="eastAsia"/>
          <w:i w:val="0"/>
          <w:iCs w:val="0"/>
          <w:color w:val="auto"/>
          <w:szCs w:val="21"/>
          <w:highlight w:val="none"/>
          <w:lang w:eastAsia="zh-CN"/>
        </w:rPr>
        <w:t>，</w:t>
      </w:r>
      <w:r>
        <w:rPr>
          <w:rFonts w:hint="eastAsia"/>
          <w:i w:val="0"/>
          <w:iCs w:val="0"/>
          <w:color w:val="auto"/>
          <w:szCs w:val="21"/>
          <w:highlight w:val="none"/>
        </w:rPr>
        <w:t>且资产总额</w:t>
      </w:r>
      <w:r>
        <w:rPr>
          <w:i w:val="0"/>
          <w:iCs w:val="0"/>
          <w:color w:val="auto"/>
          <w:szCs w:val="21"/>
          <w:highlight w:val="none"/>
        </w:rPr>
        <w:t>2000</w:t>
      </w:r>
      <w:r>
        <w:rPr>
          <w:rFonts w:hint="eastAsia"/>
          <w:i w:val="0"/>
          <w:iCs w:val="0"/>
          <w:color w:val="auto"/>
          <w:szCs w:val="21"/>
          <w:highlight w:val="none"/>
        </w:rPr>
        <w:t>万元及以上的为小型企业；营业收入</w:t>
      </w:r>
      <w:r>
        <w:rPr>
          <w:i w:val="0"/>
          <w:iCs w:val="0"/>
          <w:color w:val="auto"/>
          <w:szCs w:val="21"/>
          <w:highlight w:val="none"/>
        </w:rPr>
        <w:t>100</w:t>
      </w:r>
      <w:r>
        <w:rPr>
          <w:rFonts w:hint="eastAsia"/>
          <w:i w:val="0"/>
          <w:iCs w:val="0"/>
          <w:color w:val="auto"/>
          <w:szCs w:val="21"/>
          <w:highlight w:val="none"/>
        </w:rPr>
        <w:t>万元以下或资产总额</w:t>
      </w:r>
      <w:r>
        <w:rPr>
          <w:i w:val="0"/>
          <w:iCs w:val="0"/>
          <w:color w:val="auto"/>
          <w:szCs w:val="21"/>
          <w:highlight w:val="none"/>
        </w:rPr>
        <w:t>2000</w:t>
      </w:r>
      <w:r>
        <w:rPr>
          <w:rFonts w:hint="eastAsia"/>
          <w:i w:val="0"/>
          <w:iCs w:val="0"/>
          <w:color w:val="auto"/>
          <w:szCs w:val="21"/>
          <w:highlight w:val="none"/>
        </w:rPr>
        <w:t>万元以下的为微型企业。</w:t>
      </w:r>
    </w:p>
    <w:p w14:paraId="592397D5">
      <w:pPr>
        <w:pStyle w:val="53"/>
        <w:rPr>
          <w:i w:val="0"/>
          <w:iCs w:val="0"/>
          <w:color w:val="auto"/>
          <w:szCs w:val="21"/>
          <w:highlight w:val="none"/>
        </w:rPr>
      </w:pPr>
      <w:r>
        <w:rPr>
          <w:rFonts w:hint="eastAsia"/>
          <w:i w:val="0"/>
          <w:iCs w:val="0"/>
          <w:color w:val="auto"/>
          <w:szCs w:val="21"/>
          <w:highlight w:val="none"/>
        </w:rPr>
        <w:t>（十四）物业管理。从业人员</w:t>
      </w:r>
      <w:r>
        <w:rPr>
          <w:i w:val="0"/>
          <w:iCs w:val="0"/>
          <w:color w:val="auto"/>
          <w:szCs w:val="21"/>
          <w:highlight w:val="none"/>
        </w:rPr>
        <w:t>1000</w:t>
      </w:r>
      <w:r>
        <w:rPr>
          <w:rFonts w:hint="eastAsia"/>
          <w:i w:val="0"/>
          <w:iCs w:val="0"/>
          <w:color w:val="auto"/>
          <w:szCs w:val="21"/>
          <w:highlight w:val="none"/>
        </w:rPr>
        <w:t>人以下或营业收入</w:t>
      </w:r>
      <w:r>
        <w:rPr>
          <w:i w:val="0"/>
          <w:iCs w:val="0"/>
          <w:color w:val="auto"/>
          <w:szCs w:val="21"/>
          <w:highlight w:val="none"/>
        </w:rPr>
        <w:t>5000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300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1000</w:t>
      </w:r>
      <w:r>
        <w:rPr>
          <w:rFonts w:hint="eastAsia"/>
          <w:i w:val="0"/>
          <w:iCs w:val="0"/>
          <w:color w:val="auto"/>
          <w:szCs w:val="21"/>
          <w:highlight w:val="none"/>
        </w:rPr>
        <w:t>万元及以上的为中型企业；从业人员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且营业收入</w:t>
      </w:r>
      <w:r>
        <w:rPr>
          <w:i w:val="0"/>
          <w:iCs w:val="0"/>
          <w:color w:val="auto"/>
          <w:szCs w:val="21"/>
          <w:highlight w:val="none"/>
        </w:rPr>
        <w:t>500</w:t>
      </w:r>
      <w:r>
        <w:rPr>
          <w:rFonts w:hint="eastAsia"/>
          <w:i w:val="0"/>
          <w:iCs w:val="0"/>
          <w:color w:val="auto"/>
          <w:szCs w:val="21"/>
          <w:highlight w:val="none"/>
        </w:rPr>
        <w:t>万元及以上的为小型企业；从业人员</w:t>
      </w:r>
      <w:r>
        <w:rPr>
          <w:i w:val="0"/>
          <w:iCs w:val="0"/>
          <w:color w:val="auto"/>
          <w:szCs w:val="21"/>
          <w:highlight w:val="none"/>
        </w:rPr>
        <w:t>100</w:t>
      </w:r>
      <w:r>
        <w:rPr>
          <w:rFonts w:hint="eastAsia"/>
          <w:i w:val="0"/>
          <w:iCs w:val="0"/>
          <w:color w:val="auto"/>
          <w:szCs w:val="21"/>
          <w:highlight w:val="none"/>
        </w:rPr>
        <w:t>人以下或营业收入</w:t>
      </w:r>
      <w:r>
        <w:rPr>
          <w:i w:val="0"/>
          <w:iCs w:val="0"/>
          <w:color w:val="auto"/>
          <w:szCs w:val="21"/>
          <w:highlight w:val="none"/>
        </w:rPr>
        <w:t>500</w:t>
      </w:r>
      <w:r>
        <w:rPr>
          <w:rFonts w:hint="eastAsia"/>
          <w:i w:val="0"/>
          <w:iCs w:val="0"/>
          <w:color w:val="auto"/>
          <w:szCs w:val="21"/>
          <w:highlight w:val="none"/>
        </w:rPr>
        <w:t>万元以下的为微型企业。</w:t>
      </w:r>
    </w:p>
    <w:p w14:paraId="7B37F928">
      <w:pPr>
        <w:pStyle w:val="53"/>
        <w:rPr>
          <w:i w:val="0"/>
          <w:iCs w:val="0"/>
          <w:color w:val="auto"/>
          <w:szCs w:val="21"/>
          <w:highlight w:val="none"/>
        </w:rPr>
      </w:pPr>
      <w:r>
        <w:rPr>
          <w:rFonts w:hint="eastAsia"/>
          <w:i w:val="0"/>
          <w:iCs w:val="0"/>
          <w:color w:val="auto"/>
          <w:szCs w:val="21"/>
          <w:highlight w:val="none"/>
        </w:rPr>
        <w:t>（十五）租赁和商务服务业。从业人员</w:t>
      </w:r>
      <w:r>
        <w:rPr>
          <w:i w:val="0"/>
          <w:iCs w:val="0"/>
          <w:color w:val="auto"/>
          <w:szCs w:val="21"/>
          <w:highlight w:val="none"/>
        </w:rPr>
        <w:t>300</w:t>
      </w:r>
      <w:r>
        <w:rPr>
          <w:rFonts w:hint="eastAsia"/>
          <w:i w:val="0"/>
          <w:iCs w:val="0"/>
          <w:color w:val="auto"/>
          <w:szCs w:val="21"/>
          <w:highlight w:val="none"/>
        </w:rPr>
        <w:t>人以下或资产总额</w:t>
      </w:r>
      <w:r>
        <w:rPr>
          <w:i w:val="0"/>
          <w:iCs w:val="0"/>
          <w:color w:val="auto"/>
          <w:szCs w:val="21"/>
          <w:highlight w:val="none"/>
        </w:rPr>
        <w:t>120000</w:t>
      </w:r>
      <w:r>
        <w:rPr>
          <w:rFonts w:hint="eastAsia"/>
          <w:i w:val="0"/>
          <w:iCs w:val="0"/>
          <w:color w:val="auto"/>
          <w:szCs w:val="21"/>
          <w:highlight w:val="none"/>
        </w:rPr>
        <w:t>万元以下的为中小微型企业。其中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且资产总额</w:t>
      </w:r>
      <w:r>
        <w:rPr>
          <w:i w:val="0"/>
          <w:iCs w:val="0"/>
          <w:color w:val="auto"/>
          <w:szCs w:val="21"/>
          <w:highlight w:val="none"/>
        </w:rPr>
        <w:t>8000</w:t>
      </w:r>
      <w:r>
        <w:rPr>
          <w:rFonts w:hint="eastAsia"/>
          <w:i w:val="0"/>
          <w:iCs w:val="0"/>
          <w:color w:val="auto"/>
          <w:szCs w:val="21"/>
          <w:highlight w:val="none"/>
        </w:rPr>
        <w:t>万元及以上的为中型企业；从业人员</w:t>
      </w:r>
      <w:r>
        <w:rPr>
          <w:i w:val="0"/>
          <w:iCs w:val="0"/>
          <w:color w:val="auto"/>
          <w:szCs w:val="21"/>
          <w:highlight w:val="none"/>
        </w:rPr>
        <w:t>10</w:t>
      </w:r>
      <w:r>
        <w:rPr>
          <w:rFonts w:hint="eastAsia"/>
          <w:i w:val="0"/>
          <w:iCs w:val="0"/>
          <w:color w:val="auto"/>
          <w:szCs w:val="21"/>
          <w:highlight w:val="none"/>
        </w:rPr>
        <w:t>人及以上</w:t>
      </w:r>
      <w:r>
        <w:rPr>
          <w:rFonts w:hint="eastAsia"/>
          <w:i w:val="0"/>
          <w:iCs w:val="0"/>
          <w:color w:val="auto"/>
          <w:szCs w:val="21"/>
          <w:highlight w:val="none"/>
          <w:lang w:eastAsia="zh-CN"/>
        </w:rPr>
        <w:t>，</w:t>
      </w:r>
      <w:r>
        <w:rPr>
          <w:rFonts w:hint="eastAsia"/>
          <w:i w:val="0"/>
          <w:iCs w:val="0"/>
          <w:color w:val="auto"/>
          <w:szCs w:val="21"/>
          <w:highlight w:val="none"/>
        </w:rPr>
        <w:t>且资产总额</w:t>
      </w:r>
      <w:r>
        <w:rPr>
          <w:i w:val="0"/>
          <w:iCs w:val="0"/>
          <w:color w:val="auto"/>
          <w:szCs w:val="21"/>
          <w:highlight w:val="none"/>
        </w:rPr>
        <w:t>100</w:t>
      </w:r>
      <w:r>
        <w:rPr>
          <w:rFonts w:hint="eastAsia"/>
          <w:i w:val="0"/>
          <w:iCs w:val="0"/>
          <w:color w:val="auto"/>
          <w:szCs w:val="21"/>
          <w:highlight w:val="none"/>
        </w:rPr>
        <w:t>万元及以上的为小型企业；从业人员</w:t>
      </w:r>
      <w:r>
        <w:rPr>
          <w:i w:val="0"/>
          <w:iCs w:val="0"/>
          <w:color w:val="auto"/>
          <w:szCs w:val="21"/>
          <w:highlight w:val="none"/>
        </w:rPr>
        <w:t>10</w:t>
      </w:r>
      <w:r>
        <w:rPr>
          <w:rFonts w:hint="eastAsia"/>
          <w:i w:val="0"/>
          <w:iCs w:val="0"/>
          <w:color w:val="auto"/>
          <w:szCs w:val="21"/>
          <w:highlight w:val="none"/>
        </w:rPr>
        <w:t>人以下或资产总额</w:t>
      </w:r>
      <w:r>
        <w:rPr>
          <w:i w:val="0"/>
          <w:iCs w:val="0"/>
          <w:color w:val="auto"/>
          <w:szCs w:val="21"/>
          <w:highlight w:val="none"/>
        </w:rPr>
        <w:t>100</w:t>
      </w:r>
      <w:r>
        <w:rPr>
          <w:rFonts w:hint="eastAsia"/>
          <w:i w:val="0"/>
          <w:iCs w:val="0"/>
          <w:color w:val="auto"/>
          <w:szCs w:val="21"/>
          <w:highlight w:val="none"/>
        </w:rPr>
        <w:t>万元以下的为微型企业。</w:t>
      </w:r>
    </w:p>
    <w:p w14:paraId="1CF0AFFB">
      <w:pPr>
        <w:pStyle w:val="53"/>
        <w:rPr>
          <w:i w:val="0"/>
          <w:iCs w:val="0"/>
          <w:color w:val="auto"/>
          <w:szCs w:val="21"/>
          <w:highlight w:val="none"/>
        </w:rPr>
      </w:pPr>
      <w:r>
        <w:rPr>
          <w:rFonts w:hint="eastAsia"/>
          <w:i w:val="0"/>
          <w:iCs w:val="0"/>
          <w:color w:val="auto"/>
          <w:szCs w:val="21"/>
          <w:highlight w:val="none"/>
        </w:rPr>
        <w:t>（十六）其他未列明行业。从业人员</w:t>
      </w:r>
      <w:r>
        <w:rPr>
          <w:i w:val="0"/>
          <w:iCs w:val="0"/>
          <w:color w:val="auto"/>
          <w:szCs w:val="21"/>
          <w:highlight w:val="none"/>
        </w:rPr>
        <w:t>300</w:t>
      </w:r>
      <w:r>
        <w:rPr>
          <w:rFonts w:hint="eastAsia"/>
          <w:i w:val="0"/>
          <w:iCs w:val="0"/>
          <w:color w:val="auto"/>
          <w:szCs w:val="21"/>
          <w:highlight w:val="none"/>
        </w:rPr>
        <w:t>人以下的为中小微型企业。其中</w:t>
      </w:r>
      <w:r>
        <w:rPr>
          <w:rFonts w:hint="eastAsia"/>
          <w:i w:val="0"/>
          <w:iCs w:val="0"/>
          <w:color w:val="auto"/>
          <w:szCs w:val="21"/>
          <w:highlight w:val="none"/>
          <w:lang w:eastAsia="zh-CN"/>
        </w:rPr>
        <w:t>，</w:t>
      </w:r>
      <w:r>
        <w:rPr>
          <w:rFonts w:hint="eastAsia"/>
          <w:i w:val="0"/>
          <w:iCs w:val="0"/>
          <w:color w:val="auto"/>
          <w:szCs w:val="21"/>
          <w:highlight w:val="none"/>
        </w:rPr>
        <w:t>从业人员</w:t>
      </w:r>
      <w:r>
        <w:rPr>
          <w:i w:val="0"/>
          <w:iCs w:val="0"/>
          <w:color w:val="auto"/>
          <w:szCs w:val="21"/>
          <w:highlight w:val="none"/>
        </w:rPr>
        <w:t>100</w:t>
      </w:r>
      <w:r>
        <w:rPr>
          <w:rFonts w:hint="eastAsia"/>
          <w:i w:val="0"/>
          <w:iCs w:val="0"/>
          <w:color w:val="auto"/>
          <w:szCs w:val="21"/>
          <w:highlight w:val="none"/>
        </w:rPr>
        <w:t>人及以上的为中型企业；从业人员</w:t>
      </w:r>
      <w:r>
        <w:rPr>
          <w:i w:val="0"/>
          <w:iCs w:val="0"/>
          <w:color w:val="auto"/>
          <w:szCs w:val="21"/>
          <w:highlight w:val="none"/>
        </w:rPr>
        <w:t>10</w:t>
      </w:r>
      <w:r>
        <w:rPr>
          <w:rFonts w:hint="eastAsia"/>
          <w:i w:val="0"/>
          <w:iCs w:val="0"/>
          <w:color w:val="auto"/>
          <w:szCs w:val="21"/>
          <w:highlight w:val="none"/>
        </w:rPr>
        <w:t>人及以上的为小型企业；从业人员</w:t>
      </w:r>
      <w:r>
        <w:rPr>
          <w:i w:val="0"/>
          <w:iCs w:val="0"/>
          <w:color w:val="auto"/>
          <w:szCs w:val="21"/>
          <w:highlight w:val="none"/>
        </w:rPr>
        <w:t>10</w:t>
      </w:r>
      <w:r>
        <w:rPr>
          <w:rFonts w:hint="eastAsia"/>
          <w:i w:val="0"/>
          <w:iCs w:val="0"/>
          <w:color w:val="auto"/>
          <w:szCs w:val="21"/>
          <w:highlight w:val="none"/>
        </w:rPr>
        <w:t>人以下的为微型企业。</w:t>
      </w:r>
    </w:p>
    <w:p w14:paraId="6D5957EA">
      <w:pPr>
        <w:pStyle w:val="53"/>
        <w:rPr>
          <w:i w:val="0"/>
          <w:iCs w:val="0"/>
          <w:color w:val="auto"/>
          <w:szCs w:val="21"/>
          <w:highlight w:val="none"/>
        </w:rPr>
      </w:pPr>
      <w:r>
        <w:rPr>
          <w:rFonts w:hint="eastAsia"/>
          <w:i w:val="0"/>
          <w:iCs w:val="0"/>
          <w:color w:val="auto"/>
          <w:szCs w:val="21"/>
          <w:highlight w:val="none"/>
        </w:rPr>
        <w:t>五、企业类型的划分以统计部门的统计数据为依据。</w:t>
      </w:r>
    </w:p>
    <w:p w14:paraId="7A62323E">
      <w:pPr>
        <w:pStyle w:val="53"/>
        <w:rPr>
          <w:i w:val="0"/>
          <w:iCs w:val="0"/>
          <w:color w:val="auto"/>
          <w:szCs w:val="21"/>
          <w:highlight w:val="none"/>
        </w:rPr>
      </w:pPr>
      <w:r>
        <w:rPr>
          <w:rFonts w:hint="eastAsia"/>
          <w:i w:val="0"/>
          <w:iCs w:val="0"/>
          <w:color w:val="auto"/>
          <w:szCs w:val="21"/>
          <w:highlight w:val="none"/>
        </w:rPr>
        <w:t>六、本规定适用于在中华人民共和国境内依法设立的各类所有制和各种组织形式的企业。个体工商户和本规定以外的行业</w:t>
      </w:r>
      <w:r>
        <w:rPr>
          <w:rFonts w:hint="eastAsia"/>
          <w:i w:val="0"/>
          <w:iCs w:val="0"/>
          <w:color w:val="auto"/>
          <w:szCs w:val="21"/>
          <w:highlight w:val="none"/>
          <w:lang w:eastAsia="zh-CN"/>
        </w:rPr>
        <w:t>，</w:t>
      </w:r>
      <w:r>
        <w:rPr>
          <w:rFonts w:hint="eastAsia"/>
          <w:i w:val="0"/>
          <w:iCs w:val="0"/>
          <w:color w:val="auto"/>
          <w:szCs w:val="21"/>
          <w:highlight w:val="none"/>
        </w:rPr>
        <w:t>参照本规定进行划型。</w:t>
      </w:r>
    </w:p>
    <w:p w14:paraId="0F30A4EF">
      <w:pPr>
        <w:pStyle w:val="53"/>
        <w:rPr>
          <w:i w:val="0"/>
          <w:iCs w:val="0"/>
          <w:color w:val="auto"/>
          <w:szCs w:val="21"/>
          <w:highlight w:val="none"/>
        </w:rPr>
      </w:pPr>
      <w:r>
        <w:rPr>
          <w:rFonts w:hint="eastAsia"/>
          <w:i w:val="0"/>
          <w:iCs w:val="0"/>
          <w:color w:val="auto"/>
          <w:szCs w:val="21"/>
          <w:highlight w:val="none"/>
        </w:rPr>
        <w:t>七、本规定的中型企业标准上限即为大型企业标准的下限</w:t>
      </w:r>
      <w:r>
        <w:rPr>
          <w:rFonts w:hint="eastAsia"/>
          <w:i w:val="0"/>
          <w:iCs w:val="0"/>
          <w:color w:val="auto"/>
          <w:szCs w:val="21"/>
          <w:highlight w:val="none"/>
          <w:lang w:eastAsia="zh-CN"/>
        </w:rPr>
        <w:t>，</w:t>
      </w:r>
      <w:r>
        <w:rPr>
          <w:rFonts w:hint="eastAsia"/>
          <w:i w:val="0"/>
          <w:iCs w:val="0"/>
          <w:color w:val="auto"/>
          <w:szCs w:val="21"/>
          <w:highlight w:val="none"/>
        </w:rPr>
        <w:t>国家统计部门据此制定大中小微型企业的统计分类。国务院有关部门据此进行相关数据分析</w:t>
      </w:r>
      <w:r>
        <w:rPr>
          <w:rFonts w:hint="eastAsia"/>
          <w:i w:val="0"/>
          <w:iCs w:val="0"/>
          <w:color w:val="auto"/>
          <w:szCs w:val="21"/>
          <w:highlight w:val="none"/>
          <w:lang w:eastAsia="zh-CN"/>
        </w:rPr>
        <w:t>，</w:t>
      </w:r>
      <w:r>
        <w:rPr>
          <w:rFonts w:hint="eastAsia"/>
          <w:i w:val="0"/>
          <w:iCs w:val="0"/>
          <w:color w:val="auto"/>
          <w:szCs w:val="21"/>
          <w:highlight w:val="none"/>
        </w:rPr>
        <w:t>不得制定与本规定不一致的企业划型标准。</w:t>
      </w:r>
    </w:p>
    <w:p w14:paraId="3EB19F76">
      <w:pPr>
        <w:pStyle w:val="53"/>
        <w:rPr>
          <w:i w:val="0"/>
          <w:iCs w:val="0"/>
          <w:color w:val="auto"/>
          <w:szCs w:val="21"/>
          <w:highlight w:val="none"/>
        </w:rPr>
      </w:pPr>
      <w:r>
        <w:rPr>
          <w:rFonts w:hint="eastAsia"/>
          <w:i w:val="0"/>
          <w:iCs w:val="0"/>
          <w:color w:val="auto"/>
          <w:szCs w:val="21"/>
          <w:highlight w:val="none"/>
        </w:rPr>
        <w:t>八、本规定由工业和信息化部、国家统计局会同有关部门根据《国民经济行业分类》修订情况和企业发展变化情况适时修订。</w:t>
      </w:r>
    </w:p>
    <w:p w14:paraId="2F08C816">
      <w:pPr>
        <w:pStyle w:val="53"/>
        <w:rPr>
          <w:i w:val="0"/>
          <w:iCs w:val="0"/>
          <w:color w:val="auto"/>
          <w:szCs w:val="21"/>
          <w:highlight w:val="none"/>
        </w:rPr>
      </w:pPr>
      <w:r>
        <w:rPr>
          <w:rFonts w:hint="eastAsia"/>
          <w:i w:val="0"/>
          <w:iCs w:val="0"/>
          <w:color w:val="auto"/>
          <w:szCs w:val="21"/>
          <w:highlight w:val="none"/>
        </w:rPr>
        <w:t>九、本规定由工业和信息化部、国家统计局会同有关部门负责解释。</w:t>
      </w:r>
    </w:p>
    <w:p w14:paraId="539146C4">
      <w:pPr>
        <w:pStyle w:val="53"/>
        <w:ind w:firstLine="420"/>
        <w:rPr>
          <w:rFonts w:hint="eastAsia" w:ascii="宋体" w:hAnsi="宋体" w:cs="宋体"/>
          <w:b/>
          <w:bCs/>
          <w:i w:val="0"/>
          <w:iCs w:val="0"/>
          <w:color w:val="auto"/>
          <w:szCs w:val="21"/>
          <w:highlight w:val="none"/>
        </w:rPr>
      </w:pPr>
      <w:r>
        <w:rPr>
          <w:rFonts w:hint="eastAsia"/>
          <w:i w:val="0"/>
          <w:iCs w:val="0"/>
          <w:color w:val="auto"/>
          <w:szCs w:val="21"/>
          <w:highlight w:val="none"/>
        </w:rPr>
        <w:t>十、本规定自发布之日起执行</w:t>
      </w:r>
      <w:r>
        <w:rPr>
          <w:rFonts w:hint="eastAsia"/>
          <w:i w:val="0"/>
          <w:iCs w:val="0"/>
          <w:color w:val="auto"/>
          <w:szCs w:val="21"/>
          <w:highlight w:val="none"/>
          <w:lang w:eastAsia="zh-CN"/>
        </w:rPr>
        <w:t>，</w:t>
      </w:r>
      <w:r>
        <w:rPr>
          <w:rFonts w:hint="eastAsia"/>
          <w:i w:val="0"/>
          <w:iCs w:val="0"/>
          <w:color w:val="auto"/>
          <w:szCs w:val="21"/>
          <w:highlight w:val="none"/>
        </w:rPr>
        <w:t>原国家经贸委、原国家计委、财政部和国家统计局</w:t>
      </w:r>
      <w:r>
        <w:rPr>
          <w:i w:val="0"/>
          <w:iCs w:val="0"/>
          <w:color w:val="auto"/>
          <w:szCs w:val="21"/>
          <w:highlight w:val="none"/>
        </w:rPr>
        <w:t>2003</w:t>
      </w:r>
      <w:r>
        <w:rPr>
          <w:rFonts w:hint="eastAsia"/>
          <w:i w:val="0"/>
          <w:iCs w:val="0"/>
          <w:color w:val="auto"/>
          <w:szCs w:val="21"/>
          <w:highlight w:val="none"/>
        </w:rPr>
        <w:t>年颁布的《中小企业标准暂行规定》同时废止。</w:t>
      </w:r>
    </w:p>
    <w:p w14:paraId="3496407B">
      <w:pPr>
        <w:pStyle w:val="50"/>
        <w:jc w:val="center"/>
        <w:rPr>
          <w:rFonts w:hint="eastAsia"/>
          <w:i w:val="0"/>
          <w:iCs w:val="0"/>
          <w:color w:val="auto"/>
          <w:highlight w:val="none"/>
        </w:rPr>
      </w:pPr>
      <w:r>
        <w:rPr>
          <w:rFonts w:hint="eastAsia"/>
          <w:i w:val="0"/>
          <w:iCs w:val="0"/>
          <w:color w:val="auto"/>
          <w:highlight w:val="none"/>
        </w:rPr>
        <w:br w:type="page" w:clear="all"/>
      </w:r>
      <w:bookmarkStart w:id="78" w:name="_Toc16154"/>
      <w:r>
        <w:rPr>
          <w:rFonts w:hint="eastAsia"/>
          <w:i w:val="0"/>
          <w:iCs w:val="0"/>
          <w:color w:val="auto"/>
          <w:highlight w:val="none"/>
        </w:rPr>
        <w:t>第四章评审程序、评审方法和评审标准</w:t>
      </w:r>
      <w:bookmarkEnd w:id="78"/>
    </w:p>
    <w:p w14:paraId="09D7B8D8">
      <w:pPr>
        <w:spacing w:line="360" w:lineRule="auto"/>
        <w:jc w:val="center"/>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一、评审程序和评审方法</w:t>
      </w:r>
    </w:p>
    <w:p w14:paraId="50FC2A81">
      <w:pPr>
        <w:spacing w:line="360" w:lineRule="auto"/>
        <w:ind w:firstLine="643"/>
        <w:rPr>
          <w:rFonts w:hint="eastAsia" w:ascii="宋体" w:hAnsi="宋体" w:eastAsia="宋体" w:cs="宋体"/>
          <w:b/>
          <w:bCs/>
          <w:i w:val="0"/>
          <w:iCs w:val="0"/>
          <w:color w:val="auto"/>
          <w:sz w:val="21"/>
          <w:szCs w:val="21"/>
          <w:highlight w:val="none"/>
        </w:rPr>
      </w:pPr>
      <w:r>
        <w:rPr>
          <w:rFonts w:hint="eastAsia" w:ascii="宋体" w:hAnsi="宋体" w:eastAsia="宋体" w:cs="宋体"/>
          <w:b/>
          <w:bCs/>
          <w:i w:val="0"/>
          <w:iCs w:val="0"/>
          <w:color w:val="auto"/>
          <w:sz w:val="21"/>
          <w:szCs w:val="21"/>
          <w:highlight w:val="none"/>
        </w:rPr>
        <w:t>1.资格审查</w:t>
      </w:r>
    </w:p>
    <w:p w14:paraId="6BB67123">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1.1响应文件开启后，磋商小组依法对供应商的资格证明文件进行审查。</w:t>
      </w:r>
    </w:p>
    <w:p w14:paraId="44834E5E">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注：磋商小组在资格审查结束前，对供应商进行信用查询。</w:t>
      </w:r>
    </w:p>
    <w:p w14:paraId="7D86B58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（1）查询渠道：“信用中国”网站(www.creditchina.gov.cn)、中国政府采购网(www.ccgp.gov.cn)。</w:t>
      </w:r>
    </w:p>
    <w:p w14:paraId="74F1DA54">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（2）信用查询截止时点：资格审查结束前。</w:t>
      </w:r>
    </w:p>
    <w:p w14:paraId="08B02283">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（3）查询记录和证据留存方式：在查询网站中直接查询，截图另存为电子文档作为评审资料保存。</w:t>
      </w:r>
    </w:p>
    <w:p w14:paraId="670B5D44">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03ABBEE9">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1.2资格审查标准为本磋商文件中载明对供应商资格要求的条件。资格审查采用合格制，凡符合磋商文件规定的供应商资格要求的响应文件均通过资格审查。</w:t>
      </w:r>
    </w:p>
    <w:p w14:paraId="6E724451">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1.3供应商有下列情形之一的，资格审查不通过，其响应文件按无效响应处理：</w:t>
      </w:r>
    </w:p>
    <w:p w14:paraId="5266DE59">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（1）不具备磋商文件中规定的资格要求的；</w:t>
      </w:r>
    </w:p>
    <w:p w14:paraId="57DE19AF">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（2）未按磋商文件规定的方式获取本磋商文件的供应商；</w:t>
      </w:r>
    </w:p>
    <w:p w14:paraId="60F5235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（3）响应文件的资格证明文件缺少任一项“供应商须知前附表”资格证明文件规定的“必须提供”的文件资料的；</w:t>
      </w:r>
    </w:p>
    <w:p w14:paraId="0291C53B">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（4）响应文件中的资格证明文件出现任一项不符合“供应商须知前附表”资格证明文件规定的“必须提供”的文件资料要求或者无效的；</w:t>
      </w:r>
    </w:p>
    <w:p w14:paraId="19374FCF">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14:paraId="0E9E180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1.4通过资格审查的合格供应商不足3家的，不得进入符合性审查环节，采购人或者采购代理机构应当重新开展采购活动。</w:t>
      </w:r>
    </w:p>
    <w:p w14:paraId="3500E87C">
      <w:pPr>
        <w:spacing w:line="360" w:lineRule="auto"/>
        <w:ind w:firstLine="643"/>
        <w:rPr>
          <w:rFonts w:hint="eastAsia" w:ascii="宋体" w:hAnsi="宋体" w:eastAsia="宋体" w:cs="宋体"/>
          <w:b/>
          <w:bCs/>
          <w:i w:val="0"/>
          <w:iCs w:val="0"/>
          <w:color w:val="auto"/>
          <w:sz w:val="21"/>
          <w:szCs w:val="21"/>
          <w:highlight w:val="none"/>
        </w:rPr>
      </w:pPr>
      <w:r>
        <w:rPr>
          <w:rFonts w:hint="eastAsia" w:ascii="宋体" w:hAnsi="宋体" w:eastAsia="宋体" w:cs="宋体"/>
          <w:b/>
          <w:bCs/>
          <w:i w:val="0"/>
          <w:iCs w:val="0"/>
          <w:color w:val="auto"/>
          <w:sz w:val="21"/>
          <w:szCs w:val="21"/>
          <w:highlight w:val="none"/>
        </w:rPr>
        <w:t>2.符合性审查</w:t>
      </w:r>
    </w:p>
    <w:p w14:paraId="054D16DA">
      <w:pPr>
        <w:spacing w:line="360" w:lineRule="auto"/>
        <w:ind w:firstLine="640"/>
        <w:rPr>
          <w:rFonts w:hint="eastAsia" w:ascii="宋体" w:hAnsi="宋体" w:eastAsia="宋体" w:cs="宋体"/>
          <w:i w:val="0"/>
          <w:iCs w:val="0"/>
          <w:color w:val="auto"/>
          <w:sz w:val="21"/>
          <w:szCs w:val="21"/>
          <w:highlight w:val="none"/>
        </w:rPr>
      </w:pPr>
      <w:bookmarkStart w:id="79" w:name="_Hlk42528882"/>
      <w:r>
        <w:rPr>
          <w:rFonts w:hint="eastAsia" w:ascii="宋体" w:hAnsi="宋体" w:eastAsia="宋体" w:cs="宋体"/>
          <w:i w:val="0"/>
          <w:iCs w:val="0"/>
          <w:color w:val="auto"/>
          <w:sz w:val="21"/>
          <w:szCs w:val="21"/>
          <w:highlight w:val="none"/>
        </w:rPr>
        <w:t>2.1由磋商小组对通过资格审查的合格供应商的响应文件的竞标报价、商务、技术等实质性要求进行符合性审查，以确定其是否满足磋商文件的实质性要求。</w:t>
      </w:r>
      <w:bookmarkEnd w:id="79"/>
    </w:p>
    <w:p w14:paraId="6E12C2E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73C4E64">
      <w:pPr>
        <w:spacing w:line="360" w:lineRule="auto"/>
        <w:ind w:firstLine="640"/>
        <w:rPr>
          <w:rFonts w:hint="eastAsia" w:ascii="宋体" w:hAnsi="宋体" w:eastAsia="宋体" w:cs="宋体"/>
          <w:i w:val="0"/>
          <w:iCs w:val="0"/>
          <w:color w:val="auto"/>
          <w:spacing w:val="-6"/>
          <w:sz w:val="21"/>
          <w:szCs w:val="21"/>
          <w:highlight w:val="none"/>
        </w:rPr>
      </w:pPr>
      <w:r>
        <w:rPr>
          <w:rFonts w:hint="eastAsia" w:ascii="宋体" w:hAnsi="宋体" w:eastAsia="宋体" w:cs="宋体"/>
          <w:i w:val="0"/>
          <w:iCs w:val="0"/>
          <w:color w:val="auto"/>
          <w:sz w:val="21"/>
          <w:szCs w:val="21"/>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签章</w:t>
      </w:r>
      <w:r>
        <w:rPr>
          <w:rFonts w:hint="eastAsia" w:ascii="宋体" w:hAnsi="宋体" w:eastAsia="宋体" w:cs="宋体"/>
          <w:i w:val="0"/>
          <w:iCs w:val="0"/>
          <w:color w:val="auto"/>
          <w:spacing w:val="-6"/>
          <w:sz w:val="21"/>
          <w:szCs w:val="21"/>
          <w:highlight w:val="none"/>
        </w:rPr>
        <w:t>。</w:t>
      </w:r>
    </w:p>
    <w:p w14:paraId="407DF733">
      <w:pPr>
        <w:spacing w:line="360" w:lineRule="auto"/>
        <w:ind w:firstLine="640"/>
        <w:rPr>
          <w:rFonts w:hint="eastAsia" w:ascii="宋体" w:hAnsi="宋体" w:eastAsia="宋体" w:cs="宋体"/>
          <w:i w:val="0"/>
          <w:iCs w:val="0"/>
          <w:color w:val="auto"/>
          <w:spacing w:val="-6"/>
          <w:sz w:val="21"/>
          <w:szCs w:val="21"/>
          <w:highlight w:val="none"/>
        </w:rPr>
      </w:pPr>
      <w:r>
        <w:rPr>
          <w:rFonts w:hint="eastAsia" w:ascii="宋体" w:hAnsi="宋体" w:eastAsia="宋体" w:cs="宋体"/>
          <w:i w:val="0"/>
          <w:iCs w:val="0"/>
          <w:color w:val="auto"/>
          <w:sz w:val="21"/>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57206AA3">
      <w:pPr>
        <w:spacing w:line="360" w:lineRule="auto"/>
        <w:ind w:firstLine="616"/>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pacing w:val="-6"/>
          <w:sz w:val="21"/>
          <w:szCs w:val="21"/>
          <w:highlight w:val="none"/>
        </w:rPr>
        <w:t>2.4</w:t>
      </w:r>
      <w:r>
        <w:rPr>
          <w:rFonts w:hint="eastAsia" w:ascii="宋体" w:hAnsi="宋体" w:eastAsia="宋体" w:cs="宋体"/>
          <w:i w:val="0"/>
          <w:iCs w:val="0"/>
          <w:color w:val="auto"/>
          <w:sz w:val="21"/>
          <w:szCs w:val="21"/>
          <w:highlight w:val="none"/>
        </w:rPr>
        <w:t>首次响应文件报价出现前后不一致的，按照下列规定修正：</w:t>
      </w:r>
    </w:p>
    <w:p w14:paraId="6D1B75C0">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（1）响应文件中报价表内容与响应文件中相应内容不一致的，以报价表为准；</w:t>
      </w:r>
    </w:p>
    <w:p w14:paraId="48FF2DE7">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（2）大写金额和小写金额不一致的，以大写金额为准；</w:t>
      </w:r>
    </w:p>
    <w:p w14:paraId="0779EB53">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（3）单价金额小数点或者百分比有明显错位的，以报价表的总价为准，并修改单价；</w:t>
      </w:r>
    </w:p>
    <w:p w14:paraId="4F3A87EE">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（4）总价金额与按单价汇总金额不一致的，以单价金额计算结果为准。</w:t>
      </w:r>
    </w:p>
    <w:p w14:paraId="7B60867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同时出现两种以上不一致的，按照以上（1）-（4）规定的顺序逐条进行修正。修正后的报价经供应商确认后产生约束力，供应商不确认的，其响应文件按无效响应处理。</w:t>
      </w:r>
    </w:p>
    <w:p w14:paraId="36DE2D2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2.5商务技术报价评审</w:t>
      </w:r>
    </w:p>
    <w:p w14:paraId="15D784F0">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在评审时，如发现下列情形之一的，将被视为响应文件无效处理：</w:t>
      </w:r>
    </w:p>
    <w:p w14:paraId="1D01CE4E">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（1）商务技术评审</w:t>
      </w:r>
    </w:p>
    <w:p w14:paraId="578B1FB1">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1）响应文件未按磋商文件要求签署、盖章；</w:t>
      </w:r>
    </w:p>
    <w:p w14:paraId="1821D6D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2）委托代理人未能出具有效身份证或者出具的身份证与授权委托书中的信息不符的；</w:t>
      </w:r>
    </w:p>
    <w:p w14:paraId="67D1668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3）提交的磋商保证金无效的或者未按照磋商文件的规定提交磋商保证金；</w:t>
      </w:r>
    </w:p>
    <w:p w14:paraId="1A485D91">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14:paraId="36A2692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5）商务、技术要求允许负偏离的条款数超过“供应商须知前附表”规定项数的；</w:t>
      </w:r>
    </w:p>
    <w:p w14:paraId="70527421">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6）未对竞标有效期作出响应或者响应文件承诺的竞标有效期不满足磋商文件要求；</w:t>
      </w:r>
    </w:p>
    <w:p w14:paraId="50987A2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7）响应文件的实质性内容未使用中文表述、使用计量单位不符合磋商文件要求；</w:t>
      </w:r>
    </w:p>
    <w:p w14:paraId="2606036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8）响应文件中的文件资料因填写不齐全或者内容虚假或者出现其他情形而导致被磋商小组认定无效；</w:t>
      </w:r>
    </w:p>
    <w:p w14:paraId="7D1AB1A9">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9）响应文件含有采购人不能接受的附加条件；</w:t>
      </w:r>
    </w:p>
    <w:p w14:paraId="27562281">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10）属于“供应商须知正文”第7.5条情形；</w:t>
      </w:r>
    </w:p>
    <w:p w14:paraId="42072C3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11）虚假竞标，或者出现其他情形而导致被磋商小组认定无效；</w:t>
      </w:r>
    </w:p>
    <w:p w14:paraId="6CA284A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12）</w:t>
      </w:r>
      <w:bookmarkStart w:id="80" w:name="_Hlk71704147"/>
      <w:r>
        <w:rPr>
          <w:rFonts w:hint="eastAsia" w:ascii="宋体" w:hAnsi="宋体" w:eastAsia="宋体" w:cs="宋体"/>
          <w:i w:val="0"/>
          <w:iCs w:val="0"/>
          <w:color w:val="auto"/>
          <w:sz w:val="21"/>
          <w:szCs w:val="21"/>
          <w:highlight w:val="none"/>
        </w:rPr>
        <w:t>磋商文件未载明允许提供备选（替代）竞标方案或明确不允许提供备选（替代）竞标方案时，供应商提供了备选（替代）竞标方案的；</w:t>
      </w:r>
      <w:bookmarkEnd w:id="80"/>
    </w:p>
    <w:p w14:paraId="3C0553DF">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13）响应文件标注的项目名称或者项目编号与磋商文件标注的项目名称或者项目编号不一致的；</w:t>
      </w:r>
    </w:p>
    <w:p w14:paraId="13F1F8D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14）竞争性磋商文件明确不允许分包，响应文件拟分包的；</w:t>
      </w:r>
    </w:p>
    <w:p w14:paraId="06A82BA5">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15）未响应磋商文件实质性要求；</w:t>
      </w:r>
    </w:p>
    <w:p w14:paraId="596B3232">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16）法律、法规和磋商文件规定的其他无效情形。</w:t>
      </w:r>
    </w:p>
    <w:p w14:paraId="073F5446">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（2）报价评审</w:t>
      </w:r>
    </w:p>
    <w:p w14:paraId="7BFE0D54">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1）响应文件未提供“供应商须知前附表”报价文件中规定的“竞标报价表”；</w:t>
      </w:r>
    </w:p>
    <w:p w14:paraId="72BE461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2）未采用人民币报价或者未按照磋商文件标明的币种报价；</w:t>
      </w:r>
    </w:p>
    <w:p w14:paraId="126EDCA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02894065">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4）竞标报价（包含首次报价、最后报价）超过所竞标分标规定的采购预算金额或者最高限价的（如本项目公布了最高限价）；</w:t>
      </w:r>
      <w:bookmarkStart w:id="81" w:name="_Hlk42596405"/>
      <w:r>
        <w:rPr>
          <w:rFonts w:hint="eastAsia" w:ascii="宋体" w:hAnsi="宋体" w:eastAsia="宋体" w:cs="宋体"/>
          <w:i w:val="0"/>
          <w:iCs w:val="0"/>
          <w:color w:val="auto"/>
          <w:sz w:val="21"/>
          <w:szCs w:val="21"/>
          <w:highlight w:val="none"/>
        </w:rPr>
        <w:t>分项竞标报价（包含首次报价、最后报价）</w:t>
      </w:r>
      <w:bookmarkEnd w:id="81"/>
      <w:bookmarkStart w:id="82" w:name="_Hlk42596276"/>
      <w:r>
        <w:rPr>
          <w:rFonts w:hint="eastAsia" w:ascii="宋体" w:hAnsi="宋体" w:eastAsia="宋体" w:cs="宋体"/>
          <w:i w:val="0"/>
          <w:iCs w:val="0"/>
          <w:color w:val="auto"/>
          <w:sz w:val="21"/>
          <w:szCs w:val="21"/>
          <w:highlight w:val="none"/>
        </w:rPr>
        <w:t>超过磋商文件分项采购预算金额或者最高限价的</w:t>
      </w:r>
      <w:bookmarkEnd w:id="82"/>
      <w:r>
        <w:rPr>
          <w:rFonts w:hint="eastAsia" w:ascii="宋体" w:hAnsi="宋体" w:eastAsia="宋体" w:cs="宋体"/>
          <w:i w:val="0"/>
          <w:iCs w:val="0"/>
          <w:color w:val="auto"/>
          <w:sz w:val="21"/>
          <w:szCs w:val="21"/>
          <w:highlight w:val="none"/>
        </w:rPr>
        <w:t>（如本项目公布了最高限价）；</w:t>
      </w:r>
    </w:p>
    <w:p w14:paraId="017EF080">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分项竞标报价（包含首次报价、最后报价）超过磋商文件分项采购预算金额或者最高限价的（如本项目公布了最高限价）。</w:t>
      </w:r>
    </w:p>
    <w:p w14:paraId="5B740543">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6）响应文件响应的标的数量及单位与竞争性磋商采购文件要求实质性不一致的。</w:t>
      </w:r>
    </w:p>
    <w:p w14:paraId="7DD3AC17">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A5C1ED4">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2.7通过符合性审查的合格供应商不足3家的，不得进入磋商环节，采购人或者采购代理机构应当重新开展采购活动。</w:t>
      </w:r>
    </w:p>
    <w:p w14:paraId="29C6F59E">
      <w:pPr>
        <w:spacing w:line="360" w:lineRule="auto"/>
        <w:ind w:firstLine="643"/>
        <w:rPr>
          <w:rFonts w:hint="eastAsia" w:ascii="宋体" w:hAnsi="宋体" w:eastAsia="宋体" w:cs="宋体"/>
          <w:b/>
          <w:bCs/>
          <w:i w:val="0"/>
          <w:iCs w:val="0"/>
          <w:color w:val="auto"/>
          <w:sz w:val="21"/>
          <w:szCs w:val="21"/>
          <w:highlight w:val="none"/>
        </w:rPr>
      </w:pPr>
      <w:r>
        <w:rPr>
          <w:rFonts w:hint="eastAsia" w:ascii="宋体" w:hAnsi="宋体" w:eastAsia="宋体" w:cs="宋体"/>
          <w:b/>
          <w:bCs/>
          <w:i w:val="0"/>
          <w:iCs w:val="0"/>
          <w:color w:val="auto"/>
          <w:sz w:val="21"/>
          <w:szCs w:val="21"/>
          <w:highlight w:val="none"/>
        </w:rPr>
        <w:t>3.磋商程序</w:t>
      </w:r>
    </w:p>
    <w:p w14:paraId="32CE32E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3.1磋商小组集中与单一供应商分别进行磋商，并给予所有参加磋商的供应商平等的磋商机会。符合磋商资格的供应商必须在接到磋商通知后在规定时间内在广西政府采购云平台上参加磋商，未在规定时间内参加磋商的视同放弃参加磋商权利，其响应文件按无效响应处理。</w:t>
      </w:r>
    </w:p>
    <w:p w14:paraId="37BBFCD2">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8D69F59">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3.3对磋商文件作出的实质性变动是磋商文件的有效组成部分，由磋商小组及时以电子澄清函形式同时通知所有参加磋商的供应商。</w:t>
      </w:r>
    </w:p>
    <w:p w14:paraId="58D39E9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18151E3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3.5磋商中，</w:t>
      </w:r>
      <w:r>
        <w:rPr>
          <w:rFonts w:hint="eastAsia" w:ascii="宋体" w:hAnsi="宋体" w:eastAsia="宋体" w:cs="宋体"/>
          <w:i w:val="0"/>
          <w:iCs w:val="0"/>
          <w:color w:val="auto"/>
          <w:spacing w:val="-6"/>
          <w:sz w:val="21"/>
          <w:szCs w:val="21"/>
          <w:highlight w:val="none"/>
        </w:rPr>
        <w:t>磋商的任何一方不得透露与磋商有关的其他供应商的技术资料、价格和其他信息。</w:t>
      </w:r>
    </w:p>
    <w:p w14:paraId="5C24DD0B">
      <w:pPr>
        <w:widowControl/>
        <w:tabs>
          <w:tab w:val="left" w:pos="540"/>
        </w:tabs>
        <w:spacing w:line="360" w:lineRule="auto"/>
        <w:ind w:firstLine="640"/>
        <w:jc w:val="left"/>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3.6采购代理机构对磋商过程和重要磋商内容进行记录。</w:t>
      </w:r>
    </w:p>
    <w:p w14:paraId="5FEE8B5B">
      <w:pPr>
        <w:tabs>
          <w:tab w:val="left" w:pos="2835"/>
        </w:tabs>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66F2CCF">
      <w:pPr>
        <w:tabs>
          <w:tab w:val="left" w:pos="2835"/>
        </w:tabs>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3.8除本章第3.7条情形外，对磋商过程提交的响应文件进行有效性、完整性和响应程度审查，通过审查的合格供应商不足3家的，采购人或者采购代理机构应当重新开展采购活动。</w:t>
      </w:r>
    </w:p>
    <w:p w14:paraId="70ED58B2">
      <w:pPr>
        <w:spacing w:line="360" w:lineRule="auto"/>
        <w:ind w:firstLine="643"/>
        <w:rPr>
          <w:rFonts w:hint="eastAsia" w:ascii="宋体" w:hAnsi="宋体" w:eastAsia="宋体" w:cs="宋体"/>
          <w:i w:val="0"/>
          <w:iCs w:val="0"/>
          <w:color w:val="auto"/>
          <w:sz w:val="21"/>
          <w:szCs w:val="21"/>
          <w:highlight w:val="none"/>
        </w:rPr>
      </w:pPr>
      <w:r>
        <w:rPr>
          <w:rFonts w:hint="eastAsia" w:ascii="宋体" w:hAnsi="宋体" w:eastAsia="宋体" w:cs="宋体"/>
          <w:b/>
          <w:bCs/>
          <w:i w:val="0"/>
          <w:iCs w:val="0"/>
          <w:color w:val="auto"/>
          <w:sz w:val="21"/>
          <w:szCs w:val="21"/>
          <w:highlight w:val="none"/>
        </w:rPr>
        <w:t>4.最后报价</w:t>
      </w:r>
    </w:p>
    <w:p w14:paraId="09F2EA96">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14:paraId="6E8239D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53764B26">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4.3最后报价是供应商响应文件的有效组成部分。符合《政府采购竞争性磋商采购方式管理暂行办法》（财库〔2014〕214号）第三条第四项“市场竞争不充分的科研项目，以及需要扶持的科技成果转化项目”和本章第3.7条情形的，提交最后报价的供应商可以为2家。</w:t>
      </w:r>
    </w:p>
    <w:p w14:paraId="39DE6B73">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095D42F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4.5供应商未在规定时间内提交最后报价的，视同退出磋商，其响应文件按无效处理。</w:t>
      </w:r>
    </w:p>
    <w:p w14:paraId="549CA733">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4.6最后报价统一开启后，磋商小组对最后报价进行有效性、完整性和响应程度的审查。</w:t>
      </w:r>
    </w:p>
    <w:p w14:paraId="29474E6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4.7最后报价出现前后不一致的，按照本章第2.4条的规定修正。</w:t>
      </w:r>
    </w:p>
    <w:p w14:paraId="1E901BD4">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4.8修正后的报价出现下列情形的，按无效响应处理：</w:t>
      </w:r>
    </w:p>
    <w:p w14:paraId="1D72FA29">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（1）供应商不确认的（全流程电子化评标采取在线确认）；</w:t>
      </w:r>
    </w:p>
    <w:p w14:paraId="55D0FBC0">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（2）经供应商确认修正后的竞标报价（包含首次报价、最后报价）超过所竞标分标规定的采购预算金额或者最高限价的（如本项目公布了最高限价）；</w:t>
      </w:r>
    </w:p>
    <w:p w14:paraId="457D03F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（3）经供应商确认修正后的竞标报价（包含首次报价、最后报价）超过分项采购预算金额或者最高限价的（如本项目公布了最高限价）。</w:t>
      </w:r>
    </w:p>
    <w:p w14:paraId="63BF4AB0">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4.9经供应商确认修正后的最后报价作为评审及签订合同的依据。</w:t>
      </w:r>
    </w:p>
    <w:p w14:paraId="316EBB95">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4.10供应商出现最后报价按无效响应处理或者响应文件按无效处理时，磋商小组应当告知有关供应商。</w:t>
      </w:r>
    </w:p>
    <w:p w14:paraId="7B0FC37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4.11最后报价结束后，磋商小组不得再与供应商进行任何形式的商谈。</w:t>
      </w:r>
    </w:p>
    <w:p w14:paraId="178CC254">
      <w:pPr>
        <w:spacing w:line="360" w:lineRule="auto"/>
        <w:ind w:firstLine="643"/>
        <w:rPr>
          <w:rFonts w:hint="eastAsia" w:ascii="宋体" w:hAnsi="宋体" w:eastAsia="宋体" w:cs="宋体"/>
          <w:b/>
          <w:bCs/>
          <w:i w:val="0"/>
          <w:iCs w:val="0"/>
          <w:color w:val="auto"/>
          <w:sz w:val="21"/>
          <w:szCs w:val="21"/>
          <w:highlight w:val="none"/>
        </w:rPr>
      </w:pPr>
      <w:r>
        <w:rPr>
          <w:rFonts w:hint="eastAsia" w:ascii="宋体" w:hAnsi="宋体" w:eastAsia="宋体" w:cs="宋体"/>
          <w:b/>
          <w:bCs/>
          <w:i w:val="0"/>
          <w:iCs w:val="0"/>
          <w:color w:val="auto"/>
          <w:sz w:val="21"/>
          <w:szCs w:val="21"/>
          <w:highlight w:val="none"/>
        </w:rPr>
        <w:t>5.比较与评价</w:t>
      </w:r>
    </w:p>
    <w:p w14:paraId="0891CE5B">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5.1评审方法：综合评分法。</w:t>
      </w:r>
    </w:p>
    <w:p w14:paraId="793A34D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5.2经磋商确定最终采购需求和提交最后报价的供应商后，由磋商小组采用综合评分法对提交最后报价的供应商的响应文件和最后报价进行综合评分。</w:t>
      </w:r>
    </w:p>
    <w:p w14:paraId="22ABB57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5.3评审时，磋商小组各成员应当独立对每个有效响应的文件进行评价、打分，然后汇总每个供应商每项评分因素的得分。</w:t>
      </w:r>
    </w:p>
    <w:p w14:paraId="6D43ED8A">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（1）磋商小组按照磋商文件中规定的评审标准计算各供应商的报价得分。项目评审过程中，不得去掉最后报价中的最高报价和最低报价。</w:t>
      </w:r>
    </w:p>
    <w:p w14:paraId="103D0CA8">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（2）各供应商的得分为磋商小组所有成员的有效评分的算术平均数。</w:t>
      </w:r>
    </w:p>
    <w:p w14:paraId="048FEFB6">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5.4评审价为供应商的最后报价进行政策性扣除后的价格，评审价只是作为评审时使用。最终成交供应商的成交金额等于最后报价（如有修正，以确认修正后的最后报价为准）。</w:t>
      </w:r>
    </w:p>
    <w:p w14:paraId="1775C66B">
      <w:pPr>
        <w:spacing w:line="360" w:lineRule="auto"/>
        <w:ind w:firstLine="646"/>
        <w:jc w:val="left"/>
        <w:rPr>
          <w:rFonts w:hint="eastAsia" w:ascii="宋体" w:hAnsi="宋体" w:eastAsia="宋体" w:cs="宋体"/>
          <w:i w:val="0"/>
          <w:iCs w:val="0"/>
          <w:color w:val="auto"/>
          <w:spacing w:val="-6"/>
          <w:sz w:val="21"/>
          <w:szCs w:val="21"/>
          <w:highlight w:val="none"/>
        </w:rPr>
      </w:pPr>
      <w:r>
        <w:rPr>
          <w:rFonts w:hint="eastAsia" w:ascii="宋体" w:hAnsi="宋体" w:eastAsia="宋体" w:cs="宋体"/>
          <w:i w:val="0"/>
          <w:iCs w:val="0"/>
          <w:color w:val="auto"/>
          <w:sz w:val="21"/>
          <w:szCs w:val="21"/>
          <w:highlight w:val="none"/>
        </w:rPr>
        <w:t>5.5异常低价响应审查</w:t>
      </w:r>
    </w:p>
    <w:p w14:paraId="6F9DCCC9">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（1）磋商小组在评审中发现下列情形之一的，应当启动异常低价响应审查程序：</w:t>
      </w:r>
    </w:p>
    <w:p w14:paraId="08F74961">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①</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低于全部通过符合性审查供应商</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平均值</w:t>
      </w:r>
      <w:r>
        <w:rPr>
          <w:rFonts w:hint="eastAsia" w:ascii="宋体" w:hAnsi="宋体" w:eastAsia="宋体" w:cs="宋体"/>
          <w:i w:val="0"/>
          <w:iCs w:val="0"/>
          <w:color w:val="auto"/>
          <w:sz w:val="21"/>
          <w:szCs w:val="21"/>
          <w:highlight w:val="none"/>
          <w:u w:val="single"/>
        </w:rPr>
        <w:t xml:space="preserve"> 65%  </w:t>
      </w:r>
      <w:r>
        <w:rPr>
          <w:rFonts w:hint="eastAsia" w:ascii="宋体" w:hAnsi="宋体" w:eastAsia="宋体" w:cs="宋体"/>
          <w:i w:val="0"/>
          <w:iCs w:val="0"/>
          <w:color w:val="auto"/>
          <w:sz w:val="21"/>
          <w:szCs w:val="21"/>
          <w:highlight w:val="none"/>
        </w:rPr>
        <w:t>的，即</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＜全部通过符合性审查供应商</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平均值×</w:t>
      </w:r>
      <w:r>
        <w:rPr>
          <w:rFonts w:hint="eastAsia" w:ascii="宋体" w:hAnsi="宋体" w:eastAsia="宋体" w:cs="宋体"/>
          <w:i w:val="0"/>
          <w:iCs w:val="0"/>
          <w:color w:val="auto"/>
          <w:sz w:val="21"/>
          <w:szCs w:val="21"/>
          <w:highlight w:val="none"/>
          <w:u w:val="single"/>
        </w:rPr>
        <w:t xml:space="preserve"> 65%   </w:t>
      </w:r>
      <w:r>
        <w:rPr>
          <w:rFonts w:hint="eastAsia" w:ascii="宋体" w:hAnsi="宋体" w:eastAsia="宋体" w:cs="宋体"/>
          <w:i w:val="0"/>
          <w:iCs w:val="0"/>
          <w:color w:val="auto"/>
          <w:sz w:val="21"/>
          <w:szCs w:val="21"/>
          <w:highlight w:val="none"/>
        </w:rPr>
        <w:t>；</w:t>
      </w:r>
    </w:p>
    <w:p w14:paraId="0515063F">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②</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低于通过符合性审查的次低报价供应商</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u w:val="single"/>
        </w:rPr>
        <w:t xml:space="preserve"> 65%  </w:t>
      </w:r>
      <w:r>
        <w:rPr>
          <w:rFonts w:hint="eastAsia" w:ascii="宋体" w:hAnsi="宋体" w:eastAsia="宋体" w:cs="宋体"/>
          <w:i w:val="0"/>
          <w:iCs w:val="0"/>
          <w:color w:val="auto"/>
          <w:sz w:val="21"/>
          <w:szCs w:val="21"/>
          <w:highlight w:val="none"/>
        </w:rPr>
        <w:t>的，即</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＜通过符合性审查的次低报价供应商</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w:t>
      </w:r>
      <w:r>
        <w:rPr>
          <w:rFonts w:hint="eastAsia" w:ascii="宋体" w:hAnsi="宋体" w:eastAsia="宋体" w:cs="宋体"/>
          <w:i w:val="0"/>
          <w:iCs w:val="0"/>
          <w:color w:val="auto"/>
          <w:sz w:val="21"/>
          <w:szCs w:val="21"/>
          <w:highlight w:val="none"/>
          <w:u w:val="single"/>
        </w:rPr>
        <w:t xml:space="preserve"> 65%  </w:t>
      </w:r>
      <w:r>
        <w:rPr>
          <w:rFonts w:hint="eastAsia" w:ascii="宋体" w:hAnsi="宋体" w:eastAsia="宋体" w:cs="宋体"/>
          <w:i w:val="0"/>
          <w:iCs w:val="0"/>
          <w:color w:val="auto"/>
          <w:sz w:val="21"/>
          <w:szCs w:val="21"/>
          <w:highlight w:val="none"/>
        </w:rPr>
        <w:t>；</w:t>
      </w:r>
    </w:p>
    <w:p w14:paraId="3005241E">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③</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低于采购项目最高限价</w:t>
      </w:r>
      <w:r>
        <w:rPr>
          <w:rFonts w:hint="eastAsia" w:ascii="宋体" w:hAnsi="宋体" w:eastAsia="宋体" w:cs="宋体"/>
          <w:i w:val="0"/>
          <w:iCs w:val="0"/>
          <w:color w:val="auto"/>
          <w:sz w:val="21"/>
          <w:szCs w:val="21"/>
          <w:highlight w:val="none"/>
          <w:u w:val="single"/>
        </w:rPr>
        <w:t xml:space="preserve"> 65%  </w:t>
      </w:r>
      <w:r>
        <w:rPr>
          <w:rFonts w:hint="eastAsia" w:ascii="宋体" w:hAnsi="宋体" w:eastAsia="宋体" w:cs="宋体"/>
          <w:i w:val="0"/>
          <w:iCs w:val="0"/>
          <w:color w:val="auto"/>
          <w:sz w:val="21"/>
          <w:szCs w:val="21"/>
          <w:highlight w:val="none"/>
        </w:rPr>
        <w:t>的，即</w:t>
      </w:r>
      <w:r>
        <w:rPr>
          <w:rFonts w:hint="eastAsia" w:ascii="宋体" w:hAnsi="宋体" w:eastAsia="宋体" w:cs="宋体"/>
          <w:i w:val="0"/>
          <w:iCs w:val="0"/>
          <w:color w:val="auto"/>
          <w:sz w:val="21"/>
          <w:szCs w:val="21"/>
          <w:highlight w:val="none"/>
          <w:lang w:eastAsia="zh-CN"/>
        </w:rPr>
        <w:t>竞标报价</w:t>
      </w:r>
      <w:r>
        <w:rPr>
          <w:rFonts w:hint="eastAsia" w:ascii="宋体" w:hAnsi="宋体" w:eastAsia="宋体" w:cs="宋体"/>
          <w:i w:val="0"/>
          <w:iCs w:val="0"/>
          <w:color w:val="auto"/>
          <w:sz w:val="21"/>
          <w:szCs w:val="21"/>
          <w:highlight w:val="none"/>
        </w:rPr>
        <w:t>＜采购项目最高限价×</w:t>
      </w:r>
      <w:r>
        <w:rPr>
          <w:rFonts w:hint="eastAsia" w:ascii="宋体" w:hAnsi="宋体" w:eastAsia="宋体" w:cs="宋体"/>
          <w:i w:val="0"/>
          <w:iCs w:val="0"/>
          <w:color w:val="auto"/>
          <w:sz w:val="21"/>
          <w:szCs w:val="21"/>
          <w:highlight w:val="none"/>
          <w:u w:val="single"/>
        </w:rPr>
        <w:t xml:space="preserve"> 65% </w:t>
      </w:r>
      <w:r>
        <w:rPr>
          <w:rFonts w:hint="eastAsia" w:ascii="宋体" w:hAnsi="宋体" w:eastAsia="宋体" w:cs="宋体"/>
          <w:i w:val="0"/>
          <w:iCs w:val="0"/>
          <w:color w:val="auto"/>
          <w:sz w:val="21"/>
          <w:szCs w:val="21"/>
          <w:highlight w:val="none"/>
        </w:rPr>
        <w:t>；</w:t>
      </w:r>
    </w:p>
    <w:p w14:paraId="2B60832F">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④磋商小组基于专业判断，认为供应商报价过低，有可能影响产品质量或者不能诚信履约的其他情形。</w:t>
      </w:r>
    </w:p>
    <w:p w14:paraId="1B1A6B67">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不少于30分钟。其中，属于第③项情形，供应商已随响应文件一并提交相关书面说明及必要的证明材料的，可不再重复提交。</w:t>
      </w:r>
    </w:p>
    <w:p w14:paraId="0C5BAED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b/>
          <w:i w:val="0"/>
          <w:iCs w:val="0"/>
          <w:color w:val="auto"/>
          <w:sz w:val="21"/>
          <w:szCs w:val="21"/>
          <w:highlight w:val="none"/>
        </w:rPr>
        <w:t>相关供应商不能提供书面说明、证明材料，或者提供的书面说明、证明材料不能证明其报价合理性的，磋商小组应当将其作为无效响应处理。</w:t>
      </w:r>
    </w:p>
    <w:p w14:paraId="5A5D0426">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68D6C63C">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异常低价响应审查的启动原因、审查意见和审查结果应当在评审报告中记录，并随供应商提供的相关书面说明及证明材料，以及磋商小组有关互联网浏览、查询历史一并归档。</w:t>
      </w:r>
    </w:p>
    <w:p w14:paraId="0AEBBEFD">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5.6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14:paraId="498850F0">
      <w:pPr>
        <w:spacing w:line="360"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24B001F">
      <w:pPr>
        <w:spacing w:line="360" w:lineRule="auto"/>
        <w:ind w:firstLine="640"/>
        <w:rPr>
          <w:rFonts w:hint="eastAsia" w:ascii="宋体" w:hAnsi="宋体" w:eastAsia="宋体" w:cs="宋体"/>
          <w:bCs/>
          <w:i w:val="0"/>
          <w:iCs w:val="0"/>
          <w:color w:val="auto"/>
          <w:sz w:val="21"/>
          <w:szCs w:val="21"/>
          <w:highlight w:val="none"/>
        </w:rPr>
      </w:pPr>
      <w:r>
        <w:rPr>
          <w:rFonts w:hint="eastAsia" w:ascii="宋体" w:hAnsi="宋体" w:eastAsia="宋体" w:cs="宋体"/>
          <w:bCs/>
          <w:i w:val="0"/>
          <w:iCs w:val="0"/>
          <w:color w:val="auto"/>
          <w:sz w:val="21"/>
          <w:szCs w:val="21"/>
          <w:highlight w:val="none"/>
        </w:rPr>
        <w:t>6.评审依据：磋商小组将以磋商响应文件为评审依据，对供应商的报价、技术、商务等方面内容按百分制打分。（计分方法按四舍五入取至百分位）</w:t>
      </w:r>
    </w:p>
    <w:tbl>
      <w:tblPr>
        <w:tblStyle w:val="36"/>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167"/>
        <w:gridCol w:w="6267"/>
        <w:gridCol w:w="849"/>
      </w:tblGrid>
      <w:tr w14:paraId="4259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60" w:type="dxa"/>
            <w:gridSpan w:val="4"/>
            <w:tcBorders>
              <w:top w:val="single" w:color="auto" w:sz="4" w:space="0"/>
              <w:left w:val="single" w:color="auto" w:sz="4" w:space="0"/>
              <w:bottom w:val="single" w:color="auto" w:sz="4" w:space="0"/>
              <w:right w:val="single" w:color="auto" w:sz="4" w:space="0"/>
            </w:tcBorders>
            <w:noWrap/>
            <w:vAlign w:val="center"/>
          </w:tcPr>
          <w:p w14:paraId="3272AC9B">
            <w:pPr>
              <w:keepNext w:val="0"/>
              <w:keepLines w:val="0"/>
              <w:pageBreakBefore w:val="0"/>
              <w:widowControl/>
              <w:bidi w:val="0"/>
              <w:spacing w:line="440" w:lineRule="exact"/>
              <w:jc w:val="both"/>
              <w:rPr>
                <w:rFonts w:hint="default" w:ascii="宋体" w:hAnsi="宋体" w:eastAsia="宋体" w:cs="宋体"/>
                <w:b/>
                <w:bCs/>
                <w:i w:val="0"/>
                <w:iCs w:val="0"/>
                <w:color w:val="auto"/>
                <w:sz w:val="21"/>
                <w:szCs w:val="21"/>
                <w:highlight w:val="none"/>
                <w:lang w:val="en-US" w:eastAsia="zh-CN" w:bidi="ar-SA"/>
              </w:rPr>
            </w:pPr>
            <w:r>
              <w:rPr>
                <w:rFonts w:hint="eastAsia" w:ascii="宋体" w:hAnsi="宋体" w:eastAsia="宋体" w:cs="宋体"/>
                <w:b/>
                <w:bCs/>
                <w:i w:val="0"/>
                <w:iCs w:val="0"/>
                <w:color w:val="auto"/>
                <w:sz w:val="21"/>
                <w:szCs w:val="21"/>
                <w:highlight w:val="none"/>
                <w:lang w:val="en-US" w:eastAsia="zh-CN" w:bidi="ar-SA"/>
              </w:rPr>
              <w:t>适用分标</w:t>
            </w:r>
            <w:r>
              <w:rPr>
                <w:rFonts w:hint="eastAsia" w:ascii="宋体" w:hAnsi="宋体" w:cs="宋体"/>
                <w:b/>
                <w:bCs/>
                <w:i w:val="0"/>
                <w:iCs w:val="0"/>
                <w:color w:val="auto"/>
                <w:sz w:val="21"/>
                <w:szCs w:val="21"/>
                <w:highlight w:val="none"/>
                <w:lang w:val="en-US" w:eastAsia="zh-CN" w:bidi="ar-SA"/>
              </w:rPr>
              <w:t>1、分标2</w:t>
            </w:r>
          </w:p>
        </w:tc>
      </w:tr>
      <w:tr w14:paraId="25CE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32C87">
            <w:pPr>
              <w:keepNext w:val="0"/>
              <w:keepLines w:val="0"/>
              <w:pageBreakBefore w:val="0"/>
              <w:widowControl/>
              <w:bidi w:val="0"/>
              <w:spacing w:line="440" w:lineRule="exact"/>
              <w:jc w:val="center"/>
              <w:rPr>
                <w:rFonts w:hint="eastAsia" w:ascii="宋体" w:hAnsi="宋体" w:eastAsia="宋体" w:cs="宋体"/>
                <w:b/>
                <w:bCs/>
                <w:i w:val="0"/>
                <w:iCs w:val="0"/>
                <w:color w:val="auto"/>
                <w:sz w:val="21"/>
                <w:szCs w:val="21"/>
                <w:highlight w:val="none"/>
                <w:lang w:val="en-US" w:eastAsia="zh-CN" w:bidi="ar-SA"/>
              </w:rPr>
            </w:pPr>
            <w:r>
              <w:rPr>
                <w:rFonts w:hint="eastAsia" w:ascii="宋体" w:hAnsi="宋体" w:eastAsia="宋体" w:cs="宋体"/>
                <w:b/>
                <w:bCs/>
                <w:i w:val="0"/>
                <w:iCs w:val="0"/>
                <w:color w:val="auto"/>
                <w:sz w:val="21"/>
                <w:szCs w:val="21"/>
                <w:highlight w:val="none"/>
              </w:rPr>
              <w:t>序号</w:t>
            </w:r>
          </w:p>
        </w:tc>
        <w:tc>
          <w:tcPr>
            <w:tcW w:w="11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6048C">
            <w:pPr>
              <w:keepNext w:val="0"/>
              <w:keepLines w:val="0"/>
              <w:pageBreakBefore w:val="0"/>
              <w:widowControl/>
              <w:bidi w:val="0"/>
              <w:spacing w:line="440" w:lineRule="exact"/>
              <w:jc w:val="center"/>
              <w:rPr>
                <w:rFonts w:hint="eastAsia" w:ascii="宋体" w:hAnsi="宋体" w:eastAsia="宋体" w:cs="宋体"/>
                <w:b/>
                <w:bCs/>
                <w:i w:val="0"/>
                <w:iCs w:val="0"/>
                <w:color w:val="auto"/>
                <w:sz w:val="21"/>
                <w:szCs w:val="21"/>
                <w:highlight w:val="none"/>
                <w:lang w:val="en-US" w:eastAsia="zh-CN" w:bidi="ar-SA"/>
              </w:rPr>
            </w:pPr>
            <w:r>
              <w:rPr>
                <w:rFonts w:hint="eastAsia" w:ascii="宋体" w:hAnsi="宋体" w:eastAsia="宋体" w:cs="宋体"/>
                <w:b/>
                <w:bCs/>
                <w:i w:val="0"/>
                <w:iCs w:val="0"/>
                <w:color w:val="auto"/>
                <w:sz w:val="21"/>
                <w:szCs w:val="21"/>
                <w:highlight w:val="none"/>
              </w:rPr>
              <w:t>评审因素</w:t>
            </w:r>
          </w:p>
        </w:tc>
        <w:tc>
          <w:tcPr>
            <w:tcW w:w="62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1507A">
            <w:pPr>
              <w:keepNext w:val="0"/>
              <w:keepLines w:val="0"/>
              <w:pageBreakBefore w:val="0"/>
              <w:widowControl/>
              <w:bidi w:val="0"/>
              <w:spacing w:line="440" w:lineRule="exact"/>
              <w:jc w:val="center"/>
              <w:rPr>
                <w:rFonts w:hint="eastAsia" w:ascii="宋体" w:hAnsi="宋体" w:eastAsia="宋体" w:cs="宋体"/>
                <w:b/>
                <w:bCs/>
                <w:i w:val="0"/>
                <w:iCs w:val="0"/>
                <w:color w:val="auto"/>
                <w:sz w:val="21"/>
                <w:szCs w:val="21"/>
                <w:highlight w:val="none"/>
                <w:lang w:val="en-US" w:eastAsia="zh-CN" w:bidi="ar-SA"/>
              </w:rPr>
            </w:pPr>
            <w:r>
              <w:rPr>
                <w:rFonts w:hint="eastAsia" w:ascii="宋体" w:hAnsi="宋体" w:eastAsia="宋体" w:cs="宋体"/>
                <w:b/>
                <w:bCs/>
                <w:i w:val="0"/>
                <w:iCs w:val="0"/>
                <w:color w:val="auto"/>
                <w:sz w:val="21"/>
                <w:szCs w:val="21"/>
                <w:highlight w:val="none"/>
              </w:rPr>
              <w:t>评审因素具体内容</w:t>
            </w:r>
          </w:p>
        </w:tc>
        <w:tc>
          <w:tcPr>
            <w:tcW w:w="8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030E2">
            <w:pPr>
              <w:keepNext w:val="0"/>
              <w:keepLines w:val="0"/>
              <w:pageBreakBefore w:val="0"/>
              <w:widowControl/>
              <w:bidi w:val="0"/>
              <w:spacing w:line="440" w:lineRule="exact"/>
              <w:jc w:val="center"/>
              <w:rPr>
                <w:rFonts w:hint="eastAsia" w:ascii="宋体" w:hAnsi="宋体" w:eastAsia="宋体" w:cs="宋体"/>
                <w:b/>
                <w:bCs/>
                <w:i w:val="0"/>
                <w:iCs w:val="0"/>
                <w:color w:val="auto"/>
                <w:sz w:val="21"/>
                <w:szCs w:val="21"/>
                <w:highlight w:val="none"/>
                <w:lang w:val="en-US" w:eastAsia="zh-CN" w:bidi="ar-SA"/>
              </w:rPr>
            </w:pPr>
            <w:r>
              <w:rPr>
                <w:rFonts w:hint="eastAsia" w:ascii="宋体" w:hAnsi="宋体" w:eastAsia="宋体" w:cs="宋体"/>
                <w:b/>
                <w:bCs/>
                <w:i w:val="0"/>
                <w:iCs w:val="0"/>
                <w:color w:val="auto"/>
                <w:sz w:val="21"/>
                <w:szCs w:val="21"/>
                <w:highlight w:val="none"/>
              </w:rPr>
              <w:t>分值</w:t>
            </w:r>
          </w:p>
        </w:tc>
      </w:tr>
      <w:tr w14:paraId="2BE7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66C20A58">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w:t>
            </w:r>
          </w:p>
        </w:tc>
        <w:tc>
          <w:tcPr>
            <w:tcW w:w="1167" w:type="dxa"/>
            <w:tcBorders>
              <w:top w:val="single" w:color="auto" w:sz="4" w:space="0"/>
              <w:left w:val="single" w:color="auto" w:sz="4" w:space="0"/>
              <w:bottom w:val="single" w:color="auto" w:sz="4" w:space="0"/>
              <w:right w:val="single" w:color="auto" w:sz="4" w:space="0"/>
            </w:tcBorders>
            <w:noWrap/>
            <w:vAlign w:val="center"/>
          </w:tcPr>
          <w:p w14:paraId="69071C5E">
            <w:pPr>
              <w:pageBreakBefore w:val="0"/>
              <w:widowControl w:val="0"/>
              <w:kinsoku/>
              <w:wordWrap/>
              <w:overflowPunct/>
              <w:topLinePunct w:val="0"/>
              <w:autoSpaceDE/>
              <w:autoSpaceDN/>
              <w:bidi w:val="0"/>
              <w:spacing w:line="440" w:lineRule="exact"/>
              <w:ind w:firstLine="0" w:firstLineChars="0"/>
              <w:jc w:val="center"/>
              <w:rPr>
                <w:rFonts w:hint="eastAsia" w:ascii="宋体" w:hAnsi="宋体" w:eastAsia="宋体" w:cs="宋体"/>
                <w:i w:val="0"/>
                <w:iCs w:val="0"/>
                <w:color w:val="auto"/>
                <w:sz w:val="21"/>
                <w:szCs w:val="21"/>
                <w:highlight w:val="none"/>
              </w:rPr>
            </w:pPr>
            <w:r>
              <w:rPr>
                <w:rFonts w:hint="eastAsia" w:ascii="宋体" w:hAnsi="宋体" w:eastAsia="宋体" w:cs="宋体"/>
                <w:b/>
                <w:bCs/>
                <w:i w:val="0"/>
                <w:iCs w:val="0"/>
                <w:color w:val="auto"/>
                <w:kern w:val="0"/>
                <w:sz w:val="21"/>
                <w:szCs w:val="21"/>
                <w:highlight w:val="none"/>
              </w:rPr>
              <w:t>价格分</w:t>
            </w:r>
          </w:p>
        </w:tc>
        <w:tc>
          <w:tcPr>
            <w:tcW w:w="6267" w:type="dxa"/>
            <w:tcBorders>
              <w:top w:val="single" w:color="auto" w:sz="4" w:space="0"/>
              <w:left w:val="single" w:color="auto" w:sz="4" w:space="0"/>
              <w:bottom w:val="single" w:color="auto" w:sz="4" w:space="0"/>
              <w:right w:val="single" w:color="auto" w:sz="4" w:space="0"/>
            </w:tcBorders>
            <w:noWrap/>
            <w:vAlign w:val="top"/>
          </w:tcPr>
          <w:p w14:paraId="6E361406">
            <w:pPr>
              <w:pStyle w:val="14"/>
              <w:keepNext w:val="0"/>
              <w:keepLines w:val="0"/>
              <w:pageBreakBefore w:val="0"/>
              <w:widowControl/>
              <w:kinsoku/>
              <w:wordWrap/>
              <w:overflowPunct/>
              <w:topLinePunct w:val="0"/>
              <w:autoSpaceDE/>
              <w:autoSpaceDN/>
              <w:bidi w:val="0"/>
              <w:snapToGrid/>
              <w:spacing w:line="380" w:lineRule="exact"/>
              <w:ind w:left="0" w:leftChars="0" w:firstLine="420" w:firstLineChars="200"/>
              <w:rPr>
                <w:rFonts w:hint="eastAsia" w:ascii="宋体" w:hAnsi="Calibri" w:eastAsia="宋体" w:cs="Times New Roman"/>
                <w:i w:val="0"/>
                <w:iCs w:val="0"/>
                <w:color w:val="auto"/>
                <w:sz w:val="21"/>
                <w:szCs w:val="21"/>
                <w:highlight w:val="none"/>
                <w:lang w:val="en-US" w:eastAsia="zh-CN"/>
              </w:rPr>
            </w:pPr>
            <w:r>
              <w:rPr>
                <w:rFonts w:hint="eastAsia" w:ascii="宋体" w:hAnsi="Calibri" w:eastAsia="宋体" w:cs="Times New Roman"/>
                <w:i w:val="0"/>
                <w:iCs w:val="0"/>
                <w:color w:val="auto"/>
                <w:sz w:val="21"/>
                <w:szCs w:val="21"/>
                <w:highlight w:val="none"/>
                <w:lang w:val="en-US" w:eastAsia="zh-CN"/>
              </w:rPr>
              <w:t>（1）评审价为供应商的最后报价进行政策性扣除后的价格，评审价只是作为评审时使用。最终成交供应商的成交金额等于最后报价（如有修正，以确认修正后的最后报价为准）。</w:t>
            </w:r>
          </w:p>
          <w:p w14:paraId="50913036">
            <w:pPr>
              <w:pStyle w:val="14"/>
              <w:keepNext w:val="0"/>
              <w:keepLines w:val="0"/>
              <w:pageBreakBefore w:val="0"/>
              <w:widowControl/>
              <w:kinsoku/>
              <w:wordWrap/>
              <w:overflowPunct/>
              <w:topLinePunct w:val="0"/>
              <w:autoSpaceDE/>
              <w:autoSpaceDN/>
              <w:bidi w:val="0"/>
              <w:snapToGrid/>
              <w:spacing w:line="380" w:lineRule="exact"/>
              <w:ind w:left="0" w:leftChars="0" w:firstLine="420" w:firstLineChars="200"/>
              <w:rPr>
                <w:rFonts w:hint="eastAsia" w:ascii="宋体" w:hAnsi="Calibri" w:eastAsia="宋体" w:cs="Times New Roman"/>
                <w:i w:val="0"/>
                <w:iCs w:val="0"/>
                <w:color w:val="auto"/>
                <w:sz w:val="21"/>
                <w:szCs w:val="21"/>
                <w:highlight w:val="none"/>
                <w:lang w:val="en-US" w:eastAsia="zh-CN"/>
              </w:rPr>
            </w:pPr>
            <w:r>
              <w:rPr>
                <w:rFonts w:hint="eastAsia" w:ascii="宋体" w:hAnsi="Calibri" w:eastAsia="宋体" w:cs="Times New Roman"/>
                <w:i w:val="0"/>
                <w:iCs w:val="0"/>
                <w:color w:val="auto"/>
                <w:sz w:val="21"/>
                <w:szCs w:val="21"/>
                <w:highlight w:val="none"/>
                <w:lang w:val="en-US" w:eastAsia="zh-CN"/>
              </w:rPr>
              <w:t>（2）本项目属于专门面向中小企业采购的项目，根据《政府采购促进中小企业发展管理办法》（财库〔2020〕46号）的规定、《财政部、司法部关于政府采购支持监狱企业发展有关问题的通知》（财库〔2014〕68号）、《关于促进残疾人就业政府采购政策的通知》（财库〔2017〕141号）的规定，不再对供应商的最后报价进行政策性扣除。</w:t>
            </w:r>
          </w:p>
          <w:p w14:paraId="6B50CFF4">
            <w:pPr>
              <w:pStyle w:val="14"/>
              <w:keepNext w:val="0"/>
              <w:keepLines w:val="0"/>
              <w:pageBreakBefore w:val="0"/>
              <w:widowControl/>
              <w:kinsoku/>
              <w:wordWrap/>
              <w:overflowPunct/>
              <w:topLinePunct w:val="0"/>
              <w:autoSpaceDE/>
              <w:autoSpaceDN/>
              <w:bidi w:val="0"/>
              <w:snapToGrid/>
              <w:spacing w:line="380" w:lineRule="exact"/>
              <w:ind w:left="0" w:leftChars="0" w:firstLine="420" w:firstLineChars="200"/>
              <w:rPr>
                <w:rFonts w:hint="eastAsia" w:ascii="宋体" w:hAnsi="Calibri" w:eastAsia="宋体" w:cs="Times New Roman"/>
                <w:i w:val="0"/>
                <w:iCs w:val="0"/>
                <w:color w:val="auto"/>
                <w:sz w:val="21"/>
                <w:szCs w:val="21"/>
                <w:highlight w:val="none"/>
                <w:lang w:val="en-US" w:eastAsia="zh-CN"/>
              </w:rPr>
            </w:pPr>
            <w:r>
              <w:rPr>
                <w:rFonts w:hint="eastAsia" w:ascii="宋体" w:hAnsi="Calibri" w:eastAsia="宋体" w:cs="Times New Roman"/>
                <w:i w:val="0"/>
                <w:iCs w:val="0"/>
                <w:color w:val="auto"/>
                <w:sz w:val="21"/>
                <w:szCs w:val="21"/>
                <w:highlight w:val="none"/>
                <w:lang w:val="en-US" w:eastAsia="zh-CN"/>
              </w:rPr>
              <w:t>（3）以进入比较与评价环节的最低的评审价为基准价，基准价得分为30分。</w:t>
            </w:r>
          </w:p>
          <w:p w14:paraId="129ED80C">
            <w:pPr>
              <w:pStyle w:val="14"/>
              <w:keepNext w:val="0"/>
              <w:keepLines w:val="0"/>
              <w:pageBreakBefore w:val="0"/>
              <w:widowControl/>
              <w:kinsoku/>
              <w:wordWrap/>
              <w:overflowPunct/>
              <w:topLinePunct w:val="0"/>
              <w:autoSpaceDE/>
              <w:autoSpaceDN/>
              <w:bidi w:val="0"/>
              <w:snapToGrid/>
              <w:spacing w:line="380" w:lineRule="exact"/>
              <w:ind w:left="0" w:leftChars="0" w:firstLine="420" w:firstLineChars="200"/>
              <w:rPr>
                <w:rFonts w:hint="eastAsia" w:ascii="宋体" w:hAnsi="Calibri" w:eastAsia="宋体" w:cs="Times New Roman"/>
                <w:i w:val="0"/>
                <w:iCs w:val="0"/>
                <w:color w:val="auto"/>
                <w:sz w:val="21"/>
                <w:szCs w:val="21"/>
                <w:highlight w:val="none"/>
                <w:lang w:val="en-US" w:eastAsia="zh-CN"/>
              </w:rPr>
            </w:pPr>
            <w:r>
              <w:rPr>
                <w:rFonts w:hint="eastAsia" w:ascii="宋体" w:hAnsi="Calibri" w:eastAsia="宋体" w:cs="Times New Roman"/>
                <w:i w:val="0"/>
                <w:iCs w:val="0"/>
                <w:color w:val="auto"/>
                <w:sz w:val="21"/>
                <w:szCs w:val="21"/>
                <w:highlight w:val="none"/>
                <w:lang w:val="en-US" w:eastAsia="zh-CN"/>
              </w:rPr>
              <w:t>（4）价格分计算公式：</w:t>
            </w:r>
          </w:p>
          <w:p w14:paraId="1BDF28AF">
            <w:pPr>
              <w:pStyle w:val="14"/>
              <w:keepNext w:val="0"/>
              <w:keepLines w:val="0"/>
              <w:pageBreakBefore w:val="0"/>
              <w:widowControl/>
              <w:kinsoku/>
              <w:wordWrap/>
              <w:overflowPunct/>
              <w:topLinePunct w:val="0"/>
              <w:autoSpaceDE/>
              <w:autoSpaceDN/>
              <w:bidi w:val="0"/>
              <w:snapToGrid/>
              <w:spacing w:line="380" w:lineRule="exact"/>
              <w:ind w:left="0" w:leftChars="0" w:firstLine="420" w:firstLineChars="200"/>
              <w:rPr>
                <w:rFonts w:hint="eastAsia" w:ascii="宋体" w:hAnsi="宋体" w:eastAsia="宋体" w:cs="宋体"/>
                <w:bCs/>
                <w:i w:val="0"/>
                <w:iCs w:val="0"/>
                <w:color w:val="auto"/>
                <w:sz w:val="21"/>
                <w:szCs w:val="21"/>
                <w:highlight w:val="none"/>
                <w:lang w:val="en-US" w:eastAsia="zh-CN"/>
              </w:rPr>
            </w:pPr>
            <w:r>
              <w:rPr>
                <w:rFonts w:hint="eastAsia" w:ascii="宋体" w:hAnsi="Calibri" w:eastAsia="宋体" w:cs="Times New Roman"/>
                <w:i w:val="0"/>
                <w:iCs w:val="0"/>
                <w:color w:val="auto"/>
                <w:sz w:val="21"/>
                <w:szCs w:val="21"/>
                <w:highlight w:val="none"/>
                <w:lang w:val="en-US" w:eastAsia="zh-CN"/>
              </w:rPr>
              <w:t>报价得分=【基准价/某供应商最后报价】×30分</w:t>
            </w:r>
          </w:p>
        </w:tc>
        <w:tc>
          <w:tcPr>
            <w:tcW w:w="849" w:type="dxa"/>
            <w:tcBorders>
              <w:top w:val="single" w:color="auto" w:sz="4" w:space="0"/>
              <w:left w:val="single" w:color="auto" w:sz="4" w:space="0"/>
              <w:bottom w:val="single" w:color="auto" w:sz="4" w:space="0"/>
              <w:right w:val="single" w:color="auto" w:sz="4" w:space="0"/>
            </w:tcBorders>
            <w:noWrap/>
            <w:vAlign w:val="center"/>
          </w:tcPr>
          <w:p w14:paraId="399E1EE2">
            <w:pPr>
              <w:widowControl/>
              <w:spacing w:line="360" w:lineRule="auto"/>
              <w:jc w:val="center"/>
              <w:rPr>
                <w:rFonts w:hint="eastAsia" w:ascii="宋体" w:hAnsi="宋体" w:eastAsia="宋体" w:cs="宋体"/>
                <w:i w:val="0"/>
                <w:iCs w:val="0"/>
                <w:color w:val="auto"/>
                <w:sz w:val="21"/>
                <w:szCs w:val="21"/>
                <w:highlight w:val="none"/>
                <w:lang w:val="en-US" w:eastAsia="zh-CN"/>
              </w:rPr>
            </w:pPr>
            <w:r>
              <w:rPr>
                <w:rFonts w:hint="eastAsia" w:ascii="宋体" w:hAnsi="宋体" w:cs="宋体"/>
                <w:i w:val="0"/>
                <w:iCs w:val="0"/>
                <w:color w:val="auto"/>
                <w:sz w:val="21"/>
                <w:szCs w:val="21"/>
                <w:highlight w:val="none"/>
                <w:lang w:val="en-US" w:eastAsia="zh-CN"/>
              </w:rPr>
              <w:t>30</w:t>
            </w:r>
            <w:r>
              <w:rPr>
                <w:rFonts w:hint="eastAsia" w:ascii="宋体" w:hAnsi="宋体" w:eastAsia="宋体" w:cs="宋体"/>
                <w:i w:val="0"/>
                <w:iCs w:val="0"/>
                <w:color w:val="auto"/>
                <w:sz w:val="21"/>
                <w:szCs w:val="21"/>
                <w:highlight w:val="none"/>
              </w:rPr>
              <w:t>分</w:t>
            </w:r>
          </w:p>
        </w:tc>
      </w:tr>
      <w:tr w14:paraId="7FAA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51380AB8">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2</w:t>
            </w:r>
          </w:p>
        </w:tc>
        <w:tc>
          <w:tcPr>
            <w:tcW w:w="1167" w:type="dxa"/>
            <w:tcBorders>
              <w:top w:val="single" w:color="auto" w:sz="4" w:space="0"/>
              <w:left w:val="single" w:color="auto" w:sz="4" w:space="0"/>
              <w:bottom w:val="single" w:color="auto" w:sz="4" w:space="0"/>
              <w:right w:val="single" w:color="auto" w:sz="4" w:space="0"/>
            </w:tcBorders>
            <w:noWrap/>
            <w:vAlign w:val="center"/>
          </w:tcPr>
          <w:p w14:paraId="41C785E5">
            <w:pPr>
              <w:keepNext w:val="0"/>
              <w:keepLines w:val="0"/>
              <w:pageBreakBefore w:val="0"/>
              <w:widowControl/>
              <w:bidi w:val="0"/>
              <w:spacing w:line="440" w:lineRule="exact"/>
              <w:jc w:val="center"/>
              <w:rPr>
                <w:rFonts w:hint="eastAsia" w:ascii="宋体" w:hAnsi="宋体" w:eastAsia="宋体" w:cs="宋体"/>
                <w:bCs/>
                <w:i w:val="0"/>
                <w:iCs w:val="0"/>
                <w:color w:val="auto"/>
                <w:sz w:val="21"/>
                <w:szCs w:val="21"/>
                <w:highlight w:val="none"/>
              </w:rPr>
            </w:pPr>
            <w:r>
              <w:rPr>
                <w:rFonts w:hint="eastAsia" w:ascii="宋体" w:hAnsi="宋体" w:eastAsia="宋体" w:cs="宋体"/>
                <w:bCs/>
                <w:i w:val="0"/>
                <w:iCs w:val="0"/>
                <w:color w:val="auto"/>
                <w:sz w:val="21"/>
                <w:szCs w:val="21"/>
                <w:highlight w:val="none"/>
              </w:rPr>
              <w:t>商务分</w:t>
            </w:r>
          </w:p>
        </w:tc>
        <w:tc>
          <w:tcPr>
            <w:tcW w:w="7116" w:type="dxa"/>
            <w:gridSpan w:val="2"/>
            <w:tcBorders>
              <w:top w:val="single" w:color="auto" w:sz="4" w:space="0"/>
              <w:left w:val="single" w:color="auto" w:sz="4" w:space="0"/>
              <w:bottom w:val="single" w:color="auto" w:sz="4" w:space="0"/>
              <w:right w:val="single" w:color="auto" w:sz="4" w:space="0"/>
            </w:tcBorders>
            <w:noWrap/>
            <w:vAlign w:val="center"/>
          </w:tcPr>
          <w:p w14:paraId="5A0A83FD">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评审因素</w:t>
            </w:r>
          </w:p>
        </w:tc>
      </w:tr>
      <w:tr w14:paraId="35C3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5B470E7A">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2.1</w:t>
            </w:r>
          </w:p>
        </w:tc>
        <w:tc>
          <w:tcPr>
            <w:tcW w:w="1167" w:type="dxa"/>
            <w:tcBorders>
              <w:top w:val="single" w:color="auto" w:sz="4" w:space="0"/>
              <w:left w:val="single" w:color="auto" w:sz="4" w:space="0"/>
              <w:bottom w:val="single" w:color="auto" w:sz="4" w:space="0"/>
              <w:right w:val="single" w:color="auto" w:sz="4" w:space="0"/>
            </w:tcBorders>
            <w:noWrap/>
            <w:vAlign w:val="center"/>
          </w:tcPr>
          <w:p w14:paraId="18FBB914">
            <w:pPr>
              <w:spacing w:line="360" w:lineRule="exact"/>
              <w:jc w:val="center"/>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bCs/>
                <w:i w:val="0"/>
                <w:iCs w:val="0"/>
                <w:color w:val="auto"/>
                <w:sz w:val="21"/>
                <w:szCs w:val="21"/>
                <w:highlight w:val="none"/>
              </w:rPr>
              <w:t>拟投入本项目人员情况</w:t>
            </w:r>
          </w:p>
        </w:tc>
        <w:tc>
          <w:tcPr>
            <w:tcW w:w="6267" w:type="dxa"/>
            <w:tcBorders>
              <w:top w:val="single" w:color="auto" w:sz="4" w:space="0"/>
              <w:left w:val="single" w:color="auto" w:sz="4" w:space="0"/>
              <w:bottom w:val="single" w:color="auto" w:sz="4" w:space="0"/>
              <w:right w:val="single" w:color="auto" w:sz="4" w:space="0"/>
            </w:tcBorders>
            <w:noWrap/>
            <w:vAlign w:val="top"/>
          </w:tcPr>
          <w:p w14:paraId="677169AB">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lang w:eastAsia="zh-CN"/>
              </w:rPr>
            </w:pPr>
            <w:r>
              <w:rPr>
                <w:rFonts w:hint="eastAsia" w:ascii="Times New Roman" w:hAnsi="Times New Roman" w:eastAsia="宋体" w:cs="Times New Roman"/>
                <w:i w:val="0"/>
                <w:iCs w:val="0"/>
                <w:color w:val="auto"/>
                <w:kern w:val="0"/>
                <w:szCs w:val="21"/>
                <w:highlight w:val="none"/>
                <w:lang w:val="en-US" w:eastAsia="zh-CN"/>
              </w:rPr>
              <w:t>1.供应商</w:t>
            </w:r>
            <w:r>
              <w:rPr>
                <w:rFonts w:hint="eastAsia" w:ascii="Times New Roman" w:hAnsi="Times New Roman" w:eastAsia="宋体" w:cs="Times New Roman"/>
                <w:i w:val="0"/>
                <w:iCs w:val="0"/>
                <w:color w:val="auto"/>
                <w:kern w:val="0"/>
                <w:szCs w:val="21"/>
                <w:highlight w:val="none"/>
              </w:rPr>
              <w:t>拟投入本项目的技术支持专业团队具备相应能力</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lang w:val="en-US" w:eastAsia="zh-CN"/>
              </w:rPr>
              <w:t>满分8分</w:t>
            </w:r>
            <w:r>
              <w:rPr>
                <w:rFonts w:hint="eastAsia" w:ascii="Times New Roman" w:hAnsi="Times New Roman" w:eastAsia="宋体" w:cs="Times New Roman"/>
                <w:i w:val="0"/>
                <w:iCs w:val="0"/>
                <w:color w:val="auto"/>
                <w:kern w:val="0"/>
                <w:szCs w:val="21"/>
                <w:highlight w:val="none"/>
                <w:lang w:eastAsia="zh-CN"/>
              </w:rPr>
              <w:t>）</w:t>
            </w:r>
          </w:p>
          <w:p w14:paraId="591F9AC6">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①具备医学相关专业人员数量，配备3人得1分，4人得2分，5-6人得3分，7人以上（含）得4分；</w:t>
            </w:r>
          </w:p>
          <w:p w14:paraId="4EAE54A3">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②具备信息技术专业人员数量，配备</w:t>
            </w:r>
            <w:r>
              <w:rPr>
                <w:rFonts w:hint="eastAsia" w:ascii="Times New Roman" w:hAnsi="Times New Roman" w:eastAsia="宋体" w:cs="Times New Roman"/>
                <w:i w:val="0"/>
                <w:iCs w:val="0"/>
                <w:color w:val="auto"/>
                <w:kern w:val="0"/>
                <w:szCs w:val="21"/>
                <w:highlight w:val="none"/>
                <w:lang w:val="en-US" w:eastAsia="zh-CN"/>
              </w:rPr>
              <w:t>1</w:t>
            </w:r>
            <w:r>
              <w:rPr>
                <w:rFonts w:hint="eastAsia" w:ascii="Times New Roman" w:hAnsi="Times New Roman" w:eastAsia="宋体" w:cs="Times New Roman"/>
                <w:i w:val="0"/>
                <w:iCs w:val="0"/>
                <w:color w:val="auto"/>
                <w:kern w:val="0"/>
                <w:szCs w:val="21"/>
                <w:highlight w:val="none"/>
              </w:rPr>
              <w:t>人得1分，</w:t>
            </w:r>
            <w:r>
              <w:rPr>
                <w:rFonts w:hint="eastAsia" w:ascii="Times New Roman" w:hAnsi="Times New Roman" w:eastAsia="宋体" w:cs="Times New Roman"/>
                <w:i w:val="0"/>
                <w:iCs w:val="0"/>
                <w:color w:val="auto"/>
                <w:kern w:val="0"/>
                <w:szCs w:val="21"/>
                <w:highlight w:val="none"/>
                <w:lang w:val="en-US" w:eastAsia="zh-CN"/>
              </w:rPr>
              <w:t>2</w:t>
            </w:r>
            <w:r>
              <w:rPr>
                <w:rFonts w:hint="eastAsia" w:ascii="Times New Roman" w:hAnsi="Times New Roman" w:eastAsia="宋体" w:cs="Times New Roman"/>
                <w:i w:val="0"/>
                <w:iCs w:val="0"/>
                <w:color w:val="auto"/>
                <w:kern w:val="0"/>
                <w:szCs w:val="21"/>
                <w:highlight w:val="none"/>
              </w:rPr>
              <w:t>人得2分；</w:t>
            </w:r>
          </w:p>
          <w:p w14:paraId="5B5A9EDF">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③具备财务会计相关专业背景人员数量，配备</w:t>
            </w:r>
            <w:r>
              <w:rPr>
                <w:rFonts w:hint="eastAsia" w:ascii="Times New Roman" w:hAnsi="Times New Roman" w:eastAsia="宋体" w:cs="Times New Roman"/>
                <w:i w:val="0"/>
                <w:iCs w:val="0"/>
                <w:color w:val="auto"/>
                <w:kern w:val="0"/>
                <w:szCs w:val="21"/>
                <w:highlight w:val="none"/>
                <w:lang w:val="en-US" w:eastAsia="zh-CN"/>
              </w:rPr>
              <w:t>1</w:t>
            </w:r>
            <w:r>
              <w:rPr>
                <w:rFonts w:hint="eastAsia" w:ascii="Times New Roman" w:hAnsi="Times New Roman" w:eastAsia="宋体" w:cs="Times New Roman"/>
                <w:i w:val="0"/>
                <w:iCs w:val="0"/>
                <w:color w:val="auto"/>
                <w:kern w:val="0"/>
                <w:szCs w:val="21"/>
                <w:highlight w:val="none"/>
              </w:rPr>
              <w:t>人得1分，</w:t>
            </w:r>
            <w:r>
              <w:rPr>
                <w:rFonts w:hint="eastAsia" w:ascii="Times New Roman" w:hAnsi="Times New Roman" w:eastAsia="宋体" w:cs="Times New Roman"/>
                <w:i w:val="0"/>
                <w:iCs w:val="0"/>
                <w:color w:val="auto"/>
                <w:kern w:val="0"/>
                <w:szCs w:val="21"/>
                <w:highlight w:val="none"/>
                <w:lang w:val="en-US" w:eastAsia="zh-CN"/>
              </w:rPr>
              <w:t>2</w:t>
            </w:r>
            <w:r>
              <w:rPr>
                <w:rFonts w:hint="eastAsia" w:ascii="Times New Roman" w:hAnsi="Times New Roman" w:eastAsia="宋体" w:cs="Times New Roman"/>
                <w:i w:val="0"/>
                <w:iCs w:val="0"/>
                <w:color w:val="auto"/>
                <w:kern w:val="0"/>
                <w:szCs w:val="21"/>
                <w:highlight w:val="none"/>
              </w:rPr>
              <w:t>人得2分。</w:t>
            </w:r>
          </w:p>
          <w:p w14:paraId="55BE201E">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评审依据：同一个人兼具不同相关专业背景，可重复计分；提供毕业证、相关证书并加盖单位公章。</w:t>
            </w:r>
          </w:p>
          <w:p w14:paraId="491C6107">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lang w:val="en-US" w:eastAsia="zh-CN"/>
              </w:rPr>
            </w:pPr>
          </w:p>
          <w:p w14:paraId="7AA62D50">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lang w:val="en-US" w:eastAsia="zh-CN"/>
              </w:rPr>
              <w:t>2.供应商</w:t>
            </w:r>
            <w:r>
              <w:rPr>
                <w:rFonts w:hint="eastAsia" w:ascii="Times New Roman" w:hAnsi="Times New Roman" w:eastAsia="宋体" w:cs="Times New Roman"/>
                <w:i w:val="0"/>
                <w:iCs w:val="0"/>
                <w:color w:val="auto"/>
                <w:kern w:val="0"/>
                <w:szCs w:val="21"/>
                <w:highlight w:val="none"/>
              </w:rPr>
              <w:t>具有拟为本项目投入的专家团队并建立专家库，专家库由医疗类专业科室的中级级别以上（含）职称专家（至少含</w:t>
            </w:r>
            <w:r>
              <w:rPr>
                <w:rFonts w:hint="eastAsia" w:ascii="Times New Roman" w:hAnsi="Times New Roman" w:eastAsia="宋体" w:cs="Times New Roman"/>
                <w:i w:val="0"/>
                <w:iCs w:val="0"/>
                <w:color w:val="auto"/>
                <w:kern w:val="0"/>
                <w:szCs w:val="21"/>
                <w:highlight w:val="none"/>
                <w:lang w:eastAsia="zh-CN"/>
              </w:rPr>
              <w:t>康复科、内科、外科、临床检验</w:t>
            </w:r>
            <w:r>
              <w:rPr>
                <w:rFonts w:hint="eastAsia" w:ascii="Times New Roman" w:hAnsi="Times New Roman" w:eastAsia="宋体" w:cs="Times New Roman"/>
                <w:i w:val="0"/>
                <w:iCs w:val="0"/>
                <w:color w:val="auto"/>
                <w:kern w:val="0"/>
                <w:szCs w:val="21"/>
                <w:highlight w:val="none"/>
              </w:rPr>
              <w:t>）及病案编码人员组成</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lang w:val="en-US" w:eastAsia="zh-CN"/>
              </w:rPr>
              <w:t>满分14分</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rPr>
              <w:t>。</w:t>
            </w:r>
          </w:p>
          <w:p w14:paraId="00F2AB90">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①医疗类专家配备：中级级别每有1人得0.5分；副高级级别以上（含）每有1人得1分，满分8分（副高级级别以上人数＜</w:t>
            </w:r>
            <w:r>
              <w:rPr>
                <w:rFonts w:hint="eastAsia" w:ascii="Times New Roman" w:hAnsi="Times New Roman" w:eastAsia="宋体" w:cs="Times New Roman"/>
                <w:i w:val="0"/>
                <w:iCs w:val="0"/>
                <w:color w:val="auto"/>
                <w:kern w:val="0"/>
                <w:szCs w:val="21"/>
                <w:highlight w:val="none"/>
                <w:lang w:val="en-US" w:eastAsia="zh-CN"/>
              </w:rPr>
              <w:t>3</w:t>
            </w:r>
            <w:r>
              <w:rPr>
                <w:rFonts w:hint="eastAsia" w:ascii="Times New Roman" w:hAnsi="Times New Roman" w:eastAsia="宋体" w:cs="Times New Roman"/>
                <w:i w:val="0"/>
                <w:iCs w:val="0"/>
                <w:color w:val="auto"/>
                <w:kern w:val="0"/>
                <w:szCs w:val="21"/>
                <w:highlight w:val="none"/>
              </w:rPr>
              <w:t>人（含）及未同时配备康复科和精神科专家此项不得分）；</w:t>
            </w:r>
          </w:p>
          <w:p w14:paraId="75512A15">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②病案编码人员人数在1人的基础上每多加1人得1分，满分2分。</w:t>
            </w:r>
          </w:p>
          <w:p w14:paraId="7AB6DC53">
            <w:pPr>
              <w:widowControl/>
              <w:spacing w:line="420" w:lineRule="exact"/>
              <w:ind w:firstLine="420" w:firstLineChars="200"/>
              <w:jc w:val="left"/>
              <w:rPr>
                <w:rFonts w:hint="eastAsia" w:ascii="Times New Roman" w:hAnsi="Times New Roman" w:eastAsia="宋体" w:cs="Times New Roman"/>
                <w:i w:val="0"/>
                <w:iCs w:val="0"/>
                <w:color w:val="auto"/>
                <w:kern w:val="0"/>
                <w:szCs w:val="21"/>
                <w:highlight w:val="none"/>
              </w:rPr>
            </w:pPr>
            <w:r>
              <w:rPr>
                <w:rFonts w:hint="eastAsia" w:ascii="Times New Roman" w:hAnsi="Times New Roman" w:eastAsia="宋体" w:cs="Times New Roman"/>
                <w:i w:val="0"/>
                <w:iCs w:val="0"/>
                <w:color w:val="auto"/>
                <w:kern w:val="0"/>
                <w:szCs w:val="21"/>
                <w:highlight w:val="none"/>
              </w:rPr>
              <w:t>③</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承诺合同签订之日起投入不少于</w:t>
            </w:r>
            <w:r>
              <w:rPr>
                <w:rFonts w:hint="eastAsia" w:ascii="Times New Roman" w:hAnsi="Times New Roman" w:eastAsia="宋体" w:cs="Times New Roman"/>
                <w:i w:val="0"/>
                <w:iCs w:val="0"/>
                <w:color w:val="auto"/>
                <w:kern w:val="0"/>
                <w:szCs w:val="21"/>
                <w:highlight w:val="none"/>
                <w:lang w:val="en-US" w:eastAsia="zh-CN"/>
              </w:rPr>
              <w:t>16</w:t>
            </w:r>
            <w:r>
              <w:rPr>
                <w:rFonts w:hint="eastAsia" w:ascii="Times New Roman" w:hAnsi="Times New Roman" w:eastAsia="宋体" w:cs="Times New Roman"/>
                <w:i w:val="0"/>
                <w:iCs w:val="0"/>
                <w:color w:val="auto"/>
                <w:kern w:val="0"/>
                <w:szCs w:val="21"/>
                <w:highlight w:val="none"/>
              </w:rPr>
              <w:t>人的</w:t>
            </w:r>
            <w:r>
              <w:rPr>
                <w:rFonts w:hint="eastAsia" w:ascii="Times New Roman" w:hAnsi="Times New Roman" w:eastAsia="宋体" w:cs="Times New Roman"/>
                <w:i w:val="0"/>
                <w:iCs w:val="0"/>
                <w:color w:val="auto"/>
                <w:kern w:val="0"/>
                <w:szCs w:val="21"/>
                <w:highlight w:val="none"/>
                <w:lang w:val="en-US" w:eastAsia="zh-CN"/>
              </w:rPr>
              <w:t>服务</w:t>
            </w:r>
            <w:r>
              <w:rPr>
                <w:rFonts w:hint="eastAsia" w:ascii="Times New Roman" w:hAnsi="Times New Roman" w:eastAsia="宋体" w:cs="Times New Roman"/>
                <w:i w:val="0"/>
                <w:iCs w:val="0"/>
                <w:color w:val="auto"/>
                <w:kern w:val="0"/>
                <w:szCs w:val="21"/>
                <w:highlight w:val="none"/>
              </w:rPr>
              <w:t>团队并建立专家库</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rPr>
              <w:t>至少含</w:t>
            </w:r>
            <w:r>
              <w:rPr>
                <w:rFonts w:hint="eastAsia" w:ascii="Times New Roman" w:hAnsi="Times New Roman" w:eastAsia="宋体" w:cs="Times New Roman"/>
                <w:i w:val="0"/>
                <w:iCs w:val="0"/>
                <w:color w:val="auto"/>
                <w:kern w:val="0"/>
                <w:szCs w:val="21"/>
                <w:highlight w:val="none"/>
                <w:lang w:eastAsia="zh-CN"/>
              </w:rPr>
              <w:t>康复科、内科、外科、临床检验</w:t>
            </w:r>
            <w:r>
              <w:rPr>
                <w:rFonts w:hint="eastAsia" w:ascii="Times New Roman" w:hAnsi="Times New Roman" w:eastAsia="宋体" w:cs="Times New Roman"/>
                <w:i w:val="0"/>
                <w:iCs w:val="0"/>
                <w:color w:val="auto"/>
                <w:kern w:val="0"/>
                <w:szCs w:val="21"/>
                <w:highlight w:val="none"/>
              </w:rPr>
              <w:t>及病案编码人员组成</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rPr>
              <w:t>，得</w:t>
            </w:r>
            <w:r>
              <w:rPr>
                <w:rFonts w:hint="eastAsia" w:ascii="Times New Roman" w:hAnsi="Times New Roman" w:eastAsia="宋体" w:cs="Times New Roman"/>
                <w:i w:val="0"/>
                <w:iCs w:val="0"/>
                <w:color w:val="auto"/>
                <w:kern w:val="0"/>
                <w:szCs w:val="21"/>
                <w:highlight w:val="none"/>
                <w:lang w:val="en-US" w:eastAsia="zh-CN"/>
              </w:rPr>
              <w:t>4</w:t>
            </w:r>
            <w:r>
              <w:rPr>
                <w:rFonts w:hint="eastAsia" w:ascii="Times New Roman" w:hAnsi="Times New Roman" w:eastAsia="宋体" w:cs="Times New Roman"/>
                <w:i w:val="0"/>
                <w:iCs w:val="0"/>
                <w:color w:val="auto"/>
                <w:kern w:val="0"/>
                <w:szCs w:val="21"/>
                <w:highlight w:val="none"/>
              </w:rPr>
              <w:t>分</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lang w:val="en-US" w:eastAsia="zh-CN"/>
              </w:rPr>
              <w:t>满分4分</w:t>
            </w:r>
            <w:r>
              <w:rPr>
                <w:rFonts w:hint="eastAsia" w:ascii="Times New Roman" w:hAnsi="Times New Roman" w:eastAsia="宋体" w:cs="Times New Roman"/>
                <w:i w:val="0"/>
                <w:iCs w:val="0"/>
                <w:color w:val="auto"/>
                <w:kern w:val="0"/>
                <w:szCs w:val="21"/>
                <w:highlight w:val="none"/>
              </w:rPr>
              <w:t xml:space="preserve">。 </w:t>
            </w:r>
          </w:p>
          <w:p w14:paraId="78FB248C">
            <w:pPr>
              <w:widowControl/>
              <w:spacing w:line="420" w:lineRule="exact"/>
              <w:ind w:firstLine="420" w:firstLineChars="200"/>
              <w:jc w:val="left"/>
              <w:rPr>
                <w:rFonts w:hint="eastAsia"/>
                <w:i w:val="0"/>
                <w:iCs w:val="0"/>
                <w:color w:val="auto"/>
                <w:highlight w:val="none"/>
              </w:rPr>
            </w:pPr>
            <w:r>
              <w:rPr>
                <w:rFonts w:hint="eastAsia" w:ascii="Times New Roman" w:hAnsi="Times New Roman" w:eastAsia="宋体" w:cs="Times New Roman"/>
                <w:i w:val="0"/>
                <w:iCs w:val="0"/>
                <w:color w:val="auto"/>
                <w:kern w:val="0"/>
                <w:szCs w:val="21"/>
                <w:highlight w:val="none"/>
              </w:rPr>
              <w:t>评审依据：根据</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提供的合作、聘用协议及专家或病案编码人员的相关资质证明进行评分（病案编码人员需取得编码技能水平考试合格证书或编码培训合格证书；仅有编码技能培训证书，未取得编码技能水平考试合格证书或编码培训合格证书的，</w:t>
            </w:r>
            <w:r>
              <w:rPr>
                <w:rFonts w:hint="eastAsia" w:ascii="Times New Roman" w:hAnsi="Times New Roman" w:eastAsia="宋体" w:cs="Times New Roman"/>
                <w:i w:val="0"/>
                <w:iCs w:val="0"/>
                <w:color w:val="auto"/>
                <w:kern w:val="0"/>
                <w:szCs w:val="21"/>
                <w:highlight w:val="none"/>
                <w:lang w:eastAsia="zh-CN"/>
              </w:rPr>
              <w:t>计0分</w:t>
            </w:r>
            <w:r>
              <w:rPr>
                <w:rFonts w:hint="eastAsia" w:ascii="Times New Roman" w:hAnsi="Times New Roman" w:eastAsia="宋体" w:cs="Times New Roman"/>
                <w:i w:val="0"/>
                <w:iCs w:val="0"/>
                <w:color w:val="auto"/>
                <w:kern w:val="0"/>
                <w:szCs w:val="21"/>
                <w:highlight w:val="none"/>
              </w:rPr>
              <w:t>）。</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承诺合同签订后投入专家团队，承诺函加盖</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公章，</w:t>
            </w:r>
            <w:r>
              <w:rPr>
                <w:rFonts w:hint="eastAsia" w:ascii="Times New Roman" w:hAnsi="Times New Roman" w:eastAsia="宋体" w:cs="Times New Roman"/>
                <w:i w:val="0"/>
                <w:iCs w:val="0"/>
                <w:color w:val="auto"/>
                <w:kern w:val="0"/>
                <w:szCs w:val="21"/>
                <w:highlight w:val="none"/>
                <w:lang w:val="en-US" w:eastAsia="zh-CN"/>
              </w:rPr>
              <w:t>磋商小组</w:t>
            </w:r>
            <w:r>
              <w:rPr>
                <w:rFonts w:hint="eastAsia" w:ascii="Times New Roman" w:hAnsi="Times New Roman" w:eastAsia="宋体" w:cs="Times New Roman"/>
                <w:i w:val="0"/>
                <w:iCs w:val="0"/>
                <w:color w:val="auto"/>
                <w:kern w:val="0"/>
                <w:szCs w:val="21"/>
                <w:highlight w:val="none"/>
              </w:rPr>
              <w:t>根据</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提供的承诺函进行评分。</w:t>
            </w:r>
          </w:p>
        </w:tc>
        <w:tc>
          <w:tcPr>
            <w:tcW w:w="849" w:type="dxa"/>
            <w:tcBorders>
              <w:top w:val="single" w:color="auto" w:sz="4" w:space="0"/>
              <w:left w:val="single" w:color="auto" w:sz="4" w:space="0"/>
              <w:bottom w:val="single" w:color="auto" w:sz="4" w:space="0"/>
              <w:right w:val="single" w:color="auto" w:sz="4" w:space="0"/>
            </w:tcBorders>
            <w:noWrap/>
            <w:vAlign w:val="center"/>
          </w:tcPr>
          <w:p w14:paraId="2A800D02">
            <w:pPr>
              <w:spacing w:line="360" w:lineRule="exact"/>
              <w:jc w:val="center"/>
              <w:rPr>
                <w:rFonts w:hint="eastAsia" w:ascii="宋体" w:hAnsi="宋体" w:eastAsia="宋体" w:cs="宋体"/>
                <w:i w:val="0"/>
                <w:iCs w:val="0"/>
                <w:color w:val="auto"/>
                <w:sz w:val="21"/>
                <w:szCs w:val="21"/>
                <w:highlight w:val="none"/>
              </w:rPr>
            </w:pPr>
            <w:r>
              <w:rPr>
                <w:rFonts w:hint="eastAsia" w:ascii="宋体" w:hAnsi="宋体" w:cs="宋体"/>
                <w:i w:val="0"/>
                <w:iCs w:val="0"/>
                <w:color w:val="auto"/>
                <w:sz w:val="21"/>
                <w:szCs w:val="21"/>
                <w:highlight w:val="none"/>
                <w:lang w:val="en-US" w:eastAsia="zh-CN"/>
              </w:rPr>
              <w:t>22</w:t>
            </w:r>
            <w:r>
              <w:rPr>
                <w:rFonts w:hint="eastAsia" w:ascii="宋体" w:hAnsi="宋体" w:eastAsia="宋体" w:cs="宋体"/>
                <w:i w:val="0"/>
                <w:iCs w:val="0"/>
                <w:color w:val="auto"/>
                <w:sz w:val="21"/>
                <w:szCs w:val="21"/>
                <w:highlight w:val="none"/>
              </w:rPr>
              <w:t>分</w:t>
            </w:r>
          </w:p>
        </w:tc>
      </w:tr>
      <w:tr w14:paraId="3EBC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23E5FD06">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lang w:val="en-US" w:eastAsia="zh-CN" w:bidi="ar-SA"/>
              </w:rPr>
            </w:pPr>
            <w:r>
              <w:rPr>
                <w:rFonts w:hint="eastAsia" w:ascii="宋体" w:hAnsi="宋体" w:eastAsia="宋体" w:cs="宋体"/>
                <w:i w:val="0"/>
                <w:iCs w:val="0"/>
                <w:color w:val="auto"/>
                <w:sz w:val="21"/>
                <w:szCs w:val="21"/>
                <w:highlight w:val="none"/>
                <w:lang w:val="en-US" w:eastAsia="zh-CN"/>
              </w:rPr>
              <w:t>2</w:t>
            </w:r>
            <w:r>
              <w:rPr>
                <w:rFonts w:hint="eastAsia" w:ascii="宋体" w:hAnsi="宋体" w:eastAsia="宋体" w:cs="宋体"/>
                <w:i w:val="0"/>
                <w:iCs w:val="0"/>
                <w:color w:val="auto"/>
                <w:sz w:val="21"/>
                <w:szCs w:val="21"/>
                <w:highlight w:val="none"/>
              </w:rPr>
              <w:t>.</w:t>
            </w:r>
            <w:r>
              <w:rPr>
                <w:rFonts w:hint="eastAsia" w:ascii="宋体" w:hAnsi="宋体" w:eastAsia="宋体" w:cs="宋体"/>
                <w:i w:val="0"/>
                <w:iCs w:val="0"/>
                <w:color w:val="auto"/>
                <w:sz w:val="21"/>
                <w:szCs w:val="21"/>
                <w:highlight w:val="none"/>
                <w:lang w:val="en-US" w:eastAsia="zh-CN"/>
              </w:rPr>
              <w:t>2</w:t>
            </w:r>
          </w:p>
        </w:tc>
        <w:tc>
          <w:tcPr>
            <w:tcW w:w="1167" w:type="dxa"/>
            <w:tcBorders>
              <w:top w:val="single" w:color="auto" w:sz="4" w:space="0"/>
              <w:left w:val="single" w:color="auto" w:sz="4" w:space="0"/>
              <w:bottom w:val="single" w:color="auto" w:sz="4" w:space="0"/>
              <w:right w:val="single" w:color="auto" w:sz="4" w:space="0"/>
            </w:tcBorders>
            <w:noWrap/>
            <w:vAlign w:val="center"/>
          </w:tcPr>
          <w:p w14:paraId="75B967FB">
            <w:pPr>
              <w:spacing w:line="440" w:lineRule="exact"/>
              <w:jc w:val="center"/>
              <w:rPr>
                <w:rFonts w:hint="eastAsia" w:ascii="宋体" w:hAnsi="宋体" w:eastAsia="宋体" w:cs="宋体"/>
                <w:i w:val="0"/>
                <w:iCs w:val="0"/>
                <w:color w:val="auto"/>
                <w:sz w:val="21"/>
                <w:szCs w:val="21"/>
                <w:highlight w:val="none"/>
                <w:lang w:val="en-US" w:eastAsia="zh-CN" w:bidi="ar-SA"/>
              </w:rPr>
            </w:pPr>
            <w:r>
              <w:rPr>
                <w:rFonts w:hint="eastAsia" w:ascii="宋体" w:hAnsi="宋体" w:eastAsia="宋体" w:cs="宋体"/>
                <w:bCs/>
                <w:i w:val="0"/>
                <w:iCs w:val="0"/>
                <w:color w:val="auto"/>
                <w:sz w:val="21"/>
                <w:szCs w:val="21"/>
                <w:highlight w:val="none"/>
              </w:rPr>
              <w:t>项目业绩</w:t>
            </w:r>
          </w:p>
        </w:tc>
        <w:tc>
          <w:tcPr>
            <w:tcW w:w="6267" w:type="dxa"/>
            <w:tcBorders>
              <w:top w:val="single" w:color="auto" w:sz="4" w:space="0"/>
              <w:left w:val="single" w:color="auto" w:sz="4" w:space="0"/>
              <w:bottom w:val="single" w:color="auto" w:sz="4" w:space="0"/>
              <w:right w:val="single" w:color="auto" w:sz="4" w:space="0"/>
            </w:tcBorders>
            <w:noWrap/>
            <w:vAlign w:val="top"/>
          </w:tcPr>
          <w:p w14:paraId="088B53B9">
            <w:pPr>
              <w:widowControl/>
              <w:spacing w:line="420" w:lineRule="exact"/>
              <w:ind w:firstLine="420" w:firstLineChars="200"/>
              <w:jc w:val="left"/>
              <w:rPr>
                <w:rFonts w:hint="eastAsia" w:ascii="宋体" w:hAnsi="宋体" w:eastAsia="宋体" w:cs="宋体"/>
                <w:bCs/>
                <w:i w:val="0"/>
                <w:iCs w:val="0"/>
                <w:color w:val="auto"/>
                <w:sz w:val="21"/>
                <w:szCs w:val="21"/>
                <w:highlight w:val="none"/>
                <w:lang w:val="en-US" w:eastAsia="zh-CN"/>
              </w:rPr>
            </w:pPr>
            <w:r>
              <w:rPr>
                <w:rFonts w:hint="eastAsia" w:ascii="Times New Roman" w:hAnsi="Times New Roman" w:eastAsia="宋体" w:cs="Times New Roman"/>
                <w:i w:val="0"/>
                <w:iCs w:val="0"/>
                <w:color w:val="auto"/>
                <w:kern w:val="0"/>
                <w:szCs w:val="21"/>
                <w:highlight w:val="none"/>
              </w:rPr>
              <w:t>202</w:t>
            </w:r>
            <w:r>
              <w:rPr>
                <w:rFonts w:hint="eastAsia" w:ascii="Times New Roman" w:hAnsi="Times New Roman" w:eastAsia="宋体" w:cs="Times New Roman"/>
                <w:i w:val="0"/>
                <w:iCs w:val="0"/>
                <w:color w:val="auto"/>
                <w:kern w:val="0"/>
                <w:szCs w:val="21"/>
                <w:highlight w:val="none"/>
                <w:lang w:val="en-US" w:eastAsia="zh-CN"/>
              </w:rPr>
              <w:t>2</w:t>
            </w:r>
            <w:r>
              <w:rPr>
                <w:rFonts w:hint="eastAsia" w:ascii="Times New Roman" w:hAnsi="Times New Roman" w:eastAsia="宋体" w:cs="Times New Roman"/>
                <w:i w:val="0"/>
                <w:iCs w:val="0"/>
                <w:color w:val="auto"/>
                <w:kern w:val="0"/>
                <w:szCs w:val="21"/>
                <w:highlight w:val="none"/>
              </w:rPr>
              <w:t>年</w:t>
            </w:r>
            <w:r>
              <w:rPr>
                <w:rFonts w:hint="eastAsia" w:ascii="Times New Roman" w:hAnsi="Times New Roman" w:eastAsia="宋体" w:cs="Times New Roman"/>
                <w:i w:val="0"/>
                <w:iCs w:val="0"/>
                <w:color w:val="auto"/>
                <w:kern w:val="0"/>
                <w:szCs w:val="21"/>
                <w:highlight w:val="none"/>
                <w:lang w:val="en-US" w:eastAsia="zh-CN"/>
              </w:rPr>
              <w:t>1月1日</w:t>
            </w:r>
            <w:r>
              <w:rPr>
                <w:rFonts w:hint="eastAsia" w:ascii="Times New Roman" w:hAnsi="Times New Roman" w:eastAsia="宋体" w:cs="Times New Roman"/>
                <w:i w:val="0"/>
                <w:iCs w:val="0"/>
                <w:color w:val="auto"/>
                <w:kern w:val="0"/>
                <w:szCs w:val="21"/>
                <w:highlight w:val="none"/>
              </w:rPr>
              <w:t>至</w:t>
            </w:r>
            <w:r>
              <w:rPr>
                <w:rFonts w:hint="eastAsia" w:ascii="Times New Roman" w:hAnsi="Times New Roman" w:eastAsia="宋体" w:cs="Times New Roman"/>
                <w:i w:val="0"/>
                <w:iCs w:val="0"/>
                <w:color w:val="auto"/>
                <w:kern w:val="0"/>
                <w:szCs w:val="21"/>
                <w:highlight w:val="none"/>
                <w:lang w:val="en-US" w:eastAsia="zh-CN"/>
              </w:rPr>
              <w:t>响应文件递交截止时间</w:t>
            </w:r>
            <w:r>
              <w:rPr>
                <w:rFonts w:hint="eastAsia" w:ascii="Times New Roman" w:hAnsi="Times New Roman" w:eastAsia="宋体" w:cs="Times New Roman"/>
                <w:i w:val="0"/>
                <w:iCs w:val="0"/>
                <w:color w:val="auto"/>
                <w:kern w:val="0"/>
                <w:szCs w:val="21"/>
                <w:highlight w:val="none"/>
              </w:rPr>
              <w:t>，</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具有本项目</w:t>
            </w:r>
            <w:r>
              <w:rPr>
                <w:rFonts w:hint="eastAsia" w:ascii="Times New Roman" w:hAnsi="Times New Roman" w:eastAsia="宋体" w:cs="Times New Roman"/>
                <w:i w:val="0"/>
                <w:iCs w:val="0"/>
                <w:color w:val="auto"/>
                <w:kern w:val="0"/>
                <w:szCs w:val="21"/>
                <w:highlight w:val="none"/>
                <w:lang w:val="en-US" w:eastAsia="zh-CN"/>
              </w:rPr>
              <w:t>类似</w:t>
            </w:r>
            <w:r>
              <w:rPr>
                <w:rFonts w:hint="eastAsia" w:ascii="Times New Roman" w:hAnsi="Times New Roman" w:eastAsia="宋体" w:cs="Times New Roman"/>
                <w:i w:val="0"/>
                <w:iCs w:val="0"/>
                <w:color w:val="auto"/>
                <w:kern w:val="0"/>
                <w:szCs w:val="21"/>
                <w:highlight w:val="none"/>
              </w:rPr>
              <w:t>项目的业绩，每个项目得</w:t>
            </w:r>
            <w:r>
              <w:rPr>
                <w:rFonts w:hint="eastAsia" w:cs="Times New Roman"/>
                <w:i w:val="0"/>
                <w:iCs w:val="0"/>
                <w:color w:val="auto"/>
                <w:kern w:val="0"/>
                <w:szCs w:val="21"/>
                <w:highlight w:val="none"/>
                <w:lang w:val="en-US" w:eastAsia="zh-CN"/>
              </w:rPr>
              <w:t>2</w:t>
            </w:r>
            <w:r>
              <w:rPr>
                <w:rFonts w:hint="eastAsia" w:ascii="Times New Roman" w:hAnsi="Times New Roman" w:eastAsia="宋体" w:cs="Times New Roman"/>
                <w:i w:val="0"/>
                <w:iCs w:val="0"/>
                <w:color w:val="auto"/>
                <w:kern w:val="0"/>
                <w:szCs w:val="21"/>
                <w:highlight w:val="none"/>
              </w:rPr>
              <w:t>分</w:t>
            </w:r>
            <w:r>
              <w:rPr>
                <w:rFonts w:hint="eastAsia" w:ascii="Times New Roman" w:hAnsi="Times New Roman" w:eastAsia="宋体"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Cs w:val="21"/>
                <w:highlight w:val="none"/>
              </w:rPr>
              <w:t>本项满分</w:t>
            </w:r>
            <w:r>
              <w:rPr>
                <w:rFonts w:hint="eastAsia" w:cs="Times New Roman"/>
                <w:i w:val="0"/>
                <w:iCs w:val="0"/>
                <w:color w:val="auto"/>
                <w:kern w:val="0"/>
                <w:szCs w:val="21"/>
                <w:highlight w:val="none"/>
                <w:lang w:val="en-US" w:eastAsia="zh-CN"/>
              </w:rPr>
              <w:t>8</w:t>
            </w:r>
            <w:r>
              <w:rPr>
                <w:rFonts w:hint="eastAsia" w:ascii="Times New Roman" w:hAnsi="Times New Roman" w:eastAsia="宋体" w:cs="Times New Roman"/>
                <w:i w:val="0"/>
                <w:iCs w:val="0"/>
                <w:color w:val="auto"/>
                <w:kern w:val="0"/>
                <w:szCs w:val="21"/>
                <w:highlight w:val="none"/>
              </w:rPr>
              <w:t>分（以</w:t>
            </w:r>
            <w:r>
              <w:rPr>
                <w:rFonts w:hint="eastAsia" w:ascii="Times New Roman" w:hAnsi="Times New Roman" w:eastAsia="宋体" w:cs="Times New Roman"/>
                <w:i w:val="0"/>
                <w:iCs w:val="0"/>
                <w:color w:val="auto"/>
                <w:kern w:val="0"/>
                <w:szCs w:val="21"/>
                <w:highlight w:val="none"/>
                <w:lang w:val="en-US" w:eastAsia="zh-CN"/>
              </w:rPr>
              <w:t>供应商</w:t>
            </w:r>
            <w:r>
              <w:rPr>
                <w:rFonts w:hint="eastAsia" w:ascii="Times New Roman" w:hAnsi="Times New Roman" w:eastAsia="宋体" w:cs="Times New Roman"/>
                <w:i w:val="0"/>
                <w:iCs w:val="0"/>
                <w:color w:val="auto"/>
                <w:kern w:val="0"/>
                <w:szCs w:val="21"/>
                <w:highlight w:val="none"/>
              </w:rPr>
              <w:t>提供中标（成交）通知书</w:t>
            </w:r>
            <w:r>
              <w:rPr>
                <w:rFonts w:hint="eastAsia" w:ascii="Times New Roman" w:hAnsi="Times New Roman" w:eastAsia="宋体" w:cs="Times New Roman"/>
                <w:i w:val="0"/>
                <w:iCs w:val="0"/>
                <w:color w:val="auto"/>
                <w:kern w:val="0"/>
                <w:szCs w:val="21"/>
                <w:highlight w:val="none"/>
                <w:lang w:val="en-US" w:eastAsia="zh-CN"/>
              </w:rPr>
              <w:t>或</w:t>
            </w:r>
            <w:r>
              <w:rPr>
                <w:rFonts w:hint="eastAsia" w:ascii="Times New Roman" w:hAnsi="Times New Roman" w:eastAsia="宋体" w:cs="Times New Roman"/>
                <w:i w:val="0"/>
                <w:iCs w:val="0"/>
                <w:color w:val="auto"/>
                <w:kern w:val="0"/>
                <w:szCs w:val="21"/>
                <w:highlight w:val="none"/>
              </w:rPr>
              <w:t>项目协议或合同相关部分复印件并加盖单位公章为准，其中需反映出评分所需内容，否则得</w:t>
            </w:r>
            <w:r>
              <w:rPr>
                <w:rFonts w:hint="eastAsia" w:ascii="Times New Roman" w:hAnsi="Times New Roman" w:eastAsia="宋体" w:cs="Times New Roman"/>
                <w:i w:val="0"/>
                <w:iCs w:val="0"/>
                <w:color w:val="auto"/>
                <w:kern w:val="0"/>
                <w:szCs w:val="21"/>
                <w:highlight w:val="none"/>
                <w:lang w:val="en-US" w:eastAsia="zh-CN"/>
              </w:rPr>
              <w:t>0分</w:t>
            </w:r>
            <w:r>
              <w:rPr>
                <w:rFonts w:hint="eastAsia" w:ascii="Times New Roman" w:hAnsi="Times New Roman" w:eastAsia="宋体" w:cs="Times New Roman"/>
                <w:i w:val="0"/>
                <w:iCs w:val="0"/>
                <w:color w:val="auto"/>
                <w:kern w:val="0"/>
                <w:szCs w:val="21"/>
                <w:highlight w:val="none"/>
              </w:rPr>
              <w:t>）</w:t>
            </w:r>
            <w:r>
              <w:rPr>
                <w:rFonts w:hint="eastAsia" w:ascii="Times New Roman" w:hAnsi="Times New Roman" w:eastAsia="宋体" w:cs="Times New Roman"/>
                <w:i w:val="0"/>
                <w:iCs w:val="0"/>
                <w:color w:val="auto"/>
                <w:kern w:val="0"/>
                <w:szCs w:val="21"/>
                <w:highlight w:val="none"/>
                <w:lang w:eastAsia="zh-CN"/>
              </w:rPr>
              <w:t>。</w:t>
            </w:r>
          </w:p>
        </w:tc>
        <w:tc>
          <w:tcPr>
            <w:tcW w:w="849" w:type="dxa"/>
            <w:tcBorders>
              <w:top w:val="single" w:color="auto" w:sz="4" w:space="0"/>
              <w:left w:val="single" w:color="auto" w:sz="4" w:space="0"/>
              <w:bottom w:val="single" w:color="auto" w:sz="4" w:space="0"/>
              <w:right w:val="single" w:color="auto" w:sz="4" w:space="0"/>
            </w:tcBorders>
            <w:noWrap/>
            <w:vAlign w:val="center"/>
          </w:tcPr>
          <w:p w14:paraId="317F98E1">
            <w:pPr>
              <w:spacing w:line="400" w:lineRule="exact"/>
              <w:jc w:val="center"/>
              <w:rPr>
                <w:rFonts w:hint="eastAsia" w:ascii="宋体" w:hAnsi="宋体" w:eastAsia="宋体" w:cs="宋体"/>
                <w:bCs/>
                <w:i w:val="0"/>
                <w:iCs w:val="0"/>
                <w:color w:val="auto"/>
                <w:sz w:val="21"/>
                <w:szCs w:val="21"/>
                <w:highlight w:val="none"/>
                <w:lang w:val="en-US" w:eastAsia="zh-CN"/>
              </w:rPr>
            </w:pPr>
            <w:r>
              <w:rPr>
                <w:rFonts w:hint="eastAsia" w:ascii="宋体" w:hAnsi="宋体" w:cs="宋体"/>
                <w:bCs/>
                <w:i w:val="0"/>
                <w:iCs w:val="0"/>
                <w:color w:val="auto"/>
                <w:sz w:val="21"/>
                <w:szCs w:val="21"/>
                <w:highlight w:val="none"/>
                <w:lang w:val="en-US" w:eastAsia="zh-CN"/>
              </w:rPr>
              <w:t>8</w:t>
            </w:r>
            <w:r>
              <w:rPr>
                <w:rFonts w:hint="eastAsia" w:ascii="宋体" w:hAnsi="宋体" w:eastAsia="宋体" w:cs="宋体"/>
                <w:i w:val="0"/>
                <w:iCs w:val="0"/>
                <w:color w:val="auto"/>
                <w:sz w:val="21"/>
                <w:szCs w:val="21"/>
                <w:highlight w:val="none"/>
              </w:rPr>
              <w:t>分</w:t>
            </w:r>
          </w:p>
        </w:tc>
      </w:tr>
      <w:tr w14:paraId="0A90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31773AFB">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lang w:eastAsia="zh-CN"/>
              </w:rPr>
            </w:pPr>
            <w:r>
              <w:rPr>
                <w:rFonts w:hint="eastAsia" w:ascii="宋体" w:hAnsi="宋体" w:eastAsia="宋体" w:cs="宋体"/>
                <w:bCs/>
                <w:i w:val="0"/>
                <w:iCs w:val="0"/>
                <w:color w:val="auto"/>
                <w:sz w:val="21"/>
                <w:szCs w:val="21"/>
                <w:highlight w:val="none"/>
                <w:lang w:val="en-US" w:eastAsia="zh-CN"/>
              </w:rPr>
              <w:t>3</w:t>
            </w:r>
          </w:p>
        </w:tc>
        <w:tc>
          <w:tcPr>
            <w:tcW w:w="1167" w:type="dxa"/>
            <w:tcBorders>
              <w:top w:val="single" w:color="auto" w:sz="4" w:space="0"/>
              <w:left w:val="single" w:color="auto" w:sz="4" w:space="0"/>
              <w:bottom w:val="single" w:color="auto" w:sz="4" w:space="0"/>
              <w:right w:val="single" w:color="auto" w:sz="4" w:space="0"/>
            </w:tcBorders>
            <w:noWrap/>
            <w:vAlign w:val="center"/>
          </w:tcPr>
          <w:p w14:paraId="21E4278B">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rPr>
            </w:pPr>
            <w:r>
              <w:rPr>
                <w:rFonts w:hint="eastAsia" w:ascii="宋体" w:hAnsi="宋体" w:eastAsia="宋体" w:cs="宋体"/>
                <w:bCs/>
                <w:i w:val="0"/>
                <w:iCs w:val="0"/>
                <w:color w:val="auto"/>
                <w:sz w:val="21"/>
                <w:szCs w:val="21"/>
                <w:highlight w:val="none"/>
              </w:rPr>
              <w:t>技术分</w:t>
            </w:r>
          </w:p>
        </w:tc>
        <w:tc>
          <w:tcPr>
            <w:tcW w:w="7116" w:type="dxa"/>
            <w:gridSpan w:val="2"/>
            <w:tcBorders>
              <w:top w:val="single" w:color="auto" w:sz="4" w:space="0"/>
              <w:left w:val="single" w:color="auto" w:sz="4" w:space="0"/>
              <w:bottom w:val="single" w:color="auto" w:sz="4" w:space="0"/>
              <w:right w:val="single" w:color="auto" w:sz="4" w:space="0"/>
            </w:tcBorders>
            <w:noWrap/>
            <w:vAlign w:val="center"/>
          </w:tcPr>
          <w:p w14:paraId="0B0431D5">
            <w:pPr>
              <w:keepNext w:val="0"/>
              <w:keepLines w:val="0"/>
              <w:pageBreakBefore w:val="0"/>
              <w:widowControl/>
              <w:bidi w:val="0"/>
              <w:spacing w:line="440" w:lineRule="exact"/>
              <w:jc w:val="center"/>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评审因素</w:t>
            </w:r>
          </w:p>
        </w:tc>
      </w:tr>
      <w:tr w14:paraId="44F7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05FEABB9">
            <w:pPr>
              <w:keepNext w:val="0"/>
              <w:keepLines w:val="0"/>
              <w:pageBreakBefore w:val="0"/>
              <w:bidi w:val="0"/>
              <w:spacing w:line="440" w:lineRule="exact"/>
              <w:ind w:left="-105" w:right="-105"/>
              <w:jc w:val="center"/>
              <w:rPr>
                <w:rFonts w:hint="eastAsia" w:ascii="宋体" w:hAnsi="宋体" w:eastAsia="宋体" w:cs="宋体"/>
                <w:bCs/>
                <w:i w:val="0"/>
                <w:iCs w:val="0"/>
                <w:color w:val="auto"/>
                <w:sz w:val="21"/>
                <w:szCs w:val="21"/>
                <w:highlight w:val="none"/>
                <w:lang w:eastAsia="zh-CN"/>
              </w:rPr>
            </w:pPr>
            <w:r>
              <w:rPr>
                <w:rFonts w:hint="eastAsia" w:ascii="宋体" w:hAnsi="宋体" w:eastAsia="宋体" w:cs="宋体"/>
                <w:bCs/>
                <w:i w:val="0"/>
                <w:iCs w:val="0"/>
                <w:color w:val="auto"/>
                <w:sz w:val="21"/>
                <w:szCs w:val="21"/>
                <w:highlight w:val="none"/>
                <w:lang w:val="en-US" w:eastAsia="zh-CN"/>
              </w:rPr>
              <w:t>3</w:t>
            </w:r>
            <w:r>
              <w:rPr>
                <w:rFonts w:hint="eastAsia" w:ascii="宋体" w:hAnsi="宋体" w:eastAsia="宋体" w:cs="宋体"/>
                <w:bCs/>
                <w:i w:val="0"/>
                <w:iCs w:val="0"/>
                <w:color w:val="auto"/>
                <w:sz w:val="21"/>
                <w:szCs w:val="21"/>
                <w:highlight w:val="none"/>
              </w:rPr>
              <w:t>.</w:t>
            </w:r>
            <w:r>
              <w:rPr>
                <w:rFonts w:hint="eastAsia" w:ascii="宋体" w:hAnsi="宋体" w:eastAsia="宋体" w:cs="宋体"/>
                <w:bCs/>
                <w:i w:val="0"/>
                <w:iCs w:val="0"/>
                <w:color w:val="auto"/>
                <w:sz w:val="21"/>
                <w:szCs w:val="21"/>
                <w:highlight w:val="none"/>
                <w:lang w:val="en-US" w:eastAsia="zh-CN"/>
              </w:rPr>
              <w:t>1</w:t>
            </w:r>
          </w:p>
        </w:tc>
        <w:tc>
          <w:tcPr>
            <w:tcW w:w="1167" w:type="dxa"/>
            <w:tcBorders>
              <w:top w:val="single" w:color="auto" w:sz="4" w:space="0"/>
              <w:left w:val="single" w:color="auto" w:sz="4" w:space="0"/>
              <w:bottom w:val="single" w:color="auto" w:sz="4" w:space="0"/>
              <w:right w:val="single" w:color="auto" w:sz="4" w:space="0"/>
            </w:tcBorders>
            <w:noWrap/>
            <w:vAlign w:val="center"/>
          </w:tcPr>
          <w:p w14:paraId="46478C70">
            <w:pPr>
              <w:keepNext w:val="0"/>
              <w:keepLines w:val="0"/>
              <w:pageBreakBefore w:val="0"/>
              <w:bidi w:val="0"/>
              <w:spacing w:line="440" w:lineRule="exact"/>
              <w:jc w:val="center"/>
              <w:rPr>
                <w:rFonts w:hint="default" w:ascii="宋体" w:hAnsi="宋体" w:eastAsia="宋体" w:cs="宋体"/>
                <w:bCs/>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服务方案</w:t>
            </w:r>
          </w:p>
        </w:tc>
        <w:tc>
          <w:tcPr>
            <w:tcW w:w="6267" w:type="dxa"/>
            <w:tcBorders>
              <w:top w:val="single" w:color="auto" w:sz="4" w:space="0"/>
              <w:left w:val="single" w:color="auto" w:sz="4" w:space="0"/>
              <w:bottom w:val="single" w:color="auto" w:sz="4" w:space="0"/>
              <w:right w:val="single" w:color="auto" w:sz="4" w:space="0"/>
            </w:tcBorders>
            <w:noWrap/>
            <w:vAlign w:val="top"/>
          </w:tcPr>
          <w:p w14:paraId="67F851A6">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一档（</w:t>
            </w:r>
            <w:r>
              <w:rPr>
                <w:rFonts w:hint="eastAsia" w:ascii="宋体" w:hAnsi="宋体" w:cs="宋体"/>
                <w:bCs/>
                <w:i w:val="0"/>
                <w:iCs w:val="0"/>
                <w:color w:val="auto"/>
                <w:sz w:val="21"/>
                <w:szCs w:val="21"/>
                <w:highlight w:val="none"/>
                <w:lang w:val="en-US" w:eastAsia="zh-CN"/>
              </w:rPr>
              <w:t>5</w:t>
            </w:r>
            <w:r>
              <w:rPr>
                <w:rFonts w:hint="default" w:ascii="宋体" w:hAnsi="宋体" w:eastAsia="宋体" w:cs="宋体"/>
                <w:bCs/>
                <w:i w:val="0"/>
                <w:iCs w:val="0"/>
                <w:color w:val="auto"/>
                <w:sz w:val="21"/>
                <w:szCs w:val="21"/>
                <w:highlight w:val="none"/>
                <w:lang w:val="en-US" w:eastAsia="zh-CN"/>
              </w:rPr>
              <w:t>分）：供应商完整编制服务方案。方案覆盖本项目核心工作事项；进度计划明确关键工作时间节点；清晰列明主要工作环节、基础业务流程及实施模式；搭建项目组织架构，明确基础岗位人员配置，可满足项目基础服务开展需求。</w:t>
            </w:r>
          </w:p>
          <w:p w14:paraId="549918A0">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二档（</w:t>
            </w:r>
            <w:r>
              <w:rPr>
                <w:rFonts w:hint="eastAsia" w:ascii="宋体" w:hAnsi="宋体" w:cs="宋体"/>
                <w:bCs/>
                <w:i w:val="0"/>
                <w:iCs w:val="0"/>
                <w:color w:val="auto"/>
                <w:sz w:val="21"/>
                <w:szCs w:val="21"/>
                <w:highlight w:val="none"/>
                <w:lang w:val="en-US" w:eastAsia="zh-CN"/>
              </w:rPr>
              <w:t>10</w:t>
            </w:r>
            <w:r>
              <w:rPr>
                <w:rFonts w:hint="default" w:ascii="宋体" w:hAnsi="宋体" w:eastAsia="宋体" w:cs="宋体"/>
                <w:bCs/>
                <w:i w:val="0"/>
                <w:iCs w:val="0"/>
                <w:color w:val="auto"/>
                <w:sz w:val="21"/>
                <w:szCs w:val="21"/>
                <w:highlight w:val="none"/>
                <w:lang w:val="en-US" w:eastAsia="zh-CN"/>
              </w:rPr>
              <w:t>分）：在满足一档全部要求基础上，方案贴合本项目实际业务场景。全面覆盖本项目全部工作事项，对各项工作逐一制定对应实施安排；进度计划细化各阶段具体工作任务、对应完成时限；完整梳理全链条工作流程、实施步骤及作业模式；项目组织架构岗位配置齐全，细化明确各岗位具体工作职责、人员分工，具备完整落地执行条件。</w:t>
            </w:r>
          </w:p>
          <w:p w14:paraId="14C73E7F">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三档（</w:t>
            </w:r>
            <w:r>
              <w:rPr>
                <w:rFonts w:hint="eastAsia" w:ascii="宋体" w:hAnsi="宋体" w:cs="宋体"/>
                <w:bCs/>
                <w:i w:val="0"/>
                <w:iCs w:val="0"/>
                <w:color w:val="auto"/>
                <w:sz w:val="21"/>
                <w:szCs w:val="21"/>
                <w:highlight w:val="none"/>
                <w:lang w:val="en-US" w:eastAsia="zh-CN"/>
              </w:rPr>
              <w:t>15</w:t>
            </w:r>
            <w:r>
              <w:rPr>
                <w:rFonts w:hint="default" w:ascii="宋体" w:hAnsi="宋体" w:eastAsia="宋体" w:cs="宋体"/>
                <w:bCs/>
                <w:i w:val="0"/>
                <w:iCs w:val="0"/>
                <w:color w:val="auto"/>
                <w:sz w:val="21"/>
                <w:szCs w:val="21"/>
                <w:highlight w:val="none"/>
                <w:lang w:val="en-US" w:eastAsia="zh-CN"/>
              </w:rPr>
              <w:t>分）：在满足二档全部要求基础上，方案针对本项目专项定制、贴合度极高。对所有工作事项逐项拆解细化，明确各环节具体执行举措、作业标准及工作要求；进度计划精准匹配项目全周期，明确各阶段工作任务、完成时限、验收标准及对应交付成果；全流程工作环节逻辑闭环，清晰列明各环节工作产出资料、衔接流程与管控要点；项目组织架构体系完善，岗位职责、人员分工、协作机制清晰完备，配套建立内部质量管控、交叉复核、问题整改等专项保障机制，方案系统性、完整性、落地性极强。</w:t>
            </w:r>
          </w:p>
          <w:p w14:paraId="58EEAF8B">
            <w:pPr>
              <w:shd w:val="clear" w:color="auto"/>
              <w:tabs>
                <w:tab w:val="left" w:pos="7440"/>
              </w:tabs>
              <w:spacing w:line="400" w:lineRule="exact"/>
              <w:ind w:firstLine="420" w:firstLineChars="200"/>
              <w:rPr>
                <w:rFonts w:hint="eastAsia"/>
                <w:i w:val="0"/>
                <w:iCs w:val="0"/>
                <w:color w:val="auto"/>
                <w:highlight w:val="none"/>
                <w:lang w:val="en-US" w:eastAsia="zh-CN"/>
              </w:rPr>
            </w:pPr>
            <w:r>
              <w:rPr>
                <w:rFonts w:hint="default" w:ascii="宋体" w:hAnsi="宋体" w:eastAsia="宋体" w:cs="宋体"/>
                <w:bCs/>
                <w:i w:val="0"/>
                <w:iCs w:val="0"/>
                <w:color w:val="auto"/>
                <w:sz w:val="21"/>
                <w:szCs w:val="21"/>
                <w:highlight w:val="none"/>
                <w:lang w:val="en-US" w:eastAsia="zh-CN"/>
              </w:rPr>
              <w:t>未提供</w:t>
            </w:r>
            <w:r>
              <w:rPr>
                <w:rFonts w:hint="eastAsia" w:ascii="宋体" w:hAnsi="宋体" w:eastAsia="宋体" w:cs="宋体"/>
                <w:bCs/>
                <w:i w:val="0"/>
                <w:iCs w:val="0"/>
                <w:color w:val="auto"/>
                <w:sz w:val="21"/>
                <w:szCs w:val="21"/>
                <w:highlight w:val="none"/>
                <w:lang w:val="en-US" w:eastAsia="zh-CN"/>
              </w:rPr>
              <w:t>服务方案</w:t>
            </w:r>
            <w:r>
              <w:rPr>
                <w:rFonts w:hint="default" w:ascii="宋体" w:hAnsi="宋体" w:eastAsia="宋体" w:cs="宋体"/>
                <w:bCs/>
                <w:i w:val="0"/>
                <w:iCs w:val="0"/>
                <w:color w:val="auto"/>
                <w:sz w:val="21"/>
                <w:szCs w:val="21"/>
                <w:highlight w:val="none"/>
                <w:lang w:val="en-US" w:eastAsia="zh-CN"/>
              </w:rPr>
              <w:t>或未达到一档要求的，本项得</w:t>
            </w:r>
            <w:r>
              <w:rPr>
                <w:rFonts w:hint="eastAsia" w:ascii="宋体" w:hAnsi="宋体" w:cs="宋体"/>
                <w:bCs/>
                <w:i w:val="0"/>
                <w:iCs w:val="0"/>
                <w:color w:val="auto"/>
                <w:sz w:val="21"/>
                <w:szCs w:val="21"/>
                <w:highlight w:val="none"/>
                <w:lang w:val="en-US" w:eastAsia="zh-CN"/>
              </w:rPr>
              <w:t>0</w:t>
            </w:r>
            <w:r>
              <w:rPr>
                <w:rFonts w:hint="default" w:ascii="宋体" w:hAnsi="宋体" w:eastAsia="宋体" w:cs="宋体"/>
                <w:bCs/>
                <w:i w:val="0"/>
                <w:iCs w:val="0"/>
                <w:color w:val="auto"/>
                <w:sz w:val="21"/>
                <w:szCs w:val="21"/>
                <w:highlight w:val="none"/>
                <w:lang w:val="en-US" w:eastAsia="zh-CN"/>
              </w:rPr>
              <w:t>分。</w:t>
            </w:r>
          </w:p>
        </w:tc>
        <w:tc>
          <w:tcPr>
            <w:tcW w:w="849" w:type="dxa"/>
            <w:tcBorders>
              <w:top w:val="single" w:color="auto" w:sz="4" w:space="0"/>
              <w:left w:val="single" w:color="auto" w:sz="4" w:space="0"/>
              <w:bottom w:val="single" w:color="auto" w:sz="4" w:space="0"/>
              <w:right w:val="single" w:color="auto" w:sz="4" w:space="0"/>
            </w:tcBorders>
            <w:noWrap/>
            <w:vAlign w:val="center"/>
          </w:tcPr>
          <w:p w14:paraId="6E62C3C4">
            <w:pPr>
              <w:spacing w:line="360" w:lineRule="exact"/>
              <w:jc w:val="center"/>
              <w:rPr>
                <w:rFonts w:hint="eastAsia" w:ascii="宋体" w:hAnsi="宋体" w:eastAsia="宋体" w:cs="宋体"/>
                <w:i w:val="0"/>
                <w:iCs w:val="0"/>
                <w:color w:val="auto"/>
                <w:sz w:val="21"/>
                <w:szCs w:val="21"/>
                <w:highlight w:val="none"/>
              </w:rPr>
            </w:pPr>
            <w:r>
              <w:rPr>
                <w:rFonts w:hint="eastAsia" w:ascii="宋体" w:hAnsi="宋体" w:cs="宋体"/>
                <w:bCs/>
                <w:i w:val="0"/>
                <w:iCs w:val="0"/>
                <w:color w:val="auto"/>
                <w:sz w:val="21"/>
                <w:szCs w:val="21"/>
                <w:highlight w:val="none"/>
                <w:lang w:val="en-US" w:eastAsia="zh-CN"/>
              </w:rPr>
              <w:t>15</w:t>
            </w:r>
            <w:r>
              <w:rPr>
                <w:rFonts w:hint="eastAsia" w:ascii="宋体" w:hAnsi="宋体" w:eastAsia="宋体" w:cs="宋体"/>
                <w:bCs/>
                <w:i w:val="0"/>
                <w:iCs w:val="0"/>
                <w:color w:val="auto"/>
                <w:sz w:val="21"/>
                <w:szCs w:val="21"/>
                <w:highlight w:val="none"/>
              </w:rPr>
              <w:t>分</w:t>
            </w:r>
          </w:p>
        </w:tc>
      </w:tr>
      <w:tr w14:paraId="725E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654034D3">
            <w:pPr>
              <w:keepNext w:val="0"/>
              <w:keepLines w:val="0"/>
              <w:pageBreakBefore w:val="0"/>
              <w:bidi w:val="0"/>
              <w:spacing w:line="440" w:lineRule="exact"/>
              <w:ind w:left="-105" w:right="-105"/>
              <w:jc w:val="center"/>
              <w:rPr>
                <w:rFonts w:hint="eastAsia" w:ascii="宋体" w:hAnsi="宋体" w:eastAsia="宋体" w:cs="宋体"/>
                <w:bCs/>
                <w:i w:val="0"/>
                <w:iCs w:val="0"/>
                <w:color w:val="auto"/>
                <w:sz w:val="21"/>
                <w:szCs w:val="21"/>
                <w:highlight w:val="none"/>
                <w:lang w:eastAsia="zh-CN"/>
              </w:rPr>
            </w:pPr>
            <w:r>
              <w:rPr>
                <w:rFonts w:hint="eastAsia" w:ascii="宋体" w:hAnsi="宋体" w:eastAsia="宋体" w:cs="宋体"/>
                <w:bCs/>
                <w:i w:val="0"/>
                <w:iCs w:val="0"/>
                <w:color w:val="auto"/>
                <w:sz w:val="21"/>
                <w:szCs w:val="21"/>
                <w:highlight w:val="none"/>
                <w:lang w:val="en-US" w:eastAsia="zh-CN"/>
              </w:rPr>
              <w:t>3</w:t>
            </w:r>
            <w:r>
              <w:rPr>
                <w:rFonts w:hint="eastAsia" w:ascii="宋体" w:hAnsi="宋体" w:eastAsia="宋体" w:cs="宋体"/>
                <w:bCs/>
                <w:i w:val="0"/>
                <w:iCs w:val="0"/>
                <w:color w:val="auto"/>
                <w:sz w:val="21"/>
                <w:szCs w:val="21"/>
                <w:highlight w:val="none"/>
              </w:rPr>
              <w:t>.</w:t>
            </w:r>
            <w:r>
              <w:rPr>
                <w:rFonts w:hint="eastAsia" w:ascii="宋体" w:hAnsi="宋体" w:eastAsia="宋体" w:cs="宋体"/>
                <w:bCs/>
                <w:i w:val="0"/>
                <w:iCs w:val="0"/>
                <w:color w:val="auto"/>
                <w:sz w:val="21"/>
                <w:szCs w:val="21"/>
                <w:highlight w:val="none"/>
                <w:lang w:val="en-US" w:eastAsia="zh-CN"/>
              </w:rPr>
              <w:t>2</w:t>
            </w:r>
          </w:p>
        </w:tc>
        <w:tc>
          <w:tcPr>
            <w:tcW w:w="1167" w:type="dxa"/>
            <w:tcBorders>
              <w:top w:val="single" w:color="auto" w:sz="4" w:space="0"/>
              <w:left w:val="single" w:color="auto" w:sz="4" w:space="0"/>
              <w:bottom w:val="single" w:color="auto" w:sz="4" w:space="0"/>
              <w:right w:val="single" w:color="auto" w:sz="4" w:space="0"/>
            </w:tcBorders>
            <w:noWrap/>
            <w:vAlign w:val="center"/>
          </w:tcPr>
          <w:p w14:paraId="0A6BC2B8">
            <w:pPr>
              <w:spacing w:line="400" w:lineRule="exact"/>
              <w:jc w:val="center"/>
              <w:rPr>
                <w:rFonts w:hint="default" w:ascii="宋体" w:hAnsi="宋体" w:eastAsia="宋体" w:cs="宋体"/>
                <w:bCs/>
                <w:i w:val="0"/>
                <w:iCs w:val="0"/>
                <w:color w:val="auto"/>
                <w:sz w:val="21"/>
                <w:szCs w:val="21"/>
                <w:highlight w:val="none"/>
                <w:lang w:val="en-US"/>
              </w:rPr>
            </w:pPr>
            <w:r>
              <w:rPr>
                <w:rFonts w:hint="eastAsia"/>
                <w:i w:val="0"/>
                <w:iCs w:val="0"/>
                <w:color w:val="auto"/>
                <w:sz w:val="21"/>
                <w:szCs w:val="21"/>
                <w:highlight w:val="none"/>
                <w:lang w:val="en-US" w:eastAsia="zh-CN"/>
              </w:rPr>
              <w:t>质量控制措施</w:t>
            </w:r>
          </w:p>
        </w:tc>
        <w:tc>
          <w:tcPr>
            <w:tcW w:w="6267" w:type="dxa"/>
            <w:tcBorders>
              <w:top w:val="single" w:color="auto" w:sz="4" w:space="0"/>
              <w:left w:val="single" w:color="auto" w:sz="4" w:space="0"/>
              <w:bottom w:val="single" w:color="auto" w:sz="4" w:space="0"/>
              <w:right w:val="single" w:color="auto" w:sz="4" w:space="0"/>
            </w:tcBorders>
            <w:noWrap/>
            <w:vAlign w:val="top"/>
          </w:tcPr>
          <w:p w14:paraId="366F0C25">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一档（</w:t>
            </w:r>
            <w:r>
              <w:rPr>
                <w:rFonts w:hint="eastAsia" w:ascii="宋体" w:hAnsi="宋体" w:cs="宋体"/>
                <w:bCs/>
                <w:i w:val="0"/>
                <w:iCs w:val="0"/>
                <w:color w:val="auto"/>
                <w:sz w:val="21"/>
                <w:szCs w:val="21"/>
                <w:highlight w:val="none"/>
                <w:lang w:val="en-US" w:eastAsia="zh-CN"/>
              </w:rPr>
              <w:t>5</w:t>
            </w:r>
            <w:r>
              <w:rPr>
                <w:rFonts w:hint="default" w:ascii="宋体" w:hAnsi="宋体" w:eastAsia="宋体" w:cs="宋体"/>
                <w:bCs/>
                <w:i w:val="0"/>
                <w:iCs w:val="0"/>
                <w:color w:val="auto"/>
                <w:sz w:val="21"/>
                <w:szCs w:val="21"/>
                <w:highlight w:val="none"/>
                <w:lang w:val="en-US" w:eastAsia="zh-CN"/>
              </w:rPr>
              <w:t>分）：供应商已完整编制质量控制措施方案。提供成套培训资料及工作手册，手册涵盖项目核心业务操作步骤；明确列明基础培训计划与通用工作规范要求，具备基础执行条件，可保障项目基础工作有序开展。</w:t>
            </w:r>
          </w:p>
          <w:p w14:paraId="0AA2CF77">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二档（</w:t>
            </w:r>
            <w:r>
              <w:rPr>
                <w:rFonts w:hint="eastAsia" w:ascii="宋体" w:hAnsi="宋体" w:cs="宋体"/>
                <w:bCs/>
                <w:i w:val="0"/>
                <w:iCs w:val="0"/>
                <w:color w:val="auto"/>
                <w:sz w:val="21"/>
                <w:szCs w:val="21"/>
                <w:highlight w:val="none"/>
                <w:lang w:val="en-US" w:eastAsia="zh-CN"/>
              </w:rPr>
              <w:t>10</w:t>
            </w:r>
            <w:r>
              <w:rPr>
                <w:rFonts w:hint="default" w:ascii="宋体" w:hAnsi="宋体" w:eastAsia="宋体" w:cs="宋体"/>
                <w:bCs/>
                <w:i w:val="0"/>
                <w:iCs w:val="0"/>
                <w:color w:val="auto"/>
                <w:sz w:val="21"/>
                <w:szCs w:val="21"/>
                <w:highlight w:val="none"/>
                <w:lang w:val="en-US" w:eastAsia="zh-CN"/>
              </w:rPr>
              <w:t>分）：在满足一档全部要求基础上，质量控制措施贴合本项目实际业务需求编制。培训及工作手册内容齐全完整，细化各项业务全步骤操作流程，内容表述清晰规范；培训计划分阶段明确培训对象、培训内容、培训方式，工作规范要求贴合项目服务标准制定；全部质量管控举措均结合项目实际场景设计，具备完整落地实施、常态化执行的条件。</w:t>
            </w:r>
          </w:p>
          <w:p w14:paraId="48FF265A">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三档（</w:t>
            </w:r>
            <w:r>
              <w:rPr>
                <w:rFonts w:hint="eastAsia" w:ascii="宋体" w:hAnsi="宋体" w:cs="宋体"/>
                <w:bCs/>
                <w:i w:val="0"/>
                <w:iCs w:val="0"/>
                <w:color w:val="auto"/>
                <w:sz w:val="21"/>
                <w:szCs w:val="21"/>
                <w:highlight w:val="none"/>
                <w:lang w:val="en-US" w:eastAsia="zh-CN"/>
              </w:rPr>
              <w:t>15</w:t>
            </w:r>
            <w:r>
              <w:rPr>
                <w:rFonts w:hint="default" w:ascii="宋体" w:hAnsi="宋体" w:eastAsia="宋体" w:cs="宋体"/>
                <w:bCs/>
                <w:i w:val="0"/>
                <w:iCs w:val="0"/>
                <w:color w:val="auto"/>
                <w:sz w:val="21"/>
                <w:szCs w:val="21"/>
                <w:highlight w:val="none"/>
                <w:lang w:val="en-US" w:eastAsia="zh-CN"/>
              </w:rPr>
              <w:t>分）：在满足二档全部要求基础上，质量控制措施为本项目专项定制</w:t>
            </w:r>
            <w:r>
              <w:rPr>
                <w:rFonts w:hint="eastAsia" w:ascii="宋体" w:hAnsi="宋体" w:cs="宋体"/>
                <w:bCs/>
                <w:i w:val="0"/>
                <w:iCs w:val="0"/>
                <w:color w:val="auto"/>
                <w:sz w:val="21"/>
                <w:szCs w:val="21"/>
                <w:highlight w:val="none"/>
                <w:lang w:val="en-US" w:eastAsia="zh-CN"/>
              </w:rPr>
              <w:t>，具有</w:t>
            </w:r>
            <w:r>
              <w:rPr>
                <w:rFonts w:hint="default" w:ascii="宋体" w:hAnsi="宋体" w:eastAsia="宋体" w:cs="宋体"/>
                <w:bCs/>
                <w:i w:val="0"/>
                <w:iCs w:val="0"/>
                <w:color w:val="auto"/>
                <w:sz w:val="21"/>
                <w:szCs w:val="21"/>
                <w:highlight w:val="none"/>
                <w:lang w:val="en-US" w:eastAsia="zh-CN"/>
              </w:rPr>
              <w:t>针对性。培训及工作手册对各项业务操作逐项细化拆解，明确标准化操作流程、作业细则、注意事项及容错处理方式；培训方案体系完备、分类细化，覆盖项目事前、事中、事后全部业务流程，工作规范要求贴合项目服务标准、考核标准全面制定；配套建立全过程质量管控、常态化巡检、交叉校验、问题核查整改、成果复核等闭环管控机制，质量管控体系完整、流程闭环、可全程溯源，能全方位保障项目服务质量。</w:t>
            </w:r>
          </w:p>
          <w:p w14:paraId="6B76FA99">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未提供质量控制措施，或未达到一档基础要求的，本项得0分。</w:t>
            </w:r>
          </w:p>
        </w:tc>
        <w:tc>
          <w:tcPr>
            <w:tcW w:w="849" w:type="dxa"/>
            <w:tcBorders>
              <w:top w:val="single" w:color="auto" w:sz="4" w:space="0"/>
              <w:left w:val="single" w:color="auto" w:sz="4" w:space="0"/>
              <w:bottom w:val="single" w:color="auto" w:sz="4" w:space="0"/>
              <w:right w:val="single" w:color="auto" w:sz="4" w:space="0"/>
            </w:tcBorders>
            <w:noWrap/>
            <w:vAlign w:val="center"/>
          </w:tcPr>
          <w:p w14:paraId="05B58E3E">
            <w:pPr>
              <w:spacing w:line="360" w:lineRule="auto"/>
              <w:jc w:val="center"/>
              <w:rPr>
                <w:rFonts w:hint="eastAsia" w:ascii="宋体" w:hAnsi="宋体" w:eastAsia="宋体" w:cs="宋体"/>
                <w:i w:val="0"/>
                <w:iCs w:val="0"/>
                <w:color w:val="auto"/>
                <w:sz w:val="21"/>
                <w:szCs w:val="21"/>
                <w:highlight w:val="none"/>
              </w:rPr>
            </w:pPr>
            <w:r>
              <w:rPr>
                <w:rFonts w:hint="eastAsia" w:ascii="宋体" w:hAnsi="宋体" w:cs="Tahoma"/>
                <w:i w:val="0"/>
                <w:iCs w:val="0"/>
                <w:color w:val="auto"/>
                <w:sz w:val="21"/>
                <w:szCs w:val="21"/>
                <w:highlight w:val="none"/>
                <w:lang w:val="en-US" w:eastAsia="zh-CN"/>
              </w:rPr>
              <w:t>15</w:t>
            </w:r>
            <w:r>
              <w:rPr>
                <w:rFonts w:hint="eastAsia" w:ascii="宋体" w:hAnsi="宋体" w:cs="Tahoma"/>
                <w:i w:val="0"/>
                <w:iCs w:val="0"/>
                <w:color w:val="auto"/>
                <w:sz w:val="21"/>
                <w:szCs w:val="21"/>
                <w:highlight w:val="none"/>
              </w:rPr>
              <w:t>分</w:t>
            </w:r>
          </w:p>
        </w:tc>
      </w:tr>
      <w:tr w14:paraId="4BF6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77" w:type="dxa"/>
            <w:tcBorders>
              <w:top w:val="single" w:color="auto" w:sz="4" w:space="0"/>
              <w:left w:val="single" w:color="auto" w:sz="4" w:space="0"/>
              <w:bottom w:val="single" w:color="auto" w:sz="4" w:space="0"/>
              <w:right w:val="single" w:color="auto" w:sz="4" w:space="0"/>
            </w:tcBorders>
            <w:noWrap/>
            <w:vAlign w:val="center"/>
          </w:tcPr>
          <w:p w14:paraId="533BAC60">
            <w:pPr>
              <w:keepNext w:val="0"/>
              <w:keepLines w:val="0"/>
              <w:pageBreakBefore w:val="0"/>
              <w:bidi w:val="0"/>
              <w:spacing w:line="440" w:lineRule="exact"/>
              <w:ind w:left="-105" w:right="-105"/>
              <w:jc w:val="center"/>
              <w:rPr>
                <w:rFonts w:hint="default" w:ascii="宋体" w:hAnsi="宋体" w:eastAsia="宋体" w:cs="宋体"/>
                <w:bCs/>
                <w:i w:val="0"/>
                <w:iCs w:val="0"/>
                <w:color w:val="auto"/>
                <w:sz w:val="21"/>
                <w:szCs w:val="21"/>
                <w:highlight w:val="none"/>
                <w:lang w:val="en-US" w:eastAsia="zh-CN"/>
              </w:rPr>
            </w:pPr>
            <w:r>
              <w:rPr>
                <w:rFonts w:hint="eastAsia" w:ascii="宋体" w:hAnsi="宋体" w:cs="宋体"/>
                <w:bCs/>
                <w:i w:val="0"/>
                <w:iCs w:val="0"/>
                <w:color w:val="auto"/>
                <w:sz w:val="21"/>
                <w:szCs w:val="21"/>
                <w:highlight w:val="none"/>
                <w:lang w:val="en-US" w:eastAsia="zh-CN"/>
              </w:rPr>
              <w:t>3.3</w:t>
            </w:r>
          </w:p>
        </w:tc>
        <w:tc>
          <w:tcPr>
            <w:tcW w:w="1167" w:type="dxa"/>
            <w:tcBorders>
              <w:top w:val="single" w:color="auto" w:sz="4" w:space="0"/>
              <w:left w:val="single" w:color="auto" w:sz="4" w:space="0"/>
              <w:bottom w:val="single" w:color="auto" w:sz="4" w:space="0"/>
              <w:right w:val="single" w:color="auto" w:sz="4" w:space="0"/>
            </w:tcBorders>
            <w:noWrap/>
            <w:vAlign w:val="center"/>
          </w:tcPr>
          <w:p w14:paraId="22D38B8F">
            <w:pPr>
              <w:spacing w:line="400" w:lineRule="exact"/>
              <w:jc w:val="center"/>
              <w:rPr>
                <w:rFonts w:hint="eastAsia"/>
                <w:i w:val="0"/>
                <w:iCs w:val="0"/>
                <w:color w:val="auto"/>
                <w:sz w:val="21"/>
                <w:szCs w:val="21"/>
                <w:highlight w:val="none"/>
                <w:lang w:val="en-US" w:eastAsia="zh-CN"/>
              </w:rPr>
            </w:pPr>
            <w:r>
              <w:rPr>
                <w:rFonts w:hint="eastAsia"/>
                <w:i w:val="0"/>
                <w:iCs w:val="0"/>
                <w:color w:val="auto"/>
                <w:sz w:val="21"/>
                <w:szCs w:val="21"/>
                <w:highlight w:val="none"/>
                <w:lang w:val="en-US" w:eastAsia="zh-CN"/>
              </w:rPr>
              <w:t>安全及保密控制方案</w:t>
            </w:r>
          </w:p>
        </w:tc>
        <w:tc>
          <w:tcPr>
            <w:tcW w:w="6267" w:type="dxa"/>
            <w:tcBorders>
              <w:top w:val="single" w:color="auto" w:sz="4" w:space="0"/>
              <w:left w:val="single" w:color="auto" w:sz="4" w:space="0"/>
              <w:bottom w:val="single" w:color="auto" w:sz="4" w:space="0"/>
              <w:right w:val="single" w:color="auto" w:sz="4" w:space="0"/>
            </w:tcBorders>
            <w:noWrap/>
            <w:vAlign w:val="top"/>
          </w:tcPr>
          <w:p w14:paraId="34870685">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一档（4分）：供应商已完整编制安全及保密控制方案。方案覆盖项目信息获取环节保密工作，明确基础保密工作要求；列明基础保密处置与防范措施，具备基础安全保密保障能力，可满足项目基础保密工作开展需求。</w:t>
            </w:r>
          </w:p>
          <w:p w14:paraId="1873C8F2">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二档（7分）：在满足一档全部要求基础上，安全及保密控制方案贴合本项目实际业务需求编制。方案覆盖档案信息收集、整理、存储、使用、归档全流程保密管控；明确通过管理制度、工作流程、软硬件设备相结合的方式开展安全保密管控；各项保密管控举措具体详实、贴合项目场景，形成系统化安全保密保障体系，具备常态化落地执行条件。</w:t>
            </w:r>
          </w:p>
          <w:p w14:paraId="121455E2">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三档（10分）：在满足二档全部要求基础上，安全及保密控制方案为本项目专项定制、针对性极强。建立健全适配本项目的安全保密管理制度、管理规范及长效运行机制；精准细化界定项目保密内容、保密范围、保密责任主体；针对纸质文件原件、电子档案数据、业务涉密信息分类制定差异化、精细化管控举措；配套完善风险排查、隐患处置、日常监督、交叉复核、泄密应急处置、责任追责等闭环管控措施，全程实现涉密信息可管、可控、可溯源，全方位筑牢项目安全保密防线。</w:t>
            </w:r>
          </w:p>
          <w:p w14:paraId="73791E70">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r>
              <w:rPr>
                <w:rFonts w:hint="default" w:ascii="宋体" w:hAnsi="宋体" w:eastAsia="宋体" w:cs="宋体"/>
                <w:bCs/>
                <w:i w:val="0"/>
                <w:iCs w:val="0"/>
                <w:color w:val="auto"/>
                <w:sz w:val="21"/>
                <w:szCs w:val="21"/>
                <w:highlight w:val="none"/>
                <w:lang w:val="en-US" w:eastAsia="zh-CN"/>
              </w:rPr>
              <w:t>扣分规则：未提供安全及保密控制方案，或未达到一档基础要求的，本项得0分。</w:t>
            </w:r>
          </w:p>
          <w:p w14:paraId="11591F14">
            <w:pPr>
              <w:shd w:val="clear" w:color="auto"/>
              <w:tabs>
                <w:tab w:val="left" w:pos="7440"/>
              </w:tabs>
              <w:spacing w:line="400" w:lineRule="exact"/>
              <w:ind w:firstLine="420" w:firstLineChars="200"/>
              <w:rPr>
                <w:rFonts w:hint="default" w:ascii="宋体" w:hAnsi="宋体" w:eastAsia="宋体" w:cs="宋体"/>
                <w:bCs/>
                <w:i w:val="0"/>
                <w:iCs w:val="0"/>
                <w:color w:val="auto"/>
                <w:sz w:val="21"/>
                <w:szCs w:val="21"/>
                <w:highlight w:val="none"/>
                <w:lang w:val="en-US" w:eastAsia="zh-CN"/>
              </w:rPr>
            </w:pPr>
          </w:p>
        </w:tc>
        <w:tc>
          <w:tcPr>
            <w:tcW w:w="849" w:type="dxa"/>
            <w:tcBorders>
              <w:top w:val="single" w:color="auto" w:sz="4" w:space="0"/>
              <w:left w:val="single" w:color="auto" w:sz="4" w:space="0"/>
              <w:bottom w:val="single" w:color="auto" w:sz="4" w:space="0"/>
              <w:right w:val="single" w:color="auto" w:sz="4" w:space="0"/>
            </w:tcBorders>
            <w:noWrap/>
            <w:vAlign w:val="center"/>
          </w:tcPr>
          <w:p w14:paraId="4113B4F8">
            <w:pPr>
              <w:spacing w:line="360" w:lineRule="auto"/>
              <w:jc w:val="center"/>
              <w:rPr>
                <w:rFonts w:hint="default" w:ascii="宋体" w:hAnsi="宋体" w:cs="Tahoma"/>
                <w:i w:val="0"/>
                <w:iCs w:val="0"/>
                <w:color w:val="auto"/>
                <w:sz w:val="21"/>
                <w:szCs w:val="21"/>
                <w:highlight w:val="none"/>
                <w:lang w:val="en-US" w:eastAsia="zh-CN"/>
              </w:rPr>
            </w:pPr>
            <w:r>
              <w:rPr>
                <w:rFonts w:hint="eastAsia" w:ascii="宋体" w:hAnsi="宋体" w:cs="Tahoma"/>
                <w:i w:val="0"/>
                <w:iCs w:val="0"/>
                <w:color w:val="auto"/>
                <w:sz w:val="21"/>
                <w:szCs w:val="21"/>
                <w:highlight w:val="none"/>
                <w:lang w:val="en-US" w:eastAsia="zh-CN"/>
              </w:rPr>
              <w:t>10</w:t>
            </w:r>
          </w:p>
        </w:tc>
      </w:tr>
      <w:tr w14:paraId="3028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60" w:type="dxa"/>
            <w:gridSpan w:val="4"/>
            <w:tcBorders>
              <w:top w:val="single" w:color="auto" w:sz="4" w:space="0"/>
              <w:left w:val="single" w:color="auto" w:sz="4" w:space="0"/>
              <w:bottom w:val="single" w:color="auto" w:sz="4" w:space="0"/>
              <w:right w:val="single" w:color="auto" w:sz="4" w:space="0"/>
            </w:tcBorders>
            <w:noWrap/>
            <w:vAlign w:val="top"/>
          </w:tcPr>
          <w:p w14:paraId="58262065">
            <w:pPr>
              <w:keepNext w:val="0"/>
              <w:keepLines w:val="0"/>
              <w:pageBreakBefore w:val="0"/>
              <w:widowControl/>
              <w:bidi w:val="0"/>
              <w:spacing w:line="440" w:lineRule="exact"/>
              <w:jc w:val="left"/>
              <w:rPr>
                <w:rFonts w:hint="eastAsia" w:ascii="宋体" w:hAnsi="宋体" w:eastAsia="宋体" w:cs="宋体"/>
                <w:i w:val="0"/>
                <w:iCs w:val="0"/>
                <w:color w:val="auto"/>
                <w:sz w:val="21"/>
                <w:szCs w:val="21"/>
                <w:highlight w:val="none"/>
              </w:rPr>
            </w:pPr>
            <w:r>
              <w:rPr>
                <w:rFonts w:hint="eastAsia" w:ascii="宋体" w:hAnsi="宋体" w:eastAsia="宋体" w:cs="宋体"/>
                <w:bCs/>
                <w:i w:val="0"/>
                <w:iCs w:val="0"/>
                <w:color w:val="auto"/>
                <w:sz w:val="21"/>
                <w:szCs w:val="21"/>
                <w:highlight w:val="none"/>
              </w:rPr>
              <w:t>总得分为以上各项评审因素得分合计</w:t>
            </w:r>
          </w:p>
        </w:tc>
      </w:tr>
    </w:tbl>
    <w:p w14:paraId="757B8C25">
      <w:pPr>
        <w:spacing w:line="360" w:lineRule="auto"/>
        <w:rPr>
          <w:rFonts w:hint="eastAsia" w:ascii="宋体" w:hAnsi="宋体" w:eastAsia="宋体" w:cs="宋体"/>
          <w:bCs/>
          <w:i w:val="0"/>
          <w:iCs w:val="0"/>
          <w:color w:val="auto"/>
          <w:sz w:val="21"/>
          <w:szCs w:val="21"/>
          <w:highlight w:val="none"/>
        </w:rPr>
      </w:pPr>
    </w:p>
    <w:p w14:paraId="085C5044">
      <w:pPr>
        <w:spacing w:line="312" w:lineRule="auto"/>
        <w:ind w:firstLine="640"/>
        <w:rPr>
          <w:rFonts w:hint="eastAsia" w:ascii="宋体" w:hAnsi="宋体" w:eastAsia="宋体" w:cs="宋体"/>
          <w:i w:val="0"/>
          <w:iCs w:val="0"/>
          <w:color w:val="auto"/>
          <w:sz w:val="21"/>
          <w:szCs w:val="21"/>
          <w:highlight w:val="none"/>
        </w:rPr>
      </w:pPr>
      <w:r>
        <w:rPr>
          <w:rFonts w:hint="eastAsia" w:ascii="宋体" w:hAnsi="宋体" w:eastAsia="宋体" w:cs="宋体"/>
          <w:bCs/>
          <w:i w:val="0"/>
          <w:iCs w:val="0"/>
          <w:color w:val="auto"/>
          <w:sz w:val="21"/>
          <w:szCs w:val="21"/>
          <w:highlight w:val="none"/>
        </w:rPr>
        <w:t>7.由磋商小组根据综合评分情况，按照评审得分由高到低顺序推荐3名以上成交候选供应商，并编写评审报告，评审报告通过电子交易平台向采购人、采购代理机构提交。符合本章第4.3条情形的，可以推荐2家成交候选供应商。评审得分相同的，按照最后报价（不计算价格折扣）由低到高的顺序推荐；评审得分且最后报价相同的，按照</w:t>
      </w:r>
      <w:r>
        <w:rPr>
          <w:rFonts w:hint="eastAsia" w:ascii="宋体" w:hAnsi="宋体" w:eastAsia="宋体" w:cs="宋体"/>
          <w:bCs/>
          <w:i w:val="0"/>
          <w:iCs w:val="0"/>
          <w:color w:val="auto"/>
          <w:sz w:val="21"/>
          <w:szCs w:val="21"/>
          <w:highlight w:val="none"/>
          <w:lang w:val="en-US" w:eastAsia="zh-CN"/>
        </w:rPr>
        <w:t>商务分</w:t>
      </w:r>
      <w:r>
        <w:rPr>
          <w:rFonts w:hint="eastAsia" w:ascii="宋体" w:hAnsi="宋体" w:eastAsia="宋体" w:cs="宋体"/>
          <w:bCs/>
          <w:i w:val="0"/>
          <w:iCs w:val="0"/>
          <w:color w:val="auto"/>
          <w:sz w:val="21"/>
          <w:szCs w:val="21"/>
          <w:highlight w:val="none"/>
        </w:rPr>
        <w:t>总分由高到低顺序推荐（</w:t>
      </w:r>
      <w:r>
        <w:rPr>
          <w:rFonts w:hint="eastAsia" w:ascii="宋体" w:hAnsi="宋体" w:eastAsia="宋体" w:cs="宋体"/>
          <w:bCs/>
          <w:i w:val="0"/>
          <w:iCs w:val="0"/>
          <w:color w:val="auto"/>
          <w:sz w:val="21"/>
          <w:szCs w:val="21"/>
          <w:highlight w:val="none"/>
          <w:lang w:val="en-US" w:eastAsia="zh-CN"/>
        </w:rPr>
        <w:t>商务</w:t>
      </w:r>
      <w:r>
        <w:rPr>
          <w:rFonts w:hint="eastAsia" w:ascii="宋体" w:hAnsi="宋体" w:eastAsia="宋体" w:cs="宋体"/>
          <w:bCs/>
          <w:i w:val="0"/>
          <w:iCs w:val="0"/>
          <w:color w:val="auto"/>
          <w:sz w:val="21"/>
          <w:szCs w:val="21"/>
          <w:highlight w:val="none"/>
        </w:rPr>
        <w:t>分总分相同的，按</w:t>
      </w:r>
      <w:r>
        <w:rPr>
          <w:rFonts w:hint="eastAsia" w:ascii="宋体" w:hAnsi="宋体" w:eastAsia="宋体" w:cs="宋体"/>
          <w:bCs/>
          <w:i w:val="0"/>
          <w:iCs w:val="0"/>
          <w:color w:val="auto"/>
          <w:sz w:val="21"/>
          <w:szCs w:val="21"/>
          <w:highlight w:val="none"/>
          <w:lang w:val="en-US" w:eastAsia="zh-CN"/>
        </w:rPr>
        <w:t>技术分</w:t>
      </w:r>
      <w:r>
        <w:rPr>
          <w:rFonts w:hint="eastAsia" w:ascii="宋体" w:hAnsi="宋体" w:eastAsia="宋体" w:cs="宋体"/>
          <w:bCs/>
          <w:i w:val="0"/>
          <w:iCs w:val="0"/>
          <w:color w:val="auto"/>
          <w:sz w:val="21"/>
          <w:szCs w:val="21"/>
          <w:highlight w:val="none"/>
        </w:rPr>
        <w:t>顺序由高到低排序），若仍相同的，由磋商小组随机抽取推荐。</w:t>
      </w:r>
    </w:p>
    <w:p w14:paraId="71535930">
      <w:pPr>
        <w:pStyle w:val="50"/>
        <w:jc w:val="center"/>
        <w:rPr>
          <w:rFonts w:hint="eastAsia"/>
          <w:i w:val="0"/>
          <w:iCs w:val="0"/>
          <w:color w:val="auto"/>
          <w:highlight w:val="none"/>
        </w:rPr>
      </w:pPr>
      <w:bookmarkStart w:id="83" w:name="_Toc30780"/>
      <w:r>
        <w:rPr>
          <w:rFonts w:hint="eastAsia"/>
          <w:i w:val="0"/>
          <w:iCs w:val="0"/>
          <w:color w:val="auto"/>
          <w:highlight w:val="none"/>
        </w:rPr>
        <w:br w:type="page" w:clear="all"/>
      </w:r>
      <w:r>
        <w:rPr>
          <w:rFonts w:hint="eastAsia"/>
          <w:i w:val="0"/>
          <w:iCs w:val="0"/>
          <w:color w:val="auto"/>
          <w:highlight w:val="none"/>
        </w:rPr>
        <w:t>第五章响应文件格式</w:t>
      </w:r>
      <w:bookmarkEnd w:id="83"/>
    </w:p>
    <w:p w14:paraId="7368CC14">
      <w:pPr>
        <w:spacing w:line="240" w:lineRule="atLeast"/>
        <w:rPr>
          <w:rFonts w:hint="eastAsia" w:ascii="宋体" w:hAnsi="宋体"/>
          <w:b/>
          <w:i w:val="0"/>
          <w:iCs w:val="0"/>
          <w:color w:val="auto"/>
          <w:sz w:val="32"/>
          <w:szCs w:val="32"/>
          <w:highlight w:val="none"/>
        </w:rPr>
      </w:pPr>
    </w:p>
    <w:p w14:paraId="18A1EADB">
      <w:pPr>
        <w:spacing w:line="240" w:lineRule="atLeast"/>
        <w:rPr>
          <w:rFonts w:hint="eastAsia" w:ascii="宋体" w:hAnsi="宋体"/>
          <w:b/>
          <w:i w:val="0"/>
          <w:iCs w:val="0"/>
          <w:color w:val="auto"/>
          <w:sz w:val="32"/>
          <w:szCs w:val="32"/>
          <w:highlight w:val="none"/>
        </w:rPr>
      </w:pPr>
    </w:p>
    <w:p w14:paraId="0753A0D2">
      <w:pPr>
        <w:spacing w:line="240" w:lineRule="atLeast"/>
        <w:rPr>
          <w:rFonts w:hint="eastAsia" w:ascii="宋体" w:hAnsi="宋体"/>
          <w:b/>
          <w:i w:val="0"/>
          <w:iCs w:val="0"/>
          <w:color w:val="auto"/>
          <w:sz w:val="32"/>
          <w:szCs w:val="32"/>
          <w:highlight w:val="none"/>
        </w:rPr>
      </w:pPr>
    </w:p>
    <w:p w14:paraId="32775C1A">
      <w:pPr>
        <w:spacing w:line="240" w:lineRule="atLeast"/>
        <w:rPr>
          <w:rFonts w:hint="eastAsia" w:ascii="宋体" w:hAnsi="宋体"/>
          <w:b/>
          <w:i w:val="0"/>
          <w:iCs w:val="0"/>
          <w:color w:val="auto"/>
          <w:sz w:val="32"/>
          <w:szCs w:val="32"/>
          <w:highlight w:val="none"/>
        </w:rPr>
      </w:pPr>
    </w:p>
    <w:p w14:paraId="1ADC635A">
      <w:pPr>
        <w:spacing w:line="240" w:lineRule="atLeast"/>
        <w:rPr>
          <w:rFonts w:hint="eastAsia" w:ascii="宋体" w:hAnsi="宋体"/>
          <w:b/>
          <w:i w:val="0"/>
          <w:iCs w:val="0"/>
          <w:color w:val="auto"/>
          <w:sz w:val="32"/>
          <w:szCs w:val="32"/>
          <w:highlight w:val="none"/>
        </w:rPr>
      </w:pPr>
    </w:p>
    <w:p w14:paraId="7E8F3BC6">
      <w:pPr>
        <w:spacing w:line="240" w:lineRule="atLeast"/>
        <w:rPr>
          <w:rFonts w:hint="eastAsia" w:ascii="宋体" w:hAnsi="宋体"/>
          <w:b/>
          <w:i w:val="0"/>
          <w:iCs w:val="0"/>
          <w:color w:val="auto"/>
          <w:sz w:val="32"/>
          <w:szCs w:val="32"/>
          <w:highlight w:val="none"/>
        </w:rPr>
      </w:pPr>
    </w:p>
    <w:p w14:paraId="21259DFC">
      <w:pPr>
        <w:spacing w:line="240" w:lineRule="atLeast"/>
        <w:rPr>
          <w:rFonts w:hint="eastAsia" w:ascii="宋体" w:hAnsi="宋体"/>
          <w:b/>
          <w:i w:val="0"/>
          <w:iCs w:val="0"/>
          <w:color w:val="auto"/>
          <w:sz w:val="32"/>
          <w:szCs w:val="32"/>
          <w:highlight w:val="none"/>
        </w:rPr>
      </w:pPr>
    </w:p>
    <w:p w14:paraId="6BF78DD0">
      <w:pPr>
        <w:spacing w:line="240" w:lineRule="atLeast"/>
        <w:rPr>
          <w:rFonts w:hint="eastAsia" w:ascii="宋体" w:hAnsi="宋体"/>
          <w:b/>
          <w:i w:val="0"/>
          <w:iCs w:val="0"/>
          <w:color w:val="auto"/>
          <w:sz w:val="32"/>
          <w:szCs w:val="32"/>
          <w:highlight w:val="none"/>
        </w:rPr>
      </w:pPr>
    </w:p>
    <w:p w14:paraId="2684ACFF">
      <w:pPr>
        <w:spacing w:line="240" w:lineRule="atLeast"/>
        <w:rPr>
          <w:rFonts w:hint="eastAsia" w:ascii="宋体" w:hAnsi="宋体"/>
          <w:b/>
          <w:i w:val="0"/>
          <w:iCs w:val="0"/>
          <w:color w:val="auto"/>
          <w:sz w:val="32"/>
          <w:szCs w:val="32"/>
          <w:highlight w:val="none"/>
        </w:rPr>
      </w:pPr>
    </w:p>
    <w:p w14:paraId="34975E04">
      <w:pPr>
        <w:spacing w:line="240" w:lineRule="atLeast"/>
        <w:rPr>
          <w:rFonts w:hint="eastAsia" w:ascii="宋体" w:hAnsi="宋体"/>
          <w:b/>
          <w:i w:val="0"/>
          <w:iCs w:val="0"/>
          <w:color w:val="auto"/>
          <w:sz w:val="32"/>
          <w:szCs w:val="32"/>
          <w:highlight w:val="none"/>
        </w:rPr>
      </w:pPr>
    </w:p>
    <w:p w14:paraId="6344EE76">
      <w:pPr>
        <w:spacing w:line="240" w:lineRule="atLeast"/>
        <w:rPr>
          <w:rFonts w:hint="eastAsia" w:ascii="宋体" w:hAnsi="宋体"/>
          <w:b/>
          <w:i w:val="0"/>
          <w:iCs w:val="0"/>
          <w:color w:val="auto"/>
          <w:sz w:val="32"/>
          <w:szCs w:val="32"/>
          <w:highlight w:val="none"/>
        </w:rPr>
      </w:pPr>
    </w:p>
    <w:p w14:paraId="1E986827">
      <w:pPr>
        <w:spacing w:before="50" w:after="50"/>
        <w:outlineLvl w:val="1"/>
        <w:rPr>
          <w:rFonts w:hint="eastAsia" w:ascii="宋体" w:hAnsi="宋体"/>
          <w:b/>
          <w:bCs/>
          <w:i w:val="0"/>
          <w:iCs w:val="0"/>
          <w:color w:val="auto"/>
          <w:sz w:val="24"/>
          <w:highlight w:val="none"/>
        </w:rPr>
      </w:pPr>
    </w:p>
    <w:p w14:paraId="4DB29D6E">
      <w:pPr>
        <w:rPr>
          <w:i w:val="0"/>
          <w:iCs w:val="0"/>
          <w:color w:val="auto"/>
          <w:highlight w:val="none"/>
        </w:rPr>
      </w:pPr>
      <w:bookmarkStart w:id="84" w:name="_Toc71366186"/>
      <w:bookmarkStart w:id="85" w:name="_Toc35611516"/>
      <w:bookmarkStart w:id="86" w:name="_Toc35611438"/>
      <w:bookmarkStart w:id="87" w:name="_Toc31728084"/>
      <w:bookmarkStart w:id="88" w:name="_Toc44229899"/>
      <w:bookmarkStart w:id="89" w:name="_Toc31723070"/>
    </w:p>
    <w:p w14:paraId="79BF9468">
      <w:pPr>
        <w:rPr>
          <w:rFonts w:hint="eastAsia"/>
          <w:b/>
          <w:i w:val="0"/>
          <w:iCs w:val="0"/>
          <w:color w:val="auto"/>
          <w:sz w:val="32"/>
          <w:szCs w:val="32"/>
          <w:highlight w:val="none"/>
        </w:rPr>
      </w:pPr>
      <w:r>
        <w:rPr>
          <w:i w:val="0"/>
          <w:iCs w:val="0"/>
          <w:color w:val="auto"/>
          <w:highlight w:val="none"/>
        </w:rPr>
        <w:br w:type="page" w:clear="all"/>
      </w:r>
      <w:r>
        <w:rPr>
          <w:rFonts w:hint="eastAsia"/>
          <w:b/>
          <w:i w:val="0"/>
          <w:iCs w:val="0"/>
          <w:color w:val="auto"/>
          <w:sz w:val="32"/>
          <w:szCs w:val="32"/>
          <w:highlight w:val="none"/>
        </w:rPr>
        <w:t>一、资格证明文件格式</w:t>
      </w:r>
      <w:bookmarkEnd w:id="84"/>
      <w:bookmarkEnd w:id="85"/>
      <w:bookmarkEnd w:id="86"/>
      <w:bookmarkEnd w:id="87"/>
      <w:bookmarkEnd w:id="88"/>
      <w:bookmarkEnd w:id="89"/>
    </w:p>
    <w:p w14:paraId="39F2E2CD">
      <w:pPr>
        <w:spacing w:before="120" w:after="50" w:line="360" w:lineRule="auto"/>
        <w:jc w:val="left"/>
        <w:rPr>
          <w:rFonts w:hint="eastAsia" w:ascii="宋体" w:hAnsi="宋体"/>
          <w:b/>
          <w:i w:val="0"/>
          <w:iCs w:val="0"/>
          <w:color w:val="auto"/>
          <w:sz w:val="24"/>
          <w:highlight w:val="none"/>
        </w:rPr>
      </w:pPr>
      <w:r>
        <w:rPr>
          <w:rFonts w:hint="eastAsia" w:ascii="宋体" w:hAnsi="宋体"/>
          <w:b/>
          <w:i w:val="0"/>
          <w:iCs w:val="0"/>
          <w:color w:val="auto"/>
          <w:sz w:val="32"/>
          <w:szCs w:val="32"/>
          <w:highlight w:val="none"/>
        </w:rPr>
        <w:t>1.资格证明文件封面格式：</w:t>
      </w:r>
    </w:p>
    <w:p w14:paraId="6CC107FA">
      <w:pPr>
        <w:spacing w:before="120" w:after="50"/>
        <w:jc w:val="center"/>
        <w:rPr>
          <w:rFonts w:ascii="宋体" w:hAnsi="宋体"/>
          <w:i w:val="0"/>
          <w:iCs w:val="0"/>
          <w:color w:val="auto"/>
          <w:sz w:val="44"/>
          <w:szCs w:val="44"/>
          <w:highlight w:val="none"/>
        </w:rPr>
      </w:pPr>
    </w:p>
    <w:p w14:paraId="329A57C0">
      <w:pPr>
        <w:spacing w:before="120" w:after="50"/>
        <w:jc w:val="center"/>
        <w:rPr>
          <w:rFonts w:ascii="宋体" w:hAnsi="宋体"/>
          <w:i w:val="0"/>
          <w:iCs w:val="0"/>
          <w:color w:val="auto"/>
          <w:sz w:val="44"/>
          <w:szCs w:val="44"/>
          <w:highlight w:val="none"/>
        </w:rPr>
      </w:pPr>
      <w:r>
        <w:rPr>
          <w:rFonts w:hint="eastAsia" w:ascii="宋体" w:hAnsi="宋体"/>
          <w:i w:val="0"/>
          <w:iCs w:val="0"/>
          <w:color w:val="auto"/>
          <w:sz w:val="44"/>
          <w:szCs w:val="44"/>
          <w:highlight w:val="none"/>
        </w:rPr>
        <w:t>电子响应文件</w:t>
      </w:r>
    </w:p>
    <w:p w14:paraId="5809D69F">
      <w:pPr>
        <w:spacing w:before="120" w:after="50"/>
        <w:rPr>
          <w:rFonts w:hint="eastAsia" w:ascii="宋体" w:hAnsi="宋体"/>
          <w:i w:val="0"/>
          <w:iCs w:val="0"/>
          <w:color w:val="auto"/>
          <w:sz w:val="24"/>
          <w:szCs w:val="20"/>
          <w:highlight w:val="none"/>
        </w:rPr>
      </w:pPr>
    </w:p>
    <w:p w14:paraId="65C6BF54">
      <w:pPr>
        <w:spacing w:before="120" w:after="50"/>
        <w:jc w:val="center"/>
        <w:rPr>
          <w:rFonts w:hint="eastAsia" w:ascii="微软雅黑" w:hAnsi="微软雅黑" w:eastAsia="微软雅黑" w:cs="微软雅黑"/>
          <w:bCs/>
          <w:i w:val="0"/>
          <w:iCs w:val="0"/>
          <w:color w:val="auto"/>
          <w:sz w:val="44"/>
          <w:szCs w:val="44"/>
          <w:highlight w:val="none"/>
        </w:rPr>
      </w:pPr>
      <w:r>
        <w:rPr>
          <w:rFonts w:hint="eastAsia" w:ascii="微软雅黑" w:hAnsi="微软雅黑" w:eastAsia="微软雅黑" w:cs="微软雅黑"/>
          <w:bCs/>
          <w:i w:val="0"/>
          <w:iCs w:val="0"/>
          <w:color w:val="auto"/>
          <w:sz w:val="44"/>
          <w:szCs w:val="44"/>
          <w:highlight w:val="none"/>
        </w:rPr>
        <w:t>资格证明文件</w:t>
      </w:r>
    </w:p>
    <w:p w14:paraId="2521C50F">
      <w:pPr>
        <w:spacing w:before="120" w:after="50"/>
        <w:rPr>
          <w:rFonts w:hint="eastAsia" w:ascii="宋体" w:hAnsi="宋体"/>
          <w:bCs/>
          <w:i w:val="0"/>
          <w:iCs w:val="0"/>
          <w:color w:val="auto"/>
          <w:sz w:val="24"/>
          <w:szCs w:val="20"/>
          <w:highlight w:val="none"/>
        </w:rPr>
      </w:pPr>
    </w:p>
    <w:p w14:paraId="23CBD28D">
      <w:pPr>
        <w:spacing w:before="120" w:after="50"/>
        <w:rPr>
          <w:rFonts w:hint="eastAsia" w:ascii="宋体" w:hAnsi="宋体"/>
          <w:bCs/>
          <w:i w:val="0"/>
          <w:iCs w:val="0"/>
          <w:color w:val="auto"/>
          <w:sz w:val="24"/>
          <w:szCs w:val="20"/>
          <w:highlight w:val="none"/>
        </w:rPr>
      </w:pPr>
    </w:p>
    <w:p w14:paraId="634AB9E5">
      <w:pPr>
        <w:spacing w:before="120" w:after="50"/>
        <w:rPr>
          <w:rFonts w:hint="eastAsia" w:ascii="宋体" w:hAnsi="宋体"/>
          <w:bCs/>
          <w:i w:val="0"/>
          <w:iCs w:val="0"/>
          <w:color w:val="auto"/>
          <w:sz w:val="24"/>
          <w:szCs w:val="20"/>
          <w:highlight w:val="none"/>
        </w:rPr>
      </w:pPr>
    </w:p>
    <w:p w14:paraId="1E4A19BA">
      <w:pPr>
        <w:spacing w:before="120" w:after="50"/>
        <w:rPr>
          <w:rFonts w:hint="eastAsia" w:ascii="宋体" w:hAnsi="宋体"/>
          <w:bCs/>
          <w:i w:val="0"/>
          <w:iCs w:val="0"/>
          <w:color w:val="auto"/>
          <w:sz w:val="24"/>
          <w:szCs w:val="20"/>
          <w:highlight w:val="none"/>
        </w:rPr>
      </w:pPr>
    </w:p>
    <w:p w14:paraId="5809841C">
      <w:pPr>
        <w:spacing w:before="120" w:after="50"/>
        <w:rPr>
          <w:rFonts w:hint="eastAsia" w:ascii="宋体" w:hAnsi="宋体"/>
          <w:bCs/>
          <w:i w:val="0"/>
          <w:iCs w:val="0"/>
          <w:color w:val="auto"/>
          <w:sz w:val="24"/>
          <w:szCs w:val="20"/>
          <w:highlight w:val="none"/>
        </w:rPr>
      </w:pPr>
    </w:p>
    <w:p w14:paraId="6D0D5403">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项目名称：</w:t>
      </w:r>
    </w:p>
    <w:p w14:paraId="1639BF05">
      <w:pPr>
        <w:spacing w:before="120" w:after="50"/>
        <w:ind w:firstLine="720"/>
        <w:rPr>
          <w:rFonts w:hint="eastAsia" w:ascii="宋体" w:hAnsi="宋体" w:cs="仿宋_GB2312"/>
          <w:bCs/>
          <w:i w:val="0"/>
          <w:iCs w:val="0"/>
          <w:color w:val="auto"/>
          <w:sz w:val="32"/>
          <w:szCs w:val="32"/>
          <w:highlight w:val="none"/>
        </w:rPr>
      </w:pPr>
    </w:p>
    <w:p w14:paraId="33B5A9D0">
      <w:pPr>
        <w:spacing w:before="120" w:after="50"/>
        <w:ind w:firstLine="72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项目编号：</w:t>
      </w:r>
    </w:p>
    <w:p w14:paraId="3BD1BC45">
      <w:pPr>
        <w:spacing w:before="120" w:after="50"/>
        <w:ind w:firstLine="720"/>
        <w:rPr>
          <w:rFonts w:hint="eastAsia" w:ascii="宋体" w:hAnsi="宋体" w:cs="仿宋_GB2312"/>
          <w:bCs/>
          <w:i w:val="0"/>
          <w:iCs w:val="0"/>
          <w:color w:val="auto"/>
          <w:sz w:val="32"/>
          <w:szCs w:val="32"/>
          <w:highlight w:val="none"/>
        </w:rPr>
      </w:pPr>
    </w:p>
    <w:p w14:paraId="07189E56">
      <w:pPr>
        <w:spacing w:before="120" w:after="50"/>
        <w:ind w:firstLine="72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所竞分标（如有则填写，无分标时填写“无”或者留空）：</w:t>
      </w:r>
    </w:p>
    <w:p w14:paraId="4776CE04">
      <w:pPr>
        <w:spacing w:before="120" w:after="50"/>
        <w:ind w:firstLine="720"/>
        <w:rPr>
          <w:rFonts w:hint="eastAsia" w:ascii="宋体" w:hAnsi="宋体" w:cs="仿宋_GB2312"/>
          <w:bCs/>
          <w:i w:val="0"/>
          <w:iCs w:val="0"/>
          <w:color w:val="auto"/>
          <w:sz w:val="32"/>
          <w:szCs w:val="32"/>
          <w:highlight w:val="none"/>
        </w:rPr>
      </w:pPr>
    </w:p>
    <w:p w14:paraId="624B2683">
      <w:pPr>
        <w:pStyle w:val="48"/>
        <w:spacing w:before="50" w:after="50"/>
        <w:ind w:firstLine="72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供应商名称：</w:t>
      </w:r>
    </w:p>
    <w:p w14:paraId="7A3EAFFE">
      <w:pPr>
        <w:spacing w:before="120" w:after="50"/>
        <w:ind w:firstLine="640"/>
        <w:rPr>
          <w:rFonts w:hint="eastAsia" w:ascii="宋体" w:hAnsi="宋体" w:cs="仿宋_GB2312"/>
          <w:bCs/>
          <w:i w:val="0"/>
          <w:iCs w:val="0"/>
          <w:color w:val="auto"/>
          <w:sz w:val="32"/>
          <w:szCs w:val="32"/>
          <w:highlight w:val="none"/>
        </w:rPr>
      </w:pPr>
    </w:p>
    <w:p w14:paraId="3323F319">
      <w:pPr>
        <w:pStyle w:val="48"/>
        <w:spacing w:before="50" w:after="50"/>
        <w:ind w:firstLine="720"/>
        <w:rPr>
          <w:rFonts w:hint="eastAsia" w:ascii="宋体" w:hAnsi="宋体" w:cs="仿宋_GB2312"/>
          <w:bCs/>
          <w:i w:val="0"/>
          <w:iCs w:val="0"/>
          <w:color w:val="auto"/>
          <w:sz w:val="32"/>
          <w:szCs w:val="32"/>
          <w:highlight w:val="none"/>
        </w:rPr>
      </w:pPr>
    </w:p>
    <w:p w14:paraId="595F6399">
      <w:pPr>
        <w:pStyle w:val="48"/>
        <w:spacing w:before="50" w:after="50"/>
        <w:ind w:firstLine="720"/>
        <w:rPr>
          <w:rFonts w:hint="eastAsia" w:ascii="宋体" w:hAnsi="宋体" w:cs="仿宋_GB2312"/>
          <w:bCs/>
          <w:i w:val="0"/>
          <w:iCs w:val="0"/>
          <w:color w:val="auto"/>
          <w:sz w:val="32"/>
          <w:szCs w:val="32"/>
          <w:highlight w:val="none"/>
        </w:rPr>
      </w:pPr>
    </w:p>
    <w:p w14:paraId="02CF41CD">
      <w:pPr>
        <w:pStyle w:val="48"/>
        <w:spacing w:before="50" w:after="50"/>
        <w:ind w:firstLine="1280"/>
        <w:rPr>
          <w:rFonts w:hint="eastAsia" w:ascii="宋体" w:hAnsi="宋体" w:cs="仿宋_GB2312"/>
          <w:bCs/>
          <w:i w:val="0"/>
          <w:iCs w:val="0"/>
          <w:color w:val="auto"/>
          <w:sz w:val="32"/>
          <w:szCs w:val="32"/>
          <w:highlight w:val="none"/>
        </w:rPr>
      </w:pPr>
    </w:p>
    <w:p w14:paraId="2D372A42">
      <w:pPr>
        <w:spacing w:before="120" w:after="50"/>
        <w:jc w:val="center"/>
        <w:rPr>
          <w:rFonts w:hint="eastAsia" w:ascii="宋体" w:hAnsi="宋体" w:cs="仿宋_GB2312"/>
          <w:i w:val="0"/>
          <w:iCs w:val="0"/>
          <w:color w:val="auto"/>
          <w:sz w:val="32"/>
          <w:szCs w:val="32"/>
          <w:highlight w:val="none"/>
        </w:rPr>
      </w:pPr>
      <w:r>
        <w:rPr>
          <w:rFonts w:hint="eastAsia" w:ascii="宋体" w:hAnsi="宋体" w:cs="仿宋_GB2312"/>
          <w:i w:val="0"/>
          <w:iCs w:val="0"/>
          <w:color w:val="auto"/>
          <w:sz w:val="32"/>
          <w:szCs w:val="32"/>
          <w:highlight w:val="none"/>
        </w:rPr>
        <w:t>年</w:t>
      </w:r>
      <w:r>
        <w:rPr>
          <w:rFonts w:hint="eastAsia" w:ascii="宋体" w:hAnsi="宋体" w:cs="仿宋_GB2312"/>
          <w:i w:val="0"/>
          <w:iCs w:val="0"/>
          <w:color w:val="auto"/>
          <w:sz w:val="32"/>
          <w:szCs w:val="32"/>
          <w:highlight w:val="none"/>
          <w:lang w:val="en-US" w:eastAsia="zh-CN"/>
        </w:rPr>
        <w:t xml:space="preserve">  </w:t>
      </w:r>
      <w:r>
        <w:rPr>
          <w:rFonts w:hint="eastAsia" w:ascii="宋体" w:hAnsi="宋体" w:cs="仿宋_GB2312"/>
          <w:i w:val="0"/>
          <w:iCs w:val="0"/>
          <w:color w:val="auto"/>
          <w:sz w:val="32"/>
          <w:szCs w:val="32"/>
          <w:highlight w:val="none"/>
        </w:rPr>
        <w:t>月</w:t>
      </w:r>
      <w:r>
        <w:rPr>
          <w:rFonts w:hint="eastAsia" w:ascii="宋体" w:hAnsi="宋体" w:cs="仿宋_GB2312"/>
          <w:i w:val="0"/>
          <w:iCs w:val="0"/>
          <w:color w:val="auto"/>
          <w:sz w:val="32"/>
          <w:szCs w:val="32"/>
          <w:highlight w:val="none"/>
          <w:lang w:val="en-US" w:eastAsia="zh-CN"/>
        </w:rPr>
        <w:t xml:space="preserve">   </w:t>
      </w:r>
      <w:r>
        <w:rPr>
          <w:rFonts w:hint="eastAsia" w:ascii="宋体" w:hAnsi="宋体" w:cs="仿宋_GB2312"/>
          <w:i w:val="0"/>
          <w:iCs w:val="0"/>
          <w:color w:val="auto"/>
          <w:sz w:val="32"/>
          <w:szCs w:val="32"/>
          <w:highlight w:val="none"/>
        </w:rPr>
        <w:t>日</w:t>
      </w:r>
    </w:p>
    <w:p w14:paraId="2DEC9438">
      <w:pPr>
        <w:spacing w:before="120" w:after="50" w:line="360" w:lineRule="auto"/>
        <w:ind w:left="142"/>
        <w:jc w:val="left"/>
        <w:rPr>
          <w:rFonts w:hint="eastAsia" w:ascii="宋体" w:hAnsi="宋体"/>
          <w:b/>
          <w:bCs/>
          <w:i w:val="0"/>
          <w:iCs w:val="0"/>
          <w:color w:val="auto"/>
          <w:sz w:val="32"/>
          <w:szCs w:val="32"/>
          <w:highlight w:val="none"/>
        </w:rPr>
      </w:pPr>
      <w:r>
        <w:rPr>
          <w:rFonts w:ascii="宋体" w:hAnsi="宋体"/>
          <w:i w:val="0"/>
          <w:iCs w:val="0"/>
          <w:color w:val="auto"/>
          <w:sz w:val="24"/>
          <w:highlight w:val="none"/>
        </w:rPr>
        <w:br w:type="page" w:clear="all"/>
      </w:r>
      <w:r>
        <w:rPr>
          <w:rFonts w:hint="eastAsia" w:ascii="宋体" w:hAnsi="宋体"/>
          <w:b/>
          <w:bCs/>
          <w:i w:val="0"/>
          <w:iCs w:val="0"/>
          <w:color w:val="auto"/>
          <w:sz w:val="32"/>
          <w:szCs w:val="32"/>
          <w:highlight w:val="none"/>
        </w:rPr>
        <w:t>2.资格证明文件目录</w:t>
      </w:r>
    </w:p>
    <w:p w14:paraId="7661F055">
      <w:pPr>
        <w:spacing w:before="120" w:after="50" w:line="360" w:lineRule="auto"/>
        <w:ind w:firstLine="645"/>
        <w:rPr>
          <w:rFonts w:ascii="宋体" w:hAnsi="宋体"/>
          <w:i w:val="0"/>
          <w:iCs w:val="0"/>
          <w:color w:val="auto"/>
          <w:sz w:val="32"/>
          <w:szCs w:val="32"/>
          <w:highlight w:val="none"/>
        </w:rPr>
      </w:pPr>
      <w:r>
        <w:rPr>
          <w:rFonts w:hint="eastAsia" w:ascii="宋体" w:hAnsi="宋体"/>
          <w:i w:val="0"/>
          <w:iCs w:val="0"/>
          <w:color w:val="auto"/>
          <w:sz w:val="32"/>
          <w:szCs w:val="32"/>
          <w:highlight w:val="none"/>
        </w:rPr>
        <w:t>根据磋商文件规定及供应商提供的材料自行编写目录（部分格式后附）。</w:t>
      </w:r>
    </w:p>
    <w:p w14:paraId="3AA42430">
      <w:pPr>
        <w:spacing w:before="120" w:after="50"/>
        <w:rPr>
          <w:rFonts w:ascii="宋体" w:hAnsi="宋体"/>
          <w:i w:val="0"/>
          <w:iCs w:val="0"/>
          <w:color w:val="auto"/>
          <w:sz w:val="24"/>
          <w:szCs w:val="20"/>
          <w:highlight w:val="none"/>
        </w:rPr>
      </w:pPr>
    </w:p>
    <w:p w14:paraId="5E138A9A">
      <w:pPr>
        <w:spacing w:line="300" w:lineRule="auto"/>
        <w:rPr>
          <w:rFonts w:hint="eastAsia" w:ascii="宋体" w:hAnsi="宋体"/>
          <w:i w:val="0"/>
          <w:iCs w:val="0"/>
          <w:color w:val="auto"/>
          <w:szCs w:val="21"/>
          <w:highlight w:val="none"/>
        </w:rPr>
      </w:pPr>
    </w:p>
    <w:p w14:paraId="7E949344">
      <w:pPr>
        <w:spacing w:line="300" w:lineRule="auto"/>
        <w:rPr>
          <w:rFonts w:hint="eastAsia" w:ascii="宋体" w:hAnsi="宋体"/>
          <w:i w:val="0"/>
          <w:iCs w:val="0"/>
          <w:color w:val="auto"/>
          <w:szCs w:val="21"/>
          <w:highlight w:val="none"/>
        </w:rPr>
      </w:pPr>
    </w:p>
    <w:p w14:paraId="3CC9959D">
      <w:pPr>
        <w:spacing w:line="300" w:lineRule="auto"/>
        <w:rPr>
          <w:rFonts w:hint="eastAsia" w:ascii="宋体" w:hAnsi="宋体"/>
          <w:i w:val="0"/>
          <w:iCs w:val="0"/>
          <w:color w:val="auto"/>
          <w:szCs w:val="21"/>
          <w:highlight w:val="none"/>
        </w:rPr>
      </w:pPr>
    </w:p>
    <w:p w14:paraId="4664E75D">
      <w:pPr>
        <w:spacing w:line="300" w:lineRule="auto"/>
        <w:rPr>
          <w:rFonts w:hint="eastAsia" w:ascii="宋体" w:hAnsi="宋体"/>
          <w:i w:val="0"/>
          <w:iCs w:val="0"/>
          <w:color w:val="auto"/>
          <w:szCs w:val="21"/>
          <w:highlight w:val="none"/>
        </w:rPr>
      </w:pPr>
    </w:p>
    <w:p w14:paraId="7EA282BF">
      <w:pPr>
        <w:spacing w:line="300" w:lineRule="auto"/>
        <w:rPr>
          <w:rFonts w:hint="eastAsia" w:ascii="宋体" w:hAnsi="宋体"/>
          <w:i w:val="0"/>
          <w:iCs w:val="0"/>
          <w:color w:val="auto"/>
          <w:szCs w:val="21"/>
          <w:highlight w:val="none"/>
        </w:rPr>
      </w:pPr>
    </w:p>
    <w:p w14:paraId="433D6401">
      <w:pPr>
        <w:spacing w:line="300" w:lineRule="auto"/>
        <w:rPr>
          <w:rFonts w:hint="eastAsia" w:ascii="宋体" w:hAnsi="宋体"/>
          <w:i w:val="0"/>
          <w:iCs w:val="0"/>
          <w:color w:val="auto"/>
          <w:szCs w:val="21"/>
          <w:highlight w:val="none"/>
        </w:rPr>
      </w:pPr>
    </w:p>
    <w:p w14:paraId="0ABFC1BA">
      <w:pPr>
        <w:spacing w:line="300" w:lineRule="auto"/>
        <w:rPr>
          <w:rFonts w:hint="eastAsia" w:ascii="宋体" w:hAnsi="宋体"/>
          <w:i w:val="0"/>
          <w:iCs w:val="0"/>
          <w:color w:val="auto"/>
          <w:szCs w:val="21"/>
          <w:highlight w:val="none"/>
        </w:rPr>
      </w:pPr>
    </w:p>
    <w:p w14:paraId="4CFA866E">
      <w:pPr>
        <w:spacing w:line="300" w:lineRule="auto"/>
        <w:rPr>
          <w:rFonts w:hint="eastAsia" w:ascii="宋体" w:hAnsi="宋体"/>
          <w:i w:val="0"/>
          <w:iCs w:val="0"/>
          <w:color w:val="auto"/>
          <w:szCs w:val="21"/>
          <w:highlight w:val="none"/>
        </w:rPr>
      </w:pPr>
    </w:p>
    <w:p w14:paraId="5C12934D">
      <w:pPr>
        <w:spacing w:line="300" w:lineRule="auto"/>
        <w:rPr>
          <w:rFonts w:hint="eastAsia" w:ascii="宋体" w:hAnsi="宋体"/>
          <w:i w:val="0"/>
          <w:iCs w:val="0"/>
          <w:color w:val="auto"/>
          <w:szCs w:val="21"/>
          <w:highlight w:val="none"/>
        </w:rPr>
      </w:pPr>
    </w:p>
    <w:p w14:paraId="6FF360C5">
      <w:pPr>
        <w:spacing w:line="300" w:lineRule="auto"/>
        <w:rPr>
          <w:rFonts w:hint="eastAsia" w:ascii="宋体" w:hAnsi="宋体"/>
          <w:i w:val="0"/>
          <w:iCs w:val="0"/>
          <w:color w:val="auto"/>
          <w:szCs w:val="21"/>
          <w:highlight w:val="none"/>
        </w:rPr>
      </w:pPr>
    </w:p>
    <w:p w14:paraId="65C79B12">
      <w:pPr>
        <w:spacing w:line="300" w:lineRule="auto"/>
        <w:rPr>
          <w:rFonts w:hint="eastAsia" w:ascii="宋体" w:hAnsi="宋体"/>
          <w:i w:val="0"/>
          <w:iCs w:val="0"/>
          <w:color w:val="auto"/>
          <w:szCs w:val="21"/>
          <w:highlight w:val="none"/>
        </w:rPr>
      </w:pPr>
    </w:p>
    <w:p w14:paraId="3A585782">
      <w:pPr>
        <w:spacing w:line="300" w:lineRule="auto"/>
        <w:rPr>
          <w:rFonts w:hint="eastAsia" w:ascii="宋体" w:hAnsi="宋体"/>
          <w:i w:val="0"/>
          <w:iCs w:val="0"/>
          <w:color w:val="auto"/>
          <w:szCs w:val="21"/>
          <w:highlight w:val="none"/>
        </w:rPr>
      </w:pPr>
    </w:p>
    <w:p w14:paraId="2250544D">
      <w:pPr>
        <w:spacing w:line="300" w:lineRule="auto"/>
        <w:rPr>
          <w:rFonts w:hint="eastAsia" w:ascii="宋体" w:hAnsi="宋体"/>
          <w:i w:val="0"/>
          <w:iCs w:val="0"/>
          <w:color w:val="auto"/>
          <w:szCs w:val="21"/>
          <w:highlight w:val="none"/>
        </w:rPr>
      </w:pPr>
    </w:p>
    <w:p w14:paraId="5E1DBB9B">
      <w:pPr>
        <w:spacing w:line="300" w:lineRule="auto"/>
        <w:rPr>
          <w:rFonts w:hint="eastAsia" w:ascii="宋体" w:hAnsi="宋体"/>
          <w:i w:val="0"/>
          <w:iCs w:val="0"/>
          <w:color w:val="auto"/>
          <w:szCs w:val="21"/>
          <w:highlight w:val="none"/>
        </w:rPr>
      </w:pPr>
    </w:p>
    <w:p w14:paraId="5E33F64D">
      <w:pPr>
        <w:spacing w:line="300" w:lineRule="auto"/>
        <w:rPr>
          <w:rFonts w:hint="eastAsia" w:ascii="宋体" w:hAnsi="宋体"/>
          <w:i w:val="0"/>
          <w:iCs w:val="0"/>
          <w:color w:val="auto"/>
          <w:szCs w:val="21"/>
          <w:highlight w:val="none"/>
        </w:rPr>
      </w:pPr>
    </w:p>
    <w:p w14:paraId="0E54A666">
      <w:pPr>
        <w:spacing w:line="320" w:lineRule="exact"/>
        <w:jc w:val="left"/>
        <w:rPr>
          <w:rFonts w:hint="eastAsia" w:ascii="宋体" w:hAnsi="宋体"/>
          <w:i w:val="0"/>
          <w:iCs w:val="0"/>
          <w:color w:val="auto"/>
          <w:szCs w:val="21"/>
          <w:highlight w:val="none"/>
        </w:rPr>
      </w:pPr>
      <w:r>
        <w:rPr>
          <w:rFonts w:ascii="宋体" w:hAnsi="宋体"/>
          <w:i w:val="0"/>
          <w:iCs w:val="0"/>
          <w:color w:val="auto"/>
          <w:szCs w:val="21"/>
          <w:highlight w:val="none"/>
        </w:rPr>
        <w:br w:type="page" w:clear="all"/>
      </w:r>
    </w:p>
    <w:p w14:paraId="7C35B067">
      <w:pPr>
        <w:spacing w:before="120" w:after="50"/>
        <w:jc w:val="left"/>
        <w:rPr>
          <w:rFonts w:ascii="宋体" w:hAnsi="宋体"/>
          <w:b/>
          <w:i w:val="0"/>
          <w:iCs w:val="0"/>
          <w:color w:val="auto"/>
          <w:sz w:val="24"/>
          <w:highlight w:val="none"/>
        </w:rPr>
      </w:pPr>
      <w:r>
        <w:rPr>
          <w:rFonts w:hint="eastAsia" w:ascii="宋体" w:hAnsi="宋体"/>
          <w:b/>
          <w:i w:val="0"/>
          <w:iCs w:val="0"/>
          <w:color w:val="auto"/>
          <w:sz w:val="24"/>
          <w:highlight w:val="none"/>
        </w:rPr>
        <w:t>3.</w:t>
      </w:r>
      <w:r>
        <w:rPr>
          <w:rFonts w:hint="eastAsia" w:ascii="宋体" w:hAnsi="宋体"/>
          <w:b/>
          <w:i w:val="0"/>
          <w:iCs w:val="0"/>
          <w:color w:val="auto"/>
          <w:sz w:val="28"/>
          <w:szCs w:val="28"/>
          <w:highlight w:val="none"/>
        </w:rPr>
        <w:t>供应商直接控股股东信息表</w:t>
      </w:r>
    </w:p>
    <w:p w14:paraId="78F3A4AF">
      <w:pPr>
        <w:spacing w:before="50" w:after="120"/>
        <w:jc w:val="center"/>
        <w:rPr>
          <w:rFonts w:hint="eastAsia" w:ascii="宋体" w:hAnsi="宋体"/>
          <w:b/>
          <w:i w:val="0"/>
          <w:iCs w:val="0"/>
          <w:color w:val="auto"/>
          <w:sz w:val="28"/>
          <w:szCs w:val="28"/>
          <w:highlight w:val="none"/>
        </w:rPr>
      </w:pPr>
    </w:p>
    <w:p w14:paraId="5F086B4F">
      <w:pPr>
        <w:spacing w:before="50" w:after="120" w:line="360" w:lineRule="auto"/>
        <w:jc w:val="center"/>
        <w:rPr>
          <w:rFonts w:hint="eastAsia" w:ascii="宋体" w:hAnsi="宋体"/>
          <w:b/>
          <w:i w:val="0"/>
          <w:iCs w:val="0"/>
          <w:color w:val="auto"/>
          <w:sz w:val="32"/>
          <w:szCs w:val="32"/>
          <w:highlight w:val="none"/>
        </w:rPr>
      </w:pPr>
      <w:r>
        <w:rPr>
          <w:rFonts w:hint="eastAsia" w:ascii="宋体" w:hAnsi="宋体"/>
          <w:b/>
          <w:i w:val="0"/>
          <w:iCs w:val="0"/>
          <w:color w:val="auto"/>
          <w:sz w:val="32"/>
          <w:szCs w:val="32"/>
          <w:highlight w:val="none"/>
        </w:rPr>
        <w:t>供应商直接控股股东信息表</w:t>
      </w:r>
    </w:p>
    <w:tbl>
      <w:tblPr>
        <w:tblStyle w:val="36"/>
        <w:tblW w:w="0" w:type="auto"/>
        <w:tblInd w:w="-120" w:type="dxa"/>
        <w:shd w:val="clear" w:color="auto" w:fill="FBFBFB"/>
        <w:tblLayout w:type="fixed"/>
        <w:tblCellMar>
          <w:top w:w="120" w:type="dxa"/>
          <w:left w:w="120" w:type="dxa"/>
          <w:bottom w:w="120" w:type="dxa"/>
          <w:right w:w="120" w:type="dxa"/>
        </w:tblCellMar>
      </w:tblPr>
      <w:tblGrid>
        <w:gridCol w:w="828"/>
        <w:gridCol w:w="2269"/>
        <w:gridCol w:w="1239"/>
        <w:gridCol w:w="3722"/>
        <w:gridCol w:w="1418"/>
      </w:tblGrid>
      <w:tr w14:paraId="0D1179A2">
        <w:tblPrEx>
          <w:shd w:val="clear" w:color="auto" w:fill="FBFBFB"/>
          <w:tblCellMar>
            <w:top w:w="120" w:type="dxa"/>
            <w:left w:w="120" w:type="dxa"/>
            <w:bottom w:w="120" w:type="dxa"/>
            <w:right w:w="12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4D2890D">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A3D1537">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F8A455">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7966947">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D20883C">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备注</w:t>
            </w:r>
          </w:p>
        </w:tc>
      </w:tr>
      <w:tr w14:paraId="3B3DA425">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AED3D13">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02F82F">
            <w:pPr>
              <w:spacing w:line="360" w:lineRule="auto"/>
              <w:jc w:val="center"/>
              <w:rPr>
                <w:rFonts w:ascii="宋体" w:hAnsi="宋体" w:cs="宋体"/>
                <w:i w:val="0"/>
                <w:iCs w:val="0"/>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6B0DD7">
            <w:pPr>
              <w:spacing w:line="360" w:lineRule="auto"/>
              <w:jc w:val="center"/>
              <w:rPr>
                <w:rFonts w:ascii="宋体" w:hAnsi="宋体" w:cs="宋体"/>
                <w:i w:val="0"/>
                <w:iCs w:val="0"/>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6A92BA">
            <w:pPr>
              <w:spacing w:line="360" w:lineRule="auto"/>
              <w:jc w:val="center"/>
              <w:rPr>
                <w:rFonts w:ascii="宋体" w:hAnsi="宋体" w:cs="宋体"/>
                <w:i w:val="0"/>
                <w:iCs w:val="0"/>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F7BF4A">
            <w:pPr>
              <w:spacing w:line="360" w:lineRule="auto"/>
              <w:jc w:val="center"/>
              <w:rPr>
                <w:rFonts w:ascii="宋体" w:hAnsi="宋体" w:cs="宋体"/>
                <w:i w:val="0"/>
                <w:iCs w:val="0"/>
                <w:color w:val="auto"/>
                <w:sz w:val="24"/>
                <w:highlight w:val="none"/>
              </w:rPr>
            </w:pPr>
          </w:p>
        </w:tc>
      </w:tr>
      <w:tr w14:paraId="48B044D0">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17C1FB">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BF7D0F">
            <w:pPr>
              <w:spacing w:line="360" w:lineRule="auto"/>
              <w:jc w:val="center"/>
              <w:rPr>
                <w:rFonts w:ascii="宋体" w:hAnsi="宋体" w:cs="宋体"/>
                <w:i w:val="0"/>
                <w:iCs w:val="0"/>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85F8E1">
            <w:pPr>
              <w:spacing w:line="360" w:lineRule="auto"/>
              <w:jc w:val="center"/>
              <w:rPr>
                <w:rFonts w:ascii="宋体" w:hAnsi="宋体" w:cs="宋体"/>
                <w:i w:val="0"/>
                <w:iCs w:val="0"/>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0DBA8F">
            <w:pPr>
              <w:spacing w:line="360" w:lineRule="auto"/>
              <w:jc w:val="center"/>
              <w:rPr>
                <w:rFonts w:ascii="宋体" w:hAnsi="宋体" w:cs="宋体"/>
                <w:i w:val="0"/>
                <w:iCs w:val="0"/>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0E2F39">
            <w:pPr>
              <w:spacing w:line="360" w:lineRule="auto"/>
              <w:jc w:val="center"/>
              <w:rPr>
                <w:rFonts w:ascii="宋体" w:hAnsi="宋体" w:cs="宋体"/>
                <w:i w:val="0"/>
                <w:iCs w:val="0"/>
                <w:color w:val="auto"/>
                <w:sz w:val="24"/>
                <w:highlight w:val="none"/>
              </w:rPr>
            </w:pPr>
          </w:p>
        </w:tc>
      </w:tr>
      <w:tr w14:paraId="533E9131">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2A9E35">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00D3851">
            <w:pPr>
              <w:spacing w:line="360" w:lineRule="auto"/>
              <w:jc w:val="center"/>
              <w:rPr>
                <w:rFonts w:ascii="宋体" w:hAnsi="宋体" w:cs="宋体"/>
                <w:i w:val="0"/>
                <w:iCs w:val="0"/>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D9A48E">
            <w:pPr>
              <w:spacing w:line="360" w:lineRule="auto"/>
              <w:jc w:val="center"/>
              <w:rPr>
                <w:rFonts w:ascii="宋体" w:hAnsi="宋体" w:cs="宋体"/>
                <w:i w:val="0"/>
                <w:iCs w:val="0"/>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C6D15B">
            <w:pPr>
              <w:spacing w:line="360" w:lineRule="auto"/>
              <w:jc w:val="center"/>
              <w:rPr>
                <w:rFonts w:ascii="宋体" w:hAnsi="宋体" w:cs="宋体"/>
                <w:i w:val="0"/>
                <w:iCs w:val="0"/>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D26541">
            <w:pPr>
              <w:spacing w:line="360" w:lineRule="auto"/>
              <w:jc w:val="center"/>
              <w:rPr>
                <w:rFonts w:ascii="宋体" w:hAnsi="宋体" w:cs="宋体"/>
                <w:i w:val="0"/>
                <w:iCs w:val="0"/>
                <w:color w:val="auto"/>
                <w:sz w:val="24"/>
                <w:highlight w:val="none"/>
              </w:rPr>
            </w:pPr>
          </w:p>
        </w:tc>
      </w:tr>
      <w:tr w14:paraId="38E46C58">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903DA03">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B2481A">
            <w:pPr>
              <w:spacing w:line="360" w:lineRule="auto"/>
              <w:jc w:val="center"/>
              <w:rPr>
                <w:rFonts w:ascii="宋体" w:hAnsi="宋体" w:cs="宋体"/>
                <w:i w:val="0"/>
                <w:iCs w:val="0"/>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8E27507">
            <w:pPr>
              <w:spacing w:line="360" w:lineRule="auto"/>
              <w:jc w:val="center"/>
              <w:rPr>
                <w:rFonts w:ascii="宋体" w:hAnsi="宋体" w:cs="宋体"/>
                <w:i w:val="0"/>
                <w:iCs w:val="0"/>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B87A00">
            <w:pPr>
              <w:spacing w:line="360" w:lineRule="auto"/>
              <w:jc w:val="center"/>
              <w:rPr>
                <w:rFonts w:ascii="宋体" w:hAnsi="宋体" w:cs="宋体"/>
                <w:i w:val="0"/>
                <w:iCs w:val="0"/>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255E10">
            <w:pPr>
              <w:spacing w:line="360" w:lineRule="auto"/>
              <w:jc w:val="center"/>
              <w:rPr>
                <w:rFonts w:ascii="宋体" w:hAnsi="宋体" w:cs="宋体"/>
                <w:i w:val="0"/>
                <w:iCs w:val="0"/>
                <w:color w:val="auto"/>
                <w:sz w:val="24"/>
                <w:highlight w:val="none"/>
              </w:rPr>
            </w:pPr>
          </w:p>
        </w:tc>
      </w:tr>
    </w:tbl>
    <w:p w14:paraId="79797E35">
      <w:pPr>
        <w:spacing w:line="360" w:lineRule="auto"/>
        <w:jc w:val="left"/>
        <w:rPr>
          <w:rFonts w:hint="eastAsia" w:ascii="宋体" w:hAnsi="宋体"/>
          <w:i w:val="0"/>
          <w:iCs w:val="0"/>
          <w:color w:val="auto"/>
          <w:sz w:val="24"/>
          <w:highlight w:val="none"/>
        </w:rPr>
      </w:pPr>
      <w:r>
        <w:rPr>
          <w:rFonts w:hint="eastAsia" w:ascii="宋体" w:hAnsi="宋体"/>
          <w:i w:val="0"/>
          <w:iCs w:val="0"/>
          <w:color w:val="auto"/>
          <w:sz w:val="24"/>
          <w:highlight w:val="none"/>
        </w:rPr>
        <w:t>注：</w:t>
      </w:r>
    </w:p>
    <w:p w14:paraId="4E4A3748">
      <w:pPr>
        <w:spacing w:line="360" w:lineRule="auto"/>
        <w:jc w:val="left"/>
        <w:rPr>
          <w:rFonts w:hint="eastAsia" w:ascii="宋体" w:hAnsi="宋体"/>
          <w:i w:val="0"/>
          <w:iCs w:val="0"/>
          <w:color w:val="auto"/>
          <w:sz w:val="24"/>
          <w:highlight w:val="none"/>
        </w:rPr>
      </w:pPr>
      <w:r>
        <w:rPr>
          <w:rFonts w:hint="eastAsia" w:ascii="宋体" w:hAnsi="宋体"/>
          <w:i w:val="0"/>
          <w:iCs w:val="0"/>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20FBBCA">
      <w:pPr>
        <w:spacing w:line="360" w:lineRule="auto"/>
        <w:jc w:val="left"/>
        <w:rPr>
          <w:rFonts w:hint="eastAsia" w:ascii="宋体" w:hAnsi="宋体"/>
          <w:i w:val="0"/>
          <w:iCs w:val="0"/>
          <w:color w:val="auto"/>
          <w:sz w:val="24"/>
          <w:highlight w:val="none"/>
        </w:rPr>
      </w:pPr>
      <w:r>
        <w:rPr>
          <w:rFonts w:hint="eastAsia" w:ascii="宋体" w:hAnsi="宋体"/>
          <w:i w:val="0"/>
          <w:iCs w:val="0"/>
          <w:color w:val="auto"/>
          <w:sz w:val="24"/>
          <w:highlight w:val="none"/>
        </w:rPr>
        <w:t>2.本表所指的控股关系仅限于直接控股关系，不包括间接的控股关系。公司实际控制人与公司之间的关系不属于本表所指的直接控股关系。</w:t>
      </w:r>
    </w:p>
    <w:p w14:paraId="47EB9AE7">
      <w:pPr>
        <w:spacing w:line="360" w:lineRule="auto"/>
        <w:jc w:val="left"/>
        <w:rPr>
          <w:rFonts w:hint="eastAsia" w:ascii="宋体" w:hAnsi="宋体"/>
          <w:i w:val="0"/>
          <w:iCs w:val="0"/>
          <w:color w:val="auto"/>
          <w:sz w:val="24"/>
          <w:highlight w:val="none"/>
        </w:rPr>
      </w:pPr>
      <w:r>
        <w:rPr>
          <w:rFonts w:hint="eastAsia" w:ascii="宋体" w:hAnsi="宋体"/>
          <w:i w:val="0"/>
          <w:iCs w:val="0"/>
          <w:color w:val="auto"/>
          <w:sz w:val="24"/>
          <w:highlight w:val="none"/>
        </w:rPr>
        <w:t>3.供应商不存在直接控股股东的，则在“</w:t>
      </w:r>
      <w:r>
        <w:rPr>
          <w:rFonts w:hint="eastAsia" w:ascii="宋体" w:hAnsi="宋体" w:cs="宋体"/>
          <w:b/>
          <w:bCs/>
          <w:i w:val="0"/>
          <w:iCs w:val="0"/>
          <w:color w:val="auto"/>
          <w:sz w:val="24"/>
          <w:highlight w:val="none"/>
        </w:rPr>
        <w:t>直接控股股东名称</w:t>
      </w:r>
      <w:r>
        <w:rPr>
          <w:rFonts w:hint="eastAsia" w:ascii="宋体" w:hAnsi="宋体"/>
          <w:i w:val="0"/>
          <w:iCs w:val="0"/>
          <w:color w:val="auto"/>
          <w:sz w:val="24"/>
          <w:highlight w:val="none"/>
        </w:rPr>
        <w:t>”中填“无”。</w:t>
      </w:r>
    </w:p>
    <w:p w14:paraId="706749AE">
      <w:pPr>
        <w:spacing w:line="360" w:lineRule="auto"/>
        <w:jc w:val="left"/>
        <w:rPr>
          <w:rFonts w:hint="eastAsia" w:ascii="宋体" w:hAnsi="宋体"/>
          <w:i w:val="0"/>
          <w:iCs w:val="0"/>
          <w:color w:val="auto"/>
          <w:sz w:val="24"/>
          <w:highlight w:val="none"/>
        </w:rPr>
      </w:pPr>
    </w:p>
    <w:p w14:paraId="3A45386F">
      <w:pPr>
        <w:spacing w:line="360" w:lineRule="auto"/>
        <w:jc w:val="left"/>
        <w:rPr>
          <w:rFonts w:hint="eastAsia" w:ascii="宋体" w:hAnsi="宋体"/>
          <w:i w:val="0"/>
          <w:iCs w:val="0"/>
          <w:color w:val="auto"/>
          <w:sz w:val="24"/>
          <w:highlight w:val="none"/>
        </w:rPr>
      </w:pPr>
    </w:p>
    <w:p w14:paraId="4981AE31">
      <w:pPr>
        <w:spacing w:line="360" w:lineRule="auto"/>
        <w:jc w:val="left"/>
        <w:rPr>
          <w:rFonts w:hint="eastAsia" w:ascii="宋体" w:hAnsi="宋体"/>
          <w:i w:val="0"/>
          <w:iCs w:val="0"/>
          <w:color w:val="auto"/>
          <w:sz w:val="24"/>
          <w:highlight w:val="none"/>
        </w:rPr>
      </w:pPr>
    </w:p>
    <w:p w14:paraId="0296C291">
      <w:pPr>
        <w:spacing w:line="360" w:lineRule="auto"/>
        <w:ind w:left="-2" w:right="-817"/>
        <w:rPr>
          <w:rFonts w:hint="eastAsia" w:ascii="宋体" w:hAnsi="宋体"/>
          <w:i w:val="0"/>
          <w:iCs w:val="0"/>
          <w:color w:val="auto"/>
          <w:sz w:val="24"/>
          <w:highlight w:val="none"/>
        </w:rPr>
      </w:pPr>
      <w:r>
        <w:rPr>
          <w:rFonts w:hint="eastAsia" w:ascii="宋体" w:hAnsi="宋体"/>
          <w:i w:val="0"/>
          <w:iCs w:val="0"/>
          <w:color w:val="auto"/>
          <w:sz w:val="24"/>
          <w:highlight w:val="none"/>
        </w:rPr>
        <w:t>法定代表人或者委托代理人（签字或者电子签名）：</w:t>
      </w:r>
    </w:p>
    <w:p w14:paraId="45F0380F">
      <w:pPr>
        <w:spacing w:line="360" w:lineRule="auto"/>
        <w:ind w:left="-3" w:right="-817" w:hanging="28"/>
        <w:rPr>
          <w:rFonts w:hint="eastAsia" w:ascii="宋体" w:hAnsi="宋体"/>
          <w:i w:val="0"/>
          <w:iCs w:val="0"/>
          <w:color w:val="auto"/>
          <w:sz w:val="24"/>
          <w:highlight w:val="none"/>
        </w:rPr>
      </w:pPr>
      <w:r>
        <w:rPr>
          <w:rFonts w:hint="eastAsia" w:ascii="宋体" w:hAnsi="宋体"/>
          <w:i w:val="0"/>
          <w:iCs w:val="0"/>
          <w:color w:val="auto"/>
          <w:sz w:val="24"/>
          <w:highlight w:val="none"/>
        </w:rPr>
        <w:t>供应商名称（电子签章）：</w:t>
      </w:r>
    </w:p>
    <w:p w14:paraId="6D9DCF4E">
      <w:pPr>
        <w:spacing w:line="360" w:lineRule="auto"/>
        <w:jc w:val="left"/>
        <w:rPr>
          <w:rFonts w:hint="eastAsia" w:ascii="宋体" w:hAnsi="宋体"/>
          <w:i w:val="0"/>
          <w:iCs w:val="0"/>
          <w:color w:val="auto"/>
          <w:szCs w:val="21"/>
          <w:highlight w:val="none"/>
        </w:rPr>
      </w:pPr>
      <w:r>
        <w:rPr>
          <w:rFonts w:hint="eastAsia" w:ascii="宋体" w:hAnsi="宋体"/>
          <w:i w:val="0"/>
          <w:iCs w:val="0"/>
          <w:color w:val="auto"/>
          <w:sz w:val="24"/>
          <w:highlight w:val="none"/>
        </w:rPr>
        <w:t>日期：年月日</w:t>
      </w:r>
    </w:p>
    <w:p w14:paraId="2200BD55">
      <w:pPr>
        <w:jc w:val="center"/>
        <w:rPr>
          <w:rFonts w:hint="eastAsia" w:ascii="宋体" w:hAnsi="宋体"/>
          <w:b/>
          <w:i w:val="0"/>
          <w:iCs w:val="0"/>
          <w:color w:val="auto"/>
          <w:sz w:val="28"/>
          <w:szCs w:val="28"/>
          <w:highlight w:val="none"/>
        </w:rPr>
      </w:pPr>
    </w:p>
    <w:p w14:paraId="07154478">
      <w:pPr>
        <w:spacing w:line="360" w:lineRule="auto"/>
        <w:jc w:val="left"/>
        <w:rPr>
          <w:rFonts w:hint="eastAsia" w:ascii="宋体" w:hAnsi="宋体"/>
          <w:b/>
          <w:i w:val="0"/>
          <w:iCs w:val="0"/>
          <w:color w:val="auto"/>
          <w:sz w:val="32"/>
          <w:szCs w:val="32"/>
          <w:highlight w:val="none"/>
        </w:rPr>
      </w:pPr>
      <w:r>
        <w:rPr>
          <w:rFonts w:hint="eastAsia" w:ascii="宋体" w:hAnsi="宋体"/>
          <w:b/>
          <w:i w:val="0"/>
          <w:iCs w:val="0"/>
          <w:color w:val="auto"/>
          <w:sz w:val="32"/>
          <w:szCs w:val="32"/>
          <w:highlight w:val="none"/>
        </w:rPr>
        <w:br w:type="page" w:clear="all"/>
      </w:r>
      <w:r>
        <w:rPr>
          <w:rFonts w:hint="eastAsia" w:ascii="宋体" w:hAnsi="宋体"/>
          <w:b/>
          <w:i w:val="0"/>
          <w:iCs w:val="0"/>
          <w:color w:val="auto"/>
          <w:sz w:val="24"/>
          <w:highlight w:val="none"/>
        </w:rPr>
        <w:t>4.</w:t>
      </w:r>
      <w:r>
        <w:rPr>
          <w:rFonts w:hint="eastAsia" w:ascii="宋体" w:hAnsi="宋体"/>
          <w:b/>
          <w:i w:val="0"/>
          <w:iCs w:val="0"/>
          <w:color w:val="auto"/>
          <w:sz w:val="28"/>
          <w:szCs w:val="28"/>
          <w:highlight w:val="none"/>
        </w:rPr>
        <w:t>供应商直接管理关系信息表</w:t>
      </w:r>
    </w:p>
    <w:p w14:paraId="738CDE96">
      <w:pPr>
        <w:spacing w:line="360" w:lineRule="auto"/>
        <w:jc w:val="center"/>
        <w:rPr>
          <w:rFonts w:hint="eastAsia" w:ascii="宋体" w:hAnsi="宋体"/>
          <w:i w:val="0"/>
          <w:iCs w:val="0"/>
          <w:color w:val="auto"/>
          <w:sz w:val="32"/>
          <w:szCs w:val="32"/>
          <w:highlight w:val="none"/>
        </w:rPr>
      </w:pPr>
      <w:r>
        <w:rPr>
          <w:rFonts w:hint="eastAsia" w:ascii="宋体" w:hAnsi="宋体"/>
          <w:b/>
          <w:i w:val="0"/>
          <w:iCs w:val="0"/>
          <w:color w:val="auto"/>
          <w:sz w:val="32"/>
          <w:szCs w:val="32"/>
          <w:highlight w:val="none"/>
        </w:rPr>
        <w:t>供应商直接管理关系信息表</w:t>
      </w:r>
    </w:p>
    <w:tbl>
      <w:tblPr>
        <w:tblStyle w:val="36"/>
        <w:tblW w:w="0" w:type="auto"/>
        <w:tblInd w:w="-120" w:type="dxa"/>
        <w:shd w:val="clear" w:color="auto" w:fill="FBFBFB"/>
        <w:tblLayout w:type="fixed"/>
        <w:tblCellMar>
          <w:top w:w="120" w:type="dxa"/>
          <w:left w:w="120" w:type="dxa"/>
          <w:bottom w:w="120" w:type="dxa"/>
          <w:right w:w="120" w:type="dxa"/>
        </w:tblCellMar>
      </w:tblPr>
      <w:tblGrid>
        <w:gridCol w:w="1005"/>
        <w:gridCol w:w="2659"/>
        <w:gridCol w:w="3924"/>
        <w:gridCol w:w="2064"/>
      </w:tblGrid>
      <w:tr w14:paraId="2CF2F8D8">
        <w:tblPrEx>
          <w:shd w:val="clear" w:color="auto" w:fill="FBFBFB"/>
          <w:tblCellMar>
            <w:top w:w="120" w:type="dxa"/>
            <w:left w:w="120" w:type="dxa"/>
            <w:bottom w:w="120" w:type="dxa"/>
            <w:right w:w="12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6D70613">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75EBC0">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7A92E8E">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90F784E">
            <w:pPr>
              <w:spacing w:line="360" w:lineRule="auto"/>
              <w:jc w:val="center"/>
              <w:rPr>
                <w:rFonts w:ascii="宋体" w:hAnsi="宋体" w:cs="宋体"/>
                <w:b/>
                <w:bCs/>
                <w:i w:val="0"/>
                <w:iCs w:val="0"/>
                <w:color w:val="auto"/>
                <w:sz w:val="24"/>
                <w:highlight w:val="none"/>
              </w:rPr>
            </w:pPr>
            <w:r>
              <w:rPr>
                <w:rFonts w:hint="eastAsia" w:ascii="宋体" w:hAnsi="宋体" w:cs="宋体"/>
                <w:b/>
                <w:bCs/>
                <w:i w:val="0"/>
                <w:iCs w:val="0"/>
                <w:color w:val="auto"/>
                <w:sz w:val="24"/>
                <w:highlight w:val="none"/>
              </w:rPr>
              <w:t>备注</w:t>
            </w:r>
          </w:p>
        </w:tc>
      </w:tr>
      <w:tr w14:paraId="1F1FC1F3">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6437C52">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565A26">
            <w:pPr>
              <w:spacing w:line="360" w:lineRule="auto"/>
              <w:jc w:val="center"/>
              <w:rPr>
                <w:rFonts w:ascii="宋体" w:hAnsi="宋体" w:cs="宋体"/>
                <w:i w:val="0"/>
                <w:iCs w:val="0"/>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788FE2">
            <w:pPr>
              <w:spacing w:line="360" w:lineRule="auto"/>
              <w:jc w:val="center"/>
              <w:rPr>
                <w:rFonts w:ascii="宋体" w:hAnsi="宋体" w:cs="宋体"/>
                <w:i w:val="0"/>
                <w:iCs w:val="0"/>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DFB502">
            <w:pPr>
              <w:spacing w:line="360" w:lineRule="auto"/>
              <w:jc w:val="center"/>
              <w:rPr>
                <w:rFonts w:ascii="宋体" w:hAnsi="宋体" w:cs="宋体"/>
                <w:i w:val="0"/>
                <w:iCs w:val="0"/>
                <w:color w:val="auto"/>
                <w:sz w:val="24"/>
                <w:highlight w:val="none"/>
              </w:rPr>
            </w:pPr>
          </w:p>
        </w:tc>
      </w:tr>
      <w:tr w14:paraId="5E3A23A9">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D98B91">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055234">
            <w:pPr>
              <w:spacing w:line="360" w:lineRule="auto"/>
              <w:jc w:val="center"/>
              <w:rPr>
                <w:rFonts w:ascii="宋体" w:hAnsi="宋体" w:cs="宋体"/>
                <w:i w:val="0"/>
                <w:iCs w:val="0"/>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E2BBDB">
            <w:pPr>
              <w:spacing w:line="360" w:lineRule="auto"/>
              <w:jc w:val="center"/>
              <w:rPr>
                <w:rFonts w:ascii="宋体" w:hAnsi="宋体" w:cs="宋体"/>
                <w:i w:val="0"/>
                <w:iCs w:val="0"/>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9706E4">
            <w:pPr>
              <w:spacing w:line="360" w:lineRule="auto"/>
              <w:jc w:val="center"/>
              <w:rPr>
                <w:rFonts w:ascii="宋体" w:hAnsi="宋体" w:cs="宋体"/>
                <w:i w:val="0"/>
                <w:iCs w:val="0"/>
                <w:color w:val="auto"/>
                <w:sz w:val="24"/>
                <w:highlight w:val="none"/>
              </w:rPr>
            </w:pPr>
          </w:p>
        </w:tc>
      </w:tr>
      <w:tr w14:paraId="04FB82BD">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7021A6">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0553F9">
            <w:pPr>
              <w:spacing w:line="360" w:lineRule="auto"/>
              <w:jc w:val="center"/>
              <w:rPr>
                <w:rFonts w:ascii="宋体" w:hAnsi="宋体" w:cs="宋体"/>
                <w:i w:val="0"/>
                <w:iCs w:val="0"/>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F78F72C">
            <w:pPr>
              <w:spacing w:line="360" w:lineRule="auto"/>
              <w:jc w:val="center"/>
              <w:rPr>
                <w:rFonts w:ascii="宋体" w:hAnsi="宋体" w:cs="宋体"/>
                <w:i w:val="0"/>
                <w:iCs w:val="0"/>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3495164">
            <w:pPr>
              <w:spacing w:line="360" w:lineRule="auto"/>
              <w:jc w:val="center"/>
              <w:rPr>
                <w:rFonts w:ascii="宋体" w:hAnsi="宋体" w:cs="宋体"/>
                <w:i w:val="0"/>
                <w:iCs w:val="0"/>
                <w:color w:val="auto"/>
                <w:sz w:val="24"/>
                <w:highlight w:val="none"/>
              </w:rPr>
            </w:pPr>
          </w:p>
        </w:tc>
      </w:tr>
      <w:tr w14:paraId="4897A081">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50CF37">
            <w:pPr>
              <w:spacing w:line="360" w:lineRule="auto"/>
              <w:jc w:val="center"/>
              <w:rPr>
                <w:rFonts w:ascii="宋体" w:hAnsi="宋体" w:cs="宋体"/>
                <w:i w:val="0"/>
                <w:iCs w:val="0"/>
                <w:color w:val="auto"/>
                <w:sz w:val="24"/>
                <w:highlight w:val="none"/>
              </w:rPr>
            </w:pPr>
            <w:r>
              <w:rPr>
                <w:rFonts w:hint="eastAsia" w:ascii="宋体" w:hAnsi="宋体" w:cs="宋体"/>
                <w:i w:val="0"/>
                <w:iCs w:val="0"/>
                <w:color w:val="auto"/>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02277D">
            <w:pPr>
              <w:spacing w:line="360" w:lineRule="auto"/>
              <w:jc w:val="center"/>
              <w:rPr>
                <w:rFonts w:ascii="宋体" w:hAnsi="宋体" w:cs="宋体"/>
                <w:i w:val="0"/>
                <w:iCs w:val="0"/>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218F08">
            <w:pPr>
              <w:spacing w:line="360" w:lineRule="auto"/>
              <w:jc w:val="center"/>
              <w:rPr>
                <w:rFonts w:ascii="宋体" w:hAnsi="宋体" w:cs="宋体"/>
                <w:i w:val="0"/>
                <w:iCs w:val="0"/>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1FE7463">
            <w:pPr>
              <w:spacing w:line="360" w:lineRule="auto"/>
              <w:jc w:val="center"/>
              <w:rPr>
                <w:rFonts w:ascii="宋体" w:hAnsi="宋体" w:cs="宋体"/>
                <w:i w:val="0"/>
                <w:iCs w:val="0"/>
                <w:color w:val="auto"/>
                <w:sz w:val="24"/>
                <w:highlight w:val="none"/>
              </w:rPr>
            </w:pPr>
          </w:p>
        </w:tc>
      </w:tr>
    </w:tbl>
    <w:p w14:paraId="50F135A9">
      <w:pPr>
        <w:spacing w:line="360" w:lineRule="auto"/>
        <w:jc w:val="left"/>
        <w:rPr>
          <w:rFonts w:hint="eastAsia" w:ascii="宋体" w:hAnsi="宋体"/>
          <w:i w:val="0"/>
          <w:iCs w:val="0"/>
          <w:color w:val="auto"/>
          <w:sz w:val="24"/>
          <w:highlight w:val="none"/>
        </w:rPr>
      </w:pPr>
      <w:r>
        <w:rPr>
          <w:rFonts w:hint="eastAsia" w:ascii="宋体" w:hAnsi="宋体"/>
          <w:i w:val="0"/>
          <w:iCs w:val="0"/>
          <w:color w:val="auto"/>
          <w:sz w:val="24"/>
          <w:highlight w:val="none"/>
        </w:rPr>
        <w:t>注：</w:t>
      </w:r>
    </w:p>
    <w:p w14:paraId="1BC017CA">
      <w:pPr>
        <w:spacing w:line="360" w:lineRule="auto"/>
        <w:ind w:firstLine="480"/>
        <w:jc w:val="left"/>
        <w:rPr>
          <w:rFonts w:hint="eastAsia" w:ascii="宋体" w:hAnsi="宋体"/>
          <w:i w:val="0"/>
          <w:iCs w:val="0"/>
          <w:color w:val="auto"/>
          <w:sz w:val="24"/>
          <w:highlight w:val="none"/>
        </w:rPr>
      </w:pPr>
      <w:r>
        <w:rPr>
          <w:rFonts w:hint="eastAsia" w:ascii="宋体" w:hAnsi="宋体"/>
          <w:i w:val="0"/>
          <w:iCs w:val="0"/>
          <w:color w:val="auto"/>
          <w:sz w:val="24"/>
          <w:highlight w:val="none"/>
        </w:rPr>
        <w:t>1.管理关系：是指不具有出资持股关系的其他单位之间存在的管理与被管理关系，如一些上下级关系的事业单位和团体组织。</w:t>
      </w:r>
    </w:p>
    <w:p w14:paraId="2B8A8EB8">
      <w:pPr>
        <w:spacing w:line="360" w:lineRule="auto"/>
        <w:ind w:firstLine="480"/>
        <w:jc w:val="left"/>
        <w:rPr>
          <w:rFonts w:hint="eastAsia" w:ascii="宋体" w:hAnsi="宋体"/>
          <w:i w:val="0"/>
          <w:iCs w:val="0"/>
          <w:color w:val="auto"/>
          <w:sz w:val="24"/>
          <w:highlight w:val="none"/>
        </w:rPr>
      </w:pPr>
      <w:r>
        <w:rPr>
          <w:rFonts w:hint="eastAsia" w:ascii="宋体" w:hAnsi="宋体"/>
          <w:i w:val="0"/>
          <w:iCs w:val="0"/>
          <w:color w:val="auto"/>
          <w:sz w:val="24"/>
          <w:highlight w:val="none"/>
        </w:rPr>
        <w:t>2.</w:t>
      </w:r>
      <w:r>
        <w:rPr>
          <w:rFonts w:hint="eastAsia" w:ascii="宋体" w:hAnsi="宋体"/>
          <w:i w:val="0"/>
          <w:iCs w:val="0"/>
          <w:color w:val="auto"/>
          <w:spacing w:val="-6"/>
          <w:sz w:val="24"/>
          <w:highlight w:val="none"/>
        </w:rPr>
        <w:t>本表所指的管理关系仅限于直接管理关系，不包括间接的管理关系。</w:t>
      </w:r>
    </w:p>
    <w:p w14:paraId="6E8CDD55">
      <w:pPr>
        <w:spacing w:line="360" w:lineRule="auto"/>
        <w:ind w:firstLine="480"/>
        <w:jc w:val="left"/>
        <w:rPr>
          <w:rFonts w:hint="eastAsia" w:ascii="宋体" w:hAnsi="宋体"/>
          <w:i w:val="0"/>
          <w:iCs w:val="0"/>
          <w:color w:val="auto"/>
          <w:sz w:val="24"/>
          <w:highlight w:val="none"/>
        </w:rPr>
      </w:pPr>
      <w:r>
        <w:rPr>
          <w:rFonts w:hint="eastAsia" w:ascii="宋体" w:hAnsi="宋体"/>
          <w:i w:val="0"/>
          <w:iCs w:val="0"/>
          <w:color w:val="auto"/>
          <w:sz w:val="24"/>
          <w:highlight w:val="none"/>
        </w:rPr>
        <w:t>3.供应商不存在直接管理关系的，则在“</w:t>
      </w:r>
      <w:r>
        <w:rPr>
          <w:rFonts w:hint="eastAsia" w:ascii="宋体" w:hAnsi="宋体" w:cs="宋体"/>
          <w:b/>
          <w:bCs/>
          <w:i w:val="0"/>
          <w:iCs w:val="0"/>
          <w:color w:val="auto"/>
          <w:sz w:val="24"/>
          <w:highlight w:val="none"/>
        </w:rPr>
        <w:t>直接管理关系单位名称</w:t>
      </w:r>
      <w:r>
        <w:rPr>
          <w:rFonts w:hint="eastAsia" w:ascii="宋体" w:hAnsi="宋体"/>
          <w:i w:val="0"/>
          <w:iCs w:val="0"/>
          <w:color w:val="auto"/>
          <w:sz w:val="24"/>
          <w:highlight w:val="none"/>
        </w:rPr>
        <w:t>”中填“无”。</w:t>
      </w:r>
    </w:p>
    <w:p w14:paraId="6D43C620">
      <w:pPr>
        <w:spacing w:line="360" w:lineRule="auto"/>
        <w:jc w:val="left"/>
        <w:rPr>
          <w:rFonts w:hint="eastAsia" w:ascii="宋体" w:hAnsi="宋体"/>
          <w:i w:val="0"/>
          <w:iCs w:val="0"/>
          <w:color w:val="auto"/>
          <w:sz w:val="24"/>
          <w:highlight w:val="none"/>
        </w:rPr>
      </w:pPr>
    </w:p>
    <w:p w14:paraId="0F46FEDB">
      <w:pPr>
        <w:spacing w:line="360" w:lineRule="auto"/>
        <w:jc w:val="left"/>
        <w:rPr>
          <w:rFonts w:hint="eastAsia" w:ascii="宋体" w:hAnsi="宋体"/>
          <w:i w:val="0"/>
          <w:iCs w:val="0"/>
          <w:color w:val="auto"/>
          <w:sz w:val="24"/>
          <w:highlight w:val="none"/>
        </w:rPr>
      </w:pPr>
    </w:p>
    <w:p w14:paraId="3FC3186B">
      <w:pPr>
        <w:spacing w:line="360" w:lineRule="auto"/>
        <w:jc w:val="left"/>
        <w:rPr>
          <w:rFonts w:hint="eastAsia" w:ascii="宋体" w:hAnsi="宋体"/>
          <w:i w:val="0"/>
          <w:iCs w:val="0"/>
          <w:color w:val="auto"/>
          <w:sz w:val="24"/>
          <w:highlight w:val="none"/>
        </w:rPr>
      </w:pPr>
    </w:p>
    <w:p w14:paraId="4A1C77BA">
      <w:pPr>
        <w:spacing w:line="360" w:lineRule="auto"/>
        <w:jc w:val="left"/>
        <w:rPr>
          <w:rFonts w:hint="eastAsia"/>
          <w:i w:val="0"/>
          <w:iCs w:val="0"/>
          <w:color w:val="auto"/>
          <w:sz w:val="24"/>
          <w:highlight w:val="none"/>
        </w:rPr>
      </w:pPr>
    </w:p>
    <w:p w14:paraId="1138056A">
      <w:pPr>
        <w:spacing w:line="360" w:lineRule="auto"/>
        <w:ind w:left="-2" w:right="-817"/>
        <w:rPr>
          <w:rFonts w:ascii="宋体" w:hAnsi="宋体"/>
          <w:i w:val="0"/>
          <w:iCs w:val="0"/>
          <w:color w:val="auto"/>
          <w:sz w:val="24"/>
          <w:highlight w:val="none"/>
        </w:rPr>
      </w:pPr>
      <w:r>
        <w:rPr>
          <w:rFonts w:hint="eastAsia" w:ascii="宋体" w:hAnsi="宋体"/>
          <w:i w:val="0"/>
          <w:iCs w:val="0"/>
          <w:color w:val="auto"/>
          <w:sz w:val="24"/>
          <w:highlight w:val="none"/>
        </w:rPr>
        <w:t>法定代表人或者委托代理人（签字或者电子签名）：</w:t>
      </w:r>
    </w:p>
    <w:p w14:paraId="29789440">
      <w:pPr>
        <w:spacing w:line="360" w:lineRule="auto"/>
        <w:ind w:left="-3" w:right="-817" w:hanging="28"/>
        <w:rPr>
          <w:rFonts w:hint="eastAsia" w:ascii="宋体" w:hAnsi="宋体"/>
          <w:i w:val="0"/>
          <w:iCs w:val="0"/>
          <w:color w:val="auto"/>
          <w:sz w:val="24"/>
          <w:highlight w:val="none"/>
        </w:rPr>
      </w:pPr>
      <w:r>
        <w:rPr>
          <w:rFonts w:hint="eastAsia" w:ascii="宋体" w:hAnsi="宋体"/>
          <w:i w:val="0"/>
          <w:iCs w:val="0"/>
          <w:color w:val="auto"/>
          <w:sz w:val="24"/>
          <w:highlight w:val="none"/>
        </w:rPr>
        <w:t>供应商名称（电子签章）：</w:t>
      </w:r>
    </w:p>
    <w:p w14:paraId="38DE6001">
      <w:pPr>
        <w:spacing w:line="360" w:lineRule="auto"/>
        <w:ind w:right="480" w:firstLine="240"/>
        <w:jc w:val="left"/>
        <w:rPr>
          <w:rFonts w:hint="eastAsia" w:ascii="宋体" w:hAnsi="宋体"/>
          <w:i w:val="0"/>
          <w:iCs w:val="0"/>
          <w:color w:val="auto"/>
          <w:szCs w:val="21"/>
          <w:highlight w:val="none"/>
        </w:rPr>
      </w:pPr>
      <w:r>
        <w:rPr>
          <w:rFonts w:hint="eastAsia" w:ascii="宋体" w:hAnsi="宋体"/>
          <w:i w:val="0"/>
          <w:iCs w:val="0"/>
          <w:color w:val="auto"/>
          <w:sz w:val="24"/>
          <w:highlight w:val="none"/>
        </w:rPr>
        <w:t>日期：年月日</w:t>
      </w:r>
    </w:p>
    <w:p w14:paraId="6FD8744C">
      <w:pPr>
        <w:spacing w:before="120" w:after="50"/>
        <w:jc w:val="left"/>
        <w:rPr>
          <w:rFonts w:hint="eastAsia" w:ascii="宋体" w:hAnsi="宋体"/>
          <w:i w:val="0"/>
          <w:iCs w:val="0"/>
          <w:color w:val="auto"/>
          <w:sz w:val="24"/>
          <w:highlight w:val="none"/>
        </w:rPr>
      </w:pPr>
    </w:p>
    <w:p w14:paraId="70A1D63C">
      <w:pPr>
        <w:spacing w:before="50" w:after="120"/>
        <w:jc w:val="left"/>
        <w:rPr>
          <w:rFonts w:hint="eastAsia" w:ascii="宋体" w:hAnsi="宋体"/>
          <w:i w:val="0"/>
          <w:iCs w:val="0"/>
          <w:color w:val="auto"/>
          <w:szCs w:val="21"/>
          <w:highlight w:val="none"/>
        </w:rPr>
      </w:pPr>
    </w:p>
    <w:p w14:paraId="64396062">
      <w:pPr>
        <w:spacing w:before="120" w:after="50"/>
        <w:jc w:val="left"/>
        <w:rPr>
          <w:rFonts w:hint="eastAsia" w:ascii="宋体" w:hAnsi="宋体"/>
          <w:b/>
          <w:i w:val="0"/>
          <w:iCs w:val="0"/>
          <w:color w:val="auto"/>
          <w:sz w:val="24"/>
          <w:szCs w:val="20"/>
          <w:highlight w:val="none"/>
        </w:rPr>
      </w:pPr>
    </w:p>
    <w:p w14:paraId="746A4393">
      <w:pPr>
        <w:spacing w:before="120" w:after="50"/>
        <w:ind w:left="142"/>
        <w:jc w:val="left"/>
        <w:rPr>
          <w:rFonts w:hint="eastAsia" w:ascii="宋体" w:hAnsi="宋体"/>
          <w:b/>
          <w:i w:val="0"/>
          <w:iCs w:val="0"/>
          <w:color w:val="auto"/>
          <w:sz w:val="24"/>
          <w:highlight w:val="none"/>
        </w:rPr>
      </w:pPr>
    </w:p>
    <w:p w14:paraId="0D98F2A6">
      <w:pPr>
        <w:spacing w:before="120" w:after="50"/>
        <w:ind w:left="142"/>
        <w:jc w:val="left"/>
        <w:rPr>
          <w:rFonts w:hint="eastAsia" w:ascii="宋体" w:hAnsi="宋体"/>
          <w:b/>
          <w:i w:val="0"/>
          <w:iCs w:val="0"/>
          <w:color w:val="auto"/>
          <w:sz w:val="24"/>
          <w:highlight w:val="none"/>
        </w:rPr>
      </w:pPr>
    </w:p>
    <w:p w14:paraId="789E6E16">
      <w:pPr>
        <w:spacing w:before="120" w:after="50"/>
        <w:ind w:left="142"/>
        <w:jc w:val="left"/>
        <w:rPr>
          <w:rFonts w:hint="eastAsia" w:ascii="宋体" w:hAnsi="宋体"/>
          <w:b/>
          <w:i w:val="0"/>
          <w:iCs w:val="0"/>
          <w:color w:val="auto"/>
          <w:sz w:val="24"/>
          <w:highlight w:val="none"/>
        </w:rPr>
      </w:pPr>
    </w:p>
    <w:p w14:paraId="793753D3">
      <w:pPr>
        <w:spacing w:before="120" w:after="50"/>
        <w:ind w:left="142"/>
        <w:jc w:val="left"/>
        <w:rPr>
          <w:rFonts w:hint="eastAsia" w:ascii="宋体" w:hAnsi="宋体"/>
          <w:b/>
          <w:i w:val="0"/>
          <w:iCs w:val="0"/>
          <w:color w:val="auto"/>
          <w:sz w:val="24"/>
          <w:highlight w:val="none"/>
        </w:rPr>
      </w:pPr>
    </w:p>
    <w:p w14:paraId="0E854F82">
      <w:pPr>
        <w:spacing w:before="120" w:after="50"/>
        <w:ind w:left="142"/>
        <w:jc w:val="left"/>
        <w:rPr>
          <w:rFonts w:hint="eastAsia" w:ascii="宋体" w:hAnsi="宋体"/>
          <w:b/>
          <w:i w:val="0"/>
          <w:iCs w:val="0"/>
          <w:color w:val="auto"/>
          <w:sz w:val="24"/>
          <w:highlight w:val="none"/>
        </w:rPr>
      </w:pPr>
    </w:p>
    <w:p w14:paraId="571A192B">
      <w:pPr>
        <w:spacing w:before="120" w:after="50"/>
        <w:ind w:left="142"/>
        <w:jc w:val="left"/>
        <w:rPr>
          <w:rFonts w:ascii="宋体" w:hAnsi="宋体"/>
          <w:b/>
          <w:i w:val="0"/>
          <w:iCs w:val="0"/>
          <w:color w:val="auto"/>
          <w:sz w:val="24"/>
          <w:szCs w:val="20"/>
          <w:highlight w:val="none"/>
        </w:rPr>
      </w:pPr>
      <w:r>
        <w:rPr>
          <w:rFonts w:hint="eastAsia" w:ascii="宋体" w:hAnsi="宋体"/>
          <w:b/>
          <w:i w:val="0"/>
          <w:iCs w:val="0"/>
          <w:color w:val="auto"/>
          <w:sz w:val="24"/>
          <w:highlight w:val="none"/>
        </w:rPr>
        <w:t>5.竞标声明</w:t>
      </w:r>
    </w:p>
    <w:p w14:paraId="2057EC4C">
      <w:pPr>
        <w:spacing w:line="320" w:lineRule="exact"/>
        <w:jc w:val="center"/>
        <w:rPr>
          <w:rFonts w:hint="eastAsia" w:ascii="宋体" w:hAnsi="宋体"/>
          <w:i w:val="0"/>
          <w:iCs w:val="0"/>
          <w:color w:val="auto"/>
          <w:sz w:val="28"/>
          <w:szCs w:val="28"/>
          <w:highlight w:val="none"/>
        </w:rPr>
      </w:pPr>
    </w:p>
    <w:p w14:paraId="62F9ACD1">
      <w:pPr>
        <w:keepNext w:val="0"/>
        <w:keepLines w:val="0"/>
        <w:pageBreakBefore w:val="0"/>
        <w:widowControl w:val="0"/>
        <w:bidi w:val="0"/>
        <w:spacing w:line="240" w:lineRule="auto"/>
        <w:jc w:val="center"/>
        <w:rPr>
          <w:rFonts w:hint="eastAsia" w:ascii="宋体" w:hAnsi="宋体"/>
          <w:b/>
          <w:i w:val="0"/>
          <w:iCs w:val="0"/>
          <w:color w:val="auto"/>
          <w:sz w:val="32"/>
          <w:szCs w:val="32"/>
          <w:highlight w:val="none"/>
        </w:rPr>
      </w:pPr>
      <w:r>
        <w:rPr>
          <w:rFonts w:hint="eastAsia" w:ascii="宋体" w:hAnsi="宋体"/>
          <w:b/>
          <w:i w:val="0"/>
          <w:iCs w:val="0"/>
          <w:color w:val="auto"/>
          <w:sz w:val="32"/>
          <w:szCs w:val="32"/>
          <w:highlight w:val="none"/>
        </w:rPr>
        <w:t>竞标声明</w:t>
      </w:r>
    </w:p>
    <w:p w14:paraId="479545AD">
      <w:pPr>
        <w:spacing w:line="320" w:lineRule="exact"/>
        <w:jc w:val="center"/>
        <w:rPr>
          <w:rFonts w:hint="eastAsia" w:ascii="宋体" w:hAnsi="宋体"/>
          <w:i w:val="0"/>
          <w:iCs w:val="0"/>
          <w:color w:val="auto"/>
          <w:sz w:val="24"/>
          <w:szCs w:val="20"/>
          <w:highlight w:val="none"/>
        </w:rPr>
      </w:pPr>
    </w:p>
    <w:p w14:paraId="79F9B8BA">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致：</w:t>
      </w:r>
      <w:r>
        <w:rPr>
          <w:rFonts w:hint="eastAsia" w:ascii="仿宋_GB2312" w:hAnsi="仿宋_GB2312" w:eastAsia="仿宋_GB2312" w:cs="仿宋_GB2312"/>
          <w:i w:val="0"/>
          <w:iCs w:val="0"/>
          <w:color w:val="auto"/>
          <w:sz w:val="24"/>
          <w:szCs w:val="24"/>
          <w:highlight w:val="none"/>
          <w:u w:val="single"/>
        </w:rPr>
        <w:t>（采购人名称）</w:t>
      </w:r>
      <w:r>
        <w:rPr>
          <w:rFonts w:hint="eastAsia" w:ascii="仿宋_GB2312" w:hAnsi="仿宋_GB2312" w:eastAsia="仿宋_GB2312" w:cs="仿宋_GB2312"/>
          <w:i w:val="0"/>
          <w:iCs w:val="0"/>
          <w:color w:val="auto"/>
          <w:sz w:val="24"/>
          <w:szCs w:val="24"/>
          <w:highlight w:val="none"/>
        </w:rPr>
        <w:t>：</w:t>
      </w:r>
    </w:p>
    <w:p w14:paraId="71EF5D6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u w:val="single"/>
        </w:rPr>
        <w:t>（供应商名称）</w:t>
      </w:r>
      <w:r>
        <w:rPr>
          <w:rFonts w:hint="eastAsia" w:ascii="仿宋_GB2312" w:hAnsi="仿宋_GB2312" w:eastAsia="仿宋_GB2312" w:cs="仿宋_GB2312"/>
          <w:i w:val="0"/>
          <w:iCs w:val="0"/>
          <w:color w:val="auto"/>
          <w:sz w:val="24"/>
          <w:szCs w:val="24"/>
          <w:highlight w:val="none"/>
        </w:rPr>
        <w:t>系中华人民共和国合法供应商，经营地址。</w:t>
      </w:r>
    </w:p>
    <w:p w14:paraId="37E79B67">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我方愿意参加贵方组织的</w:t>
      </w:r>
      <w:r>
        <w:rPr>
          <w:rFonts w:hint="eastAsia" w:ascii="仿宋_GB2312" w:hAnsi="仿宋_GB2312" w:eastAsia="仿宋_GB2312" w:cs="仿宋_GB2312"/>
          <w:i w:val="0"/>
          <w:iCs w:val="0"/>
          <w:color w:val="auto"/>
          <w:sz w:val="24"/>
          <w:szCs w:val="24"/>
          <w:highlight w:val="none"/>
          <w:u w:val="single"/>
        </w:rPr>
        <w:t>（项目名称）</w:t>
      </w:r>
      <w:r>
        <w:rPr>
          <w:rFonts w:hint="eastAsia" w:ascii="仿宋_GB2312" w:hAnsi="仿宋_GB2312" w:eastAsia="仿宋_GB2312" w:cs="仿宋_GB2312"/>
          <w:i w:val="0"/>
          <w:iCs w:val="0"/>
          <w:color w:val="auto"/>
          <w:sz w:val="24"/>
          <w:szCs w:val="24"/>
          <w:highlight w:val="none"/>
        </w:rPr>
        <w:t>项目的竞标，为便于贵方公正、择优地确定成交供应商及其竞标产品和服务，我方就本次竞标有关事项郑重声明如下：</w:t>
      </w:r>
    </w:p>
    <w:p w14:paraId="4CFEAA0B">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1.我方向贵方提交的所有响应文件、资料都是准确的和真实的。</w:t>
      </w:r>
    </w:p>
    <w:p w14:paraId="037A782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2.我方不是为本次采购项目提供整体设计、规范编制或者项目管理、监理、检测等服务的供应商。</w:t>
      </w:r>
    </w:p>
    <w:p w14:paraId="3A73F751">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3.在此，我方宣布同意如下：</w:t>
      </w:r>
    </w:p>
    <w:p w14:paraId="478D2A40">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（1）将按磋商文件的约定履行合同责任和义务；</w:t>
      </w:r>
    </w:p>
    <w:p w14:paraId="4DFF2A5F">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（2）已详细审查全部磋商文件，包括澄清或者更正公告（如有）；</w:t>
      </w:r>
    </w:p>
    <w:p w14:paraId="785A89D3">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（3）同意提供按照贵方可能要求的与磋商有关的一切数据或者资料；</w:t>
      </w:r>
    </w:p>
    <w:p w14:paraId="427E7BF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（4）响应磋商文件规定的竞标有效期。</w:t>
      </w:r>
    </w:p>
    <w:p w14:paraId="0D232C1E">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4.我方承诺符合《中华人民共和国政府采购法》第二十二条规定：</w:t>
      </w:r>
    </w:p>
    <w:p w14:paraId="2E5EB55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（1）具有独立承担民事责任的能力；</w:t>
      </w:r>
    </w:p>
    <w:p w14:paraId="67E79B93">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（2）具有良好的商业信誉和健全的财务会计制度；</w:t>
      </w:r>
    </w:p>
    <w:p w14:paraId="5F820FE7">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（3）具有履行合同所必需的设备和专业技术能力；</w:t>
      </w:r>
    </w:p>
    <w:p w14:paraId="4E61540A">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（4）有依法缴纳税收和社会保障资金的良好记录；</w:t>
      </w:r>
    </w:p>
    <w:p w14:paraId="2EA3839D">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（5）参加政府采购活动前三年内，在经营活动中没有重大违法记录；</w:t>
      </w:r>
    </w:p>
    <w:p w14:paraId="2B1EF19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（6）法律、行政法规规定的其他条件。</w:t>
      </w:r>
    </w:p>
    <w:p w14:paraId="55F5E2FF">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95BF0D1">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2EFDC25">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□我方本次响应文件内容中未涉及商业秘密；</w:t>
      </w:r>
    </w:p>
    <w:p w14:paraId="4B524F0B">
      <w:pPr>
        <w:spacing w:line="360" w:lineRule="auto"/>
        <w:ind w:firstLine="640"/>
        <w:contextualSpacing/>
        <w:rPr>
          <w:rFonts w:hint="default" w:ascii="仿宋_GB2312" w:hAnsi="仿宋_GB2312" w:eastAsia="仿宋_GB2312" w:cs="仿宋_GB2312"/>
          <w:i w:val="0"/>
          <w:iCs w:val="0"/>
          <w:color w:val="auto"/>
          <w:sz w:val="24"/>
          <w:szCs w:val="24"/>
          <w:highlight w:val="none"/>
          <w:u w:val="single"/>
          <w:lang w:val="en-US" w:eastAsia="zh-CN"/>
        </w:rPr>
      </w:pPr>
      <w:r>
        <w:rPr>
          <w:rFonts w:hint="eastAsia" w:ascii="仿宋_GB2312" w:hAnsi="仿宋_GB2312" w:eastAsia="仿宋_GB2312" w:cs="仿宋_GB2312"/>
          <w:i w:val="0"/>
          <w:iCs w:val="0"/>
          <w:color w:val="auto"/>
          <w:sz w:val="24"/>
          <w:szCs w:val="24"/>
          <w:highlight w:val="none"/>
        </w:rPr>
        <w:t>□我方本次响应文件涉及商业秘密的内容有：</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u w:val="none"/>
          <w:lang w:val="en-US" w:eastAsia="zh-CN"/>
        </w:rPr>
        <w:t>；</w:t>
      </w:r>
    </w:p>
    <w:p w14:paraId="2BA659DC">
      <w:pPr>
        <w:pStyle w:val="224"/>
        <w:spacing w:line="360" w:lineRule="auto"/>
        <w:ind w:firstLine="640"/>
        <w:contextualSpacing/>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7.与本磋商有关的一切正式往来信函请寄：邮政编号：</w:t>
      </w:r>
    </w:p>
    <w:p w14:paraId="224E28CC">
      <w:pPr>
        <w:pStyle w:val="224"/>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电话/传真：电子</w:t>
      </w:r>
      <w:r>
        <w:rPr>
          <w:rFonts w:hint="eastAsia" w:ascii="仿宋_GB2312" w:hAnsi="仿宋_GB2312" w:eastAsia="仿宋_GB2312" w:cs="仿宋_GB2312"/>
          <w:i w:val="0"/>
          <w:iCs w:val="0"/>
          <w:color w:val="auto"/>
          <w:sz w:val="24"/>
          <w:szCs w:val="24"/>
          <w:highlight w:val="none"/>
          <w:lang w:eastAsia="zh-CN"/>
        </w:rPr>
        <w:t>邮箱</w:t>
      </w:r>
      <w:r>
        <w:rPr>
          <w:rFonts w:hint="eastAsia" w:ascii="仿宋_GB2312" w:hAnsi="仿宋_GB2312" w:eastAsia="仿宋_GB2312" w:cs="仿宋_GB2312"/>
          <w:i w:val="0"/>
          <w:iCs w:val="0"/>
          <w:color w:val="auto"/>
          <w:sz w:val="24"/>
          <w:szCs w:val="24"/>
          <w:highlight w:val="none"/>
        </w:rPr>
        <w:t>：</w:t>
      </w:r>
    </w:p>
    <w:p w14:paraId="0A96FFC5">
      <w:pPr>
        <w:pStyle w:val="223"/>
        <w:tabs>
          <w:tab w:val="left" w:pos="939"/>
        </w:tabs>
        <w:spacing w:line="360" w:lineRule="auto"/>
        <w:ind w:left="141" w:firstLine="48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开户银行：账号：</w:t>
      </w:r>
    </w:p>
    <w:p w14:paraId="5AD5FB7E">
      <w:pPr>
        <w:pStyle w:val="223"/>
        <w:tabs>
          <w:tab w:val="left" w:pos="939"/>
        </w:tabs>
        <w:spacing w:line="360" w:lineRule="auto"/>
        <w:ind w:left="0"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8.以上事项如有虚假或者隐瞒，我方愿意承担一切后果，并不再寻求任何旨在减轻或者免除法律责任的辩解。</w:t>
      </w:r>
    </w:p>
    <w:p w14:paraId="2EDDAF5C">
      <w:pPr>
        <w:pStyle w:val="223"/>
        <w:tabs>
          <w:tab w:val="left" w:pos="939"/>
        </w:tabs>
        <w:spacing w:line="360" w:lineRule="auto"/>
        <w:ind w:left="141" w:firstLine="48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特此承诺。</w:t>
      </w:r>
    </w:p>
    <w:p w14:paraId="5F3C6FE1">
      <w:pPr>
        <w:pStyle w:val="223"/>
        <w:tabs>
          <w:tab w:val="left" w:pos="939"/>
        </w:tabs>
        <w:spacing w:line="360" w:lineRule="auto"/>
        <w:ind w:left="0" w:firstLine="643"/>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注：如为联合体竞标，盖章处须加盖联合体牵头人电子签章并由联合体牵头人法定代表人分别签字或者盖章或者电子签名，</w:t>
      </w:r>
      <w:r>
        <w:rPr>
          <w:rFonts w:hint="eastAsia" w:ascii="仿宋_GB2312" w:hAnsi="仿宋_GB2312" w:eastAsia="仿宋_GB2312" w:cs="仿宋_GB2312"/>
          <w:b/>
          <w:bCs/>
          <w:i w:val="0"/>
          <w:iCs w:val="0"/>
          <w:color w:val="auto"/>
          <w:sz w:val="24"/>
          <w:szCs w:val="24"/>
          <w:highlight w:val="none"/>
          <w:lang w:eastAsia="zh-CN"/>
        </w:rPr>
        <w:t>否则响应文件按无效响应处理</w:t>
      </w:r>
      <w:r>
        <w:rPr>
          <w:rFonts w:hint="eastAsia" w:ascii="仿宋_GB2312" w:hAnsi="仿宋_GB2312" w:eastAsia="仿宋_GB2312" w:cs="仿宋_GB2312"/>
          <w:b/>
          <w:bCs/>
          <w:i w:val="0"/>
          <w:iCs w:val="0"/>
          <w:color w:val="auto"/>
          <w:sz w:val="24"/>
          <w:szCs w:val="24"/>
          <w:highlight w:val="none"/>
        </w:rPr>
        <w:t>。</w:t>
      </w:r>
    </w:p>
    <w:p w14:paraId="63338B05">
      <w:pPr>
        <w:spacing w:line="360" w:lineRule="auto"/>
        <w:contextualSpacing/>
        <w:jc w:val="left"/>
        <w:rPr>
          <w:rFonts w:hint="eastAsia" w:ascii="仿宋_GB2312" w:hAnsi="仿宋_GB2312" w:eastAsia="仿宋_GB2312" w:cs="仿宋_GB2312"/>
          <w:i w:val="0"/>
          <w:iCs w:val="0"/>
          <w:color w:val="auto"/>
          <w:sz w:val="24"/>
          <w:szCs w:val="24"/>
          <w:highlight w:val="none"/>
        </w:rPr>
      </w:pPr>
    </w:p>
    <w:p w14:paraId="392A418E">
      <w:pPr>
        <w:pStyle w:val="3"/>
        <w:rPr>
          <w:rFonts w:hint="eastAsia" w:ascii="仿宋_GB2312" w:hAnsi="仿宋_GB2312" w:eastAsia="仿宋_GB2312" w:cs="仿宋_GB2312"/>
          <w:i w:val="0"/>
          <w:iCs w:val="0"/>
          <w:color w:val="auto"/>
          <w:sz w:val="24"/>
          <w:szCs w:val="24"/>
          <w:highlight w:val="none"/>
          <w:lang w:eastAsia="zh-CN"/>
        </w:rPr>
      </w:pPr>
    </w:p>
    <w:p w14:paraId="1F51795D">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法定代表人（签字或者盖章或者电子签名）：</w:t>
      </w:r>
      <w:r>
        <w:rPr>
          <w:rFonts w:hint="eastAsia" w:ascii="仿宋_GB2312" w:hAnsi="仿宋_GB2312" w:eastAsia="仿宋_GB2312" w:cs="仿宋_GB2312"/>
          <w:i w:val="0"/>
          <w:iCs w:val="0"/>
          <w:color w:val="auto"/>
          <w:sz w:val="24"/>
          <w:szCs w:val="24"/>
          <w:highlight w:val="none"/>
          <w:u w:val="single"/>
          <w:lang w:val="en-US" w:eastAsia="zh-CN"/>
        </w:rPr>
        <w:t xml:space="preserve">      </w:t>
      </w:r>
    </w:p>
    <w:p w14:paraId="30DA35FD">
      <w:pPr>
        <w:spacing w:line="360" w:lineRule="auto"/>
        <w:contextualSpacing/>
        <w:rPr>
          <w:rFonts w:ascii="仿宋_GB2312" w:hAnsi="仿宋_GB2312" w:eastAsia="仿宋_GB2312" w:cs="仿宋_GB2312"/>
          <w:i w:val="0"/>
          <w:iCs w:val="0"/>
          <w:color w:val="auto"/>
          <w:sz w:val="24"/>
          <w:szCs w:val="24"/>
          <w:highlight w:val="none"/>
          <w:u w:val="single"/>
          <w:lang w:val="en-US" w:eastAsia="zh-CN"/>
        </w:rPr>
      </w:pPr>
      <w:r>
        <w:rPr>
          <w:rFonts w:hint="eastAsia" w:ascii="仿宋_GB2312" w:hAnsi="仿宋_GB2312" w:eastAsia="仿宋_GB2312" w:cs="仿宋_GB2312"/>
          <w:i w:val="0"/>
          <w:iCs w:val="0"/>
          <w:color w:val="auto"/>
          <w:sz w:val="24"/>
          <w:szCs w:val="24"/>
          <w:highlight w:val="none"/>
        </w:rPr>
        <w:t>供应商名称（电子签章）：</w:t>
      </w:r>
      <w:r>
        <w:rPr>
          <w:rFonts w:hint="eastAsia" w:ascii="仿宋_GB2312" w:hAnsi="仿宋_GB2312" w:eastAsia="仿宋_GB2312" w:cs="仿宋_GB2312"/>
          <w:i w:val="0"/>
          <w:iCs w:val="0"/>
          <w:color w:val="auto"/>
          <w:sz w:val="24"/>
          <w:szCs w:val="24"/>
          <w:highlight w:val="none"/>
          <w:u w:val="single"/>
          <w:lang w:val="en-US" w:eastAsia="zh-CN"/>
        </w:rPr>
        <w:t xml:space="preserve">        </w:t>
      </w:r>
    </w:p>
    <w:p w14:paraId="630A5D76">
      <w:pPr>
        <w:pStyle w:val="223"/>
        <w:tabs>
          <w:tab w:val="left" w:pos="939"/>
        </w:tabs>
        <w:spacing w:line="360" w:lineRule="auto"/>
        <w:ind w:left="1058" w:firstLine="160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年</w:t>
      </w:r>
      <w:r>
        <w:rPr>
          <w:rFonts w:hint="eastAsia" w:ascii="仿宋_GB2312" w:hAnsi="仿宋_GB2312" w:eastAsia="仿宋_GB2312" w:cs="仿宋_GB2312"/>
          <w:i w:val="0"/>
          <w:iCs w:val="0"/>
          <w:color w:val="auto"/>
          <w:sz w:val="24"/>
          <w:szCs w:val="24"/>
          <w:highlight w:val="none"/>
          <w:lang w:val="en-US" w:eastAsia="zh-CN"/>
        </w:rPr>
        <w:t xml:space="preserve">  </w:t>
      </w:r>
      <w:r>
        <w:rPr>
          <w:rFonts w:hint="eastAsia" w:ascii="仿宋_GB2312" w:hAnsi="仿宋_GB2312" w:eastAsia="仿宋_GB2312" w:cs="仿宋_GB2312"/>
          <w:i w:val="0"/>
          <w:iCs w:val="0"/>
          <w:color w:val="auto"/>
          <w:sz w:val="24"/>
          <w:szCs w:val="24"/>
          <w:highlight w:val="none"/>
        </w:rPr>
        <w:t>月</w:t>
      </w:r>
      <w:r>
        <w:rPr>
          <w:rFonts w:hint="eastAsia" w:ascii="仿宋_GB2312" w:hAnsi="仿宋_GB2312" w:eastAsia="仿宋_GB2312" w:cs="仿宋_GB2312"/>
          <w:i w:val="0"/>
          <w:iCs w:val="0"/>
          <w:color w:val="auto"/>
          <w:sz w:val="24"/>
          <w:szCs w:val="24"/>
          <w:highlight w:val="none"/>
          <w:lang w:val="en-US" w:eastAsia="zh-CN"/>
        </w:rPr>
        <w:t xml:space="preserve">  </w:t>
      </w:r>
      <w:r>
        <w:rPr>
          <w:rFonts w:hint="eastAsia" w:ascii="仿宋_GB2312" w:hAnsi="仿宋_GB2312" w:eastAsia="仿宋_GB2312" w:cs="仿宋_GB2312"/>
          <w:i w:val="0"/>
          <w:iCs w:val="0"/>
          <w:color w:val="auto"/>
          <w:sz w:val="24"/>
          <w:szCs w:val="24"/>
          <w:highlight w:val="none"/>
        </w:rPr>
        <w:t>日</w:t>
      </w:r>
    </w:p>
    <w:p w14:paraId="1D405347">
      <w:pPr>
        <w:pStyle w:val="223"/>
        <w:tabs>
          <w:tab w:val="left" w:pos="939"/>
        </w:tabs>
        <w:spacing w:line="360" w:lineRule="auto"/>
        <w:ind w:left="1058" w:firstLine="1600"/>
        <w:rPr>
          <w:rFonts w:hint="eastAsia" w:ascii="宋体" w:hAnsi="宋体" w:eastAsia="宋体" w:cs="Times New Roman"/>
          <w:b/>
          <w:i w:val="0"/>
          <w:iCs w:val="0"/>
          <w:color w:val="auto"/>
          <w:sz w:val="44"/>
          <w:szCs w:val="44"/>
          <w:highlight w:val="none"/>
        </w:rPr>
      </w:pPr>
      <w:r>
        <w:rPr>
          <w:rFonts w:hint="eastAsia" w:ascii="仿宋_GB2312" w:hAnsi="仿宋_GB2312" w:eastAsia="仿宋_GB2312" w:cs="仿宋_GB2312"/>
          <w:i w:val="0"/>
          <w:iCs w:val="0"/>
          <w:color w:val="auto"/>
          <w:sz w:val="32"/>
          <w:szCs w:val="32"/>
          <w:highlight w:val="none"/>
        </w:rPr>
        <w:br w:type="page" w:clear="all"/>
      </w:r>
      <w:r>
        <w:rPr>
          <w:rFonts w:hint="eastAsia" w:ascii="宋体" w:hAnsi="宋体" w:eastAsia="宋体" w:cs="Times New Roman"/>
          <w:b/>
          <w:i w:val="0"/>
          <w:iCs w:val="0"/>
          <w:color w:val="auto"/>
          <w:sz w:val="44"/>
          <w:szCs w:val="44"/>
          <w:highlight w:val="none"/>
        </w:rPr>
        <w:t>联合体竞标协议书</w:t>
      </w:r>
    </w:p>
    <w:p w14:paraId="11115FFA">
      <w:pPr>
        <w:pStyle w:val="48"/>
        <w:spacing w:line="360" w:lineRule="auto"/>
        <w:ind w:firstLine="0"/>
        <w:rPr>
          <w:rFonts w:hint="eastAsia" w:ascii="宋体" w:hAnsi="宋体"/>
          <w:i w:val="0"/>
          <w:iCs w:val="0"/>
          <w:color w:val="auto"/>
          <w:sz w:val="24"/>
          <w:szCs w:val="24"/>
          <w:highlight w:val="none"/>
        </w:rPr>
      </w:pPr>
    </w:p>
    <w:p w14:paraId="5B0AD04B">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（所有成员单位名称）自愿组成</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（联合体名称）联合体，共同参加</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（项目名称）采购项目竞标。现就联合体竞标事宜订立如下协议。</w:t>
      </w:r>
    </w:p>
    <w:p w14:paraId="2B71351C">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u w:val="single"/>
        </w:rPr>
        <w:tab/>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（某成员单位名称）为</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（联合体名称）牵头人。</w:t>
      </w:r>
    </w:p>
    <w:p w14:paraId="3D5F4D05">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1E3C2097">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2F6145F1">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4.联合体各成员单位内部的职责分工如下：</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w:t>
      </w:r>
    </w:p>
    <w:p w14:paraId="3E934C5F">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5.本</w:t>
      </w:r>
      <w:r>
        <w:rPr>
          <w:rFonts w:hint="eastAsia" w:ascii="仿宋_GB2312" w:hAnsi="仿宋_GB2312" w:eastAsia="仿宋_GB2312" w:cs="仿宋_GB2312"/>
          <w:i w:val="0"/>
          <w:iCs w:val="0"/>
          <w:color w:val="auto"/>
          <w:spacing w:val="-6"/>
          <w:sz w:val="24"/>
          <w:szCs w:val="24"/>
          <w:highlight w:val="none"/>
        </w:rPr>
        <w:t>协议书自所有成员单位法定代表人（单位负责人）或者其委托代理人签字或者盖单位章之日起生效，合同履行完毕后自动失效。</w:t>
      </w:r>
    </w:p>
    <w:p w14:paraId="3CEEC26E">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6.本协议书一式</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u w:val="single"/>
        </w:rPr>
        <w:tab/>
      </w:r>
      <w:r>
        <w:rPr>
          <w:rFonts w:hint="eastAsia" w:ascii="仿宋_GB2312" w:hAnsi="仿宋_GB2312" w:eastAsia="仿宋_GB2312" w:cs="仿宋_GB2312"/>
          <w:i w:val="0"/>
          <w:iCs w:val="0"/>
          <w:color w:val="auto"/>
          <w:sz w:val="24"/>
          <w:szCs w:val="24"/>
          <w:highlight w:val="none"/>
        </w:rPr>
        <w:t>份，联合体成员和采购人各执一份。</w:t>
      </w:r>
    </w:p>
    <w:p w14:paraId="23172826">
      <w:pPr>
        <w:pStyle w:val="48"/>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注：本协议书应附法定代表人身份证明书；有委托代理的，应附授权委托书（格式自拟）。</w:t>
      </w:r>
    </w:p>
    <w:p w14:paraId="13EBCAF4">
      <w:pPr>
        <w:pStyle w:val="48"/>
        <w:spacing w:line="360" w:lineRule="auto"/>
        <w:contextualSpacing/>
        <w:rPr>
          <w:rFonts w:hint="eastAsia" w:ascii="仿宋_GB2312" w:hAnsi="仿宋_GB2312" w:eastAsia="仿宋_GB2312" w:cs="仿宋_GB2312"/>
          <w:i w:val="0"/>
          <w:iCs w:val="0"/>
          <w:color w:val="auto"/>
          <w:sz w:val="24"/>
          <w:szCs w:val="24"/>
          <w:highlight w:val="none"/>
        </w:rPr>
      </w:pPr>
    </w:p>
    <w:p w14:paraId="47EE211F">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联合体牵头人名称（电子签章）：</w:t>
      </w:r>
    </w:p>
    <w:p w14:paraId="5D593D5E">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法定代表人或者其委托代理人（签字或者电子签名）：</w:t>
      </w:r>
    </w:p>
    <w:p w14:paraId="099B4CC3">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p>
    <w:p w14:paraId="62C7A6DE">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联合体成员名称（盖公章或者电子签章）：</w:t>
      </w:r>
    </w:p>
    <w:p w14:paraId="473E4299">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法定代表人或者其委托代理人（签字或者电子签名）：</w:t>
      </w:r>
    </w:p>
    <w:p w14:paraId="08B01C36">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p>
    <w:p w14:paraId="5169E70D">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联合体成员名称（盖公章或者电子签章）：</w:t>
      </w:r>
    </w:p>
    <w:p w14:paraId="6C5682FF">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法定代表人或者其委托代理人（签字或者电子签名）：</w:t>
      </w:r>
    </w:p>
    <w:p w14:paraId="769733F7">
      <w:pPr>
        <w:pStyle w:val="48"/>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w:t>
      </w:r>
    </w:p>
    <w:p w14:paraId="3291111B">
      <w:pPr>
        <w:spacing w:line="360" w:lineRule="auto"/>
        <w:ind w:right="480" w:firstLine="320"/>
        <w:contextualSpacing/>
        <w:jc w:val="center"/>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年  </w:t>
      </w:r>
      <w:r>
        <w:rPr>
          <w:rFonts w:hint="eastAsia" w:ascii="仿宋_GB2312" w:hAnsi="仿宋_GB2312" w:eastAsia="仿宋_GB2312" w:cs="仿宋_GB2312"/>
          <w:i w:val="0"/>
          <w:iCs w:val="0"/>
          <w:color w:val="auto"/>
          <w:sz w:val="24"/>
          <w:szCs w:val="24"/>
          <w:highlight w:val="none"/>
        </w:rPr>
        <w:tab/>
      </w:r>
      <w:r>
        <w:rPr>
          <w:rFonts w:hint="eastAsia" w:ascii="仿宋_GB2312" w:hAnsi="仿宋_GB2312" w:eastAsia="仿宋_GB2312" w:cs="仿宋_GB2312"/>
          <w:i w:val="0"/>
          <w:iCs w:val="0"/>
          <w:color w:val="auto"/>
          <w:sz w:val="24"/>
          <w:szCs w:val="24"/>
          <w:highlight w:val="none"/>
        </w:rPr>
        <w:t>月  日</w:t>
      </w:r>
    </w:p>
    <w:p w14:paraId="107D5C3C">
      <w:pPr>
        <w:spacing w:line="360" w:lineRule="auto"/>
        <w:ind w:right="480"/>
        <w:contextualSpacing/>
        <w:rPr>
          <w:rFonts w:ascii="宋体" w:hAnsi="宋体"/>
          <w:b/>
          <w:i w:val="0"/>
          <w:iCs w:val="0"/>
          <w:color w:val="auto"/>
          <w:sz w:val="32"/>
          <w:szCs w:val="32"/>
          <w:highlight w:val="none"/>
        </w:rPr>
      </w:pPr>
      <w:r>
        <w:rPr>
          <w:rFonts w:ascii="宋体" w:hAnsi="宋体"/>
          <w:b/>
          <w:bCs/>
          <w:i w:val="0"/>
          <w:iCs w:val="0"/>
          <w:color w:val="auto"/>
          <w:sz w:val="32"/>
          <w:szCs w:val="32"/>
          <w:highlight w:val="none"/>
        </w:rPr>
        <w:br w:type="page" w:clear="all"/>
      </w:r>
      <w:r>
        <w:rPr>
          <w:rFonts w:hint="eastAsia" w:ascii="宋体" w:hAnsi="宋体"/>
          <w:b/>
          <w:bCs/>
          <w:i w:val="0"/>
          <w:iCs w:val="0"/>
          <w:color w:val="auto"/>
          <w:sz w:val="32"/>
          <w:szCs w:val="32"/>
          <w:highlight w:val="none"/>
        </w:rPr>
        <w:t>二、</w:t>
      </w:r>
      <w:r>
        <w:rPr>
          <w:rFonts w:hint="eastAsia" w:ascii="宋体" w:hAnsi="宋体"/>
          <w:b/>
          <w:i w:val="0"/>
          <w:iCs w:val="0"/>
          <w:color w:val="auto"/>
          <w:sz w:val="32"/>
          <w:szCs w:val="32"/>
          <w:highlight w:val="none"/>
        </w:rPr>
        <w:t>报价文件格式</w:t>
      </w:r>
    </w:p>
    <w:p w14:paraId="58AA8B49">
      <w:pPr>
        <w:spacing w:before="120" w:after="50" w:line="360" w:lineRule="auto"/>
        <w:jc w:val="left"/>
        <w:rPr>
          <w:rFonts w:hint="eastAsia" w:ascii="宋体" w:hAnsi="宋体"/>
          <w:b/>
          <w:i w:val="0"/>
          <w:iCs w:val="0"/>
          <w:color w:val="auto"/>
          <w:sz w:val="32"/>
          <w:szCs w:val="32"/>
          <w:highlight w:val="none"/>
        </w:rPr>
      </w:pPr>
      <w:r>
        <w:rPr>
          <w:rFonts w:hint="eastAsia" w:ascii="宋体" w:hAnsi="宋体"/>
          <w:b/>
          <w:i w:val="0"/>
          <w:iCs w:val="0"/>
          <w:color w:val="auto"/>
          <w:sz w:val="32"/>
          <w:szCs w:val="32"/>
          <w:highlight w:val="none"/>
        </w:rPr>
        <w:t>1.报价文件封面格式</w:t>
      </w:r>
    </w:p>
    <w:p w14:paraId="36C311B6">
      <w:pPr>
        <w:spacing w:before="120" w:after="50"/>
        <w:rPr>
          <w:rFonts w:hint="eastAsia" w:ascii="宋体" w:hAnsi="宋体"/>
          <w:bCs/>
          <w:i w:val="0"/>
          <w:iCs w:val="0"/>
          <w:color w:val="auto"/>
          <w:sz w:val="32"/>
          <w:szCs w:val="20"/>
          <w:highlight w:val="none"/>
        </w:rPr>
      </w:pPr>
    </w:p>
    <w:p w14:paraId="3D391508">
      <w:pPr>
        <w:spacing w:before="120" w:after="50"/>
        <w:jc w:val="center"/>
        <w:rPr>
          <w:rFonts w:hint="eastAsia" w:ascii="宋体" w:hAnsi="宋体"/>
          <w:i w:val="0"/>
          <w:iCs w:val="0"/>
          <w:color w:val="auto"/>
          <w:sz w:val="24"/>
          <w:szCs w:val="20"/>
          <w:highlight w:val="none"/>
        </w:rPr>
      </w:pPr>
      <w:r>
        <w:rPr>
          <w:rFonts w:hint="eastAsia" w:ascii="宋体" w:hAnsi="宋体"/>
          <w:i w:val="0"/>
          <w:iCs w:val="0"/>
          <w:color w:val="auto"/>
          <w:sz w:val="44"/>
          <w:szCs w:val="44"/>
          <w:highlight w:val="none"/>
        </w:rPr>
        <w:t>电子响应文件</w:t>
      </w:r>
    </w:p>
    <w:p w14:paraId="7B22249B">
      <w:pPr>
        <w:spacing w:before="120" w:after="50"/>
        <w:rPr>
          <w:rFonts w:hint="eastAsia" w:ascii="宋体" w:hAnsi="宋体"/>
          <w:i w:val="0"/>
          <w:iCs w:val="0"/>
          <w:color w:val="auto"/>
          <w:sz w:val="24"/>
          <w:szCs w:val="20"/>
          <w:highlight w:val="none"/>
        </w:rPr>
      </w:pPr>
    </w:p>
    <w:p w14:paraId="7398B23D">
      <w:pPr>
        <w:spacing w:before="120" w:after="50"/>
        <w:rPr>
          <w:rFonts w:hint="eastAsia" w:ascii="宋体" w:hAnsi="宋体"/>
          <w:i w:val="0"/>
          <w:iCs w:val="0"/>
          <w:color w:val="auto"/>
          <w:sz w:val="24"/>
          <w:szCs w:val="20"/>
          <w:highlight w:val="none"/>
        </w:rPr>
      </w:pPr>
    </w:p>
    <w:p w14:paraId="2CF5B245">
      <w:pPr>
        <w:spacing w:before="120" w:after="50"/>
        <w:jc w:val="center"/>
        <w:rPr>
          <w:rFonts w:hint="eastAsia" w:ascii="微软雅黑" w:hAnsi="微软雅黑" w:eastAsia="微软雅黑" w:cs="微软雅黑"/>
          <w:bCs/>
          <w:i w:val="0"/>
          <w:iCs w:val="0"/>
          <w:color w:val="auto"/>
          <w:sz w:val="44"/>
          <w:szCs w:val="44"/>
          <w:highlight w:val="none"/>
        </w:rPr>
      </w:pPr>
      <w:r>
        <w:rPr>
          <w:rFonts w:hint="eastAsia" w:ascii="微软雅黑" w:hAnsi="微软雅黑" w:eastAsia="微软雅黑" w:cs="微软雅黑"/>
          <w:bCs/>
          <w:i w:val="0"/>
          <w:iCs w:val="0"/>
          <w:color w:val="auto"/>
          <w:sz w:val="44"/>
          <w:szCs w:val="44"/>
          <w:highlight w:val="none"/>
        </w:rPr>
        <w:t>报价文件</w:t>
      </w:r>
    </w:p>
    <w:p w14:paraId="37B89C7C">
      <w:pPr>
        <w:spacing w:before="120" w:after="50"/>
        <w:rPr>
          <w:rFonts w:hint="eastAsia" w:ascii="宋体" w:hAnsi="宋体"/>
          <w:bCs/>
          <w:i w:val="0"/>
          <w:iCs w:val="0"/>
          <w:color w:val="auto"/>
          <w:sz w:val="24"/>
          <w:szCs w:val="20"/>
          <w:highlight w:val="none"/>
        </w:rPr>
      </w:pPr>
    </w:p>
    <w:p w14:paraId="113EF3C3">
      <w:pPr>
        <w:spacing w:before="120" w:after="50"/>
        <w:rPr>
          <w:rFonts w:hint="eastAsia" w:ascii="宋体" w:hAnsi="宋体"/>
          <w:bCs/>
          <w:i w:val="0"/>
          <w:iCs w:val="0"/>
          <w:color w:val="auto"/>
          <w:sz w:val="24"/>
          <w:szCs w:val="20"/>
          <w:highlight w:val="none"/>
        </w:rPr>
      </w:pPr>
    </w:p>
    <w:p w14:paraId="1B91D3A8">
      <w:pPr>
        <w:spacing w:before="120" w:after="50"/>
        <w:rPr>
          <w:rFonts w:hint="eastAsia" w:ascii="宋体" w:hAnsi="宋体"/>
          <w:bCs/>
          <w:i w:val="0"/>
          <w:iCs w:val="0"/>
          <w:color w:val="auto"/>
          <w:sz w:val="24"/>
          <w:szCs w:val="20"/>
          <w:highlight w:val="none"/>
        </w:rPr>
      </w:pPr>
    </w:p>
    <w:p w14:paraId="18C3EA0A">
      <w:pPr>
        <w:spacing w:before="120" w:after="50"/>
        <w:rPr>
          <w:rFonts w:hint="eastAsia" w:ascii="宋体" w:hAnsi="宋体"/>
          <w:bCs/>
          <w:i w:val="0"/>
          <w:iCs w:val="0"/>
          <w:color w:val="auto"/>
          <w:sz w:val="24"/>
          <w:szCs w:val="20"/>
          <w:highlight w:val="none"/>
        </w:rPr>
      </w:pPr>
    </w:p>
    <w:p w14:paraId="18CB1446">
      <w:pPr>
        <w:spacing w:before="120" w:after="50"/>
        <w:rPr>
          <w:rFonts w:hint="eastAsia" w:ascii="宋体" w:hAnsi="宋体"/>
          <w:bCs/>
          <w:i w:val="0"/>
          <w:iCs w:val="0"/>
          <w:color w:val="auto"/>
          <w:sz w:val="24"/>
          <w:szCs w:val="20"/>
          <w:highlight w:val="none"/>
        </w:rPr>
      </w:pPr>
    </w:p>
    <w:p w14:paraId="59E2C44B">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项目名称：</w:t>
      </w:r>
    </w:p>
    <w:p w14:paraId="7E731A1C">
      <w:pPr>
        <w:spacing w:before="120" w:after="50"/>
        <w:ind w:firstLine="720"/>
        <w:rPr>
          <w:rFonts w:hint="eastAsia" w:ascii="宋体" w:hAnsi="宋体" w:cs="仿宋_GB2312"/>
          <w:bCs/>
          <w:i w:val="0"/>
          <w:iCs w:val="0"/>
          <w:color w:val="auto"/>
          <w:sz w:val="32"/>
          <w:szCs w:val="32"/>
          <w:highlight w:val="none"/>
        </w:rPr>
      </w:pPr>
    </w:p>
    <w:p w14:paraId="60841655">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项目编号：</w:t>
      </w:r>
    </w:p>
    <w:p w14:paraId="76A32124">
      <w:pPr>
        <w:spacing w:before="120" w:after="50"/>
        <w:ind w:firstLine="720"/>
        <w:rPr>
          <w:rFonts w:hint="eastAsia" w:ascii="宋体" w:hAnsi="宋体" w:cs="仿宋_GB2312"/>
          <w:bCs/>
          <w:i w:val="0"/>
          <w:iCs w:val="0"/>
          <w:color w:val="auto"/>
          <w:sz w:val="32"/>
          <w:szCs w:val="32"/>
          <w:highlight w:val="none"/>
        </w:rPr>
      </w:pPr>
    </w:p>
    <w:p w14:paraId="0B7953DA">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所竞分标（如有则填写，无分标时填写“无”或者留空）：</w:t>
      </w:r>
    </w:p>
    <w:p w14:paraId="65293E01">
      <w:pPr>
        <w:spacing w:before="120" w:after="50"/>
        <w:ind w:firstLine="720"/>
        <w:rPr>
          <w:rFonts w:hint="eastAsia" w:ascii="宋体" w:hAnsi="宋体" w:cs="仿宋_GB2312"/>
          <w:bCs/>
          <w:i w:val="0"/>
          <w:iCs w:val="0"/>
          <w:color w:val="auto"/>
          <w:sz w:val="32"/>
          <w:szCs w:val="32"/>
          <w:highlight w:val="none"/>
        </w:rPr>
      </w:pPr>
    </w:p>
    <w:p w14:paraId="12E36331">
      <w:pPr>
        <w:pStyle w:val="48"/>
        <w:spacing w:before="5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供应商名称：</w:t>
      </w:r>
    </w:p>
    <w:p w14:paraId="539D5DBE">
      <w:pPr>
        <w:pStyle w:val="48"/>
        <w:spacing w:before="50" w:after="50"/>
        <w:ind w:firstLine="640"/>
        <w:rPr>
          <w:rFonts w:hint="eastAsia" w:ascii="宋体" w:hAnsi="宋体" w:cs="仿宋_GB2312"/>
          <w:bCs/>
          <w:i w:val="0"/>
          <w:iCs w:val="0"/>
          <w:color w:val="auto"/>
          <w:sz w:val="32"/>
          <w:szCs w:val="32"/>
          <w:highlight w:val="none"/>
        </w:rPr>
      </w:pPr>
    </w:p>
    <w:p w14:paraId="659A8F70">
      <w:pPr>
        <w:pStyle w:val="48"/>
        <w:spacing w:before="50" w:after="50"/>
        <w:ind w:firstLine="720"/>
        <w:rPr>
          <w:rFonts w:hint="eastAsia" w:ascii="宋体" w:hAnsi="宋体" w:cs="仿宋_GB2312"/>
          <w:bCs/>
          <w:i w:val="0"/>
          <w:iCs w:val="0"/>
          <w:color w:val="auto"/>
          <w:sz w:val="32"/>
          <w:szCs w:val="32"/>
          <w:highlight w:val="none"/>
        </w:rPr>
      </w:pPr>
    </w:p>
    <w:p w14:paraId="733BA41F">
      <w:pPr>
        <w:pStyle w:val="48"/>
        <w:spacing w:before="50" w:after="50"/>
        <w:ind w:firstLine="0"/>
        <w:rPr>
          <w:rFonts w:hint="eastAsia" w:ascii="宋体" w:hAnsi="宋体" w:cs="仿宋_GB2312"/>
          <w:bCs/>
          <w:i w:val="0"/>
          <w:iCs w:val="0"/>
          <w:color w:val="auto"/>
          <w:sz w:val="32"/>
          <w:szCs w:val="32"/>
          <w:highlight w:val="none"/>
        </w:rPr>
      </w:pPr>
    </w:p>
    <w:p w14:paraId="22251268">
      <w:pPr>
        <w:pStyle w:val="48"/>
        <w:spacing w:before="50" w:after="50"/>
        <w:ind w:firstLine="1280"/>
        <w:rPr>
          <w:rFonts w:hint="eastAsia" w:ascii="宋体" w:hAnsi="宋体" w:cs="仿宋_GB2312"/>
          <w:bCs/>
          <w:i w:val="0"/>
          <w:iCs w:val="0"/>
          <w:color w:val="auto"/>
          <w:sz w:val="32"/>
          <w:szCs w:val="32"/>
          <w:highlight w:val="none"/>
        </w:rPr>
      </w:pPr>
    </w:p>
    <w:p w14:paraId="1EB1FAE9">
      <w:pPr>
        <w:spacing w:before="120" w:after="50"/>
        <w:jc w:val="center"/>
        <w:rPr>
          <w:rFonts w:hint="eastAsia" w:ascii="宋体" w:hAnsi="宋体" w:cs="仿宋_GB2312"/>
          <w:i w:val="0"/>
          <w:iCs w:val="0"/>
          <w:color w:val="auto"/>
          <w:sz w:val="32"/>
          <w:szCs w:val="32"/>
          <w:highlight w:val="none"/>
        </w:rPr>
      </w:pPr>
      <w:r>
        <w:rPr>
          <w:rFonts w:hint="eastAsia" w:ascii="宋体" w:hAnsi="宋体" w:cs="仿宋_GB2312"/>
          <w:i w:val="0"/>
          <w:iCs w:val="0"/>
          <w:color w:val="auto"/>
          <w:sz w:val="32"/>
          <w:szCs w:val="32"/>
          <w:highlight w:val="none"/>
        </w:rPr>
        <w:t>年</w:t>
      </w:r>
      <w:r>
        <w:rPr>
          <w:rFonts w:hint="eastAsia" w:ascii="宋体" w:hAnsi="宋体" w:cs="仿宋_GB2312"/>
          <w:i w:val="0"/>
          <w:iCs w:val="0"/>
          <w:color w:val="auto"/>
          <w:sz w:val="32"/>
          <w:szCs w:val="32"/>
          <w:highlight w:val="none"/>
          <w:lang w:val="en-US" w:eastAsia="zh-CN"/>
        </w:rPr>
        <w:t xml:space="preserve">  </w:t>
      </w:r>
      <w:r>
        <w:rPr>
          <w:rFonts w:hint="eastAsia" w:ascii="宋体" w:hAnsi="宋体" w:cs="仿宋_GB2312"/>
          <w:i w:val="0"/>
          <w:iCs w:val="0"/>
          <w:color w:val="auto"/>
          <w:sz w:val="32"/>
          <w:szCs w:val="32"/>
          <w:highlight w:val="none"/>
        </w:rPr>
        <w:t>月</w:t>
      </w:r>
      <w:r>
        <w:rPr>
          <w:rFonts w:hint="eastAsia" w:ascii="宋体" w:hAnsi="宋体" w:cs="仿宋_GB2312"/>
          <w:i w:val="0"/>
          <w:iCs w:val="0"/>
          <w:color w:val="auto"/>
          <w:sz w:val="32"/>
          <w:szCs w:val="32"/>
          <w:highlight w:val="none"/>
          <w:lang w:val="en-US" w:eastAsia="zh-CN"/>
        </w:rPr>
        <w:t xml:space="preserve">  </w:t>
      </w:r>
      <w:r>
        <w:rPr>
          <w:rFonts w:hint="eastAsia" w:ascii="宋体" w:hAnsi="宋体" w:cs="仿宋_GB2312"/>
          <w:i w:val="0"/>
          <w:iCs w:val="0"/>
          <w:color w:val="auto"/>
          <w:sz w:val="32"/>
          <w:szCs w:val="32"/>
          <w:highlight w:val="none"/>
        </w:rPr>
        <w:t>日</w:t>
      </w:r>
    </w:p>
    <w:p w14:paraId="58665930">
      <w:pPr>
        <w:spacing w:before="120" w:after="50" w:line="360" w:lineRule="auto"/>
        <w:ind w:left="142"/>
        <w:jc w:val="left"/>
        <w:rPr>
          <w:rFonts w:hint="eastAsia" w:ascii="宋体" w:hAnsi="宋体"/>
          <w:b/>
          <w:bCs/>
          <w:i w:val="0"/>
          <w:iCs w:val="0"/>
          <w:color w:val="auto"/>
          <w:sz w:val="24"/>
          <w:highlight w:val="none"/>
        </w:rPr>
      </w:pPr>
      <w:r>
        <w:rPr>
          <w:rFonts w:hint="eastAsia" w:ascii="宋体" w:hAnsi="宋体"/>
          <w:i w:val="0"/>
          <w:iCs w:val="0"/>
          <w:color w:val="auto"/>
          <w:szCs w:val="21"/>
          <w:highlight w:val="none"/>
        </w:rPr>
        <w:br w:type="page" w:clear="all"/>
      </w:r>
      <w:r>
        <w:rPr>
          <w:rFonts w:hint="eastAsia" w:ascii="宋体" w:hAnsi="宋体"/>
          <w:b/>
          <w:bCs/>
          <w:i w:val="0"/>
          <w:iCs w:val="0"/>
          <w:color w:val="auto"/>
          <w:sz w:val="32"/>
          <w:szCs w:val="32"/>
          <w:highlight w:val="none"/>
        </w:rPr>
        <w:t>2.报价文件目录</w:t>
      </w:r>
    </w:p>
    <w:p w14:paraId="53BCD94B">
      <w:pPr>
        <w:spacing w:line="520" w:lineRule="exact"/>
        <w:jc w:val="center"/>
        <w:rPr>
          <w:rFonts w:hint="default" w:ascii="微软雅黑" w:hAnsi="微软雅黑" w:eastAsia="微软雅黑" w:cs="微软雅黑"/>
          <w:bCs/>
          <w:i w:val="0"/>
          <w:iCs w:val="0"/>
          <w:color w:val="auto"/>
          <w:sz w:val="32"/>
          <w:szCs w:val="32"/>
          <w:highlight w:val="none"/>
          <w:lang w:val="en-US" w:eastAsia="zh-CN"/>
        </w:rPr>
      </w:pPr>
      <w:r>
        <w:rPr>
          <w:rFonts w:hint="eastAsia" w:ascii="宋体" w:hAnsi="宋体"/>
          <w:i w:val="0"/>
          <w:iCs w:val="0"/>
          <w:color w:val="auto"/>
          <w:sz w:val="32"/>
          <w:szCs w:val="32"/>
          <w:highlight w:val="none"/>
        </w:rPr>
        <w:t>根据磋商文件规定及供应商提供的材料自行编写目录（部分格式后附）。</w:t>
      </w:r>
      <w:r>
        <w:rPr>
          <w:rFonts w:ascii="宋体" w:hAnsi="宋体"/>
          <w:b/>
          <w:bCs/>
          <w:i w:val="0"/>
          <w:iCs w:val="0"/>
          <w:color w:val="auto"/>
          <w:sz w:val="32"/>
          <w:szCs w:val="32"/>
          <w:highlight w:val="none"/>
        </w:rPr>
        <w:br w:type="page" w:clear="all"/>
      </w:r>
      <w:r>
        <w:rPr>
          <w:rFonts w:hint="eastAsia" w:ascii="微软雅黑" w:hAnsi="微软雅黑" w:eastAsia="微软雅黑" w:cs="微软雅黑"/>
          <w:bCs/>
          <w:i w:val="0"/>
          <w:iCs w:val="0"/>
          <w:color w:val="auto"/>
          <w:sz w:val="44"/>
          <w:szCs w:val="44"/>
          <w:highlight w:val="none"/>
        </w:rPr>
        <w:t>竞  标  报  价  表</w:t>
      </w:r>
      <w:r>
        <w:rPr>
          <w:rFonts w:hint="eastAsia" w:ascii="微软雅黑" w:hAnsi="微软雅黑" w:eastAsia="微软雅黑" w:cs="微软雅黑"/>
          <w:bCs/>
          <w:i w:val="0"/>
          <w:iCs w:val="0"/>
          <w:color w:val="auto"/>
          <w:sz w:val="44"/>
          <w:szCs w:val="44"/>
          <w:highlight w:val="none"/>
          <w:lang w:eastAsia="zh-CN"/>
        </w:rPr>
        <w:t>（</w:t>
      </w:r>
      <w:r>
        <w:rPr>
          <w:rFonts w:hint="eastAsia" w:ascii="微软雅黑" w:hAnsi="微软雅黑" w:eastAsia="微软雅黑" w:cs="微软雅黑"/>
          <w:bCs/>
          <w:i w:val="0"/>
          <w:iCs w:val="0"/>
          <w:color w:val="auto"/>
          <w:sz w:val="44"/>
          <w:szCs w:val="44"/>
          <w:highlight w:val="none"/>
          <w:lang w:val="en-US" w:eastAsia="zh-CN"/>
        </w:rPr>
        <w:t>适用分标1</w:t>
      </w:r>
      <w:r>
        <w:rPr>
          <w:rFonts w:hint="eastAsia" w:ascii="微软雅黑" w:hAnsi="微软雅黑" w:eastAsia="微软雅黑" w:cs="微软雅黑"/>
          <w:bCs/>
          <w:i w:val="0"/>
          <w:iCs w:val="0"/>
          <w:color w:val="auto"/>
          <w:sz w:val="44"/>
          <w:szCs w:val="44"/>
          <w:highlight w:val="none"/>
          <w:lang w:eastAsia="zh-CN"/>
        </w:rPr>
        <w:t>）</w:t>
      </w:r>
    </w:p>
    <w:p w14:paraId="07952DB8">
      <w:pPr>
        <w:spacing w:line="440" w:lineRule="exact"/>
        <w:jc w:val="center"/>
        <w:rPr>
          <w:rFonts w:hint="eastAsia" w:ascii="微软雅黑" w:hAnsi="微软雅黑" w:eastAsia="微软雅黑" w:cs="微软雅黑"/>
          <w:bCs/>
          <w:i w:val="0"/>
          <w:iCs w:val="0"/>
          <w:color w:val="auto"/>
          <w:sz w:val="32"/>
          <w:szCs w:val="32"/>
          <w:highlight w:val="none"/>
        </w:rPr>
      </w:pPr>
    </w:p>
    <w:p w14:paraId="35B80370">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项目名称：</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项目编号：</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102A517C">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0F7A9FBD">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所竞分标：</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u w:val="single"/>
          <w:lang w:val="en-US" w:eastAsia="zh-CN"/>
        </w:rPr>
        <w:t>分标1</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635624F7">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单位：元</w:t>
      </w:r>
    </w:p>
    <w:tbl>
      <w:tblPr>
        <w:tblStyle w:val="36"/>
        <w:tblpPr w:leftFromText="180" w:rightFromText="180" w:vertAnchor="text" w:horzAnchor="page" w:tblpX="896" w:tblpY="278"/>
        <w:tblOverlap w:val="never"/>
        <w:tblW w:w="10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809"/>
        <w:gridCol w:w="765"/>
        <w:gridCol w:w="611"/>
        <w:gridCol w:w="1195"/>
        <w:gridCol w:w="1300"/>
        <w:gridCol w:w="1161"/>
        <w:gridCol w:w="2639"/>
      </w:tblGrid>
      <w:tr w14:paraId="1C49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6"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75DA3ACE">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序号</w:t>
            </w:r>
          </w:p>
        </w:tc>
        <w:tc>
          <w:tcPr>
            <w:tcW w:w="1809" w:type="dxa"/>
            <w:tcBorders>
              <w:top w:val="single" w:color="auto" w:sz="4" w:space="0"/>
              <w:left w:val="single" w:color="auto" w:sz="4" w:space="0"/>
              <w:bottom w:val="single" w:color="auto" w:sz="4" w:space="0"/>
              <w:right w:val="single" w:color="auto" w:sz="4" w:space="0"/>
            </w:tcBorders>
            <w:noWrap w:val="0"/>
            <w:vAlign w:val="center"/>
          </w:tcPr>
          <w:p w14:paraId="6F154976">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标的名称</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0C6F8B63">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lang w:val="en-US" w:eastAsia="zh-CN"/>
              </w:rPr>
              <w:t>参考数量</w:t>
            </w:r>
            <w:r>
              <w:rPr>
                <w:rFonts w:hint="default" w:ascii="仿宋_GB2312" w:hAnsi="仿宋_GB2312" w:eastAsia="仿宋_GB2312" w:cs="仿宋_GB2312"/>
                <w:i w:val="0"/>
                <w:iCs w:val="0"/>
                <w:color w:val="auto"/>
                <w:sz w:val="24"/>
                <w:szCs w:val="24"/>
                <w:highlight w:val="none"/>
              </w:rPr>
              <w:t>①</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77BFDD9F">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单位</w:t>
            </w:r>
          </w:p>
        </w:tc>
        <w:tc>
          <w:tcPr>
            <w:tcW w:w="1195" w:type="dxa"/>
            <w:tcBorders>
              <w:top w:val="single" w:color="auto" w:sz="4" w:space="0"/>
              <w:left w:val="single" w:color="auto" w:sz="4" w:space="0"/>
              <w:bottom w:val="single" w:color="auto" w:sz="4" w:space="0"/>
              <w:right w:val="single" w:color="auto" w:sz="4" w:space="0"/>
            </w:tcBorders>
            <w:noWrap w:val="0"/>
            <w:vAlign w:val="center"/>
          </w:tcPr>
          <w:p w14:paraId="789D3A64">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年度考核单价</w:t>
            </w:r>
            <w:r>
              <w:rPr>
                <w:rFonts w:hint="default" w:ascii="仿宋_GB2312" w:hAnsi="仿宋_GB2312" w:eastAsia="仿宋_GB2312" w:cs="仿宋_GB2312"/>
                <w:i w:val="0"/>
                <w:iCs w:val="0"/>
                <w:color w:val="auto"/>
                <w:sz w:val="24"/>
                <w:szCs w:val="24"/>
                <w:highlight w:val="none"/>
                <w:lang w:val="en-US" w:eastAsia="zh-CN"/>
              </w:rPr>
              <w:t>②</w:t>
            </w:r>
          </w:p>
        </w:tc>
        <w:tc>
          <w:tcPr>
            <w:tcW w:w="1300" w:type="dxa"/>
            <w:tcBorders>
              <w:top w:val="single" w:color="auto" w:sz="4" w:space="0"/>
              <w:left w:val="single" w:color="auto" w:sz="4" w:space="0"/>
              <w:bottom w:val="single" w:color="auto" w:sz="4" w:space="0"/>
              <w:right w:val="single" w:color="auto" w:sz="4" w:space="0"/>
            </w:tcBorders>
            <w:noWrap w:val="0"/>
            <w:vAlign w:val="center"/>
          </w:tcPr>
          <w:p w14:paraId="0DC6DDD7">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参考数量（需要做日常全覆盖）</w:t>
            </w:r>
            <w:r>
              <w:rPr>
                <w:rFonts w:hint="default" w:ascii="仿宋_GB2312" w:hAnsi="仿宋_GB2312" w:eastAsia="仿宋_GB2312" w:cs="仿宋_GB2312"/>
                <w:i w:val="0"/>
                <w:iCs w:val="0"/>
                <w:color w:val="auto"/>
                <w:sz w:val="24"/>
                <w:szCs w:val="24"/>
                <w:highlight w:val="none"/>
                <w:lang w:val="en-US" w:eastAsia="zh-CN"/>
              </w:rPr>
              <w:t>③</w:t>
            </w:r>
          </w:p>
        </w:tc>
        <w:tc>
          <w:tcPr>
            <w:tcW w:w="11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B8A749">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年度考核费+日常全覆盖单价④</w:t>
            </w:r>
          </w:p>
        </w:tc>
        <w:tc>
          <w:tcPr>
            <w:tcW w:w="263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CC8295">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总价⑤=(数量①-数量③)×单价②+数量③×单价④</w:t>
            </w:r>
          </w:p>
        </w:tc>
      </w:tr>
      <w:tr w14:paraId="22AD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79B05235">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w:t>
            </w:r>
          </w:p>
        </w:tc>
        <w:tc>
          <w:tcPr>
            <w:tcW w:w="1809" w:type="dxa"/>
            <w:tcBorders>
              <w:top w:val="single" w:color="auto" w:sz="4" w:space="0"/>
              <w:left w:val="single" w:color="auto" w:sz="4" w:space="0"/>
              <w:bottom w:val="single" w:color="auto" w:sz="4" w:space="0"/>
              <w:right w:val="single" w:color="auto" w:sz="4" w:space="0"/>
            </w:tcBorders>
            <w:noWrap w:val="0"/>
            <w:vAlign w:val="center"/>
          </w:tcPr>
          <w:p w14:paraId="20B99883">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二级定点医疗机构</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2D35F782">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宋体"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17</w:t>
            </w:r>
          </w:p>
        </w:tc>
        <w:tc>
          <w:tcPr>
            <w:tcW w:w="61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1959F8">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家</w:t>
            </w:r>
          </w:p>
        </w:tc>
        <w:tc>
          <w:tcPr>
            <w:tcW w:w="1195" w:type="dxa"/>
            <w:tcBorders>
              <w:top w:val="single" w:color="auto" w:sz="4" w:space="0"/>
              <w:left w:val="single" w:color="auto" w:sz="4" w:space="0"/>
              <w:bottom w:val="single" w:color="auto" w:sz="4" w:space="0"/>
              <w:right w:val="single" w:color="auto" w:sz="4" w:space="0"/>
            </w:tcBorders>
            <w:noWrap w:val="0"/>
            <w:vAlign w:val="top"/>
          </w:tcPr>
          <w:p w14:paraId="20A58834">
            <w:pPr>
              <w:keepNext w:val="0"/>
              <w:keepLines w:val="0"/>
              <w:pageBreakBefore w:val="0"/>
              <w:widowControl w:val="0"/>
              <w:kinsoku/>
              <w:wordWrap/>
              <w:overflowPunct/>
              <w:topLinePunct w:val="0"/>
              <w:autoSpaceDE/>
              <w:autoSpaceDN/>
              <w:bidi w:val="0"/>
              <w:adjustRightInd/>
              <w:snapToGrid/>
              <w:spacing w:line="420" w:lineRule="exact"/>
              <w:contextualSpacing/>
              <w:textAlignment w:val="auto"/>
              <w:rPr>
                <w:rFonts w:hint="eastAsia" w:ascii="仿宋_GB2312" w:hAnsi="仿宋_GB2312" w:eastAsia="仿宋_GB2312" w:cs="仿宋_GB2312"/>
                <w:i w:val="0"/>
                <w:iCs w:val="0"/>
                <w:color w:val="auto"/>
                <w:sz w:val="24"/>
                <w:szCs w:val="24"/>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5BC31370">
            <w:pPr>
              <w:keepNext w:val="0"/>
              <w:keepLines w:val="0"/>
              <w:pageBreakBefore w:val="0"/>
              <w:widowControl w:val="0"/>
              <w:kinsoku/>
              <w:wordWrap/>
              <w:overflowPunct/>
              <w:topLinePunct w:val="0"/>
              <w:autoSpaceDE/>
              <w:autoSpaceDN/>
              <w:bidi w:val="0"/>
              <w:adjustRightInd/>
              <w:snapToGrid/>
              <w:spacing w:line="420" w:lineRule="exact"/>
              <w:ind w:firstLine="480" w:firstLineChars="200"/>
              <w:contextualSpacing/>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 xml:space="preserve">3 </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4599C506">
            <w:pPr>
              <w:keepNext w:val="0"/>
              <w:keepLines w:val="0"/>
              <w:pageBreakBefore w:val="0"/>
              <w:widowControl w:val="0"/>
              <w:kinsoku/>
              <w:wordWrap/>
              <w:overflowPunct/>
              <w:topLinePunct w:val="0"/>
              <w:autoSpaceDE/>
              <w:autoSpaceDN/>
              <w:bidi w:val="0"/>
              <w:adjustRightInd/>
              <w:snapToGrid/>
              <w:spacing w:line="420" w:lineRule="exact"/>
              <w:contextualSpacing/>
              <w:textAlignment w:val="auto"/>
              <w:rPr>
                <w:rFonts w:hint="eastAsia" w:ascii="仿宋_GB2312" w:hAnsi="仿宋_GB2312" w:eastAsia="仿宋_GB2312" w:cs="仿宋_GB2312"/>
                <w:i w:val="0"/>
                <w:iCs w:val="0"/>
                <w:color w:val="auto"/>
                <w:sz w:val="24"/>
                <w:szCs w:val="24"/>
                <w:highlight w:val="none"/>
              </w:rPr>
            </w:pPr>
          </w:p>
        </w:tc>
        <w:tc>
          <w:tcPr>
            <w:tcW w:w="2639" w:type="dxa"/>
            <w:tcBorders>
              <w:top w:val="single" w:color="auto" w:sz="4" w:space="0"/>
              <w:left w:val="single" w:color="auto" w:sz="4" w:space="0"/>
              <w:bottom w:val="single" w:color="auto" w:sz="4" w:space="0"/>
              <w:right w:val="single" w:color="auto" w:sz="4" w:space="0"/>
            </w:tcBorders>
            <w:noWrap w:val="0"/>
            <w:vAlign w:val="center"/>
          </w:tcPr>
          <w:p w14:paraId="1F2C0E36">
            <w:pPr>
              <w:keepNext w:val="0"/>
              <w:keepLines w:val="0"/>
              <w:pageBreakBefore w:val="0"/>
              <w:widowControl w:val="0"/>
              <w:kinsoku/>
              <w:wordWrap/>
              <w:overflowPunct/>
              <w:topLinePunct w:val="0"/>
              <w:autoSpaceDE/>
              <w:autoSpaceDN/>
              <w:bidi w:val="0"/>
              <w:adjustRightInd/>
              <w:snapToGrid/>
              <w:spacing w:line="420" w:lineRule="exact"/>
              <w:contextualSpacing/>
              <w:textAlignment w:val="auto"/>
              <w:rPr>
                <w:rFonts w:hint="eastAsia" w:ascii="仿宋_GB2312" w:hAnsi="仿宋_GB2312" w:eastAsia="仿宋_GB2312" w:cs="仿宋_GB2312"/>
                <w:i w:val="0"/>
                <w:iCs w:val="0"/>
                <w:color w:val="auto"/>
                <w:sz w:val="24"/>
                <w:szCs w:val="24"/>
                <w:highlight w:val="none"/>
              </w:rPr>
            </w:pPr>
          </w:p>
        </w:tc>
      </w:tr>
      <w:tr w14:paraId="5EA1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3F841F45">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2</w:t>
            </w:r>
          </w:p>
        </w:tc>
        <w:tc>
          <w:tcPr>
            <w:tcW w:w="1809" w:type="dxa"/>
            <w:tcBorders>
              <w:top w:val="single" w:color="auto" w:sz="4" w:space="0"/>
              <w:left w:val="single" w:color="auto" w:sz="4" w:space="0"/>
              <w:bottom w:val="single" w:color="auto" w:sz="4" w:space="0"/>
              <w:right w:val="single" w:color="auto" w:sz="4" w:space="0"/>
            </w:tcBorders>
            <w:noWrap w:val="0"/>
            <w:vAlign w:val="center"/>
          </w:tcPr>
          <w:p w14:paraId="0FC39824">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一级及以下定点医疗机构</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326A73BB">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49</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37F34540">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家</w:t>
            </w:r>
          </w:p>
        </w:tc>
        <w:tc>
          <w:tcPr>
            <w:tcW w:w="1195" w:type="dxa"/>
            <w:tcBorders>
              <w:top w:val="single" w:color="auto" w:sz="4" w:space="0"/>
              <w:left w:val="single" w:color="auto" w:sz="4" w:space="0"/>
              <w:bottom w:val="single" w:color="auto" w:sz="4" w:space="0"/>
              <w:right w:val="single" w:color="auto" w:sz="4" w:space="0"/>
            </w:tcBorders>
            <w:noWrap w:val="0"/>
            <w:vAlign w:val="top"/>
          </w:tcPr>
          <w:p w14:paraId="1911EB0B">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6C74D758">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22</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3E1DC2A">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c>
          <w:tcPr>
            <w:tcW w:w="2639" w:type="dxa"/>
            <w:tcBorders>
              <w:top w:val="single" w:color="auto" w:sz="4" w:space="0"/>
              <w:left w:val="single" w:color="auto" w:sz="4" w:space="0"/>
              <w:bottom w:val="single" w:color="auto" w:sz="4" w:space="0"/>
              <w:right w:val="single" w:color="auto" w:sz="4" w:space="0"/>
            </w:tcBorders>
            <w:noWrap w:val="0"/>
            <w:vAlign w:val="center"/>
          </w:tcPr>
          <w:p w14:paraId="15239A9E">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r>
      <w:tr w14:paraId="61C2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18CA7319">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3</w:t>
            </w:r>
          </w:p>
        </w:tc>
        <w:tc>
          <w:tcPr>
            <w:tcW w:w="1809" w:type="dxa"/>
            <w:tcBorders>
              <w:top w:val="single" w:color="auto" w:sz="4" w:space="0"/>
              <w:left w:val="single" w:color="auto" w:sz="4" w:space="0"/>
              <w:bottom w:val="single" w:color="auto" w:sz="4" w:space="0"/>
              <w:right w:val="single" w:color="auto" w:sz="4" w:space="0"/>
            </w:tcBorders>
            <w:noWrap w:val="0"/>
            <w:vAlign w:val="center"/>
          </w:tcPr>
          <w:p w14:paraId="74CEAF90">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定点零售药店</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042AE224">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239</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30647628">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家</w:t>
            </w:r>
          </w:p>
        </w:tc>
        <w:tc>
          <w:tcPr>
            <w:tcW w:w="1195" w:type="dxa"/>
            <w:tcBorders>
              <w:top w:val="single" w:color="auto" w:sz="4" w:space="0"/>
              <w:left w:val="single" w:color="auto" w:sz="4" w:space="0"/>
              <w:bottom w:val="single" w:color="auto" w:sz="4" w:space="0"/>
              <w:right w:val="single" w:color="auto" w:sz="4" w:space="0"/>
            </w:tcBorders>
            <w:noWrap w:val="0"/>
            <w:vAlign w:val="top"/>
          </w:tcPr>
          <w:p w14:paraId="589C5874">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28E6A84E">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33</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40BD1B9A">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c>
          <w:tcPr>
            <w:tcW w:w="2639" w:type="dxa"/>
            <w:tcBorders>
              <w:top w:val="single" w:color="auto" w:sz="4" w:space="0"/>
              <w:left w:val="single" w:color="auto" w:sz="4" w:space="0"/>
              <w:bottom w:val="single" w:color="auto" w:sz="4" w:space="0"/>
              <w:right w:val="single" w:color="auto" w:sz="4" w:space="0"/>
            </w:tcBorders>
            <w:noWrap w:val="0"/>
            <w:vAlign w:val="center"/>
          </w:tcPr>
          <w:p w14:paraId="4F766540">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r>
      <w:tr w14:paraId="1142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416" w:type="dxa"/>
            <w:gridSpan w:val="7"/>
            <w:tcBorders>
              <w:top w:val="single" w:color="auto" w:sz="4" w:space="0"/>
              <w:left w:val="single" w:color="auto" w:sz="4" w:space="0"/>
              <w:bottom w:val="single" w:color="auto" w:sz="4" w:space="0"/>
              <w:right w:val="single" w:color="auto" w:sz="4" w:space="0"/>
            </w:tcBorders>
            <w:noWrap w:val="0"/>
            <w:vAlign w:val="center"/>
          </w:tcPr>
          <w:p w14:paraId="4F3653C6">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rPr>
              <w:t>合计金额大写：人民币</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w:t>
            </w:r>
          </w:p>
        </w:tc>
        <w:tc>
          <w:tcPr>
            <w:tcW w:w="2639" w:type="dxa"/>
            <w:tcBorders>
              <w:top w:val="single" w:color="auto" w:sz="4" w:space="0"/>
              <w:left w:val="single" w:color="auto" w:sz="4" w:space="0"/>
              <w:bottom w:val="single" w:color="auto" w:sz="4" w:space="0"/>
              <w:right w:val="single" w:color="auto" w:sz="4" w:space="0"/>
            </w:tcBorders>
            <w:noWrap w:val="0"/>
            <w:vAlign w:val="center"/>
          </w:tcPr>
          <w:p w14:paraId="69DFD9A6">
            <w:pPr>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r>
    </w:tbl>
    <w:p w14:paraId="7440B9EB">
      <w:pPr>
        <w:keepNext w:val="0"/>
        <w:keepLines w:val="0"/>
        <w:pageBreakBefore w:val="0"/>
        <w:widowControl w:val="0"/>
        <w:kinsoku/>
        <w:wordWrap/>
        <w:overflowPunct/>
        <w:topLinePunct w:val="0"/>
        <w:autoSpaceDE/>
        <w:autoSpaceDN/>
        <w:bidi w:val="0"/>
        <w:adjustRightInd/>
        <w:snapToGrid/>
        <w:spacing w:line="420" w:lineRule="exact"/>
        <w:contextualSpacing/>
        <w:jc w:val="left"/>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注： </w:t>
      </w:r>
    </w:p>
    <w:p w14:paraId="045B87D6">
      <w:pPr>
        <w:keepNext w:val="0"/>
        <w:keepLines w:val="0"/>
        <w:pageBreakBefore w:val="0"/>
        <w:widowControl w:val="0"/>
        <w:kinsoku/>
        <w:wordWrap/>
        <w:overflowPunct/>
        <w:topLinePunct w:val="0"/>
        <w:autoSpaceDE/>
        <w:autoSpaceDN/>
        <w:bidi w:val="0"/>
        <w:adjustRightInd/>
        <w:snapToGrid/>
        <w:spacing w:line="420" w:lineRule="exact"/>
        <w:ind w:firstLine="640"/>
        <w:contextualSpacing/>
        <w:jc w:val="left"/>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 供应商的报价表必须加盖供应商电子签章并由法定代表人或者委托代理人签字或者电子签名，</w:t>
      </w:r>
      <w:r>
        <w:rPr>
          <w:rFonts w:hint="eastAsia" w:ascii="仿宋_GB2312" w:hAnsi="仿宋_GB2312" w:eastAsia="仿宋_GB2312" w:cs="仿宋_GB2312"/>
          <w:b/>
          <w:i w:val="0"/>
          <w:iCs w:val="0"/>
          <w:color w:val="auto"/>
          <w:sz w:val="24"/>
          <w:szCs w:val="24"/>
          <w:highlight w:val="none"/>
        </w:rPr>
        <w:t>否则其响应文件按无效处理</w:t>
      </w:r>
      <w:r>
        <w:rPr>
          <w:rFonts w:hint="eastAsia" w:ascii="仿宋_GB2312" w:hAnsi="仿宋_GB2312" w:eastAsia="仿宋_GB2312" w:cs="仿宋_GB2312"/>
          <w:i w:val="0"/>
          <w:iCs w:val="0"/>
          <w:color w:val="auto"/>
          <w:sz w:val="24"/>
          <w:szCs w:val="24"/>
          <w:highlight w:val="none"/>
        </w:rPr>
        <w:t>。</w:t>
      </w:r>
    </w:p>
    <w:p w14:paraId="415CD6FB">
      <w:pPr>
        <w:keepNext w:val="0"/>
        <w:keepLines w:val="0"/>
        <w:pageBreakBefore w:val="0"/>
        <w:widowControl w:val="0"/>
        <w:kinsoku/>
        <w:wordWrap/>
        <w:overflowPunct/>
        <w:topLinePunct w:val="0"/>
        <w:autoSpaceDE/>
        <w:autoSpaceDN/>
        <w:bidi w:val="0"/>
        <w:adjustRightInd/>
        <w:snapToGrid/>
        <w:spacing w:line="420" w:lineRule="exact"/>
        <w:ind w:firstLine="640"/>
        <w:contextualSpacing/>
        <w:jc w:val="left"/>
        <w:textAlignment w:val="auto"/>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2.</w:t>
      </w:r>
      <w:r>
        <w:rPr>
          <w:rFonts w:hint="eastAsia" w:ascii="仿宋_GB2312" w:hAnsi="仿宋_GB2312" w:eastAsia="仿宋_GB2312" w:cs="仿宋_GB2312"/>
          <w:i w:val="0"/>
          <w:iCs w:val="0"/>
          <w:color w:val="auto"/>
          <w:sz w:val="24"/>
          <w:szCs w:val="24"/>
          <w:highlight w:val="none"/>
        </w:rPr>
        <w:t xml:space="preserve"> 报价一经涂改，应在涂改处加盖供应商公章或者加盖电子签章或者由法定代表人或者</w:t>
      </w:r>
      <w:r>
        <w:rPr>
          <w:rFonts w:hint="eastAsia" w:ascii="仿宋_GB2312" w:hAnsi="仿宋_GB2312" w:eastAsia="仿宋_GB2312" w:cs="仿宋_GB2312"/>
          <w:i w:val="0"/>
          <w:iCs w:val="0"/>
          <w:color w:val="auto"/>
          <w:sz w:val="24"/>
          <w:szCs w:val="24"/>
          <w:highlight w:val="none"/>
          <w:lang w:eastAsia="zh-CN"/>
        </w:rPr>
        <w:t>委托代理人</w:t>
      </w:r>
      <w:r>
        <w:rPr>
          <w:rFonts w:hint="eastAsia" w:ascii="仿宋_GB2312" w:hAnsi="仿宋_GB2312" w:eastAsia="仿宋_GB2312" w:cs="仿宋_GB2312"/>
          <w:i w:val="0"/>
          <w:iCs w:val="0"/>
          <w:color w:val="auto"/>
          <w:sz w:val="24"/>
          <w:szCs w:val="24"/>
          <w:highlight w:val="none"/>
        </w:rPr>
        <w:t>签字（或者电子签名）</w:t>
      </w:r>
      <w:r>
        <w:rPr>
          <w:rFonts w:hint="eastAsia" w:ascii="仿宋_GB2312" w:hAnsi="仿宋_GB2312" w:eastAsia="仿宋_GB2312" w:cs="仿宋_GB2312"/>
          <w:b/>
          <w:i w:val="0"/>
          <w:iCs w:val="0"/>
          <w:color w:val="auto"/>
          <w:sz w:val="24"/>
          <w:szCs w:val="24"/>
          <w:highlight w:val="none"/>
        </w:rPr>
        <w:t>，否则其响应文件按无效处理。</w:t>
      </w:r>
    </w:p>
    <w:p w14:paraId="78B5F43F">
      <w:pPr>
        <w:keepNext w:val="0"/>
        <w:keepLines w:val="0"/>
        <w:pageBreakBefore w:val="0"/>
        <w:widowControl w:val="0"/>
        <w:kinsoku/>
        <w:wordWrap/>
        <w:overflowPunct/>
        <w:topLinePunct w:val="0"/>
        <w:autoSpaceDE/>
        <w:autoSpaceDN/>
        <w:bidi w:val="0"/>
        <w:adjustRightInd/>
        <w:snapToGrid/>
        <w:spacing w:line="420" w:lineRule="exact"/>
        <w:ind w:firstLine="640"/>
        <w:contextualSpacing/>
        <w:jc w:val="left"/>
        <w:textAlignment w:val="auto"/>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3.如为联合体竞标，“供应商名称”处必须列明联合体各方名称，标注联合体牵头人名称，</w:t>
      </w:r>
      <w:r>
        <w:rPr>
          <w:rFonts w:hint="eastAsia" w:ascii="仿宋_GB2312" w:hAnsi="仿宋_GB2312" w:eastAsia="仿宋_GB2312" w:cs="仿宋_GB2312"/>
          <w:b/>
          <w:i w:val="0"/>
          <w:iCs w:val="0"/>
          <w:color w:val="auto"/>
          <w:sz w:val="24"/>
          <w:szCs w:val="24"/>
          <w:highlight w:val="none"/>
        </w:rPr>
        <w:t>否则其响应文件按无效响应处理。</w:t>
      </w:r>
    </w:p>
    <w:p w14:paraId="5E3ECBE8">
      <w:pPr>
        <w:keepNext w:val="0"/>
        <w:keepLines w:val="0"/>
        <w:pageBreakBefore w:val="0"/>
        <w:widowControl w:val="0"/>
        <w:kinsoku/>
        <w:wordWrap/>
        <w:overflowPunct/>
        <w:topLinePunct w:val="0"/>
        <w:autoSpaceDE/>
        <w:autoSpaceDN/>
        <w:bidi w:val="0"/>
        <w:adjustRightInd/>
        <w:snapToGrid/>
        <w:spacing w:line="420" w:lineRule="exact"/>
        <w:ind w:firstLine="640"/>
        <w:contextualSpacing/>
        <w:jc w:val="left"/>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 如为联合体竞标，</w:t>
      </w:r>
      <w:r>
        <w:rPr>
          <w:rFonts w:hint="eastAsia" w:ascii="仿宋_GB2312" w:hAnsi="仿宋_GB2312" w:eastAsia="仿宋_GB2312" w:cs="仿宋_GB2312"/>
          <w:i w:val="0"/>
          <w:iCs w:val="0"/>
          <w:color w:val="auto"/>
          <w:spacing w:val="-6"/>
          <w:sz w:val="24"/>
          <w:szCs w:val="24"/>
          <w:highlight w:val="none"/>
        </w:rPr>
        <w:t xml:space="preserve"> 盖章处须加盖联合体牵头人电子签章</w:t>
      </w:r>
      <w:r>
        <w:rPr>
          <w:rFonts w:hint="eastAsia" w:ascii="仿宋_GB2312" w:hAnsi="仿宋_GB2312" w:eastAsia="仿宋_GB2312" w:cs="仿宋_GB2312"/>
          <w:i w:val="0"/>
          <w:iCs w:val="0"/>
          <w:color w:val="auto"/>
          <w:sz w:val="24"/>
          <w:szCs w:val="24"/>
          <w:highlight w:val="none"/>
        </w:rPr>
        <w:t>，</w:t>
      </w:r>
      <w:r>
        <w:rPr>
          <w:rFonts w:hint="eastAsia" w:ascii="仿宋_GB2312" w:hAnsi="仿宋_GB2312" w:eastAsia="仿宋_GB2312" w:cs="仿宋_GB2312"/>
          <w:b/>
          <w:i w:val="0"/>
          <w:iCs w:val="0"/>
          <w:color w:val="auto"/>
          <w:sz w:val="24"/>
          <w:szCs w:val="24"/>
          <w:highlight w:val="none"/>
        </w:rPr>
        <w:t>否则其响应文件按无效处理。</w:t>
      </w:r>
    </w:p>
    <w:p w14:paraId="4B2588D7">
      <w:pPr>
        <w:keepNext w:val="0"/>
        <w:keepLines w:val="0"/>
        <w:pageBreakBefore w:val="0"/>
        <w:widowControl w:val="0"/>
        <w:kinsoku/>
        <w:wordWrap/>
        <w:overflowPunct/>
        <w:topLinePunct w:val="0"/>
        <w:autoSpaceDE/>
        <w:autoSpaceDN/>
        <w:bidi w:val="0"/>
        <w:adjustRightInd/>
        <w:snapToGrid/>
        <w:spacing w:line="420" w:lineRule="exact"/>
        <w:ind w:firstLine="640"/>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w:t>
      </w:r>
      <w:r>
        <w:rPr>
          <w:rFonts w:hint="eastAsia" w:ascii="仿宋_GB2312" w:hAnsi="仿宋_GB2312" w:eastAsia="仿宋_GB2312" w:cs="仿宋_GB2312"/>
          <w:i w:val="0"/>
          <w:iCs w:val="0"/>
          <w:color w:val="auto"/>
          <w:spacing w:val="-6"/>
          <w:sz w:val="24"/>
          <w:szCs w:val="24"/>
          <w:highlight w:val="none"/>
        </w:rPr>
        <w:t>如有多分标，分别列明各分标的报价表，</w:t>
      </w:r>
      <w:r>
        <w:rPr>
          <w:rFonts w:hint="eastAsia" w:ascii="仿宋_GB2312" w:hAnsi="仿宋_GB2312" w:eastAsia="仿宋_GB2312" w:cs="仿宋_GB2312"/>
          <w:b/>
          <w:i w:val="0"/>
          <w:iCs w:val="0"/>
          <w:color w:val="auto"/>
          <w:spacing w:val="-6"/>
          <w:sz w:val="24"/>
          <w:szCs w:val="24"/>
          <w:highlight w:val="none"/>
        </w:rPr>
        <w:t>否则其响应文件按无效响应处理。</w:t>
      </w:r>
    </w:p>
    <w:p w14:paraId="6163E779">
      <w:pPr>
        <w:keepNext w:val="0"/>
        <w:keepLines w:val="0"/>
        <w:pageBreakBefore w:val="0"/>
        <w:widowControl w:val="0"/>
        <w:kinsoku/>
        <w:wordWrap/>
        <w:overflowPunct/>
        <w:topLinePunct w:val="0"/>
        <w:autoSpaceDE/>
        <w:autoSpaceDN/>
        <w:bidi w:val="0"/>
        <w:adjustRightInd/>
        <w:snapToGrid/>
        <w:spacing w:line="420" w:lineRule="exact"/>
        <w:ind w:right="-817"/>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法定代表人或者委托代理人（签字或者电子签名）：</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45961E13">
      <w:pPr>
        <w:keepNext w:val="0"/>
        <w:keepLines w:val="0"/>
        <w:pageBreakBefore w:val="0"/>
        <w:widowControl w:val="0"/>
        <w:kinsoku/>
        <w:wordWrap/>
        <w:overflowPunct/>
        <w:topLinePunct w:val="0"/>
        <w:autoSpaceDE/>
        <w:autoSpaceDN/>
        <w:bidi w:val="0"/>
        <w:adjustRightInd/>
        <w:snapToGrid/>
        <w:spacing w:line="420" w:lineRule="exact"/>
        <w:ind w:right="-817"/>
        <w:contextualSpacing/>
        <w:textAlignment w:val="auto"/>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供应商名称（电子签章）：</w:t>
      </w:r>
      <w:r>
        <w:rPr>
          <w:rFonts w:hint="eastAsia" w:ascii="仿宋_GB2312" w:hAnsi="仿宋_GB2312" w:eastAsia="仿宋_GB2312" w:cs="仿宋_GB2312"/>
          <w:i w:val="0"/>
          <w:iCs w:val="0"/>
          <w:color w:val="auto"/>
          <w:sz w:val="24"/>
          <w:szCs w:val="24"/>
          <w:highlight w:val="none"/>
          <w:u w:val="single"/>
        </w:rPr>
        <w:t xml:space="preserve">      </w:t>
      </w:r>
    </w:p>
    <w:p w14:paraId="1FBD344F">
      <w:pPr>
        <w:keepNext w:val="0"/>
        <w:keepLines w:val="0"/>
        <w:pageBreakBefore w:val="0"/>
        <w:widowControl w:val="0"/>
        <w:kinsoku/>
        <w:wordWrap/>
        <w:overflowPunct/>
        <w:topLinePunct w:val="0"/>
        <w:autoSpaceDE/>
        <w:autoSpaceDN/>
        <w:bidi w:val="0"/>
        <w:adjustRightInd/>
        <w:snapToGrid/>
        <w:spacing w:line="420" w:lineRule="exact"/>
        <w:ind w:right="-817"/>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   年   月   日</w:t>
      </w:r>
    </w:p>
    <w:p w14:paraId="3EFBBE2E">
      <w:pPr>
        <w:pStyle w:val="2"/>
        <w:rPr>
          <w:rFonts w:hint="eastAsia"/>
          <w:color w:val="auto"/>
          <w:highlight w:val="none"/>
        </w:rPr>
      </w:pPr>
    </w:p>
    <w:p w14:paraId="386534B5">
      <w:pPr>
        <w:jc w:val="center"/>
        <w:rPr>
          <w:rFonts w:hint="eastAsia" w:ascii="微软雅黑" w:hAnsi="微软雅黑" w:eastAsia="微软雅黑" w:cs="微软雅黑"/>
          <w:bCs/>
          <w:i w:val="0"/>
          <w:iCs w:val="0"/>
          <w:color w:val="auto"/>
          <w:sz w:val="32"/>
          <w:szCs w:val="32"/>
          <w:highlight w:val="none"/>
          <w:lang w:eastAsia="zh-CN"/>
        </w:rPr>
      </w:pPr>
      <w:r>
        <w:rPr>
          <w:rFonts w:hint="eastAsia" w:ascii="微软雅黑" w:hAnsi="微软雅黑" w:eastAsia="微软雅黑" w:cs="微软雅黑"/>
          <w:bCs/>
          <w:i w:val="0"/>
          <w:iCs w:val="0"/>
          <w:color w:val="auto"/>
          <w:sz w:val="44"/>
          <w:szCs w:val="44"/>
          <w:highlight w:val="none"/>
        </w:rPr>
        <w:t>竞  标  报  价  表</w:t>
      </w:r>
      <w:r>
        <w:rPr>
          <w:rFonts w:hint="eastAsia" w:ascii="微软雅黑" w:hAnsi="微软雅黑" w:eastAsia="微软雅黑" w:cs="微软雅黑"/>
          <w:bCs/>
          <w:i w:val="0"/>
          <w:iCs w:val="0"/>
          <w:color w:val="auto"/>
          <w:sz w:val="44"/>
          <w:szCs w:val="44"/>
          <w:highlight w:val="none"/>
          <w:lang w:eastAsia="zh-CN"/>
        </w:rPr>
        <w:t>（</w:t>
      </w:r>
      <w:r>
        <w:rPr>
          <w:rFonts w:hint="eastAsia" w:ascii="微软雅黑" w:hAnsi="微软雅黑" w:eastAsia="微软雅黑" w:cs="微软雅黑"/>
          <w:bCs/>
          <w:i w:val="0"/>
          <w:iCs w:val="0"/>
          <w:color w:val="auto"/>
          <w:sz w:val="44"/>
          <w:szCs w:val="44"/>
          <w:highlight w:val="none"/>
          <w:lang w:val="en-US" w:eastAsia="zh-CN"/>
        </w:rPr>
        <w:t>适用分标2</w:t>
      </w:r>
      <w:r>
        <w:rPr>
          <w:rFonts w:hint="eastAsia" w:ascii="微软雅黑" w:hAnsi="微软雅黑" w:eastAsia="微软雅黑" w:cs="微软雅黑"/>
          <w:bCs/>
          <w:i w:val="0"/>
          <w:iCs w:val="0"/>
          <w:color w:val="auto"/>
          <w:sz w:val="44"/>
          <w:szCs w:val="44"/>
          <w:highlight w:val="none"/>
          <w:lang w:eastAsia="zh-CN"/>
        </w:rPr>
        <w:t>）</w:t>
      </w:r>
    </w:p>
    <w:p w14:paraId="7E0CCF43">
      <w:pPr>
        <w:spacing w:line="440" w:lineRule="exact"/>
        <w:jc w:val="center"/>
        <w:rPr>
          <w:rFonts w:hint="eastAsia" w:ascii="微软雅黑" w:hAnsi="微软雅黑" w:eastAsia="微软雅黑" w:cs="微软雅黑"/>
          <w:bCs/>
          <w:i w:val="0"/>
          <w:iCs w:val="0"/>
          <w:color w:val="auto"/>
          <w:sz w:val="32"/>
          <w:szCs w:val="32"/>
          <w:highlight w:val="none"/>
        </w:rPr>
      </w:pPr>
    </w:p>
    <w:p w14:paraId="66D6D0D6">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项目名称：</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项目编号：</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2303882C">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5963542D">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所竞分标：</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u w:val="single"/>
          <w:lang w:val="en-US" w:eastAsia="zh-CN"/>
        </w:rPr>
        <w:t>分标2</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1ECB5386">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单位：元</w:t>
      </w:r>
    </w:p>
    <w:tbl>
      <w:tblPr>
        <w:tblStyle w:val="36"/>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934"/>
        <w:gridCol w:w="715"/>
        <w:gridCol w:w="920"/>
        <w:gridCol w:w="1447"/>
        <w:gridCol w:w="1199"/>
        <w:gridCol w:w="1085"/>
        <w:gridCol w:w="1382"/>
      </w:tblGrid>
      <w:tr w14:paraId="63F6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9" w:hRule="atLeast"/>
          <w:jc w:val="center"/>
        </w:trPr>
        <w:tc>
          <w:tcPr>
            <w:tcW w:w="574" w:type="dxa"/>
            <w:tcBorders>
              <w:top w:val="single" w:color="auto" w:sz="4" w:space="0"/>
              <w:left w:val="single" w:color="auto" w:sz="4" w:space="0"/>
              <w:bottom w:val="single" w:color="auto" w:sz="4" w:space="0"/>
              <w:right w:val="single" w:color="auto" w:sz="4" w:space="0"/>
            </w:tcBorders>
            <w:noWrap w:val="0"/>
            <w:vAlign w:val="center"/>
          </w:tcPr>
          <w:p w14:paraId="2D002710">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序号</w:t>
            </w:r>
          </w:p>
        </w:tc>
        <w:tc>
          <w:tcPr>
            <w:tcW w:w="1934" w:type="dxa"/>
            <w:tcBorders>
              <w:top w:val="single" w:color="auto" w:sz="4" w:space="0"/>
              <w:left w:val="single" w:color="auto" w:sz="4" w:space="0"/>
              <w:bottom w:val="single" w:color="auto" w:sz="4" w:space="0"/>
              <w:right w:val="single" w:color="auto" w:sz="4" w:space="0"/>
            </w:tcBorders>
            <w:noWrap w:val="0"/>
            <w:vAlign w:val="center"/>
          </w:tcPr>
          <w:p w14:paraId="6271A87F">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标的名称</w:t>
            </w:r>
          </w:p>
        </w:tc>
        <w:tc>
          <w:tcPr>
            <w:tcW w:w="715" w:type="dxa"/>
            <w:tcBorders>
              <w:top w:val="single" w:color="auto" w:sz="4" w:space="0"/>
              <w:left w:val="single" w:color="auto" w:sz="4" w:space="0"/>
              <w:bottom w:val="single" w:color="auto" w:sz="4" w:space="0"/>
              <w:right w:val="single" w:color="auto" w:sz="4" w:space="0"/>
            </w:tcBorders>
            <w:noWrap w:val="0"/>
            <w:vAlign w:val="center"/>
          </w:tcPr>
          <w:p w14:paraId="02BF24A5">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lang w:val="en-US" w:eastAsia="zh-CN"/>
              </w:rPr>
              <w:t>参考数量</w:t>
            </w:r>
            <w:r>
              <w:rPr>
                <w:rFonts w:hint="default" w:ascii="仿宋_GB2312" w:hAnsi="仿宋_GB2312" w:eastAsia="仿宋_GB2312" w:cs="仿宋_GB2312"/>
                <w:i w:val="0"/>
                <w:iCs w:val="0"/>
                <w:color w:val="auto"/>
                <w:sz w:val="24"/>
                <w:szCs w:val="24"/>
                <w:highlight w:val="none"/>
              </w:rPr>
              <w:t>①</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2456943F">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单位</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157F3EA7">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年度考核单价</w:t>
            </w:r>
            <w:r>
              <w:rPr>
                <w:rFonts w:hint="default" w:ascii="仿宋_GB2312" w:hAnsi="仿宋_GB2312" w:eastAsia="仿宋_GB2312" w:cs="仿宋_GB2312"/>
                <w:i w:val="0"/>
                <w:iCs w:val="0"/>
                <w:color w:val="auto"/>
                <w:sz w:val="24"/>
                <w:szCs w:val="24"/>
                <w:highlight w:val="none"/>
                <w:lang w:val="en-US" w:eastAsia="zh-CN"/>
              </w:rPr>
              <w:t>②</w:t>
            </w:r>
          </w:p>
        </w:tc>
        <w:tc>
          <w:tcPr>
            <w:tcW w:w="1199" w:type="dxa"/>
            <w:tcBorders>
              <w:top w:val="single" w:color="auto" w:sz="4" w:space="0"/>
              <w:left w:val="single" w:color="auto" w:sz="4" w:space="0"/>
              <w:bottom w:val="single" w:color="auto" w:sz="4" w:space="0"/>
              <w:right w:val="single" w:color="auto" w:sz="4" w:space="0"/>
            </w:tcBorders>
            <w:noWrap w:val="0"/>
            <w:vAlign w:val="center"/>
          </w:tcPr>
          <w:p w14:paraId="19408098">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参考数量（需要做日常全覆盖）</w:t>
            </w:r>
            <w:r>
              <w:rPr>
                <w:rFonts w:hint="default" w:ascii="仿宋_GB2312" w:hAnsi="仿宋_GB2312" w:eastAsia="仿宋_GB2312" w:cs="仿宋_GB2312"/>
                <w:i w:val="0"/>
                <w:iCs w:val="0"/>
                <w:color w:val="auto"/>
                <w:sz w:val="24"/>
                <w:szCs w:val="24"/>
                <w:highlight w:val="none"/>
                <w:lang w:val="en-US" w:eastAsia="zh-CN"/>
              </w:rPr>
              <w:t>③</w:t>
            </w:r>
          </w:p>
        </w:tc>
        <w:tc>
          <w:tcPr>
            <w:tcW w:w="1085" w:type="dxa"/>
            <w:tcBorders>
              <w:top w:val="single" w:color="auto" w:sz="4" w:space="0"/>
              <w:left w:val="single" w:color="auto" w:sz="4" w:space="0"/>
              <w:bottom w:val="single" w:color="auto" w:sz="4" w:space="0"/>
              <w:right w:val="single" w:color="auto" w:sz="4" w:space="0"/>
            </w:tcBorders>
            <w:noWrap w:val="0"/>
            <w:vAlign w:val="center"/>
          </w:tcPr>
          <w:p w14:paraId="103859BE">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年度考核费+日常全覆盖单价④</w:t>
            </w:r>
          </w:p>
        </w:tc>
        <w:tc>
          <w:tcPr>
            <w:tcW w:w="13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B83970">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总价⑤=(数量①-数量③)×单价②+数量③×单价④</w:t>
            </w:r>
          </w:p>
        </w:tc>
      </w:tr>
      <w:tr w14:paraId="31EC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jc w:val="center"/>
        </w:trPr>
        <w:tc>
          <w:tcPr>
            <w:tcW w:w="574" w:type="dxa"/>
            <w:tcBorders>
              <w:top w:val="single" w:color="auto" w:sz="4" w:space="0"/>
              <w:left w:val="single" w:color="auto" w:sz="4" w:space="0"/>
              <w:bottom w:val="single" w:color="auto" w:sz="4" w:space="0"/>
              <w:right w:val="single" w:color="auto" w:sz="4" w:space="0"/>
            </w:tcBorders>
            <w:noWrap w:val="0"/>
            <w:vAlign w:val="center"/>
          </w:tcPr>
          <w:p w14:paraId="772A3580">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w:t>
            </w:r>
          </w:p>
        </w:tc>
        <w:tc>
          <w:tcPr>
            <w:tcW w:w="1934" w:type="dxa"/>
            <w:tcBorders>
              <w:top w:val="single" w:color="auto" w:sz="4" w:space="0"/>
              <w:left w:val="single" w:color="auto" w:sz="4" w:space="0"/>
              <w:bottom w:val="single" w:color="auto" w:sz="4" w:space="0"/>
              <w:right w:val="single" w:color="auto" w:sz="4" w:space="0"/>
            </w:tcBorders>
            <w:noWrap w:val="0"/>
            <w:vAlign w:val="center"/>
          </w:tcPr>
          <w:p w14:paraId="33495B74">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三级定点医疗机构</w:t>
            </w:r>
          </w:p>
        </w:tc>
        <w:tc>
          <w:tcPr>
            <w:tcW w:w="715" w:type="dxa"/>
            <w:tcBorders>
              <w:top w:val="single" w:color="auto" w:sz="4" w:space="0"/>
              <w:left w:val="single" w:color="auto" w:sz="4" w:space="0"/>
              <w:bottom w:val="single" w:color="auto" w:sz="4" w:space="0"/>
              <w:right w:val="single" w:color="auto" w:sz="4" w:space="0"/>
            </w:tcBorders>
            <w:noWrap w:val="0"/>
            <w:vAlign w:val="center"/>
          </w:tcPr>
          <w:p w14:paraId="57E07615">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宋体" w:cs="仿宋_GB2312"/>
                <w:i w:val="0"/>
                <w:iCs w:val="0"/>
                <w:color w:val="auto"/>
                <w:sz w:val="24"/>
                <w:szCs w:val="24"/>
                <w:highlight w:val="none"/>
                <w:lang w:val="en-US" w:eastAsia="zh-CN"/>
              </w:rPr>
            </w:pPr>
            <w:r>
              <w:rPr>
                <w:rFonts w:hint="eastAsia" w:ascii="仿宋_GB2312" w:hAnsi="仿宋_GB2312" w:cs="仿宋_GB2312"/>
                <w:i w:val="0"/>
                <w:iCs w:val="0"/>
                <w:color w:val="auto"/>
                <w:sz w:val="24"/>
                <w:szCs w:val="24"/>
                <w:highlight w:val="none"/>
                <w:lang w:val="en-US" w:eastAsia="zh-CN"/>
              </w:rPr>
              <w:t>3</w:t>
            </w:r>
          </w:p>
        </w:tc>
        <w:tc>
          <w:tcPr>
            <w:tcW w:w="9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028CE2">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bidi="ar-SA"/>
              </w:rPr>
              <w:t>家</w:t>
            </w:r>
          </w:p>
        </w:tc>
        <w:tc>
          <w:tcPr>
            <w:tcW w:w="1447" w:type="dxa"/>
            <w:tcBorders>
              <w:top w:val="single" w:color="auto" w:sz="4" w:space="0"/>
              <w:left w:val="single" w:color="auto" w:sz="4" w:space="0"/>
              <w:bottom w:val="single" w:color="auto" w:sz="4" w:space="0"/>
              <w:right w:val="single" w:color="auto" w:sz="4" w:space="0"/>
            </w:tcBorders>
            <w:noWrap w:val="0"/>
            <w:vAlign w:val="top"/>
          </w:tcPr>
          <w:p w14:paraId="1F77DE83">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p>
        </w:tc>
        <w:tc>
          <w:tcPr>
            <w:tcW w:w="1199" w:type="dxa"/>
            <w:tcBorders>
              <w:top w:val="single" w:color="auto" w:sz="4" w:space="0"/>
              <w:left w:val="single" w:color="auto" w:sz="4" w:space="0"/>
              <w:bottom w:val="single" w:color="auto" w:sz="4" w:space="0"/>
              <w:right w:val="single" w:color="auto" w:sz="4" w:space="0"/>
            </w:tcBorders>
            <w:noWrap w:val="0"/>
            <w:vAlign w:val="center"/>
          </w:tcPr>
          <w:p w14:paraId="5B3D7BA7">
            <w:pPr>
              <w:keepNext w:val="0"/>
              <w:keepLines w:val="0"/>
              <w:pageBreakBefore w:val="0"/>
              <w:widowControl w:val="0"/>
              <w:kinsoku/>
              <w:wordWrap/>
              <w:overflowPunct/>
              <w:topLinePunct w:val="0"/>
              <w:autoSpaceDE/>
              <w:autoSpaceDN/>
              <w:bidi w:val="0"/>
              <w:adjustRightInd/>
              <w:snapToGrid/>
              <w:spacing w:line="400" w:lineRule="exact"/>
              <w:ind w:firstLine="480" w:firstLineChars="200"/>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lang w:val="en-US" w:eastAsia="zh-CN"/>
              </w:rPr>
              <w:t>2</w:t>
            </w:r>
          </w:p>
        </w:tc>
        <w:tc>
          <w:tcPr>
            <w:tcW w:w="1085" w:type="dxa"/>
            <w:tcBorders>
              <w:top w:val="single" w:color="auto" w:sz="4" w:space="0"/>
              <w:left w:val="single" w:color="auto" w:sz="4" w:space="0"/>
              <w:bottom w:val="single" w:color="auto" w:sz="4" w:space="0"/>
              <w:right w:val="single" w:color="auto" w:sz="4" w:space="0"/>
            </w:tcBorders>
            <w:noWrap w:val="0"/>
            <w:vAlign w:val="center"/>
          </w:tcPr>
          <w:p w14:paraId="6C863D12">
            <w:pPr>
              <w:keepNext w:val="0"/>
              <w:keepLines w:val="0"/>
              <w:pageBreakBefore w:val="0"/>
              <w:widowControl w:val="0"/>
              <w:kinsoku/>
              <w:wordWrap/>
              <w:overflowPunct/>
              <w:topLinePunct w:val="0"/>
              <w:autoSpaceDE/>
              <w:autoSpaceDN/>
              <w:bidi w:val="0"/>
              <w:adjustRightInd/>
              <w:snapToGrid/>
              <w:spacing w:line="400" w:lineRule="exact"/>
              <w:ind w:firstLine="480" w:firstLineChars="200"/>
              <w:contextualSpacing/>
              <w:textAlignment w:val="auto"/>
              <w:rPr>
                <w:rFonts w:hint="eastAsia" w:ascii="仿宋_GB2312" w:hAnsi="仿宋_GB2312" w:eastAsia="仿宋_GB2312" w:cs="仿宋_GB2312"/>
                <w:i w:val="0"/>
                <w:iCs w:val="0"/>
                <w:color w:val="auto"/>
                <w:sz w:val="24"/>
                <w:szCs w:val="24"/>
                <w:highlight w:val="none"/>
                <w:lang w:val="en-US" w:eastAsia="zh-CN"/>
              </w:rPr>
            </w:pPr>
          </w:p>
        </w:tc>
        <w:tc>
          <w:tcPr>
            <w:tcW w:w="1382" w:type="dxa"/>
            <w:tcBorders>
              <w:top w:val="single" w:color="auto" w:sz="4" w:space="0"/>
              <w:left w:val="single" w:color="auto" w:sz="4" w:space="0"/>
              <w:bottom w:val="single" w:color="auto" w:sz="4" w:space="0"/>
              <w:right w:val="single" w:color="auto" w:sz="4" w:space="0"/>
            </w:tcBorders>
            <w:noWrap w:val="0"/>
            <w:vAlign w:val="center"/>
          </w:tcPr>
          <w:p w14:paraId="2E830317">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p>
        </w:tc>
      </w:tr>
      <w:tr w14:paraId="5083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jc w:val="center"/>
        </w:trPr>
        <w:tc>
          <w:tcPr>
            <w:tcW w:w="574" w:type="dxa"/>
            <w:tcBorders>
              <w:top w:val="single" w:color="auto" w:sz="4" w:space="0"/>
              <w:left w:val="single" w:color="auto" w:sz="4" w:space="0"/>
              <w:bottom w:val="single" w:color="auto" w:sz="4" w:space="0"/>
              <w:right w:val="single" w:color="auto" w:sz="4" w:space="0"/>
            </w:tcBorders>
            <w:noWrap w:val="0"/>
            <w:vAlign w:val="center"/>
          </w:tcPr>
          <w:p w14:paraId="02B8116A">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2</w:t>
            </w:r>
          </w:p>
        </w:tc>
        <w:tc>
          <w:tcPr>
            <w:tcW w:w="1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B9E74D">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二级定点医疗机构</w:t>
            </w:r>
          </w:p>
        </w:tc>
        <w:tc>
          <w:tcPr>
            <w:tcW w:w="7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0D367E">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宋体"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13</w:t>
            </w:r>
          </w:p>
        </w:tc>
        <w:tc>
          <w:tcPr>
            <w:tcW w:w="9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E001B9">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家</w:t>
            </w:r>
          </w:p>
        </w:tc>
        <w:tc>
          <w:tcPr>
            <w:tcW w:w="1447"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B08D82A">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lang w:val="en-US" w:eastAsia="zh-CN" w:bidi="ar-SA"/>
              </w:rPr>
            </w:pPr>
          </w:p>
        </w:tc>
        <w:tc>
          <w:tcPr>
            <w:tcW w:w="11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05F842">
            <w:pPr>
              <w:keepNext w:val="0"/>
              <w:keepLines w:val="0"/>
              <w:pageBreakBefore w:val="0"/>
              <w:widowControl w:val="0"/>
              <w:kinsoku/>
              <w:wordWrap/>
              <w:overflowPunct/>
              <w:topLinePunct w:val="0"/>
              <w:autoSpaceDE/>
              <w:autoSpaceDN/>
              <w:bidi w:val="0"/>
              <w:adjustRightInd/>
              <w:snapToGrid/>
              <w:spacing w:line="400" w:lineRule="exact"/>
              <w:ind w:firstLine="480" w:firstLineChars="200"/>
              <w:contextualSpacing/>
              <w:textAlignment w:val="auto"/>
              <w:rPr>
                <w:rFonts w:hint="eastAsia"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bidi="ar-SA"/>
              </w:rPr>
              <w:t>1</w:t>
            </w:r>
          </w:p>
        </w:tc>
        <w:tc>
          <w:tcPr>
            <w:tcW w:w="10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DF820D">
            <w:pPr>
              <w:keepNext w:val="0"/>
              <w:keepLines w:val="0"/>
              <w:pageBreakBefore w:val="0"/>
              <w:widowControl w:val="0"/>
              <w:kinsoku/>
              <w:wordWrap/>
              <w:overflowPunct/>
              <w:topLinePunct w:val="0"/>
              <w:autoSpaceDE/>
              <w:autoSpaceDN/>
              <w:bidi w:val="0"/>
              <w:adjustRightInd/>
              <w:snapToGrid/>
              <w:spacing w:line="400" w:lineRule="exact"/>
              <w:ind w:firstLine="480" w:firstLineChars="200"/>
              <w:contextualSpacing/>
              <w:textAlignment w:val="auto"/>
              <w:rPr>
                <w:rFonts w:hint="default" w:ascii="仿宋_GB2312" w:hAnsi="仿宋_GB2312" w:eastAsia="仿宋_GB2312" w:cs="仿宋_GB2312"/>
                <w:i w:val="0"/>
                <w:iCs w:val="0"/>
                <w:color w:val="auto"/>
                <w:sz w:val="24"/>
                <w:szCs w:val="24"/>
                <w:highlight w:val="none"/>
                <w:lang w:val="en-US" w:eastAsia="zh-CN" w:bidi="ar-SA"/>
              </w:rPr>
            </w:pPr>
          </w:p>
        </w:tc>
        <w:tc>
          <w:tcPr>
            <w:tcW w:w="13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D3490D">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lang w:val="en-US" w:eastAsia="zh-CN" w:bidi="ar-SA"/>
              </w:rPr>
            </w:pPr>
          </w:p>
        </w:tc>
      </w:tr>
      <w:tr w14:paraId="3531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jc w:val="center"/>
        </w:trPr>
        <w:tc>
          <w:tcPr>
            <w:tcW w:w="574" w:type="dxa"/>
            <w:tcBorders>
              <w:top w:val="single" w:color="auto" w:sz="4" w:space="0"/>
              <w:left w:val="single" w:color="auto" w:sz="4" w:space="0"/>
              <w:bottom w:val="single" w:color="auto" w:sz="4" w:space="0"/>
              <w:right w:val="single" w:color="auto" w:sz="4" w:space="0"/>
            </w:tcBorders>
            <w:noWrap w:val="0"/>
            <w:vAlign w:val="center"/>
          </w:tcPr>
          <w:p w14:paraId="373D3DA4">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3</w:t>
            </w:r>
          </w:p>
        </w:tc>
        <w:tc>
          <w:tcPr>
            <w:tcW w:w="1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85ACA5">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一级及以下定点医疗机构</w:t>
            </w:r>
          </w:p>
        </w:tc>
        <w:tc>
          <w:tcPr>
            <w:tcW w:w="7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E3534B">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51</w:t>
            </w:r>
          </w:p>
        </w:tc>
        <w:tc>
          <w:tcPr>
            <w:tcW w:w="9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B075F1">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t>家</w:t>
            </w:r>
          </w:p>
        </w:tc>
        <w:tc>
          <w:tcPr>
            <w:tcW w:w="1447"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7004134">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p>
        </w:tc>
        <w:tc>
          <w:tcPr>
            <w:tcW w:w="11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ACD5D0">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bidi="ar-SA"/>
              </w:rPr>
              <w:t>0</w:t>
            </w:r>
          </w:p>
        </w:tc>
        <w:tc>
          <w:tcPr>
            <w:tcW w:w="10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874BA2">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bidi="ar-SA"/>
              </w:rPr>
            </w:pPr>
          </w:p>
        </w:tc>
        <w:tc>
          <w:tcPr>
            <w:tcW w:w="13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84A454">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bidi="ar-SA"/>
              </w:rPr>
            </w:pPr>
          </w:p>
        </w:tc>
      </w:tr>
      <w:tr w14:paraId="0D6F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574" w:type="dxa"/>
            <w:tcBorders>
              <w:top w:val="single" w:color="auto" w:sz="4" w:space="0"/>
              <w:left w:val="single" w:color="auto" w:sz="4" w:space="0"/>
              <w:bottom w:val="single" w:color="auto" w:sz="4" w:space="0"/>
              <w:right w:val="single" w:color="auto" w:sz="4" w:space="0"/>
            </w:tcBorders>
            <w:noWrap w:val="0"/>
            <w:vAlign w:val="center"/>
          </w:tcPr>
          <w:p w14:paraId="7DC1A6C7">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4</w:t>
            </w:r>
          </w:p>
        </w:tc>
        <w:tc>
          <w:tcPr>
            <w:tcW w:w="1934" w:type="dxa"/>
            <w:tcBorders>
              <w:top w:val="single" w:color="auto" w:sz="4" w:space="0"/>
              <w:left w:val="single" w:color="auto" w:sz="4" w:space="0"/>
              <w:bottom w:val="single" w:color="auto" w:sz="4" w:space="0"/>
              <w:right w:val="single" w:color="auto" w:sz="4" w:space="0"/>
            </w:tcBorders>
            <w:noWrap w:val="0"/>
            <w:vAlign w:val="center"/>
          </w:tcPr>
          <w:p w14:paraId="09DCC028">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定点零售药店</w:t>
            </w:r>
          </w:p>
        </w:tc>
        <w:tc>
          <w:tcPr>
            <w:tcW w:w="715" w:type="dxa"/>
            <w:tcBorders>
              <w:top w:val="single" w:color="auto" w:sz="4" w:space="0"/>
              <w:left w:val="single" w:color="auto" w:sz="4" w:space="0"/>
              <w:bottom w:val="single" w:color="auto" w:sz="4" w:space="0"/>
              <w:right w:val="single" w:color="auto" w:sz="4" w:space="0"/>
            </w:tcBorders>
            <w:noWrap w:val="0"/>
            <w:vAlign w:val="center"/>
          </w:tcPr>
          <w:p w14:paraId="522F51D6">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287</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4D7D06ED">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家</w:t>
            </w:r>
          </w:p>
        </w:tc>
        <w:tc>
          <w:tcPr>
            <w:tcW w:w="1447" w:type="dxa"/>
            <w:tcBorders>
              <w:top w:val="single" w:color="auto" w:sz="4" w:space="0"/>
              <w:left w:val="single" w:color="auto" w:sz="4" w:space="0"/>
              <w:bottom w:val="single" w:color="auto" w:sz="4" w:space="0"/>
              <w:right w:val="single" w:color="auto" w:sz="4" w:space="0"/>
            </w:tcBorders>
            <w:noWrap w:val="0"/>
            <w:vAlign w:val="top"/>
          </w:tcPr>
          <w:p w14:paraId="62BCE0FD">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c>
          <w:tcPr>
            <w:tcW w:w="1199" w:type="dxa"/>
            <w:tcBorders>
              <w:top w:val="single" w:color="auto" w:sz="4" w:space="0"/>
              <w:left w:val="single" w:color="auto" w:sz="4" w:space="0"/>
              <w:bottom w:val="single" w:color="auto" w:sz="4" w:space="0"/>
              <w:right w:val="single" w:color="auto" w:sz="4" w:space="0"/>
            </w:tcBorders>
            <w:noWrap w:val="0"/>
            <w:vAlign w:val="center"/>
          </w:tcPr>
          <w:p w14:paraId="64CFD6E8">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90</w:t>
            </w:r>
          </w:p>
        </w:tc>
        <w:tc>
          <w:tcPr>
            <w:tcW w:w="1085" w:type="dxa"/>
            <w:tcBorders>
              <w:top w:val="single" w:color="auto" w:sz="4" w:space="0"/>
              <w:left w:val="single" w:color="auto" w:sz="4" w:space="0"/>
              <w:bottom w:val="single" w:color="auto" w:sz="4" w:space="0"/>
              <w:right w:val="single" w:color="auto" w:sz="4" w:space="0"/>
            </w:tcBorders>
            <w:noWrap w:val="0"/>
            <w:vAlign w:val="center"/>
          </w:tcPr>
          <w:p w14:paraId="5AC2E4D9">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default" w:ascii="仿宋_GB2312" w:hAnsi="仿宋_GB2312" w:eastAsia="仿宋_GB2312" w:cs="仿宋_GB2312"/>
                <w:i w:val="0"/>
                <w:iCs w:val="0"/>
                <w:color w:val="auto"/>
                <w:sz w:val="24"/>
                <w:szCs w:val="24"/>
                <w:highlight w:val="none"/>
                <w:lang w:val="en-US" w:eastAsia="zh-CN"/>
              </w:rPr>
            </w:pPr>
          </w:p>
        </w:tc>
        <w:tc>
          <w:tcPr>
            <w:tcW w:w="1382" w:type="dxa"/>
            <w:tcBorders>
              <w:top w:val="single" w:color="auto" w:sz="4" w:space="0"/>
              <w:left w:val="single" w:color="auto" w:sz="4" w:space="0"/>
              <w:bottom w:val="single" w:color="auto" w:sz="4" w:space="0"/>
              <w:right w:val="single" w:color="auto" w:sz="4" w:space="0"/>
            </w:tcBorders>
            <w:noWrap w:val="0"/>
            <w:vAlign w:val="center"/>
          </w:tcPr>
          <w:p w14:paraId="164A0BFA">
            <w:pPr>
              <w:keepNext w:val="0"/>
              <w:keepLines w:val="0"/>
              <w:pageBreakBefore w:val="0"/>
              <w:widowControl w:val="0"/>
              <w:kinsoku/>
              <w:wordWrap/>
              <w:overflowPunct/>
              <w:topLinePunct w:val="0"/>
              <w:autoSpaceDE/>
              <w:autoSpaceDN/>
              <w:bidi w:val="0"/>
              <w:adjustRightInd/>
              <w:snapToGrid/>
              <w:spacing w:line="400" w:lineRule="exact"/>
              <w:contextualSpacing/>
              <w:jc w:val="center"/>
              <w:textAlignment w:val="auto"/>
              <w:rPr>
                <w:rFonts w:hint="eastAsia" w:ascii="仿宋_GB2312" w:hAnsi="仿宋_GB2312" w:eastAsia="仿宋_GB2312" w:cs="仿宋_GB2312"/>
                <w:i w:val="0"/>
                <w:iCs w:val="0"/>
                <w:color w:val="auto"/>
                <w:sz w:val="24"/>
                <w:szCs w:val="24"/>
                <w:highlight w:val="none"/>
                <w:lang w:val="en-US" w:eastAsia="zh-CN"/>
              </w:rPr>
            </w:pPr>
          </w:p>
        </w:tc>
      </w:tr>
      <w:tr w14:paraId="103F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jc w:val="center"/>
        </w:trPr>
        <w:tc>
          <w:tcPr>
            <w:tcW w:w="7874" w:type="dxa"/>
            <w:gridSpan w:val="7"/>
            <w:tcBorders>
              <w:top w:val="single" w:color="auto" w:sz="4" w:space="0"/>
              <w:left w:val="single" w:color="auto" w:sz="4" w:space="0"/>
              <w:bottom w:val="single" w:color="auto" w:sz="4" w:space="0"/>
              <w:right w:val="single" w:color="auto" w:sz="4" w:space="0"/>
            </w:tcBorders>
            <w:noWrap w:val="0"/>
            <w:vAlign w:val="center"/>
          </w:tcPr>
          <w:p w14:paraId="0B7E7EC4">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合计金额大写：人民币</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w:t>
            </w:r>
          </w:p>
        </w:tc>
        <w:tc>
          <w:tcPr>
            <w:tcW w:w="1382" w:type="dxa"/>
            <w:tcBorders>
              <w:top w:val="single" w:color="auto" w:sz="4" w:space="0"/>
              <w:left w:val="single" w:color="auto" w:sz="4" w:space="0"/>
              <w:bottom w:val="single" w:color="auto" w:sz="4" w:space="0"/>
              <w:right w:val="single" w:color="auto" w:sz="4" w:space="0"/>
            </w:tcBorders>
            <w:noWrap w:val="0"/>
            <w:vAlign w:val="center"/>
          </w:tcPr>
          <w:p w14:paraId="63B5D361">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_GB2312" w:hAnsi="仿宋_GB2312" w:eastAsia="仿宋_GB2312" w:cs="仿宋_GB2312"/>
                <w:i w:val="0"/>
                <w:iCs w:val="0"/>
                <w:color w:val="auto"/>
                <w:sz w:val="24"/>
                <w:szCs w:val="24"/>
                <w:highlight w:val="none"/>
              </w:rPr>
            </w:pPr>
          </w:p>
        </w:tc>
      </w:tr>
    </w:tbl>
    <w:p w14:paraId="7D2ED592">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注： </w:t>
      </w:r>
    </w:p>
    <w:p w14:paraId="1E3EA329">
      <w:pPr>
        <w:keepNext w:val="0"/>
        <w:keepLines w:val="0"/>
        <w:pageBreakBefore w:val="0"/>
        <w:widowControl w:val="0"/>
        <w:kinsoku/>
        <w:wordWrap/>
        <w:overflowPunct/>
        <w:topLinePunct w:val="0"/>
        <w:autoSpaceDE/>
        <w:autoSpaceDN/>
        <w:bidi w:val="0"/>
        <w:adjustRightInd/>
        <w:snapToGrid/>
        <w:spacing w:line="400" w:lineRule="exact"/>
        <w:ind w:firstLine="640"/>
        <w:contextualSpacing/>
        <w:jc w:val="left"/>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 供应商的报价表必须加盖供应商电子签章并由法定代表人或者委托代理人签字或者电子签名，</w:t>
      </w:r>
      <w:r>
        <w:rPr>
          <w:rFonts w:hint="eastAsia" w:ascii="仿宋_GB2312" w:hAnsi="仿宋_GB2312" w:eastAsia="仿宋_GB2312" w:cs="仿宋_GB2312"/>
          <w:b/>
          <w:i w:val="0"/>
          <w:iCs w:val="0"/>
          <w:color w:val="auto"/>
          <w:sz w:val="24"/>
          <w:szCs w:val="24"/>
          <w:highlight w:val="none"/>
        </w:rPr>
        <w:t>否则其响应文件按无效处理</w:t>
      </w:r>
      <w:r>
        <w:rPr>
          <w:rFonts w:hint="eastAsia" w:ascii="仿宋_GB2312" w:hAnsi="仿宋_GB2312" w:eastAsia="仿宋_GB2312" w:cs="仿宋_GB2312"/>
          <w:i w:val="0"/>
          <w:iCs w:val="0"/>
          <w:color w:val="auto"/>
          <w:sz w:val="24"/>
          <w:szCs w:val="24"/>
          <w:highlight w:val="none"/>
        </w:rPr>
        <w:t>。</w:t>
      </w:r>
    </w:p>
    <w:p w14:paraId="6E79B727">
      <w:pPr>
        <w:keepNext w:val="0"/>
        <w:keepLines w:val="0"/>
        <w:pageBreakBefore w:val="0"/>
        <w:widowControl w:val="0"/>
        <w:kinsoku/>
        <w:wordWrap/>
        <w:overflowPunct/>
        <w:topLinePunct w:val="0"/>
        <w:autoSpaceDE/>
        <w:autoSpaceDN/>
        <w:bidi w:val="0"/>
        <w:adjustRightInd/>
        <w:snapToGrid/>
        <w:spacing w:line="400" w:lineRule="exact"/>
        <w:ind w:firstLine="640"/>
        <w:contextualSpacing/>
        <w:jc w:val="left"/>
        <w:textAlignment w:val="auto"/>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2.</w:t>
      </w:r>
      <w:r>
        <w:rPr>
          <w:rFonts w:hint="eastAsia" w:ascii="仿宋_GB2312" w:hAnsi="仿宋_GB2312" w:eastAsia="仿宋_GB2312" w:cs="仿宋_GB2312"/>
          <w:i w:val="0"/>
          <w:iCs w:val="0"/>
          <w:color w:val="auto"/>
          <w:sz w:val="24"/>
          <w:szCs w:val="24"/>
          <w:highlight w:val="none"/>
        </w:rPr>
        <w:t xml:space="preserve"> 报价一经涂改，应在涂改处加盖供应商公章或者加盖电子签章或者由法定代表人或者</w:t>
      </w:r>
      <w:r>
        <w:rPr>
          <w:rFonts w:hint="eastAsia" w:ascii="仿宋_GB2312" w:hAnsi="仿宋_GB2312" w:eastAsia="仿宋_GB2312" w:cs="仿宋_GB2312"/>
          <w:i w:val="0"/>
          <w:iCs w:val="0"/>
          <w:color w:val="auto"/>
          <w:sz w:val="24"/>
          <w:szCs w:val="24"/>
          <w:highlight w:val="none"/>
          <w:lang w:eastAsia="zh-CN"/>
        </w:rPr>
        <w:t>委托代理人</w:t>
      </w:r>
      <w:r>
        <w:rPr>
          <w:rFonts w:hint="eastAsia" w:ascii="仿宋_GB2312" w:hAnsi="仿宋_GB2312" w:eastAsia="仿宋_GB2312" w:cs="仿宋_GB2312"/>
          <w:i w:val="0"/>
          <w:iCs w:val="0"/>
          <w:color w:val="auto"/>
          <w:sz w:val="24"/>
          <w:szCs w:val="24"/>
          <w:highlight w:val="none"/>
        </w:rPr>
        <w:t>签字（或者电子签名）</w:t>
      </w:r>
      <w:r>
        <w:rPr>
          <w:rFonts w:hint="eastAsia" w:ascii="仿宋_GB2312" w:hAnsi="仿宋_GB2312" w:eastAsia="仿宋_GB2312" w:cs="仿宋_GB2312"/>
          <w:b/>
          <w:i w:val="0"/>
          <w:iCs w:val="0"/>
          <w:color w:val="auto"/>
          <w:sz w:val="24"/>
          <w:szCs w:val="24"/>
          <w:highlight w:val="none"/>
        </w:rPr>
        <w:t>，否则其响应文件按无效处理。</w:t>
      </w:r>
    </w:p>
    <w:p w14:paraId="2D49B030">
      <w:pPr>
        <w:keepNext w:val="0"/>
        <w:keepLines w:val="0"/>
        <w:pageBreakBefore w:val="0"/>
        <w:widowControl w:val="0"/>
        <w:kinsoku/>
        <w:wordWrap/>
        <w:overflowPunct/>
        <w:topLinePunct w:val="0"/>
        <w:autoSpaceDE/>
        <w:autoSpaceDN/>
        <w:bidi w:val="0"/>
        <w:adjustRightInd/>
        <w:snapToGrid/>
        <w:spacing w:line="400" w:lineRule="exact"/>
        <w:ind w:firstLine="640"/>
        <w:contextualSpacing/>
        <w:jc w:val="left"/>
        <w:textAlignment w:val="auto"/>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3.如为联合体竞标，“供应商名称”处必须列明联合体各方名称，标注联合体牵头人名称，</w:t>
      </w:r>
      <w:r>
        <w:rPr>
          <w:rFonts w:hint="eastAsia" w:ascii="仿宋_GB2312" w:hAnsi="仿宋_GB2312" w:eastAsia="仿宋_GB2312" w:cs="仿宋_GB2312"/>
          <w:b/>
          <w:i w:val="0"/>
          <w:iCs w:val="0"/>
          <w:color w:val="auto"/>
          <w:sz w:val="24"/>
          <w:szCs w:val="24"/>
          <w:highlight w:val="none"/>
        </w:rPr>
        <w:t>否则其响应文件按无效响应处理。</w:t>
      </w:r>
    </w:p>
    <w:p w14:paraId="6301A34A">
      <w:pPr>
        <w:keepNext w:val="0"/>
        <w:keepLines w:val="0"/>
        <w:pageBreakBefore w:val="0"/>
        <w:widowControl w:val="0"/>
        <w:kinsoku/>
        <w:wordWrap/>
        <w:overflowPunct/>
        <w:topLinePunct w:val="0"/>
        <w:autoSpaceDE/>
        <w:autoSpaceDN/>
        <w:bidi w:val="0"/>
        <w:adjustRightInd/>
        <w:snapToGrid/>
        <w:spacing w:line="400" w:lineRule="exact"/>
        <w:ind w:firstLine="640"/>
        <w:contextualSpacing/>
        <w:jc w:val="left"/>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 如为联合体竞标，</w:t>
      </w:r>
      <w:r>
        <w:rPr>
          <w:rFonts w:hint="eastAsia" w:ascii="仿宋_GB2312" w:hAnsi="仿宋_GB2312" w:eastAsia="仿宋_GB2312" w:cs="仿宋_GB2312"/>
          <w:i w:val="0"/>
          <w:iCs w:val="0"/>
          <w:color w:val="auto"/>
          <w:spacing w:val="-6"/>
          <w:sz w:val="24"/>
          <w:szCs w:val="24"/>
          <w:highlight w:val="none"/>
        </w:rPr>
        <w:t xml:space="preserve"> 盖章处须加盖联合体牵头人电子签章</w:t>
      </w:r>
      <w:r>
        <w:rPr>
          <w:rFonts w:hint="eastAsia" w:ascii="仿宋_GB2312" w:hAnsi="仿宋_GB2312" w:eastAsia="仿宋_GB2312" w:cs="仿宋_GB2312"/>
          <w:i w:val="0"/>
          <w:iCs w:val="0"/>
          <w:color w:val="auto"/>
          <w:sz w:val="24"/>
          <w:szCs w:val="24"/>
          <w:highlight w:val="none"/>
        </w:rPr>
        <w:t>，</w:t>
      </w:r>
      <w:r>
        <w:rPr>
          <w:rFonts w:hint="eastAsia" w:ascii="仿宋_GB2312" w:hAnsi="仿宋_GB2312" w:eastAsia="仿宋_GB2312" w:cs="仿宋_GB2312"/>
          <w:b/>
          <w:i w:val="0"/>
          <w:iCs w:val="0"/>
          <w:color w:val="auto"/>
          <w:sz w:val="24"/>
          <w:szCs w:val="24"/>
          <w:highlight w:val="none"/>
        </w:rPr>
        <w:t>否则其响应文件按无效处理。</w:t>
      </w:r>
    </w:p>
    <w:p w14:paraId="5B6A833F">
      <w:pPr>
        <w:keepNext w:val="0"/>
        <w:keepLines w:val="0"/>
        <w:pageBreakBefore w:val="0"/>
        <w:widowControl w:val="0"/>
        <w:kinsoku/>
        <w:wordWrap/>
        <w:overflowPunct/>
        <w:topLinePunct w:val="0"/>
        <w:autoSpaceDE/>
        <w:autoSpaceDN/>
        <w:bidi w:val="0"/>
        <w:adjustRightInd/>
        <w:snapToGrid/>
        <w:spacing w:line="400" w:lineRule="exact"/>
        <w:ind w:firstLine="640"/>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w:t>
      </w:r>
      <w:r>
        <w:rPr>
          <w:rFonts w:hint="eastAsia" w:ascii="仿宋_GB2312" w:hAnsi="仿宋_GB2312" w:eastAsia="仿宋_GB2312" w:cs="仿宋_GB2312"/>
          <w:i w:val="0"/>
          <w:iCs w:val="0"/>
          <w:color w:val="auto"/>
          <w:spacing w:val="-6"/>
          <w:sz w:val="24"/>
          <w:szCs w:val="24"/>
          <w:highlight w:val="none"/>
        </w:rPr>
        <w:t>如有多分标，分别列明各分标的报价表，</w:t>
      </w:r>
      <w:r>
        <w:rPr>
          <w:rFonts w:hint="eastAsia" w:ascii="仿宋_GB2312" w:hAnsi="仿宋_GB2312" w:eastAsia="仿宋_GB2312" w:cs="仿宋_GB2312"/>
          <w:b/>
          <w:i w:val="0"/>
          <w:iCs w:val="0"/>
          <w:color w:val="auto"/>
          <w:spacing w:val="-6"/>
          <w:sz w:val="24"/>
          <w:szCs w:val="24"/>
          <w:highlight w:val="none"/>
        </w:rPr>
        <w:t>否则其响应文件按无效响应处理。</w:t>
      </w:r>
    </w:p>
    <w:p w14:paraId="54C3AA36">
      <w:pPr>
        <w:keepNext w:val="0"/>
        <w:keepLines w:val="0"/>
        <w:pageBreakBefore w:val="0"/>
        <w:widowControl w:val="0"/>
        <w:kinsoku/>
        <w:wordWrap/>
        <w:overflowPunct/>
        <w:topLinePunct w:val="0"/>
        <w:autoSpaceDE/>
        <w:autoSpaceDN/>
        <w:bidi w:val="0"/>
        <w:adjustRightInd/>
        <w:snapToGrid/>
        <w:spacing w:line="400" w:lineRule="exact"/>
        <w:ind w:right="-817"/>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法定代表人或者委托代理人（签字或者电子签名）：</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 xml:space="preserve">                </w:t>
      </w:r>
    </w:p>
    <w:p w14:paraId="62E2A5A0">
      <w:pPr>
        <w:keepNext w:val="0"/>
        <w:keepLines w:val="0"/>
        <w:pageBreakBefore w:val="0"/>
        <w:widowControl w:val="0"/>
        <w:kinsoku/>
        <w:wordWrap/>
        <w:overflowPunct/>
        <w:topLinePunct w:val="0"/>
        <w:autoSpaceDE/>
        <w:autoSpaceDN/>
        <w:bidi w:val="0"/>
        <w:adjustRightInd/>
        <w:snapToGrid/>
        <w:spacing w:line="400" w:lineRule="exact"/>
        <w:ind w:right="-817"/>
        <w:contextualSpacing/>
        <w:textAlignment w:val="auto"/>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供应商名称（电子签章）：</w:t>
      </w:r>
      <w:r>
        <w:rPr>
          <w:rFonts w:hint="eastAsia" w:ascii="仿宋_GB2312" w:hAnsi="仿宋_GB2312" w:eastAsia="仿宋_GB2312" w:cs="仿宋_GB2312"/>
          <w:i w:val="0"/>
          <w:iCs w:val="0"/>
          <w:color w:val="auto"/>
          <w:sz w:val="24"/>
          <w:szCs w:val="24"/>
          <w:highlight w:val="none"/>
          <w:u w:val="single"/>
        </w:rPr>
        <w:t xml:space="preserve">      </w:t>
      </w:r>
    </w:p>
    <w:p w14:paraId="07A914F2">
      <w:pPr>
        <w:keepNext w:val="0"/>
        <w:keepLines w:val="0"/>
        <w:pageBreakBefore w:val="0"/>
        <w:widowControl w:val="0"/>
        <w:kinsoku/>
        <w:wordWrap/>
        <w:overflowPunct/>
        <w:topLinePunct w:val="0"/>
        <w:autoSpaceDE/>
        <w:autoSpaceDN/>
        <w:bidi w:val="0"/>
        <w:adjustRightInd/>
        <w:snapToGrid/>
        <w:spacing w:line="400" w:lineRule="exact"/>
        <w:ind w:right="-817"/>
        <w:contextualSpacing/>
        <w:textAlignment w:val="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   年   月   日</w:t>
      </w:r>
    </w:p>
    <w:p w14:paraId="457A4E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i w:val="0"/>
          <w:iCs w:val="0"/>
          <w:color w:val="auto"/>
          <w:sz w:val="32"/>
          <w:szCs w:val="32"/>
          <w:highlight w:val="none"/>
        </w:rPr>
      </w:pPr>
      <w:r>
        <w:rPr>
          <w:rFonts w:ascii="宋体" w:hAnsi="宋体"/>
          <w:b/>
          <w:bCs/>
          <w:i w:val="0"/>
          <w:iCs w:val="0"/>
          <w:color w:val="auto"/>
          <w:sz w:val="24"/>
          <w:szCs w:val="24"/>
          <w:highlight w:val="none"/>
        </w:rPr>
        <w:br w:type="page" w:clear="all"/>
      </w:r>
      <w:r>
        <w:rPr>
          <w:rFonts w:hint="eastAsia" w:ascii="宋体" w:hAnsi="宋体"/>
          <w:b/>
          <w:bCs/>
          <w:i w:val="0"/>
          <w:iCs w:val="0"/>
          <w:color w:val="auto"/>
          <w:sz w:val="32"/>
          <w:szCs w:val="32"/>
          <w:highlight w:val="none"/>
        </w:rPr>
        <w:t>三、</w:t>
      </w:r>
      <w:r>
        <w:rPr>
          <w:rFonts w:hint="eastAsia" w:ascii="宋体" w:hAnsi="宋体"/>
          <w:b/>
          <w:i w:val="0"/>
          <w:iCs w:val="0"/>
          <w:color w:val="auto"/>
          <w:sz w:val="32"/>
          <w:szCs w:val="32"/>
          <w:highlight w:val="none"/>
        </w:rPr>
        <w:t>商务技术文件格式</w:t>
      </w:r>
    </w:p>
    <w:p w14:paraId="3045BCDC">
      <w:pPr>
        <w:spacing w:before="120" w:after="50" w:line="360" w:lineRule="auto"/>
        <w:jc w:val="left"/>
        <w:rPr>
          <w:rFonts w:ascii="宋体" w:hAnsi="宋体"/>
          <w:b/>
          <w:i w:val="0"/>
          <w:iCs w:val="0"/>
          <w:color w:val="auto"/>
          <w:sz w:val="32"/>
          <w:szCs w:val="32"/>
          <w:highlight w:val="none"/>
        </w:rPr>
      </w:pPr>
      <w:r>
        <w:rPr>
          <w:rFonts w:hint="eastAsia" w:ascii="宋体" w:hAnsi="宋体"/>
          <w:b/>
          <w:i w:val="0"/>
          <w:iCs w:val="0"/>
          <w:color w:val="auto"/>
          <w:sz w:val="32"/>
          <w:szCs w:val="32"/>
          <w:highlight w:val="none"/>
        </w:rPr>
        <w:t>1.商务技术文件封面格式</w:t>
      </w:r>
    </w:p>
    <w:p w14:paraId="35F83FBB">
      <w:pPr>
        <w:spacing w:before="120" w:after="50"/>
        <w:rPr>
          <w:rFonts w:hint="eastAsia" w:ascii="宋体" w:hAnsi="宋体"/>
          <w:bCs/>
          <w:i w:val="0"/>
          <w:iCs w:val="0"/>
          <w:color w:val="auto"/>
          <w:sz w:val="32"/>
          <w:szCs w:val="20"/>
          <w:highlight w:val="none"/>
        </w:rPr>
      </w:pPr>
    </w:p>
    <w:p w14:paraId="07A8569B">
      <w:pPr>
        <w:spacing w:before="120" w:after="50"/>
        <w:jc w:val="center"/>
        <w:rPr>
          <w:rFonts w:hint="eastAsia" w:ascii="宋体" w:hAnsi="宋体"/>
          <w:i w:val="0"/>
          <w:iCs w:val="0"/>
          <w:color w:val="auto"/>
          <w:sz w:val="24"/>
          <w:szCs w:val="20"/>
          <w:highlight w:val="none"/>
        </w:rPr>
      </w:pPr>
      <w:r>
        <w:rPr>
          <w:rFonts w:hint="eastAsia" w:ascii="宋体" w:hAnsi="宋体"/>
          <w:i w:val="0"/>
          <w:iCs w:val="0"/>
          <w:color w:val="auto"/>
          <w:sz w:val="44"/>
          <w:szCs w:val="44"/>
          <w:highlight w:val="none"/>
        </w:rPr>
        <w:t>电子响应文件</w:t>
      </w:r>
    </w:p>
    <w:p w14:paraId="77BBB44D">
      <w:pPr>
        <w:spacing w:before="120" w:after="50"/>
        <w:rPr>
          <w:rFonts w:hint="eastAsia" w:ascii="宋体" w:hAnsi="宋体"/>
          <w:i w:val="0"/>
          <w:iCs w:val="0"/>
          <w:color w:val="auto"/>
          <w:sz w:val="24"/>
          <w:szCs w:val="20"/>
          <w:highlight w:val="none"/>
        </w:rPr>
      </w:pPr>
    </w:p>
    <w:p w14:paraId="798EC9E1">
      <w:pPr>
        <w:spacing w:before="120" w:after="50"/>
        <w:rPr>
          <w:rFonts w:hint="eastAsia" w:ascii="宋体" w:hAnsi="宋体"/>
          <w:i w:val="0"/>
          <w:iCs w:val="0"/>
          <w:color w:val="auto"/>
          <w:sz w:val="24"/>
          <w:szCs w:val="20"/>
          <w:highlight w:val="none"/>
        </w:rPr>
      </w:pPr>
    </w:p>
    <w:p w14:paraId="1518A385">
      <w:pPr>
        <w:spacing w:before="120" w:after="50"/>
        <w:jc w:val="center"/>
        <w:rPr>
          <w:rFonts w:hint="eastAsia" w:ascii="微软雅黑" w:hAnsi="微软雅黑" w:eastAsia="微软雅黑" w:cs="微软雅黑"/>
          <w:bCs/>
          <w:i w:val="0"/>
          <w:iCs w:val="0"/>
          <w:color w:val="auto"/>
          <w:sz w:val="44"/>
          <w:szCs w:val="44"/>
          <w:highlight w:val="none"/>
        </w:rPr>
      </w:pPr>
      <w:r>
        <w:rPr>
          <w:rFonts w:hint="eastAsia" w:ascii="微软雅黑" w:hAnsi="微软雅黑" w:eastAsia="微软雅黑" w:cs="微软雅黑"/>
          <w:bCs/>
          <w:i w:val="0"/>
          <w:iCs w:val="0"/>
          <w:color w:val="auto"/>
          <w:sz w:val="44"/>
          <w:szCs w:val="44"/>
          <w:highlight w:val="none"/>
        </w:rPr>
        <w:t>商务技术文件</w:t>
      </w:r>
    </w:p>
    <w:p w14:paraId="33415134">
      <w:pPr>
        <w:spacing w:before="120" w:after="50"/>
        <w:rPr>
          <w:rFonts w:hint="eastAsia" w:ascii="宋体" w:hAnsi="宋体"/>
          <w:bCs/>
          <w:i w:val="0"/>
          <w:iCs w:val="0"/>
          <w:color w:val="auto"/>
          <w:sz w:val="24"/>
          <w:szCs w:val="20"/>
          <w:highlight w:val="none"/>
        </w:rPr>
      </w:pPr>
    </w:p>
    <w:p w14:paraId="6F4B48E8">
      <w:pPr>
        <w:spacing w:before="120" w:after="50"/>
        <w:rPr>
          <w:rFonts w:hint="eastAsia" w:ascii="宋体" w:hAnsi="宋体"/>
          <w:bCs/>
          <w:i w:val="0"/>
          <w:iCs w:val="0"/>
          <w:color w:val="auto"/>
          <w:sz w:val="24"/>
          <w:szCs w:val="20"/>
          <w:highlight w:val="none"/>
        </w:rPr>
      </w:pPr>
    </w:p>
    <w:p w14:paraId="0EDEADA7">
      <w:pPr>
        <w:spacing w:before="120" w:after="50"/>
        <w:rPr>
          <w:rFonts w:hint="eastAsia" w:ascii="宋体" w:hAnsi="宋体"/>
          <w:bCs/>
          <w:i w:val="0"/>
          <w:iCs w:val="0"/>
          <w:color w:val="auto"/>
          <w:sz w:val="24"/>
          <w:szCs w:val="20"/>
          <w:highlight w:val="none"/>
        </w:rPr>
      </w:pPr>
    </w:p>
    <w:p w14:paraId="67EEA0C1">
      <w:pPr>
        <w:spacing w:before="120" w:after="50"/>
        <w:rPr>
          <w:rFonts w:hint="eastAsia" w:ascii="宋体" w:hAnsi="宋体"/>
          <w:bCs/>
          <w:i w:val="0"/>
          <w:iCs w:val="0"/>
          <w:color w:val="auto"/>
          <w:sz w:val="24"/>
          <w:szCs w:val="20"/>
          <w:highlight w:val="none"/>
        </w:rPr>
      </w:pPr>
    </w:p>
    <w:p w14:paraId="180D241E">
      <w:pPr>
        <w:spacing w:before="120" w:after="50"/>
        <w:rPr>
          <w:rFonts w:hint="eastAsia" w:ascii="宋体" w:hAnsi="宋体"/>
          <w:bCs/>
          <w:i w:val="0"/>
          <w:iCs w:val="0"/>
          <w:color w:val="auto"/>
          <w:sz w:val="24"/>
          <w:szCs w:val="20"/>
          <w:highlight w:val="none"/>
        </w:rPr>
      </w:pPr>
    </w:p>
    <w:p w14:paraId="544A468C">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项目名称：</w:t>
      </w:r>
    </w:p>
    <w:p w14:paraId="2EA8F9A5">
      <w:pPr>
        <w:spacing w:before="120" w:after="50"/>
        <w:ind w:firstLine="720"/>
        <w:rPr>
          <w:rFonts w:hint="eastAsia" w:ascii="宋体" w:hAnsi="宋体" w:cs="仿宋_GB2312"/>
          <w:bCs/>
          <w:i w:val="0"/>
          <w:iCs w:val="0"/>
          <w:color w:val="auto"/>
          <w:sz w:val="32"/>
          <w:szCs w:val="32"/>
          <w:highlight w:val="none"/>
        </w:rPr>
      </w:pPr>
    </w:p>
    <w:p w14:paraId="02EC5D81">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项目编号：</w:t>
      </w:r>
    </w:p>
    <w:p w14:paraId="227E5C8C">
      <w:pPr>
        <w:spacing w:before="120" w:after="50"/>
        <w:ind w:firstLine="720"/>
        <w:rPr>
          <w:rFonts w:hint="eastAsia" w:ascii="宋体" w:hAnsi="宋体" w:cs="仿宋_GB2312"/>
          <w:bCs/>
          <w:i w:val="0"/>
          <w:iCs w:val="0"/>
          <w:color w:val="auto"/>
          <w:sz w:val="32"/>
          <w:szCs w:val="32"/>
          <w:highlight w:val="none"/>
        </w:rPr>
      </w:pPr>
    </w:p>
    <w:p w14:paraId="55562CF0">
      <w:pPr>
        <w:spacing w:before="12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所竞分标（如有则填写，无分标时填写“无”或者留空）：</w:t>
      </w:r>
    </w:p>
    <w:p w14:paraId="7B23BECA">
      <w:pPr>
        <w:spacing w:before="120" w:after="50"/>
        <w:ind w:firstLine="720"/>
        <w:rPr>
          <w:rFonts w:hint="eastAsia" w:ascii="宋体" w:hAnsi="宋体" w:cs="仿宋_GB2312"/>
          <w:bCs/>
          <w:i w:val="0"/>
          <w:iCs w:val="0"/>
          <w:color w:val="auto"/>
          <w:sz w:val="32"/>
          <w:szCs w:val="32"/>
          <w:highlight w:val="none"/>
        </w:rPr>
      </w:pPr>
    </w:p>
    <w:p w14:paraId="7F6AE679">
      <w:pPr>
        <w:pStyle w:val="48"/>
        <w:spacing w:before="50" w:after="50"/>
        <w:ind w:firstLine="640"/>
        <w:rPr>
          <w:rFonts w:hint="eastAsia" w:ascii="宋体" w:hAnsi="宋体" w:cs="仿宋_GB2312"/>
          <w:bCs/>
          <w:i w:val="0"/>
          <w:iCs w:val="0"/>
          <w:color w:val="auto"/>
          <w:sz w:val="32"/>
          <w:szCs w:val="32"/>
          <w:highlight w:val="none"/>
        </w:rPr>
      </w:pPr>
      <w:r>
        <w:rPr>
          <w:rFonts w:hint="eastAsia" w:ascii="宋体" w:hAnsi="宋体" w:cs="仿宋_GB2312"/>
          <w:bCs/>
          <w:i w:val="0"/>
          <w:iCs w:val="0"/>
          <w:color w:val="auto"/>
          <w:sz w:val="32"/>
          <w:szCs w:val="32"/>
          <w:highlight w:val="none"/>
        </w:rPr>
        <w:t>供应商名称：</w:t>
      </w:r>
    </w:p>
    <w:p w14:paraId="7BED66FA">
      <w:pPr>
        <w:pStyle w:val="48"/>
        <w:spacing w:before="50" w:after="50"/>
        <w:ind w:firstLine="640"/>
        <w:rPr>
          <w:rFonts w:hint="eastAsia" w:ascii="宋体" w:hAnsi="宋体" w:cs="仿宋_GB2312"/>
          <w:bCs/>
          <w:i w:val="0"/>
          <w:iCs w:val="0"/>
          <w:color w:val="auto"/>
          <w:sz w:val="32"/>
          <w:szCs w:val="32"/>
          <w:highlight w:val="none"/>
        </w:rPr>
      </w:pPr>
    </w:p>
    <w:p w14:paraId="48D1014D">
      <w:pPr>
        <w:pStyle w:val="48"/>
        <w:spacing w:before="50" w:after="50"/>
        <w:ind w:firstLine="720"/>
        <w:rPr>
          <w:rFonts w:hint="eastAsia" w:ascii="宋体" w:hAnsi="宋体" w:cs="仿宋_GB2312"/>
          <w:bCs/>
          <w:i w:val="0"/>
          <w:iCs w:val="0"/>
          <w:color w:val="auto"/>
          <w:sz w:val="32"/>
          <w:szCs w:val="32"/>
          <w:highlight w:val="none"/>
        </w:rPr>
      </w:pPr>
    </w:p>
    <w:p w14:paraId="68E46180">
      <w:pPr>
        <w:pStyle w:val="48"/>
        <w:spacing w:before="50" w:after="50"/>
        <w:ind w:firstLine="0"/>
        <w:rPr>
          <w:rFonts w:hint="eastAsia" w:ascii="宋体" w:hAnsi="宋体" w:cs="仿宋_GB2312"/>
          <w:bCs/>
          <w:i w:val="0"/>
          <w:iCs w:val="0"/>
          <w:color w:val="auto"/>
          <w:sz w:val="32"/>
          <w:szCs w:val="32"/>
          <w:highlight w:val="none"/>
        </w:rPr>
      </w:pPr>
    </w:p>
    <w:p w14:paraId="3EB4D206">
      <w:pPr>
        <w:pStyle w:val="48"/>
        <w:spacing w:before="50" w:after="50"/>
        <w:ind w:firstLine="1280"/>
        <w:rPr>
          <w:rFonts w:hint="eastAsia" w:ascii="宋体" w:hAnsi="宋体" w:cs="仿宋_GB2312"/>
          <w:bCs/>
          <w:i w:val="0"/>
          <w:iCs w:val="0"/>
          <w:color w:val="auto"/>
          <w:sz w:val="32"/>
          <w:szCs w:val="32"/>
          <w:highlight w:val="none"/>
        </w:rPr>
      </w:pPr>
    </w:p>
    <w:p w14:paraId="0C46035A">
      <w:pPr>
        <w:spacing w:before="120" w:after="50"/>
        <w:jc w:val="center"/>
        <w:rPr>
          <w:rFonts w:hint="eastAsia" w:ascii="宋体" w:hAnsi="宋体" w:cs="仿宋_GB2312"/>
          <w:i w:val="0"/>
          <w:iCs w:val="0"/>
          <w:color w:val="auto"/>
          <w:sz w:val="32"/>
          <w:szCs w:val="32"/>
          <w:highlight w:val="none"/>
        </w:rPr>
      </w:pPr>
      <w:r>
        <w:rPr>
          <w:rFonts w:hint="eastAsia" w:ascii="宋体" w:hAnsi="宋体" w:cs="仿宋_GB2312"/>
          <w:i w:val="0"/>
          <w:iCs w:val="0"/>
          <w:color w:val="auto"/>
          <w:sz w:val="32"/>
          <w:szCs w:val="32"/>
          <w:highlight w:val="none"/>
        </w:rPr>
        <w:t>年月日</w:t>
      </w:r>
    </w:p>
    <w:p w14:paraId="312C830A">
      <w:pPr>
        <w:spacing w:before="120" w:after="50" w:line="360" w:lineRule="auto"/>
        <w:ind w:right="480" w:firstLine="240"/>
        <w:jc w:val="left"/>
        <w:rPr>
          <w:rFonts w:hint="eastAsia" w:ascii="宋体" w:hAnsi="宋体"/>
          <w:b/>
          <w:bCs/>
          <w:i w:val="0"/>
          <w:iCs w:val="0"/>
          <w:color w:val="auto"/>
          <w:sz w:val="24"/>
          <w:highlight w:val="none"/>
        </w:rPr>
      </w:pPr>
      <w:r>
        <w:rPr>
          <w:rFonts w:ascii="宋体" w:hAnsi="宋体"/>
          <w:i w:val="0"/>
          <w:iCs w:val="0"/>
          <w:color w:val="auto"/>
          <w:sz w:val="24"/>
          <w:highlight w:val="none"/>
        </w:rPr>
        <w:br w:type="page" w:clear="all"/>
      </w:r>
      <w:r>
        <w:rPr>
          <w:rFonts w:hint="eastAsia" w:ascii="宋体" w:hAnsi="宋体"/>
          <w:b/>
          <w:bCs/>
          <w:i w:val="0"/>
          <w:iCs w:val="0"/>
          <w:color w:val="auto"/>
          <w:sz w:val="32"/>
          <w:szCs w:val="32"/>
          <w:highlight w:val="none"/>
        </w:rPr>
        <w:t>2.商务技术文件目录</w:t>
      </w:r>
    </w:p>
    <w:p w14:paraId="6729E388">
      <w:pPr>
        <w:spacing w:before="120" w:after="50" w:line="360" w:lineRule="auto"/>
        <w:ind w:firstLine="640"/>
        <w:rPr>
          <w:rFonts w:ascii="宋体" w:hAnsi="宋体"/>
          <w:i w:val="0"/>
          <w:iCs w:val="0"/>
          <w:color w:val="auto"/>
          <w:sz w:val="32"/>
          <w:szCs w:val="32"/>
          <w:highlight w:val="none"/>
        </w:rPr>
      </w:pPr>
      <w:r>
        <w:rPr>
          <w:rFonts w:hint="eastAsia" w:ascii="宋体" w:hAnsi="宋体"/>
          <w:i w:val="0"/>
          <w:iCs w:val="0"/>
          <w:color w:val="auto"/>
          <w:sz w:val="32"/>
          <w:szCs w:val="32"/>
          <w:highlight w:val="none"/>
        </w:rPr>
        <w:t>根据磋商文件规定及供应商提供的材料自行编写目录（部分格式后附）。</w:t>
      </w:r>
    </w:p>
    <w:p w14:paraId="045D5376">
      <w:pPr>
        <w:spacing w:line="400" w:lineRule="exact"/>
        <w:rPr>
          <w:rFonts w:hint="eastAsia" w:ascii="仿宋_GB2312" w:hAnsi="仿宋_GB2312" w:eastAsia="仿宋_GB2312" w:cs="仿宋_GB2312"/>
          <w:i w:val="0"/>
          <w:iCs w:val="0"/>
          <w:color w:val="auto"/>
          <w:sz w:val="32"/>
          <w:szCs w:val="32"/>
          <w:highlight w:val="none"/>
        </w:rPr>
      </w:pPr>
    </w:p>
    <w:p w14:paraId="1ABC5A9B">
      <w:pPr>
        <w:spacing w:line="520" w:lineRule="exact"/>
        <w:jc w:val="center"/>
        <w:rPr>
          <w:rFonts w:hint="eastAsia" w:ascii="方正公文小标宋" w:hAnsi="方正公文小标宋" w:eastAsia="方正公文小标宋" w:cs="方正公文小标宋"/>
          <w:i w:val="0"/>
          <w:iCs w:val="0"/>
          <w:color w:val="auto"/>
          <w:sz w:val="32"/>
          <w:szCs w:val="32"/>
          <w:highlight w:val="none"/>
        </w:rPr>
      </w:pPr>
      <w:r>
        <w:rPr>
          <w:rFonts w:hint="eastAsia" w:ascii="微软雅黑" w:hAnsi="微软雅黑" w:eastAsia="微软雅黑" w:cs="微软雅黑"/>
          <w:i w:val="0"/>
          <w:iCs w:val="0"/>
          <w:color w:val="auto"/>
          <w:sz w:val="44"/>
          <w:szCs w:val="44"/>
          <w:highlight w:val="none"/>
        </w:rPr>
        <w:br w:type="page" w:clear="all"/>
      </w:r>
      <w:r>
        <w:rPr>
          <w:rFonts w:hint="eastAsia" w:ascii="方正公文小标宋" w:hAnsi="方正公文小标宋" w:eastAsia="方正公文小标宋" w:cs="方正公文小标宋"/>
          <w:i w:val="0"/>
          <w:iCs w:val="0"/>
          <w:color w:val="auto"/>
          <w:sz w:val="32"/>
          <w:szCs w:val="32"/>
          <w:highlight w:val="none"/>
        </w:rPr>
        <w:t>无串通竞标行为的承诺函</w:t>
      </w:r>
    </w:p>
    <w:p w14:paraId="51DEFDA9">
      <w:pPr>
        <w:spacing w:line="360" w:lineRule="auto"/>
        <w:ind w:firstLine="640"/>
        <w:contextualSpacing/>
        <w:rPr>
          <w:rFonts w:hint="eastAsia" w:ascii="仿宋_GB2312" w:hAnsi="仿宋_GB2312" w:eastAsia="仿宋_GB2312" w:cs="仿宋_GB2312"/>
          <w:i w:val="0"/>
          <w:iCs w:val="0"/>
          <w:color w:val="auto"/>
          <w:sz w:val="32"/>
          <w:szCs w:val="32"/>
          <w:highlight w:val="none"/>
        </w:rPr>
      </w:pPr>
    </w:p>
    <w:p w14:paraId="198A823F">
      <w:pPr>
        <w:spacing w:line="360" w:lineRule="auto"/>
        <w:ind w:firstLine="643"/>
        <w:contextualSpacing/>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一、我方承诺无下列相互串通竞标的情形：</w:t>
      </w:r>
    </w:p>
    <w:p w14:paraId="59A5A1F1">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1.不同供应商的响应文件由同一单位或者个人编制；</w:t>
      </w:r>
    </w:p>
    <w:p w14:paraId="7DF0E7C4">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2.不同供应商委托同一单位或者个人办理竞标事宜；</w:t>
      </w:r>
    </w:p>
    <w:p w14:paraId="44F3786F">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3.不同供应商的响应文件载明的项目管理员为同一个人；</w:t>
      </w:r>
    </w:p>
    <w:p w14:paraId="0226B2FE">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4.不</w:t>
      </w:r>
      <w:r>
        <w:rPr>
          <w:rFonts w:hint="eastAsia" w:ascii="仿宋_GB2312" w:hAnsi="仿宋_GB2312" w:eastAsia="仿宋_GB2312" w:cs="仿宋_GB2312"/>
          <w:i w:val="0"/>
          <w:iCs w:val="0"/>
          <w:color w:val="auto"/>
          <w:spacing w:val="-6"/>
          <w:sz w:val="24"/>
          <w:szCs w:val="24"/>
          <w:highlight w:val="none"/>
        </w:rPr>
        <w:t>同供应商的响应文件异常一致或者竞标报价呈规律性差异；</w:t>
      </w:r>
    </w:p>
    <w:p w14:paraId="4C680125">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5.不同供应商的响应文件相互混装；</w:t>
      </w:r>
    </w:p>
    <w:p w14:paraId="3A8364EB">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6.不同供应商的磋商保证金从同一单位或者个人账户转出。</w:t>
      </w:r>
    </w:p>
    <w:p w14:paraId="5F526739">
      <w:pPr>
        <w:spacing w:line="360" w:lineRule="auto"/>
        <w:ind w:firstLine="643"/>
        <w:contextualSpacing/>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二、我方承诺无下列恶意串通的情形：</w:t>
      </w:r>
    </w:p>
    <w:p w14:paraId="2B4D5BB0">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1.供应商直接或者间接从采购人或者采购代理机构处获得其他供应商的相关信息并修改其响应文件；</w:t>
      </w:r>
    </w:p>
    <w:p w14:paraId="4728245B">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2.供应商按照采购人或者采购代理机构的授意撤换、修改响应文件；</w:t>
      </w:r>
    </w:p>
    <w:p w14:paraId="7267851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3.供</w:t>
      </w:r>
      <w:r>
        <w:rPr>
          <w:rFonts w:hint="eastAsia" w:ascii="仿宋_GB2312" w:hAnsi="仿宋_GB2312" w:eastAsia="仿宋_GB2312" w:cs="仿宋_GB2312"/>
          <w:i w:val="0"/>
          <w:iCs w:val="0"/>
          <w:color w:val="auto"/>
          <w:spacing w:val="-6"/>
          <w:sz w:val="24"/>
          <w:szCs w:val="24"/>
          <w:highlight w:val="none"/>
        </w:rPr>
        <w:t>应商之间协商报价、技术方案等响应文件的实质性内容；</w:t>
      </w:r>
    </w:p>
    <w:p w14:paraId="35EE749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4.属于同一集团、协会、商会等组织成员的供应商按照该组织要求协同参加政府采购活动；</w:t>
      </w:r>
    </w:p>
    <w:p w14:paraId="5C86C99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5.供应商之间事先约定一致抬高或者压低竞标报价，或者在竞争性磋商项目中事先约定轮流以高价位或者低价位成交，或者事先约定由某一特定供应商成交，然后再参加竞标；</w:t>
      </w:r>
    </w:p>
    <w:p w14:paraId="1353E32B">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6.供应商之间商定部分供应商放弃参加政府采购活动或者放弃成交；</w:t>
      </w:r>
    </w:p>
    <w:p w14:paraId="664E96ED">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7.供应商与采购人或者采购代理机构之间、供应商相互之间，为</w:t>
      </w:r>
      <w:r>
        <w:rPr>
          <w:rFonts w:hint="eastAsia" w:ascii="仿宋_GB2312" w:hAnsi="仿宋_GB2312" w:eastAsia="仿宋_GB2312" w:cs="仿宋_GB2312"/>
          <w:i w:val="0"/>
          <w:iCs w:val="0"/>
          <w:color w:val="auto"/>
          <w:spacing w:val="-6"/>
          <w:sz w:val="24"/>
          <w:szCs w:val="24"/>
          <w:highlight w:val="none"/>
        </w:rPr>
        <w:t>谋求特定供应商成交或者排斥其他供应商的其他串通行为。</w:t>
      </w:r>
    </w:p>
    <w:p w14:paraId="2BF760BE">
      <w:pPr>
        <w:spacing w:line="360" w:lineRule="auto"/>
        <w:ind w:firstLine="640"/>
        <w:contextualSpacing/>
        <w:rPr>
          <w:rFonts w:hint="eastAsia" w:ascii="仿宋_GB2312" w:hAnsi="仿宋_GB2312" w:eastAsia="仿宋_GB2312" w:cs="仿宋_GB2312"/>
          <w:i w:val="0"/>
          <w:iCs w:val="0"/>
          <w:color w:val="auto"/>
          <w:sz w:val="24"/>
          <w:szCs w:val="24"/>
          <w:highlight w:val="none"/>
        </w:rPr>
      </w:pPr>
    </w:p>
    <w:p w14:paraId="1859C6C5">
      <w:pPr>
        <w:spacing w:line="360" w:lineRule="auto"/>
        <w:ind w:firstLine="643"/>
        <w:contextualSpacing/>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以上情形一经核查属实，我方愿意承担一切后果，并不再寻求任何旨在减轻或者免除法律责任的辩解。</w:t>
      </w:r>
    </w:p>
    <w:p w14:paraId="706F44D6">
      <w:pPr>
        <w:spacing w:line="360" w:lineRule="auto"/>
        <w:contextualSpacing/>
        <w:rPr>
          <w:rFonts w:hint="eastAsia" w:ascii="仿宋_GB2312" w:hAnsi="仿宋_GB2312" w:eastAsia="仿宋_GB2312" w:cs="仿宋_GB2312"/>
          <w:i w:val="0"/>
          <w:iCs w:val="0"/>
          <w:color w:val="auto"/>
          <w:sz w:val="24"/>
          <w:szCs w:val="24"/>
          <w:highlight w:val="none"/>
        </w:rPr>
      </w:pPr>
    </w:p>
    <w:p w14:paraId="00A33722">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供应商名称（电子签章）：</w:t>
      </w:r>
    </w:p>
    <w:p w14:paraId="1D6E217B">
      <w:pPr>
        <w:spacing w:line="360" w:lineRule="auto"/>
        <w:ind w:firstLine="1920"/>
        <w:contextualSpacing/>
        <w:jc w:val="both"/>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年</w:t>
      </w:r>
      <w:r>
        <w:rPr>
          <w:rFonts w:hint="eastAsia" w:ascii="仿宋_GB2312" w:hAnsi="仿宋_GB2312" w:eastAsia="仿宋_GB2312" w:cs="仿宋_GB2312"/>
          <w:i w:val="0"/>
          <w:iCs w:val="0"/>
          <w:color w:val="auto"/>
          <w:sz w:val="24"/>
          <w:szCs w:val="24"/>
          <w:highlight w:val="none"/>
          <w:lang w:val="en-US" w:eastAsia="zh-CN"/>
        </w:rPr>
        <w:t xml:space="preserve">  </w:t>
      </w:r>
      <w:r>
        <w:rPr>
          <w:rFonts w:hint="eastAsia" w:ascii="仿宋_GB2312" w:hAnsi="仿宋_GB2312" w:eastAsia="仿宋_GB2312" w:cs="仿宋_GB2312"/>
          <w:i w:val="0"/>
          <w:iCs w:val="0"/>
          <w:color w:val="auto"/>
          <w:sz w:val="24"/>
          <w:szCs w:val="24"/>
          <w:highlight w:val="none"/>
        </w:rPr>
        <w:t>月</w:t>
      </w:r>
      <w:r>
        <w:rPr>
          <w:rFonts w:hint="eastAsia" w:ascii="仿宋_GB2312" w:hAnsi="仿宋_GB2312" w:eastAsia="仿宋_GB2312" w:cs="仿宋_GB2312"/>
          <w:i w:val="0"/>
          <w:iCs w:val="0"/>
          <w:color w:val="auto"/>
          <w:sz w:val="24"/>
          <w:szCs w:val="24"/>
          <w:highlight w:val="none"/>
          <w:lang w:val="en-US" w:eastAsia="zh-CN"/>
        </w:rPr>
        <w:t xml:space="preserve">  </w:t>
      </w:r>
      <w:r>
        <w:rPr>
          <w:rFonts w:hint="eastAsia" w:ascii="仿宋_GB2312" w:hAnsi="仿宋_GB2312" w:eastAsia="仿宋_GB2312" w:cs="仿宋_GB2312"/>
          <w:i w:val="0"/>
          <w:iCs w:val="0"/>
          <w:color w:val="auto"/>
          <w:sz w:val="24"/>
          <w:szCs w:val="24"/>
          <w:highlight w:val="none"/>
        </w:rPr>
        <w:t>日</w:t>
      </w:r>
    </w:p>
    <w:p w14:paraId="112E9976">
      <w:pPr>
        <w:spacing w:line="520" w:lineRule="exact"/>
        <w:jc w:val="center"/>
        <w:rPr>
          <w:rFonts w:hint="eastAsia" w:ascii="方正公文小标宋" w:hAnsi="方正公文小标宋" w:eastAsia="方正公文小标宋" w:cs="方正公文小标宋"/>
          <w:i w:val="0"/>
          <w:iCs w:val="0"/>
          <w:color w:val="auto"/>
          <w:sz w:val="32"/>
          <w:szCs w:val="32"/>
          <w:highlight w:val="none"/>
        </w:rPr>
      </w:pPr>
      <w:r>
        <w:rPr>
          <w:rFonts w:hint="eastAsia" w:ascii="微软雅黑" w:hAnsi="微软雅黑" w:eastAsia="微软雅黑" w:cs="微软雅黑"/>
          <w:bCs/>
          <w:i w:val="0"/>
          <w:iCs w:val="0"/>
          <w:color w:val="auto"/>
          <w:sz w:val="44"/>
          <w:szCs w:val="44"/>
          <w:highlight w:val="none"/>
        </w:rPr>
        <w:br w:type="page" w:clear="all"/>
      </w:r>
      <w:r>
        <w:rPr>
          <w:rFonts w:hint="eastAsia" w:ascii="方正公文小标宋" w:hAnsi="方正公文小标宋" w:eastAsia="方正公文小标宋" w:cs="方正公文小标宋"/>
          <w:bCs/>
          <w:i w:val="0"/>
          <w:iCs w:val="0"/>
          <w:color w:val="auto"/>
          <w:sz w:val="32"/>
          <w:szCs w:val="32"/>
          <w:highlight w:val="none"/>
        </w:rPr>
        <w:t>法定代表人证明书</w:t>
      </w:r>
    </w:p>
    <w:p w14:paraId="1015FCE4">
      <w:pPr>
        <w:spacing w:line="360" w:lineRule="auto"/>
        <w:ind w:left="540"/>
        <w:contextualSpacing/>
        <w:rPr>
          <w:rFonts w:hint="eastAsia" w:ascii="仿宋_GB2312" w:hAnsi="仿宋_GB2312" w:eastAsia="仿宋_GB2312" w:cs="仿宋_GB2312"/>
          <w:i w:val="0"/>
          <w:iCs w:val="0"/>
          <w:color w:val="auto"/>
          <w:sz w:val="32"/>
          <w:szCs w:val="32"/>
          <w:highlight w:val="none"/>
        </w:rPr>
      </w:pPr>
    </w:p>
    <w:p w14:paraId="22D3B94F">
      <w:pPr>
        <w:spacing w:line="360" w:lineRule="auto"/>
        <w:ind w:left="5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w:t>
      </w:r>
    </w:p>
    <w:p w14:paraId="5ADBAF88">
      <w:pPr>
        <w:spacing w:line="360" w:lineRule="auto"/>
        <w:ind w:left="5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地址：</w:t>
      </w:r>
    </w:p>
    <w:p w14:paraId="51835AF9">
      <w:pPr>
        <w:spacing w:line="360" w:lineRule="auto"/>
        <w:ind w:left="5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姓名：性别：</w:t>
      </w:r>
    </w:p>
    <w:p w14:paraId="42EC9B64">
      <w:pPr>
        <w:spacing w:line="360" w:lineRule="auto"/>
        <w:ind w:left="540"/>
        <w:contextualSpacing/>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年龄：职务：</w:t>
      </w:r>
    </w:p>
    <w:p w14:paraId="02C29C0A">
      <w:pPr>
        <w:spacing w:line="360" w:lineRule="auto"/>
        <w:ind w:left="5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身份证号码：</w:t>
      </w:r>
    </w:p>
    <w:p w14:paraId="2F97CBDF">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系</w:t>
      </w:r>
      <w:r>
        <w:rPr>
          <w:rFonts w:hint="eastAsia" w:ascii="仿宋_GB2312" w:hAnsi="仿宋_GB2312" w:eastAsia="仿宋_GB2312" w:cs="仿宋_GB2312"/>
          <w:i w:val="0"/>
          <w:iCs w:val="0"/>
          <w:color w:val="auto"/>
          <w:sz w:val="24"/>
          <w:szCs w:val="24"/>
          <w:highlight w:val="none"/>
          <w:u w:val="single"/>
        </w:rPr>
        <w:t>（供应商名称）</w:t>
      </w:r>
      <w:r>
        <w:rPr>
          <w:rFonts w:hint="eastAsia" w:ascii="仿宋_GB2312" w:hAnsi="仿宋_GB2312" w:eastAsia="仿宋_GB2312" w:cs="仿宋_GB2312"/>
          <w:i w:val="0"/>
          <w:iCs w:val="0"/>
          <w:color w:val="auto"/>
          <w:sz w:val="24"/>
          <w:szCs w:val="24"/>
          <w:highlight w:val="none"/>
        </w:rPr>
        <w:t>的法定代表人。</w:t>
      </w:r>
    </w:p>
    <w:p w14:paraId="0CF354FA">
      <w:pPr>
        <w:spacing w:line="360" w:lineRule="auto"/>
        <w:ind w:left="5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特此证明。</w:t>
      </w:r>
    </w:p>
    <w:p w14:paraId="79DFE975">
      <w:pPr>
        <w:spacing w:line="360" w:lineRule="auto"/>
        <w:ind w:left="540"/>
        <w:contextualSpacing/>
        <w:rPr>
          <w:rFonts w:hint="eastAsia" w:ascii="仿宋_GB2312" w:hAnsi="仿宋_GB2312" w:eastAsia="仿宋_GB2312" w:cs="仿宋_GB2312"/>
          <w:i w:val="0"/>
          <w:iCs w:val="0"/>
          <w:color w:val="auto"/>
          <w:sz w:val="24"/>
          <w:szCs w:val="24"/>
          <w:highlight w:val="none"/>
        </w:rPr>
      </w:pPr>
    </w:p>
    <w:p w14:paraId="07360DF1">
      <w:pPr>
        <w:spacing w:line="360" w:lineRule="auto"/>
        <w:ind w:left="540"/>
        <w:contextualSpacing/>
        <w:rPr>
          <w:rFonts w:hint="eastAsia" w:ascii="仿宋_GB2312" w:hAnsi="仿宋_GB2312" w:eastAsia="仿宋_GB2312" w:cs="仿宋_GB2312"/>
          <w:i w:val="0"/>
          <w:iCs w:val="0"/>
          <w:color w:val="auto"/>
          <w:sz w:val="24"/>
          <w:szCs w:val="24"/>
          <w:highlight w:val="none"/>
        </w:rPr>
      </w:pPr>
    </w:p>
    <w:p w14:paraId="70AA9733">
      <w:pPr>
        <w:spacing w:line="360" w:lineRule="auto"/>
        <w:ind w:left="540"/>
        <w:contextualSpacing/>
        <w:rPr>
          <w:rFonts w:hint="eastAsia" w:ascii="仿宋_GB2312" w:hAnsi="仿宋_GB2312" w:eastAsia="仿宋_GB2312" w:cs="仿宋_GB2312"/>
          <w:i w:val="0"/>
          <w:iCs w:val="0"/>
          <w:color w:val="auto"/>
          <w:sz w:val="24"/>
          <w:szCs w:val="24"/>
          <w:highlight w:val="none"/>
        </w:rPr>
      </w:pPr>
    </w:p>
    <w:p w14:paraId="742DEBCD">
      <w:pPr>
        <w:spacing w:line="360" w:lineRule="auto"/>
        <w:ind w:left="5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附件：法定代表人有效身份证正反面复印件或扫描件</w:t>
      </w:r>
    </w:p>
    <w:p w14:paraId="5CAB5DA0">
      <w:pPr>
        <w:spacing w:line="360" w:lineRule="auto"/>
        <w:ind w:left="540"/>
        <w:contextualSpacing/>
        <w:rPr>
          <w:rFonts w:hint="eastAsia" w:ascii="仿宋_GB2312" w:hAnsi="仿宋_GB2312" w:eastAsia="仿宋_GB2312" w:cs="仿宋_GB2312"/>
          <w:i w:val="0"/>
          <w:iCs w:val="0"/>
          <w:color w:val="auto"/>
          <w:sz w:val="24"/>
          <w:szCs w:val="24"/>
          <w:highlight w:val="none"/>
        </w:rPr>
      </w:pPr>
    </w:p>
    <w:p w14:paraId="02F6A449">
      <w:pPr>
        <w:spacing w:line="360" w:lineRule="auto"/>
        <w:ind w:left="540" w:right="480" w:firstLine="30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供应商名称（电子签章）：</w:t>
      </w:r>
    </w:p>
    <w:p w14:paraId="37DEBF37">
      <w:pPr>
        <w:spacing w:line="360" w:lineRule="auto"/>
        <w:ind w:firstLine="512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年月日</w:t>
      </w:r>
    </w:p>
    <w:p w14:paraId="5CDC29D5">
      <w:pPr>
        <w:spacing w:line="360" w:lineRule="auto"/>
        <w:contextualSpacing/>
        <w:jc w:val="center"/>
        <w:rPr>
          <w:rFonts w:hint="eastAsia" w:ascii="仿宋_GB2312" w:hAnsi="仿宋_GB2312" w:eastAsia="仿宋_GB2312" w:cs="仿宋_GB2312"/>
          <w:b/>
          <w:i w:val="0"/>
          <w:iCs w:val="0"/>
          <w:color w:val="auto"/>
          <w:sz w:val="24"/>
          <w:szCs w:val="24"/>
          <w:highlight w:val="none"/>
        </w:rPr>
      </w:pPr>
    </w:p>
    <w:p w14:paraId="50FC13F0">
      <w:pPr>
        <w:spacing w:line="360" w:lineRule="auto"/>
        <w:contextualSpacing/>
        <w:jc w:val="left"/>
        <w:rPr>
          <w:rFonts w:hint="eastAsia" w:ascii="仿宋_GB2312" w:hAnsi="仿宋_GB2312" w:eastAsia="仿宋_GB2312" w:cs="仿宋_GB2312"/>
          <w:i w:val="0"/>
          <w:iCs w:val="0"/>
          <w:color w:val="auto"/>
          <w:sz w:val="24"/>
          <w:szCs w:val="24"/>
          <w:highlight w:val="none"/>
        </w:rPr>
      </w:pPr>
    </w:p>
    <w:p w14:paraId="08692649">
      <w:pPr>
        <w:spacing w:line="360" w:lineRule="auto"/>
        <w:contextualSpacing/>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注：自然人竞标的无需提供，联合体竞标的只需牵头人出具。</w:t>
      </w:r>
    </w:p>
    <w:p w14:paraId="504B0046">
      <w:pPr>
        <w:spacing w:line="300" w:lineRule="auto"/>
        <w:jc w:val="left"/>
        <w:rPr>
          <w:rFonts w:hint="eastAsia" w:ascii="仿宋_GB2312" w:hAnsi="仿宋_GB2312" w:eastAsia="仿宋_GB2312" w:cs="仿宋_GB2312"/>
          <w:b/>
          <w:i w:val="0"/>
          <w:iCs w:val="0"/>
          <w:color w:val="auto"/>
          <w:sz w:val="24"/>
          <w:szCs w:val="24"/>
          <w:highlight w:val="none"/>
        </w:rPr>
      </w:pPr>
    </w:p>
    <w:p w14:paraId="190D3A49">
      <w:pPr>
        <w:spacing w:line="500" w:lineRule="exact"/>
        <w:jc w:val="center"/>
        <w:rPr>
          <w:rFonts w:hint="eastAsia" w:ascii="微软雅黑" w:hAnsi="微软雅黑" w:eastAsia="微软雅黑" w:cs="微软雅黑"/>
          <w:bCs/>
          <w:i w:val="0"/>
          <w:iCs w:val="0"/>
          <w:color w:val="auto"/>
          <w:sz w:val="32"/>
          <w:szCs w:val="32"/>
          <w:highlight w:val="none"/>
        </w:rPr>
      </w:pPr>
      <w:r>
        <w:rPr>
          <w:rFonts w:hint="eastAsia" w:ascii="仿宋_GB2312" w:hAnsi="仿宋_GB2312" w:eastAsia="仿宋_GB2312" w:cs="仿宋_GB2312"/>
          <w:i w:val="0"/>
          <w:iCs w:val="0"/>
          <w:color w:val="auto"/>
          <w:sz w:val="24"/>
          <w:szCs w:val="24"/>
          <w:highlight w:val="none"/>
        </w:rPr>
        <w:br w:type="page" w:clear="all"/>
      </w:r>
      <w:bookmarkStart w:id="90" w:name="_Hlk65853643"/>
      <w:r>
        <w:rPr>
          <w:rFonts w:hint="eastAsia" w:ascii="微软雅黑" w:hAnsi="微软雅黑" w:eastAsia="微软雅黑" w:cs="微软雅黑"/>
          <w:i w:val="0"/>
          <w:iCs w:val="0"/>
          <w:color w:val="auto"/>
          <w:sz w:val="32"/>
          <w:szCs w:val="32"/>
          <w:highlight w:val="none"/>
        </w:rPr>
        <w:t>授权委托书</w:t>
      </w:r>
    </w:p>
    <w:p w14:paraId="00FF0456">
      <w:pPr>
        <w:spacing w:line="500" w:lineRule="exact"/>
        <w:jc w:val="center"/>
        <w:rPr>
          <w:rFonts w:hint="eastAsia" w:ascii="微软雅黑" w:hAnsi="微软雅黑" w:eastAsia="微软雅黑" w:cs="微软雅黑"/>
          <w:i w:val="0"/>
          <w:iCs w:val="0"/>
          <w:color w:val="auto"/>
          <w:sz w:val="28"/>
          <w:szCs w:val="28"/>
          <w:highlight w:val="none"/>
        </w:rPr>
      </w:pPr>
      <w:r>
        <w:rPr>
          <w:rFonts w:hint="eastAsia" w:ascii="微软雅黑" w:hAnsi="微软雅黑" w:eastAsia="微软雅黑" w:cs="微软雅黑"/>
          <w:i w:val="0"/>
          <w:iCs w:val="0"/>
          <w:color w:val="auto"/>
          <w:sz w:val="28"/>
          <w:szCs w:val="28"/>
          <w:highlight w:val="none"/>
        </w:rPr>
        <w:t>（非联合体竞标格式）</w:t>
      </w:r>
    </w:p>
    <w:p w14:paraId="692CCD87">
      <w:pPr>
        <w:spacing w:line="500" w:lineRule="exact"/>
        <w:jc w:val="center"/>
        <w:rPr>
          <w:rFonts w:hint="eastAsia" w:ascii="微软雅黑" w:hAnsi="微软雅黑" w:eastAsia="微软雅黑" w:cs="微软雅黑"/>
          <w:i w:val="0"/>
          <w:iCs w:val="0"/>
          <w:color w:val="auto"/>
          <w:sz w:val="28"/>
          <w:szCs w:val="28"/>
          <w:highlight w:val="none"/>
        </w:rPr>
      </w:pPr>
      <w:r>
        <w:rPr>
          <w:rFonts w:hint="eastAsia" w:ascii="微软雅黑" w:hAnsi="微软雅黑" w:eastAsia="微软雅黑" w:cs="微软雅黑"/>
          <w:i w:val="0"/>
          <w:iCs w:val="0"/>
          <w:color w:val="auto"/>
          <w:sz w:val="28"/>
          <w:szCs w:val="28"/>
          <w:highlight w:val="none"/>
        </w:rPr>
        <w:t>（如有委托时）</w:t>
      </w:r>
    </w:p>
    <w:p w14:paraId="3BBC57E3">
      <w:pPr>
        <w:spacing w:line="520" w:lineRule="exact"/>
        <w:rPr>
          <w:rFonts w:hint="eastAsia" w:ascii="仿宋_GB2312" w:hAnsi="仿宋_GB2312" w:eastAsia="仿宋_GB2312" w:cs="仿宋_GB2312"/>
          <w:i w:val="0"/>
          <w:iCs w:val="0"/>
          <w:color w:val="auto"/>
          <w:sz w:val="32"/>
          <w:szCs w:val="32"/>
          <w:highlight w:val="none"/>
        </w:rPr>
      </w:pPr>
    </w:p>
    <w:p w14:paraId="4A68903C">
      <w:pPr>
        <w:spacing w:line="360" w:lineRule="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致：</w:t>
      </w:r>
      <w:r>
        <w:rPr>
          <w:rFonts w:hint="eastAsia" w:ascii="仿宋_GB2312" w:hAnsi="仿宋_GB2312" w:eastAsia="仿宋_GB2312" w:cs="仿宋_GB2312"/>
          <w:i w:val="0"/>
          <w:iCs w:val="0"/>
          <w:color w:val="auto"/>
          <w:sz w:val="24"/>
          <w:szCs w:val="24"/>
          <w:highlight w:val="none"/>
          <w:u w:val="single"/>
        </w:rPr>
        <w:t>（采购人名称）</w:t>
      </w:r>
      <w:r>
        <w:rPr>
          <w:rFonts w:hint="eastAsia" w:ascii="仿宋_GB2312" w:hAnsi="仿宋_GB2312" w:eastAsia="仿宋_GB2312" w:cs="仿宋_GB2312"/>
          <w:i w:val="0"/>
          <w:iCs w:val="0"/>
          <w:color w:val="auto"/>
          <w:sz w:val="24"/>
          <w:szCs w:val="24"/>
          <w:highlight w:val="none"/>
        </w:rPr>
        <w:t>：</w:t>
      </w:r>
    </w:p>
    <w:p w14:paraId="5A2AB038">
      <w:pPr>
        <w:spacing w:line="360" w:lineRule="auto"/>
        <w:ind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我</w:t>
      </w:r>
      <w:r>
        <w:rPr>
          <w:rFonts w:hint="eastAsia" w:ascii="仿宋_GB2312" w:hAnsi="仿宋_GB2312" w:eastAsia="仿宋_GB2312" w:cs="仿宋_GB2312"/>
          <w:i w:val="0"/>
          <w:iCs w:val="0"/>
          <w:color w:val="auto"/>
          <w:sz w:val="24"/>
          <w:szCs w:val="24"/>
          <w:highlight w:val="none"/>
          <w:u w:val="single"/>
        </w:rPr>
        <w:t xml:space="preserve">  （姓名）  </w:t>
      </w:r>
      <w:r>
        <w:rPr>
          <w:rFonts w:hint="eastAsia" w:ascii="仿宋_GB2312" w:hAnsi="仿宋_GB2312" w:eastAsia="仿宋_GB2312" w:cs="仿宋_GB2312"/>
          <w:i w:val="0"/>
          <w:iCs w:val="0"/>
          <w:color w:val="auto"/>
          <w:sz w:val="24"/>
          <w:szCs w:val="24"/>
          <w:highlight w:val="none"/>
        </w:rPr>
        <w:t>系</w:t>
      </w:r>
      <w:r>
        <w:rPr>
          <w:rFonts w:hint="eastAsia" w:ascii="仿宋_GB2312" w:hAnsi="仿宋_GB2312" w:eastAsia="仿宋_GB2312" w:cs="仿宋_GB2312"/>
          <w:i w:val="0"/>
          <w:iCs w:val="0"/>
          <w:color w:val="auto"/>
          <w:sz w:val="24"/>
          <w:szCs w:val="24"/>
          <w:highlight w:val="none"/>
          <w:u w:val="single"/>
        </w:rPr>
        <w:t xml:space="preserve">  （供应商名称）  </w:t>
      </w:r>
      <w:r>
        <w:rPr>
          <w:rFonts w:hint="eastAsia" w:ascii="仿宋_GB2312" w:hAnsi="仿宋_GB2312" w:eastAsia="仿宋_GB2312" w:cs="仿宋_GB2312"/>
          <w:i w:val="0"/>
          <w:iCs w:val="0"/>
          <w:color w:val="auto"/>
          <w:sz w:val="24"/>
          <w:szCs w:val="24"/>
          <w:highlight w:val="none"/>
        </w:rPr>
        <w:t>的（</w:t>
      </w:r>
      <w:r>
        <w:rPr>
          <w:rFonts w:ascii="Wingdings 2" w:hAnsi="Wingdings 2" w:eastAsia="Wingdings 2" w:cs="Wingdings 2"/>
          <w:i w:val="0"/>
          <w:iCs w:val="0"/>
          <w:color w:val="auto"/>
          <w:sz w:val="24"/>
          <w:szCs w:val="24"/>
          <w:highlight w:val="none"/>
          <w:u w:val="single"/>
        </w:rPr>
        <w:t>£</w:t>
      </w:r>
      <w:r>
        <w:rPr>
          <w:rFonts w:hint="eastAsia" w:ascii="仿宋_GB2312" w:hAnsi="仿宋_GB2312" w:eastAsia="仿宋_GB2312" w:cs="仿宋_GB2312"/>
          <w:i w:val="0"/>
          <w:iCs w:val="0"/>
          <w:color w:val="auto"/>
          <w:sz w:val="24"/>
          <w:szCs w:val="24"/>
          <w:highlight w:val="none"/>
          <w:u w:val="single"/>
        </w:rPr>
        <w:t>法定代表人/□负责人/□自然人本人</w:t>
      </w:r>
      <w:r>
        <w:rPr>
          <w:rFonts w:hint="eastAsia" w:ascii="仿宋_GB2312" w:hAnsi="仿宋_GB2312" w:eastAsia="仿宋_GB2312" w:cs="仿宋_GB2312"/>
          <w:i w:val="0"/>
          <w:iCs w:val="0"/>
          <w:color w:val="auto"/>
          <w:sz w:val="24"/>
          <w:szCs w:val="24"/>
          <w:highlight w:val="none"/>
        </w:rPr>
        <w:t>），现授权</w:t>
      </w:r>
      <w:r>
        <w:rPr>
          <w:rFonts w:hint="eastAsia" w:ascii="仿宋_GB2312" w:hAnsi="仿宋_GB2312" w:eastAsia="仿宋_GB2312" w:cs="仿宋_GB2312"/>
          <w:i w:val="0"/>
          <w:iCs w:val="0"/>
          <w:color w:val="auto"/>
          <w:sz w:val="24"/>
          <w:szCs w:val="24"/>
          <w:highlight w:val="none"/>
          <w:u w:val="single"/>
        </w:rPr>
        <w:t xml:space="preserve"> （姓名） </w:t>
      </w:r>
      <w:r>
        <w:rPr>
          <w:rFonts w:hint="eastAsia" w:ascii="仿宋_GB2312" w:hAnsi="仿宋_GB2312" w:eastAsia="仿宋_GB2312" w:cs="仿宋_GB2312"/>
          <w:i w:val="0"/>
          <w:iCs w:val="0"/>
          <w:color w:val="auto"/>
          <w:sz w:val="24"/>
          <w:szCs w:val="24"/>
          <w:highlight w:val="none"/>
        </w:rPr>
        <w:t>以我方的名义参加</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项目的竞标活动，并代表我方全权办理针对上述项目的所有采购程序和环节的具体事务和签署相关文件。</w:t>
      </w:r>
    </w:p>
    <w:p w14:paraId="43887CC9">
      <w:pPr>
        <w:spacing w:line="360" w:lineRule="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我方对委托代理人的签字或者电子签名事项负全部责任。</w:t>
      </w:r>
    </w:p>
    <w:p w14:paraId="0766FAA7">
      <w:pPr>
        <w:spacing w:line="360" w:lineRule="auto"/>
        <w:ind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本授权书自签署之日起生效，在撤销授权的书面通知以前，本授权书一直有效。委托代理人在授权书有效期内签署的所有文件不因授权的撤销而失效。</w:t>
      </w:r>
    </w:p>
    <w:p w14:paraId="47D478D7">
      <w:pPr>
        <w:spacing w:line="360" w:lineRule="auto"/>
        <w:ind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委托代理人无转委托权，特此委托。</w:t>
      </w:r>
    </w:p>
    <w:p w14:paraId="58D3E0B6">
      <w:pPr>
        <w:spacing w:line="360" w:lineRule="auto"/>
        <w:ind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附：法定代表人身份证明书及委托代理人有效身份证正反面复印件</w:t>
      </w:r>
    </w:p>
    <w:p w14:paraId="1F941A7E">
      <w:pPr>
        <w:spacing w:line="360" w:lineRule="auto"/>
        <w:rPr>
          <w:rFonts w:hint="eastAsia" w:ascii="仿宋_GB2312" w:hAnsi="仿宋_GB2312" w:eastAsia="仿宋_GB2312" w:cs="仿宋_GB2312"/>
          <w:i w:val="0"/>
          <w:iCs w:val="0"/>
          <w:color w:val="auto"/>
          <w:sz w:val="24"/>
          <w:szCs w:val="24"/>
          <w:highlight w:val="none"/>
        </w:rPr>
      </w:pPr>
    </w:p>
    <w:p w14:paraId="79D3BA4D">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委托代理人（签字或者电子签名）：     </w:t>
      </w:r>
    </w:p>
    <w:p w14:paraId="16837435">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法定代表人（签字或者盖章或者电子签名）：                    </w:t>
      </w:r>
    </w:p>
    <w:p w14:paraId="2AF4D3F2">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委托代理人身份证号码：                              </w:t>
      </w:r>
    </w:p>
    <w:p w14:paraId="1EC97333">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w:t>
      </w:r>
    </w:p>
    <w:p w14:paraId="0D183917">
      <w:pPr>
        <w:spacing w:line="360" w:lineRule="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供应商名称（电子签章）：                      </w:t>
      </w:r>
    </w:p>
    <w:p w14:paraId="04CE9F7F">
      <w:pPr>
        <w:spacing w:line="360" w:lineRule="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年    月    日</w:t>
      </w:r>
    </w:p>
    <w:p w14:paraId="0048474B">
      <w:pPr>
        <w:spacing w:line="360" w:lineRule="auto"/>
        <w:rPr>
          <w:rFonts w:hint="eastAsia" w:ascii="仿宋_GB2312" w:hAnsi="仿宋_GB2312" w:eastAsia="仿宋_GB2312" w:cs="仿宋_GB2312"/>
          <w:i w:val="0"/>
          <w:iCs w:val="0"/>
          <w:color w:val="auto"/>
          <w:sz w:val="24"/>
          <w:szCs w:val="24"/>
          <w:highlight w:val="none"/>
        </w:rPr>
      </w:pPr>
    </w:p>
    <w:p w14:paraId="1FAEDD8A">
      <w:pPr>
        <w:spacing w:line="360" w:lineRule="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注：1. 法定代表人必须在授权委托书上签字或者盖章或者电子签名，委托代理人必须在授权委托书上签字或者电子签名，</w:t>
      </w:r>
      <w:r>
        <w:rPr>
          <w:rFonts w:hint="eastAsia" w:ascii="仿宋_GB2312" w:hAnsi="仿宋_GB2312" w:eastAsia="仿宋_GB2312" w:cs="仿宋_GB2312"/>
          <w:b/>
          <w:i w:val="0"/>
          <w:iCs w:val="0"/>
          <w:color w:val="auto"/>
          <w:sz w:val="24"/>
          <w:szCs w:val="24"/>
          <w:highlight w:val="none"/>
        </w:rPr>
        <w:t>否则其响应文件按无效响应处理。</w:t>
      </w:r>
    </w:p>
    <w:p w14:paraId="2DBF42F5">
      <w:pPr>
        <w:spacing w:line="360" w:lineRule="auto"/>
        <w:ind w:firstLine="640"/>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w:t>
      </w:r>
      <w:bookmarkStart w:id="91" w:name="_Hlk65853109"/>
      <w:bookmarkStart w:id="92" w:name="_Hlk65853542"/>
      <w:r>
        <w:rPr>
          <w:rFonts w:hint="eastAsia" w:ascii="仿宋_GB2312" w:hAnsi="仿宋_GB2312" w:eastAsia="仿宋_GB2312" w:cs="仿宋_GB2312"/>
          <w:i w:val="0"/>
          <w:iCs w:val="0"/>
          <w:color w:val="auto"/>
          <w:sz w:val="24"/>
          <w:szCs w:val="24"/>
          <w:highlight w:val="none"/>
        </w:rPr>
        <w:t>法人、其他组织竞标时“我方”是指“我单位”，自然人竞标时“我方”是指“本人”。</w:t>
      </w:r>
      <w:bookmarkEnd w:id="90"/>
      <w:bookmarkEnd w:id="91"/>
    </w:p>
    <w:p w14:paraId="225C5C23">
      <w:pPr>
        <w:spacing w:line="360" w:lineRule="auto"/>
        <w:ind w:firstLine="640"/>
        <w:jc w:val="left"/>
        <w:rPr>
          <w:rFonts w:hint="eastAsia" w:ascii="仿宋_GB2312" w:hAnsi="仿宋_GB2312" w:eastAsia="仿宋_GB2312" w:cs="仿宋_GB2312"/>
          <w:i w:val="0"/>
          <w:iCs w:val="0"/>
          <w:color w:val="auto"/>
          <w:sz w:val="24"/>
          <w:szCs w:val="24"/>
          <w:highlight w:val="none"/>
        </w:rPr>
      </w:pPr>
    </w:p>
    <w:p w14:paraId="2FC6218D">
      <w:pPr>
        <w:spacing w:line="500" w:lineRule="exact"/>
        <w:jc w:val="center"/>
        <w:rPr>
          <w:rFonts w:hint="eastAsia" w:ascii="仿宋_GB2312" w:hAnsi="仿宋_GB2312" w:eastAsia="仿宋_GB2312" w:cs="仿宋_GB2312"/>
          <w:i w:val="0"/>
          <w:iCs w:val="0"/>
          <w:color w:val="auto"/>
          <w:sz w:val="32"/>
          <w:szCs w:val="32"/>
          <w:highlight w:val="none"/>
        </w:rPr>
      </w:pPr>
      <w:r>
        <w:rPr>
          <w:rFonts w:hint="eastAsia" w:ascii="仿宋_GB2312" w:hAnsi="仿宋_GB2312" w:eastAsia="仿宋_GB2312" w:cs="仿宋_GB2312"/>
          <w:i w:val="0"/>
          <w:iCs w:val="0"/>
          <w:color w:val="auto"/>
          <w:sz w:val="32"/>
          <w:szCs w:val="32"/>
          <w:highlight w:val="none"/>
        </w:rPr>
        <w:br w:type="page" w:clear="all"/>
      </w:r>
      <w:r>
        <w:rPr>
          <w:rFonts w:hint="eastAsia" w:ascii="微软雅黑" w:hAnsi="微软雅黑" w:eastAsia="微软雅黑" w:cs="微软雅黑"/>
          <w:i w:val="0"/>
          <w:iCs w:val="0"/>
          <w:color w:val="auto"/>
          <w:sz w:val="32"/>
          <w:szCs w:val="32"/>
          <w:highlight w:val="none"/>
        </w:rPr>
        <w:t>授权委托书</w:t>
      </w:r>
    </w:p>
    <w:p w14:paraId="2A9484AE">
      <w:pPr>
        <w:spacing w:line="500" w:lineRule="exact"/>
        <w:jc w:val="center"/>
        <w:rPr>
          <w:rFonts w:hint="eastAsia" w:ascii="微软雅黑" w:hAnsi="微软雅黑" w:eastAsia="微软雅黑" w:cs="微软雅黑"/>
          <w:i w:val="0"/>
          <w:iCs w:val="0"/>
          <w:color w:val="auto"/>
          <w:sz w:val="30"/>
          <w:szCs w:val="30"/>
          <w:highlight w:val="none"/>
        </w:rPr>
      </w:pPr>
      <w:r>
        <w:rPr>
          <w:rFonts w:hint="eastAsia" w:ascii="微软雅黑" w:hAnsi="微软雅黑" w:eastAsia="微软雅黑" w:cs="微软雅黑"/>
          <w:i w:val="0"/>
          <w:iCs w:val="0"/>
          <w:color w:val="auto"/>
          <w:sz w:val="30"/>
          <w:szCs w:val="30"/>
          <w:highlight w:val="none"/>
        </w:rPr>
        <w:t>（联合体竞标格式）</w:t>
      </w:r>
    </w:p>
    <w:p w14:paraId="7A551F9D">
      <w:pPr>
        <w:spacing w:line="500" w:lineRule="exact"/>
        <w:jc w:val="center"/>
        <w:rPr>
          <w:rFonts w:hint="eastAsia" w:ascii="微软雅黑" w:hAnsi="微软雅黑" w:eastAsia="微软雅黑" w:cs="微软雅黑"/>
          <w:i w:val="0"/>
          <w:iCs w:val="0"/>
          <w:color w:val="auto"/>
          <w:sz w:val="30"/>
          <w:szCs w:val="30"/>
          <w:highlight w:val="none"/>
        </w:rPr>
      </w:pPr>
      <w:r>
        <w:rPr>
          <w:rFonts w:hint="eastAsia" w:ascii="微软雅黑" w:hAnsi="微软雅黑" w:eastAsia="微软雅黑" w:cs="微软雅黑"/>
          <w:i w:val="0"/>
          <w:iCs w:val="0"/>
          <w:color w:val="auto"/>
          <w:sz w:val="30"/>
          <w:szCs w:val="30"/>
          <w:highlight w:val="none"/>
        </w:rPr>
        <w:t>（如有委托时）</w:t>
      </w:r>
    </w:p>
    <w:p w14:paraId="193FAFBC">
      <w:pPr>
        <w:spacing w:line="500" w:lineRule="exact"/>
        <w:jc w:val="center"/>
        <w:rPr>
          <w:rFonts w:hint="eastAsia" w:ascii="仿宋_GB2312" w:hAnsi="仿宋_GB2312" w:eastAsia="仿宋_GB2312" w:cs="仿宋_GB2312"/>
          <w:i w:val="0"/>
          <w:iCs w:val="0"/>
          <w:color w:val="auto"/>
          <w:sz w:val="32"/>
          <w:szCs w:val="32"/>
          <w:highlight w:val="none"/>
        </w:rPr>
      </w:pPr>
    </w:p>
    <w:p w14:paraId="29509405">
      <w:pPr>
        <w:spacing w:line="500" w:lineRule="exact"/>
        <w:jc w:val="center"/>
        <w:rPr>
          <w:rFonts w:hint="eastAsia" w:ascii="仿宋_GB2312" w:hAnsi="仿宋_GB2312" w:eastAsia="仿宋_GB2312" w:cs="仿宋_GB2312"/>
          <w:i w:val="0"/>
          <w:iCs w:val="0"/>
          <w:color w:val="auto"/>
          <w:sz w:val="32"/>
          <w:szCs w:val="32"/>
          <w:highlight w:val="none"/>
        </w:rPr>
      </w:pPr>
    </w:p>
    <w:p w14:paraId="57FCC681">
      <w:pPr>
        <w:spacing w:line="360" w:lineRule="auto"/>
        <w:ind w:firstLine="640"/>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本授权委托书声明：根据</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（牵头人名称）与</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（联合体其他成员名称）签订的《联合体竞标协议书》的内容，</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（牵头人名称）的法定代表人</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（姓名）现授权</w:t>
      </w:r>
      <w:r>
        <w:rPr>
          <w:rFonts w:hint="eastAsia" w:ascii="仿宋_GB2312" w:hAnsi="仿宋_GB2312" w:eastAsia="仿宋_GB2312" w:cs="仿宋_GB2312"/>
          <w:i w:val="0"/>
          <w:iCs w:val="0"/>
          <w:color w:val="auto"/>
          <w:sz w:val="24"/>
          <w:szCs w:val="24"/>
          <w:highlight w:val="none"/>
          <w:u w:val="single"/>
        </w:rPr>
        <w:t xml:space="preserve">      </w:t>
      </w:r>
      <w:r>
        <w:rPr>
          <w:rFonts w:hint="eastAsia" w:ascii="仿宋_GB2312" w:hAnsi="仿宋_GB2312" w:eastAsia="仿宋_GB2312" w:cs="仿宋_GB2312"/>
          <w:i w:val="0"/>
          <w:iCs w:val="0"/>
          <w:color w:val="auto"/>
          <w:sz w:val="24"/>
          <w:szCs w:val="24"/>
          <w:highlight w:val="none"/>
        </w:rPr>
        <w:t>（姓名）为</w:t>
      </w:r>
      <w:r>
        <w:rPr>
          <w:rFonts w:hint="eastAsia" w:ascii="仿宋_GB2312" w:hAnsi="仿宋_GB2312" w:eastAsia="仿宋_GB2312" w:cs="仿宋_GB2312"/>
          <w:i w:val="0"/>
          <w:iCs w:val="0"/>
          <w:color w:val="auto"/>
          <w:sz w:val="24"/>
          <w:szCs w:val="24"/>
          <w:highlight w:val="none"/>
          <w:lang w:eastAsia="zh-CN"/>
        </w:rPr>
        <w:t>联合体委托代理人</w:t>
      </w:r>
      <w:r>
        <w:rPr>
          <w:rFonts w:hint="eastAsia" w:ascii="仿宋_GB2312" w:hAnsi="仿宋_GB2312" w:eastAsia="仿宋_GB2312" w:cs="仿宋_GB2312"/>
          <w:i w:val="0"/>
          <w:iCs w:val="0"/>
          <w:color w:val="auto"/>
          <w:sz w:val="24"/>
          <w:szCs w:val="24"/>
          <w:highlight w:val="none"/>
        </w:rPr>
        <w:t>，并代表我方全权办理针对上述项目的所有采购程序和环节的具体事务和签署相关文件。</w:t>
      </w:r>
    </w:p>
    <w:p w14:paraId="3C8E285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我方对委托代理人的签字或者电子签名事项负全部责任。</w:t>
      </w:r>
    </w:p>
    <w:p w14:paraId="7BEAA355">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本授权书自签署之日起生效，在撤销授权的书面通知以前，本授权书一直有效。委托代理人在授权书有效期内签署的所有文件不因授权的撤销而失效。</w:t>
      </w:r>
    </w:p>
    <w:p w14:paraId="07DBB112">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委托代理人无转委托权，特此委托。</w:t>
      </w:r>
    </w:p>
    <w:p w14:paraId="546D7BED">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 xml:space="preserve">    附：法定代表人身份证明书及委托代理人有效身份证正反面复印件</w:t>
      </w:r>
    </w:p>
    <w:p w14:paraId="7A7CA64C">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牵头人法定代表人（签字或者盖章或者电子签名）：</w:t>
      </w:r>
    </w:p>
    <w:p w14:paraId="344FF2C6">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牵头人名称（电子签章）：</w:t>
      </w:r>
    </w:p>
    <w:p w14:paraId="60E6F729">
      <w:pPr>
        <w:spacing w:line="360" w:lineRule="auto"/>
        <w:ind w:firstLine="6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    年   月   日</w:t>
      </w:r>
    </w:p>
    <w:p w14:paraId="1E139D9C">
      <w:pPr>
        <w:spacing w:line="360" w:lineRule="auto"/>
        <w:contextualSpacing/>
        <w:rPr>
          <w:rFonts w:hint="eastAsia" w:ascii="仿宋_GB2312" w:hAnsi="仿宋_GB2312" w:eastAsia="仿宋_GB2312" w:cs="仿宋_GB2312"/>
          <w:i w:val="0"/>
          <w:iCs w:val="0"/>
          <w:color w:val="auto"/>
          <w:sz w:val="24"/>
          <w:szCs w:val="24"/>
          <w:highlight w:val="none"/>
        </w:rPr>
      </w:pPr>
    </w:p>
    <w:p w14:paraId="3C688E35">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被授权人（签字或者电子签名）：</w:t>
      </w:r>
    </w:p>
    <w:p w14:paraId="09A9DE0F">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    年   月   日</w:t>
      </w:r>
    </w:p>
    <w:p w14:paraId="5B3F39C9">
      <w:pPr>
        <w:spacing w:line="360" w:lineRule="auto"/>
        <w:contextualSpacing/>
        <w:rPr>
          <w:rFonts w:hint="eastAsia" w:ascii="仿宋_GB2312" w:hAnsi="仿宋_GB2312" w:eastAsia="仿宋_GB2312" w:cs="仿宋_GB2312"/>
          <w:i w:val="0"/>
          <w:iCs w:val="0"/>
          <w:color w:val="auto"/>
          <w:sz w:val="24"/>
          <w:szCs w:val="24"/>
          <w:highlight w:val="none"/>
        </w:rPr>
      </w:pPr>
    </w:p>
    <w:p w14:paraId="2FD7CF5C">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注：1. 法定代表人必须在授权委托书上签字或者盖章或者电子签名，委托代理人必须在授权委托书上签字或者电子签名，</w:t>
      </w:r>
      <w:r>
        <w:rPr>
          <w:rFonts w:hint="eastAsia" w:ascii="仿宋_GB2312" w:hAnsi="仿宋_GB2312" w:eastAsia="仿宋_GB2312" w:cs="仿宋_GB2312"/>
          <w:b/>
          <w:i w:val="0"/>
          <w:iCs w:val="0"/>
          <w:color w:val="auto"/>
          <w:sz w:val="24"/>
          <w:szCs w:val="24"/>
          <w:highlight w:val="none"/>
        </w:rPr>
        <w:t>否则其响应文件按无效响应处理。</w:t>
      </w:r>
    </w:p>
    <w:p w14:paraId="35141227">
      <w:pPr>
        <w:spacing w:line="360" w:lineRule="auto"/>
        <w:ind w:firstLine="640"/>
        <w:jc w:val="left"/>
        <w:rPr>
          <w:rFonts w:hint="eastAsia" w:ascii="仿宋_GB2312" w:hAnsi="仿宋_GB2312" w:eastAsia="仿宋_GB2312" w:cs="仿宋_GB2312"/>
          <w:i w:val="0"/>
          <w:iCs w:val="0"/>
          <w:color w:val="auto"/>
          <w:spacing w:val="-11"/>
          <w:sz w:val="24"/>
          <w:szCs w:val="24"/>
          <w:highlight w:val="none"/>
        </w:rPr>
      </w:pPr>
      <w:r>
        <w:rPr>
          <w:rFonts w:hint="eastAsia" w:ascii="仿宋_GB2312" w:hAnsi="仿宋_GB2312" w:eastAsia="仿宋_GB2312" w:cs="仿宋_GB2312"/>
          <w:i w:val="0"/>
          <w:iCs w:val="0"/>
          <w:color w:val="auto"/>
          <w:sz w:val="24"/>
          <w:szCs w:val="24"/>
          <w:highlight w:val="none"/>
        </w:rPr>
        <w:t>2.法人、其他组织竞标时“我方”是指“我单位”，自然人竞标时“我方”是指“本人”。</w:t>
      </w:r>
      <w:bookmarkEnd w:id="92"/>
    </w:p>
    <w:p w14:paraId="1AD88C5B">
      <w:pPr>
        <w:spacing w:line="360" w:lineRule="auto"/>
        <w:jc w:val="center"/>
        <w:rPr>
          <w:rFonts w:hint="eastAsia" w:ascii="微软雅黑" w:hAnsi="微软雅黑" w:eastAsia="微软雅黑" w:cs="微软雅黑"/>
          <w:bCs/>
          <w:i w:val="0"/>
          <w:iCs w:val="0"/>
          <w:color w:val="auto"/>
          <w:sz w:val="44"/>
          <w:szCs w:val="44"/>
          <w:highlight w:val="none"/>
        </w:rPr>
      </w:pPr>
      <w:r>
        <w:rPr>
          <w:rFonts w:hint="eastAsia" w:ascii="微软雅黑" w:hAnsi="微软雅黑" w:eastAsia="微软雅黑" w:cs="微软雅黑"/>
          <w:bCs/>
          <w:i w:val="0"/>
          <w:iCs w:val="0"/>
          <w:color w:val="auto"/>
          <w:sz w:val="24"/>
          <w:szCs w:val="24"/>
          <w:highlight w:val="none"/>
        </w:rPr>
        <w:br w:type="page" w:clear="all"/>
      </w:r>
      <w:r>
        <w:rPr>
          <w:rFonts w:hint="eastAsia" w:ascii="方正公文小标宋" w:hAnsi="方正公文小标宋" w:eastAsia="方正公文小标宋" w:cs="方正公文小标宋"/>
          <w:bCs/>
          <w:i w:val="0"/>
          <w:iCs w:val="0"/>
          <w:color w:val="auto"/>
          <w:sz w:val="32"/>
          <w:szCs w:val="32"/>
          <w:highlight w:val="none"/>
        </w:rPr>
        <w:t>商务要求偏离表格式</w:t>
      </w:r>
    </w:p>
    <w:p w14:paraId="5846803F">
      <w:pPr>
        <w:rPr>
          <w:rFonts w:hint="eastAsia"/>
          <w:i w:val="0"/>
          <w:iCs w:val="0"/>
          <w:color w:val="auto"/>
          <w:highlight w:val="none"/>
        </w:rPr>
      </w:pPr>
    </w:p>
    <w:tbl>
      <w:tblPr>
        <w:tblStyle w:val="36"/>
        <w:tblpPr w:leftFromText="180" w:rightFromText="180" w:vertAnchor="text" w:horzAnchor="margin" w:tblpXSpec="left" w:tblpY="-9"/>
        <w:tblOverlap w:val="never"/>
        <w:tblW w:w="847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0"/>
        <w:gridCol w:w="2400"/>
        <w:gridCol w:w="1894"/>
        <w:gridCol w:w="1924"/>
      </w:tblGrid>
      <w:tr w14:paraId="307437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2260" w:type="dxa"/>
            <w:tcBorders>
              <w:top w:val="single" w:color="auto" w:sz="4" w:space="0"/>
              <w:left w:val="single" w:color="auto" w:sz="4" w:space="0"/>
              <w:bottom w:val="single" w:color="auto" w:sz="4" w:space="0"/>
              <w:right w:val="single" w:color="auto" w:sz="4" w:space="0"/>
            </w:tcBorders>
            <w:noWrap w:val="0"/>
            <w:vAlign w:val="center"/>
          </w:tcPr>
          <w:p w14:paraId="11CCEDC3">
            <w:pPr>
              <w:spacing w:line="360" w:lineRule="auto"/>
              <w:contextualSpacing/>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项目</w:t>
            </w:r>
          </w:p>
        </w:tc>
        <w:tc>
          <w:tcPr>
            <w:tcW w:w="2400" w:type="dxa"/>
            <w:tcBorders>
              <w:top w:val="single" w:color="auto" w:sz="4" w:space="0"/>
              <w:left w:val="single" w:color="auto" w:sz="4" w:space="0"/>
              <w:bottom w:val="single" w:color="auto" w:sz="4" w:space="0"/>
              <w:right w:val="single" w:color="auto" w:sz="4" w:space="0"/>
            </w:tcBorders>
            <w:noWrap w:val="0"/>
            <w:vAlign w:val="center"/>
          </w:tcPr>
          <w:p w14:paraId="1AB1DEF8">
            <w:pPr>
              <w:spacing w:line="360" w:lineRule="auto"/>
              <w:contextualSpacing/>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磋商文件商务要求</w:t>
            </w:r>
          </w:p>
        </w:tc>
        <w:tc>
          <w:tcPr>
            <w:tcW w:w="1894" w:type="dxa"/>
            <w:tcBorders>
              <w:top w:val="single" w:color="auto" w:sz="4" w:space="0"/>
              <w:left w:val="single" w:color="auto" w:sz="4" w:space="0"/>
              <w:bottom w:val="single" w:color="auto" w:sz="4" w:space="0"/>
              <w:right w:val="single" w:color="auto" w:sz="4" w:space="0"/>
            </w:tcBorders>
            <w:noWrap w:val="0"/>
            <w:vAlign w:val="center"/>
          </w:tcPr>
          <w:p w14:paraId="272209DF">
            <w:pPr>
              <w:spacing w:line="360" w:lineRule="auto"/>
              <w:contextualSpacing/>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供应商的响应</w:t>
            </w:r>
          </w:p>
        </w:tc>
        <w:tc>
          <w:tcPr>
            <w:tcW w:w="1924" w:type="dxa"/>
            <w:tcBorders>
              <w:top w:val="single" w:color="auto" w:sz="4" w:space="0"/>
              <w:left w:val="single" w:color="auto" w:sz="4" w:space="0"/>
              <w:bottom w:val="single" w:color="auto" w:sz="4" w:space="0"/>
              <w:right w:val="single" w:color="auto" w:sz="4" w:space="0"/>
            </w:tcBorders>
            <w:noWrap w:val="0"/>
            <w:vAlign w:val="center"/>
          </w:tcPr>
          <w:p w14:paraId="14037771">
            <w:pPr>
              <w:spacing w:line="360" w:lineRule="auto"/>
              <w:contextualSpacing/>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偏离说明</w:t>
            </w:r>
          </w:p>
        </w:tc>
      </w:tr>
      <w:tr w14:paraId="6B516D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2260" w:type="dxa"/>
            <w:tcBorders>
              <w:top w:val="single" w:color="auto" w:sz="4" w:space="0"/>
              <w:left w:val="single" w:color="auto" w:sz="4" w:space="0"/>
              <w:bottom w:val="single" w:color="auto" w:sz="4" w:space="0"/>
              <w:right w:val="single" w:color="auto" w:sz="4" w:space="0"/>
            </w:tcBorders>
            <w:noWrap w:val="0"/>
            <w:vAlign w:val="center"/>
          </w:tcPr>
          <w:p w14:paraId="4C73B607">
            <w:pPr>
              <w:spacing w:line="400" w:lineRule="exact"/>
              <w:jc w:val="center"/>
              <w:rPr>
                <w:rFonts w:hint="eastAsia" w:ascii="仿宋_GB2312" w:hAnsi="仿宋_GB2312" w:eastAsia="仿宋_GB2312" w:cs="仿宋_GB2312"/>
                <w:i w:val="0"/>
                <w:iCs w:val="0"/>
                <w:color w:val="auto"/>
                <w:sz w:val="24"/>
                <w:szCs w:val="24"/>
                <w:highlight w:val="none"/>
              </w:rPr>
            </w:pPr>
          </w:p>
        </w:tc>
        <w:tc>
          <w:tcPr>
            <w:tcW w:w="2400" w:type="dxa"/>
            <w:tcBorders>
              <w:top w:val="single" w:color="auto" w:sz="4" w:space="0"/>
              <w:left w:val="single" w:color="auto" w:sz="4" w:space="0"/>
              <w:bottom w:val="single" w:color="auto" w:sz="4" w:space="0"/>
              <w:right w:val="single" w:color="auto" w:sz="4" w:space="0"/>
            </w:tcBorders>
            <w:noWrap w:val="0"/>
            <w:vAlign w:val="center"/>
          </w:tcPr>
          <w:p w14:paraId="165AD70F">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14:paraId="5BF4467E">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924" w:type="dxa"/>
            <w:tcBorders>
              <w:top w:val="single" w:color="auto" w:sz="4" w:space="0"/>
              <w:left w:val="single" w:color="auto" w:sz="4" w:space="0"/>
              <w:bottom w:val="single" w:color="auto" w:sz="4" w:space="0"/>
              <w:right w:val="single" w:color="auto" w:sz="4" w:space="0"/>
            </w:tcBorders>
            <w:noWrap w:val="0"/>
            <w:vAlign w:val="center"/>
          </w:tcPr>
          <w:p w14:paraId="26014FC7">
            <w:pPr>
              <w:spacing w:line="360" w:lineRule="auto"/>
              <w:contextualSpacing/>
              <w:jc w:val="center"/>
              <w:rPr>
                <w:rFonts w:hint="eastAsia" w:ascii="仿宋_GB2312" w:hAnsi="仿宋_GB2312" w:eastAsia="仿宋_GB2312" w:cs="仿宋_GB2312"/>
                <w:i w:val="0"/>
                <w:iCs w:val="0"/>
                <w:color w:val="auto"/>
                <w:sz w:val="24"/>
                <w:szCs w:val="24"/>
                <w:highlight w:val="none"/>
              </w:rPr>
            </w:pPr>
          </w:p>
        </w:tc>
      </w:tr>
      <w:tr w14:paraId="144290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260" w:type="dxa"/>
            <w:tcBorders>
              <w:top w:val="single" w:color="auto" w:sz="4" w:space="0"/>
              <w:left w:val="single" w:color="auto" w:sz="4" w:space="0"/>
              <w:bottom w:val="single" w:color="auto" w:sz="4" w:space="0"/>
              <w:right w:val="single" w:color="auto" w:sz="4" w:space="0"/>
            </w:tcBorders>
            <w:noWrap w:val="0"/>
            <w:vAlign w:val="center"/>
          </w:tcPr>
          <w:p w14:paraId="6BC21FB8">
            <w:pPr>
              <w:spacing w:line="400" w:lineRule="exact"/>
              <w:jc w:val="center"/>
              <w:rPr>
                <w:rFonts w:hint="eastAsia" w:ascii="仿宋_GB2312" w:hAnsi="仿宋_GB2312" w:eastAsia="仿宋_GB2312" w:cs="仿宋_GB2312"/>
                <w:i w:val="0"/>
                <w:iCs w:val="0"/>
                <w:color w:val="auto"/>
                <w:sz w:val="24"/>
                <w:szCs w:val="24"/>
                <w:highlight w:val="none"/>
              </w:rPr>
            </w:pPr>
          </w:p>
        </w:tc>
        <w:tc>
          <w:tcPr>
            <w:tcW w:w="2400" w:type="dxa"/>
            <w:tcBorders>
              <w:top w:val="single" w:color="auto" w:sz="4" w:space="0"/>
              <w:left w:val="single" w:color="auto" w:sz="4" w:space="0"/>
              <w:bottom w:val="single" w:color="auto" w:sz="4" w:space="0"/>
              <w:right w:val="single" w:color="auto" w:sz="4" w:space="0"/>
            </w:tcBorders>
            <w:noWrap w:val="0"/>
            <w:vAlign w:val="center"/>
          </w:tcPr>
          <w:p w14:paraId="70308BE7">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14:paraId="6E516574">
            <w:pPr>
              <w:spacing w:line="360" w:lineRule="auto"/>
              <w:ind w:left="43"/>
              <w:contextualSpacing/>
              <w:jc w:val="center"/>
              <w:rPr>
                <w:rFonts w:hint="eastAsia" w:ascii="仿宋_GB2312" w:hAnsi="仿宋_GB2312" w:eastAsia="仿宋_GB2312" w:cs="仿宋_GB2312"/>
                <w:i w:val="0"/>
                <w:iCs w:val="0"/>
                <w:color w:val="auto"/>
                <w:sz w:val="24"/>
                <w:szCs w:val="24"/>
                <w:highlight w:val="none"/>
              </w:rPr>
            </w:pPr>
          </w:p>
        </w:tc>
        <w:tc>
          <w:tcPr>
            <w:tcW w:w="1924" w:type="dxa"/>
            <w:tcBorders>
              <w:top w:val="single" w:color="auto" w:sz="4" w:space="0"/>
              <w:left w:val="single" w:color="auto" w:sz="4" w:space="0"/>
              <w:bottom w:val="single" w:color="auto" w:sz="4" w:space="0"/>
              <w:right w:val="single" w:color="auto" w:sz="4" w:space="0"/>
            </w:tcBorders>
            <w:noWrap w:val="0"/>
            <w:vAlign w:val="center"/>
          </w:tcPr>
          <w:p w14:paraId="1E825166">
            <w:pPr>
              <w:spacing w:line="360" w:lineRule="auto"/>
              <w:ind w:left="43"/>
              <w:contextualSpacing/>
              <w:jc w:val="center"/>
              <w:rPr>
                <w:rFonts w:hint="eastAsia" w:ascii="仿宋_GB2312" w:hAnsi="仿宋_GB2312" w:eastAsia="仿宋_GB2312" w:cs="仿宋_GB2312"/>
                <w:i w:val="0"/>
                <w:iCs w:val="0"/>
                <w:color w:val="auto"/>
                <w:sz w:val="24"/>
                <w:szCs w:val="24"/>
                <w:highlight w:val="none"/>
              </w:rPr>
            </w:pPr>
          </w:p>
        </w:tc>
      </w:tr>
      <w:tr w14:paraId="01E13E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260" w:type="dxa"/>
            <w:tcBorders>
              <w:top w:val="single" w:color="auto" w:sz="4" w:space="0"/>
              <w:left w:val="single" w:color="auto" w:sz="4" w:space="0"/>
              <w:bottom w:val="single" w:color="auto" w:sz="4" w:space="0"/>
              <w:right w:val="single" w:color="auto" w:sz="4" w:space="0"/>
            </w:tcBorders>
            <w:noWrap w:val="0"/>
            <w:vAlign w:val="center"/>
          </w:tcPr>
          <w:p w14:paraId="72E6C54A">
            <w:pPr>
              <w:spacing w:line="400" w:lineRule="exact"/>
              <w:jc w:val="center"/>
              <w:rPr>
                <w:rFonts w:hint="eastAsia" w:ascii="仿宋_GB2312" w:hAnsi="仿宋_GB2312" w:eastAsia="仿宋_GB2312" w:cs="仿宋_GB2312"/>
                <w:i w:val="0"/>
                <w:iCs w:val="0"/>
                <w:color w:val="auto"/>
                <w:sz w:val="24"/>
                <w:szCs w:val="24"/>
                <w:highlight w:val="none"/>
              </w:rPr>
            </w:pPr>
          </w:p>
        </w:tc>
        <w:tc>
          <w:tcPr>
            <w:tcW w:w="2400" w:type="dxa"/>
            <w:tcBorders>
              <w:top w:val="single" w:color="auto" w:sz="4" w:space="0"/>
              <w:left w:val="single" w:color="auto" w:sz="4" w:space="0"/>
              <w:bottom w:val="single" w:color="auto" w:sz="4" w:space="0"/>
              <w:right w:val="single" w:color="auto" w:sz="4" w:space="0"/>
            </w:tcBorders>
            <w:noWrap w:val="0"/>
            <w:vAlign w:val="center"/>
          </w:tcPr>
          <w:p w14:paraId="092FCFC8">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14:paraId="2F654DB0">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924" w:type="dxa"/>
            <w:tcBorders>
              <w:top w:val="single" w:color="auto" w:sz="4" w:space="0"/>
              <w:left w:val="single" w:color="auto" w:sz="4" w:space="0"/>
              <w:bottom w:val="single" w:color="auto" w:sz="4" w:space="0"/>
              <w:right w:val="single" w:color="auto" w:sz="4" w:space="0"/>
            </w:tcBorders>
            <w:noWrap w:val="0"/>
            <w:vAlign w:val="center"/>
          </w:tcPr>
          <w:p w14:paraId="62DD1602">
            <w:pPr>
              <w:spacing w:line="360" w:lineRule="auto"/>
              <w:contextualSpacing/>
              <w:jc w:val="center"/>
              <w:rPr>
                <w:rFonts w:hint="eastAsia" w:ascii="仿宋_GB2312" w:hAnsi="仿宋_GB2312" w:eastAsia="仿宋_GB2312" w:cs="仿宋_GB2312"/>
                <w:i w:val="0"/>
                <w:iCs w:val="0"/>
                <w:color w:val="auto"/>
                <w:sz w:val="24"/>
                <w:szCs w:val="24"/>
                <w:highlight w:val="none"/>
              </w:rPr>
            </w:pPr>
          </w:p>
        </w:tc>
      </w:tr>
      <w:tr w14:paraId="779D6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2260" w:type="dxa"/>
            <w:tcBorders>
              <w:top w:val="single" w:color="auto" w:sz="4" w:space="0"/>
              <w:left w:val="single" w:color="auto" w:sz="4" w:space="0"/>
              <w:bottom w:val="single" w:color="auto" w:sz="4" w:space="0"/>
              <w:right w:val="single" w:color="auto" w:sz="4" w:space="0"/>
            </w:tcBorders>
            <w:noWrap w:val="0"/>
            <w:vAlign w:val="center"/>
          </w:tcPr>
          <w:p w14:paraId="4FB27144">
            <w:pPr>
              <w:spacing w:line="400" w:lineRule="exact"/>
              <w:jc w:val="center"/>
              <w:rPr>
                <w:rFonts w:hint="eastAsia" w:ascii="仿宋_GB2312" w:hAnsi="仿宋_GB2312" w:eastAsia="仿宋_GB2312" w:cs="仿宋_GB2312"/>
                <w:i w:val="0"/>
                <w:iCs w:val="0"/>
                <w:color w:val="auto"/>
                <w:sz w:val="24"/>
                <w:szCs w:val="24"/>
                <w:highlight w:val="none"/>
              </w:rPr>
            </w:pPr>
          </w:p>
        </w:tc>
        <w:tc>
          <w:tcPr>
            <w:tcW w:w="2400" w:type="dxa"/>
            <w:tcBorders>
              <w:top w:val="single" w:color="auto" w:sz="4" w:space="0"/>
              <w:left w:val="single" w:color="auto" w:sz="4" w:space="0"/>
              <w:bottom w:val="single" w:color="auto" w:sz="4" w:space="0"/>
              <w:right w:val="single" w:color="auto" w:sz="4" w:space="0"/>
            </w:tcBorders>
            <w:noWrap w:val="0"/>
            <w:vAlign w:val="center"/>
          </w:tcPr>
          <w:p w14:paraId="2E7C8055">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14:paraId="1FF6C670">
            <w:pPr>
              <w:spacing w:line="360" w:lineRule="auto"/>
              <w:contextualSpacing/>
              <w:jc w:val="center"/>
              <w:rPr>
                <w:rFonts w:hint="eastAsia" w:ascii="仿宋_GB2312" w:hAnsi="仿宋_GB2312" w:eastAsia="仿宋_GB2312" w:cs="仿宋_GB2312"/>
                <w:i w:val="0"/>
                <w:iCs w:val="0"/>
                <w:color w:val="auto"/>
                <w:sz w:val="24"/>
                <w:szCs w:val="24"/>
                <w:highlight w:val="none"/>
              </w:rPr>
            </w:pPr>
          </w:p>
        </w:tc>
        <w:tc>
          <w:tcPr>
            <w:tcW w:w="1924" w:type="dxa"/>
            <w:tcBorders>
              <w:top w:val="single" w:color="auto" w:sz="4" w:space="0"/>
              <w:left w:val="single" w:color="auto" w:sz="4" w:space="0"/>
              <w:bottom w:val="single" w:color="auto" w:sz="4" w:space="0"/>
              <w:right w:val="single" w:color="auto" w:sz="4" w:space="0"/>
            </w:tcBorders>
            <w:noWrap w:val="0"/>
            <w:vAlign w:val="center"/>
          </w:tcPr>
          <w:p w14:paraId="32FCCD1A">
            <w:pPr>
              <w:spacing w:line="360" w:lineRule="auto"/>
              <w:contextualSpacing/>
              <w:jc w:val="center"/>
              <w:rPr>
                <w:rFonts w:hint="eastAsia" w:ascii="仿宋_GB2312" w:hAnsi="仿宋_GB2312" w:eastAsia="仿宋_GB2312" w:cs="仿宋_GB2312"/>
                <w:i w:val="0"/>
                <w:iCs w:val="0"/>
                <w:color w:val="auto"/>
                <w:sz w:val="24"/>
                <w:szCs w:val="24"/>
                <w:highlight w:val="none"/>
              </w:rPr>
            </w:pPr>
          </w:p>
        </w:tc>
      </w:tr>
    </w:tbl>
    <w:p w14:paraId="0064678E">
      <w:pPr>
        <w:pStyle w:val="220"/>
        <w:spacing w:after="0"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w:t>
      </w:r>
    </w:p>
    <w:p w14:paraId="4716EA52">
      <w:pPr>
        <w:pStyle w:val="220"/>
        <w:spacing w:after="0"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1.说明：应对照磋商文件“第三章采购需求”中的商务要求逐条作出明确响应</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并作出偏离说明。</w:t>
      </w:r>
    </w:p>
    <w:p w14:paraId="2FD7F37C">
      <w:pPr>
        <w:spacing w:line="360" w:lineRule="auto"/>
        <w:contextualSpacing/>
        <w:jc w:val="left"/>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2.供应商应根据自身的承诺，对照磋商文件要求在“偏离说明”中注明“正偏离”、“负偏离”或者“无偏离”。既不属于“正偏离”也不属于“负偏离”即为“无偏离”。</w:t>
      </w:r>
    </w:p>
    <w:p w14:paraId="1B1A6C37">
      <w:pPr>
        <w:spacing w:line="360" w:lineRule="auto"/>
        <w:ind w:right="-817"/>
        <w:contextualSpacing/>
        <w:rPr>
          <w:rFonts w:hint="eastAsia" w:ascii="仿宋_GB2312" w:hAnsi="仿宋_GB2312" w:eastAsia="仿宋_GB2312" w:cs="仿宋_GB2312"/>
          <w:i w:val="0"/>
          <w:iCs w:val="0"/>
          <w:color w:val="auto"/>
          <w:sz w:val="24"/>
          <w:szCs w:val="24"/>
          <w:highlight w:val="none"/>
        </w:rPr>
      </w:pPr>
    </w:p>
    <w:p w14:paraId="2741CBAF">
      <w:pPr>
        <w:spacing w:line="360" w:lineRule="auto"/>
        <w:ind w:right="-817"/>
        <w:contextualSpacing/>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法定代表人或者委托代理人（签字或者电子签名）：</w:t>
      </w:r>
    </w:p>
    <w:p w14:paraId="60CD098A">
      <w:pPr>
        <w:spacing w:line="360" w:lineRule="auto"/>
        <w:ind w:right="-817" w:firstLine="352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供应商名称（电子签章）：</w:t>
      </w:r>
    </w:p>
    <w:p w14:paraId="7510C236">
      <w:pPr>
        <w:spacing w:line="360" w:lineRule="auto"/>
        <w:ind w:right="-817" w:firstLine="5440"/>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日期：年月日</w:t>
      </w:r>
    </w:p>
    <w:p w14:paraId="109696A7">
      <w:pPr>
        <w:spacing w:line="520" w:lineRule="exact"/>
        <w:ind w:firstLine="7040"/>
        <w:jc w:val="center"/>
        <w:rPr>
          <w:rFonts w:hint="eastAsia" w:ascii="微软雅黑" w:hAnsi="微软雅黑" w:eastAsia="微软雅黑" w:cs="微软雅黑"/>
          <w:bCs/>
          <w:i w:val="0"/>
          <w:iCs w:val="0"/>
          <w:color w:val="auto"/>
          <w:sz w:val="24"/>
          <w:szCs w:val="24"/>
          <w:highlight w:val="none"/>
        </w:rPr>
      </w:pPr>
    </w:p>
    <w:p w14:paraId="67594780">
      <w:pPr>
        <w:spacing w:line="300" w:lineRule="auto"/>
        <w:jc w:val="center"/>
        <w:rPr>
          <w:rFonts w:hint="eastAsia" w:ascii="方正公文小标宋" w:hAnsi="方正公文小标宋" w:eastAsia="方正公文小标宋" w:cs="方正公文小标宋"/>
          <w:bCs/>
          <w:i w:val="0"/>
          <w:iCs w:val="0"/>
          <w:color w:val="auto"/>
          <w:sz w:val="32"/>
          <w:szCs w:val="32"/>
          <w:highlight w:val="none"/>
        </w:rPr>
      </w:pPr>
      <w:r>
        <w:rPr>
          <w:rFonts w:ascii="微软雅黑" w:hAnsi="微软雅黑" w:eastAsia="微软雅黑" w:cs="微软雅黑"/>
          <w:bCs/>
          <w:i w:val="0"/>
          <w:iCs w:val="0"/>
          <w:color w:val="auto"/>
          <w:sz w:val="24"/>
          <w:szCs w:val="24"/>
          <w:highlight w:val="none"/>
        </w:rPr>
        <w:br w:type="page" w:clear="all"/>
      </w:r>
      <w:r>
        <w:rPr>
          <w:rFonts w:hint="eastAsia" w:ascii="方正公文小标宋" w:hAnsi="方正公文小标宋" w:eastAsia="方正公文小标宋" w:cs="方正公文小标宋"/>
          <w:bCs/>
          <w:i w:val="0"/>
          <w:iCs w:val="0"/>
          <w:color w:val="auto"/>
          <w:sz w:val="32"/>
          <w:szCs w:val="32"/>
          <w:highlight w:val="none"/>
        </w:rPr>
        <w:t>技术要求偏离表</w:t>
      </w:r>
    </w:p>
    <w:p w14:paraId="494CDC8D">
      <w:pPr>
        <w:spacing w:line="360" w:lineRule="auto"/>
        <w:contextualSpacing/>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采购项目编号：</w:t>
      </w:r>
    </w:p>
    <w:p w14:paraId="743C50AA">
      <w:pPr>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采购项目名称：</w:t>
      </w:r>
    </w:p>
    <w:p w14:paraId="3A79C5E9">
      <w:pPr>
        <w:spacing w:line="360" w:lineRule="auto"/>
        <w:contextualSpacing/>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分标号：</w:t>
      </w:r>
    </w:p>
    <w:tbl>
      <w:tblPr>
        <w:tblStyle w:val="36"/>
        <w:tblW w:w="485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599"/>
        <w:gridCol w:w="3053"/>
        <w:gridCol w:w="2500"/>
        <w:gridCol w:w="1646"/>
      </w:tblGrid>
      <w:tr w14:paraId="79DCDE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914" w:hRule="atLeast"/>
          <w:jc w:val="center"/>
        </w:trPr>
        <w:tc>
          <w:tcPr>
            <w:tcW w:w="908" w:type="pct"/>
            <w:tcBorders>
              <w:top w:val="single" w:color="auto" w:sz="4" w:space="0"/>
              <w:left w:val="single" w:color="auto" w:sz="4" w:space="0"/>
              <w:bottom w:val="single" w:color="auto" w:sz="4" w:space="0"/>
              <w:right w:val="single" w:color="auto" w:sz="4" w:space="0"/>
            </w:tcBorders>
            <w:noWrap w:val="0"/>
            <w:vAlign w:val="center"/>
          </w:tcPr>
          <w:p w14:paraId="348D660B">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bookmarkStart w:id="93" w:name="_Toc173066401"/>
            <w:bookmarkStart w:id="94" w:name="_Toc301781611"/>
            <w:bookmarkStart w:id="95" w:name="_Toc295404981"/>
            <w:bookmarkStart w:id="96" w:name="_Toc383699906"/>
            <w:bookmarkStart w:id="97" w:name="_Toc373333689"/>
            <w:bookmarkStart w:id="98" w:name="_Toc173211900"/>
            <w:bookmarkStart w:id="99" w:name="_Toc254970588"/>
            <w:bookmarkStart w:id="100" w:name="_Toc254970729"/>
            <w:bookmarkStart w:id="101" w:name="_Toc297193185"/>
            <w:r>
              <w:rPr>
                <w:rFonts w:hint="eastAsia" w:ascii="仿宋_GB2312" w:hAnsi="仿宋_GB2312" w:eastAsia="仿宋_GB2312" w:cs="仿宋_GB2312"/>
                <w:i w:val="0"/>
                <w:iCs w:val="0"/>
                <w:color w:val="auto"/>
                <w:sz w:val="24"/>
                <w:szCs w:val="24"/>
                <w:highlight w:val="none"/>
                <w:lang w:val="en-US" w:eastAsia="zh-CN"/>
              </w:rPr>
              <w:t>序号</w:t>
            </w:r>
            <w:bookmarkEnd w:id="93"/>
            <w:bookmarkEnd w:id="94"/>
            <w:bookmarkEnd w:id="95"/>
            <w:bookmarkEnd w:id="96"/>
            <w:bookmarkEnd w:id="97"/>
            <w:bookmarkEnd w:id="98"/>
            <w:bookmarkEnd w:id="99"/>
            <w:bookmarkEnd w:id="100"/>
            <w:bookmarkEnd w:id="101"/>
          </w:p>
        </w:tc>
        <w:tc>
          <w:tcPr>
            <w:tcW w:w="1734" w:type="pct"/>
            <w:tcBorders>
              <w:top w:val="single" w:color="auto" w:sz="4" w:space="0"/>
              <w:left w:val="single" w:color="auto" w:sz="4" w:space="0"/>
              <w:bottom w:val="single" w:color="auto" w:sz="4" w:space="0"/>
              <w:right w:val="single" w:color="auto" w:sz="4" w:space="0"/>
            </w:tcBorders>
            <w:noWrap w:val="0"/>
            <w:vAlign w:val="center"/>
          </w:tcPr>
          <w:p w14:paraId="6E7AC4DD">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磋商文件</w:t>
            </w:r>
          </w:p>
          <w:p w14:paraId="65F7E743">
            <w:pPr>
              <w:pStyle w:val="52"/>
              <w:spacing w:line="360" w:lineRule="auto"/>
              <w:ind w:firstLine="0"/>
              <w:contextualSpacing/>
              <w:jc w:val="center"/>
              <w:rPr>
                <w:rFonts w:ascii="仿宋_GB2312" w:hAnsi="仿宋_GB2312" w:eastAsia="仿宋_GB2312" w:cs="仿宋_GB2312"/>
                <w:i w:val="0"/>
                <w:iCs w:val="0"/>
                <w:color w:val="auto"/>
                <w:sz w:val="24"/>
                <w:szCs w:val="24"/>
                <w:highlight w:val="none"/>
                <w:lang w:val="en-US" w:eastAsia="zh-CN"/>
              </w:rPr>
            </w:pPr>
            <w:r>
              <w:rPr>
                <w:rFonts w:hint="eastAsia" w:hAnsi="仿宋_GB2312" w:cs="仿宋_GB2312"/>
                <w:i w:val="0"/>
                <w:iCs w:val="0"/>
                <w:color w:val="auto"/>
                <w:sz w:val="24"/>
                <w:szCs w:val="24"/>
                <w:highlight w:val="none"/>
                <w:lang w:val="en-US" w:eastAsia="zh-CN"/>
              </w:rPr>
              <w:t>技术要求</w:t>
            </w:r>
          </w:p>
        </w:tc>
        <w:tc>
          <w:tcPr>
            <w:tcW w:w="1420" w:type="pct"/>
            <w:tcBorders>
              <w:top w:val="single" w:color="auto" w:sz="4" w:space="0"/>
              <w:left w:val="single" w:color="auto" w:sz="4" w:space="0"/>
              <w:bottom w:val="single" w:color="auto" w:sz="4" w:space="0"/>
              <w:right w:val="single" w:color="auto" w:sz="4" w:space="0"/>
            </w:tcBorders>
            <w:noWrap w:val="0"/>
            <w:vAlign w:val="center"/>
          </w:tcPr>
          <w:p w14:paraId="5B425E1A">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bookmarkStart w:id="102" w:name="_Toc295404983"/>
            <w:bookmarkStart w:id="103" w:name="_Toc254970590"/>
            <w:bookmarkStart w:id="104" w:name="_Toc254970731"/>
            <w:r>
              <w:rPr>
                <w:rFonts w:hint="eastAsia" w:ascii="仿宋_GB2312" w:hAnsi="仿宋_GB2312" w:eastAsia="仿宋_GB2312" w:cs="仿宋_GB2312"/>
                <w:i w:val="0"/>
                <w:iCs w:val="0"/>
                <w:color w:val="auto"/>
                <w:sz w:val="24"/>
                <w:szCs w:val="24"/>
                <w:highlight w:val="none"/>
                <w:lang w:val="en-US" w:eastAsia="zh-CN"/>
              </w:rPr>
              <w:t>竞标响应</w:t>
            </w:r>
            <w:bookmarkEnd w:id="102"/>
            <w:bookmarkEnd w:id="103"/>
            <w:bookmarkEnd w:id="104"/>
          </w:p>
        </w:tc>
        <w:tc>
          <w:tcPr>
            <w:tcW w:w="935" w:type="pct"/>
            <w:tcBorders>
              <w:top w:val="single" w:color="auto" w:sz="4" w:space="0"/>
              <w:left w:val="single" w:color="auto" w:sz="4" w:space="0"/>
              <w:bottom w:val="single" w:color="auto" w:sz="4" w:space="0"/>
              <w:right w:val="single" w:color="auto" w:sz="4" w:space="0"/>
            </w:tcBorders>
            <w:noWrap w:val="0"/>
            <w:vAlign w:val="center"/>
          </w:tcPr>
          <w:p w14:paraId="042C5B06">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t>偏离说明</w:t>
            </w:r>
          </w:p>
        </w:tc>
      </w:tr>
      <w:tr w14:paraId="35E595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24" w:hRule="atLeast"/>
          <w:jc w:val="center"/>
        </w:trPr>
        <w:tc>
          <w:tcPr>
            <w:tcW w:w="908" w:type="pct"/>
            <w:tcBorders>
              <w:top w:val="single" w:color="auto" w:sz="4" w:space="0"/>
              <w:left w:val="single" w:color="auto" w:sz="4" w:space="0"/>
              <w:bottom w:val="single" w:color="auto" w:sz="4" w:space="0"/>
              <w:right w:val="single" w:color="auto" w:sz="4" w:space="0"/>
            </w:tcBorders>
            <w:noWrap w:val="0"/>
            <w:vAlign w:val="center"/>
          </w:tcPr>
          <w:p w14:paraId="17A28F69">
            <w:pPr>
              <w:pStyle w:val="52"/>
              <w:spacing w:line="360" w:lineRule="auto"/>
              <w:ind w:firstLine="0"/>
              <w:contextualSpacing/>
              <w:jc w:val="left"/>
              <w:rPr>
                <w:rFonts w:hint="eastAsia" w:ascii="仿宋_GB2312" w:hAnsi="仿宋_GB2312" w:eastAsia="仿宋_GB2312" w:cs="仿宋_GB2312"/>
                <w:i w:val="0"/>
                <w:iCs w:val="0"/>
                <w:color w:val="auto"/>
                <w:sz w:val="24"/>
                <w:szCs w:val="24"/>
                <w:highlight w:val="none"/>
                <w:lang w:val="en-US" w:eastAsia="zh-CN"/>
              </w:rPr>
            </w:pPr>
          </w:p>
        </w:tc>
        <w:tc>
          <w:tcPr>
            <w:tcW w:w="1734" w:type="pct"/>
            <w:tcBorders>
              <w:top w:val="single" w:color="auto" w:sz="4" w:space="0"/>
              <w:left w:val="single" w:color="auto" w:sz="4" w:space="0"/>
              <w:bottom w:val="single" w:color="auto" w:sz="4" w:space="0"/>
              <w:right w:val="single" w:color="auto" w:sz="4" w:space="0"/>
            </w:tcBorders>
            <w:noWrap w:val="0"/>
            <w:vAlign w:val="center"/>
          </w:tcPr>
          <w:p w14:paraId="5FDCD450">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c>
          <w:tcPr>
            <w:tcW w:w="1420" w:type="pct"/>
            <w:tcBorders>
              <w:top w:val="single" w:color="auto" w:sz="4" w:space="0"/>
              <w:left w:val="single" w:color="auto" w:sz="4" w:space="0"/>
              <w:bottom w:val="single" w:color="auto" w:sz="4" w:space="0"/>
              <w:right w:val="single" w:color="auto" w:sz="4" w:space="0"/>
            </w:tcBorders>
            <w:noWrap w:val="0"/>
            <w:vAlign w:val="center"/>
          </w:tcPr>
          <w:p w14:paraId="66CF4C5C">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c>
          <w:tcPr>
            <w:tcW w:w="935" w:type="pct"/>
            <w:tcBorders>
              <w:top w:val="single" w:color="auto" w:sz="4" w:space="0"/>
              <w:left w:val="single" w:color="auto" w:sz="4" w:space="0"/>
              <w:bottom w:val="single" w:color="auto" w:sz="4" w:space="0"/>
              <w:right w:val="single" w:color="auto" w:sz="4" w:space="0"/>
            </w:tcBorders>
            <w:noWrap w:val="0"/>
            <w:vAlign w:val="center"/>
          </w:tcPr>
          <w:p w14:paraId="4716F765">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r>
      <w:tr w14:paraId="3801C5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43" w:hRule="atLeast"/>
          <w:jc w:val="center"/>
        </w:trPr>
        <w:tc>
          <w:tcPr>
            <w:tcW w:w="908" w:type="pct"/>
            <w:tcBorders>
              <w:top w:val="single" w:color="auto" w:sz="4" w:space="0"/>
              <w:left w:val="single" w:color="auto" w:sz="4" w:space="0"/>
              <w:bottom w:val="single" w:color="auto" w:sz="4" w:space="0"/>
              <w:right w:val="single" w:color="auto" w:sz="4" w:space="0"/>
            </w:tcBorders>
            <w:noWrap w:val="0"/>
            <w:vAlign w:val="center"/>
          </w:tcPr>
          <w:p w14:paraId="3A30A328">
            <w:pPr>
              <w:pStyle w:val="52"/>
              <w:spacing w:line="360" w:lineRule="auto"/>
              <w:ind w:firstLine="0"/>
              <w:contextualSpacing/>
              <w:jc w:val="left"/>
              <w:rPr>
                <w:rFonts w:hint="eastAsia" w:ascii="仿宋_GB2312" w:hAnsi="仿宋_GB2312" w:eastAsia="仿宋_GB2312" w:cs="仿宋_GB2312"/>
                <w:i w:val="0"/>
                <w:iCs w:val="0"/>
                <w:color w:val="auto"/>
                <w:sz w:val="24"/>
                <w:szCs w:val="24"/>
                <w:highlight w:val="none"/>
                <w:lang w:val="en-US" w:eastAsia="zh-CN"/>
              </w:rPr>
            </w:pPr>
          </w:p>
        </w:tc>
        <w:tc>
          <w:tcPr>
            <w:tcW w:w="1734" w:type="pct"/>
            <w:tcBorders>
              <w:top w:val="single" w:color="auto" w:sz="4" w:space="0"/>
              <w:left w:val="single" w:color="auto" w:sz="4" w:space="0"/>
              <w:bottom w:val="single" w:color="auto" w:sz="4" w:space="0"/>
              <w:right w:val="single" w:color="auto" w:sz="4" w:space="0"/>
            </w:tcBorders>
            <w:noWrap w:val="0"/>
            <w:vAlign w:val="center"/>
          </w:tcPr>
          <w:p w14:paraId="3641550C">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c>
          <w:tcPr>
            <w:tcW w:w="1420" w:type="pct"/>
            <w:tcBorders>
              <w:top w:val="single" w:color="auto" w:sz="4" w:space="0"/>
              <w:left w:val="single" w:color="auto" w:sz="4" w:space="0"/>
              <w:bottom w:val="single" w:color="auto" w:sz="4" w:space="0"/>
              <w:right w:val="single" w:color="auto" w:sz="4" w:space="0"/>
            </w:tcBorders>
            <w:noWrap w:val="0"/>
            <w:vAlign w:val="center"/>
          </w:tcPr>
          <w:p w14:paraId="1A55E347">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c>
          <w:tcPr>
            <w:tcW w:w="935" w:type="pct"/>
            <w:tcBorders>
              <w:top w:val="single" w:color="auto" w:sz="4" w:space="0"/>
              <w:left w:val="single" w:color="auto" w:sz="4" w:space="0"/>
              <w:bottom w:val="single" w:color="auto" w:sz="4" w:space="0"/>
              <w:right w:val="single" w:color="auto" w:sz="4" w:space="0"/>
            </w:tcBorders>
            <w:noWrap w:val="0"/>
            <w:vAlign w:val="center"/>
          </w:tcPr>
          <w:p w14:paraId="0FC4683B">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r>
      <w:tr w14:paraId="30389E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43" w:hRule="atLeast"/>
          <w:jc w:val="center"/>
        </w:trPr>
        <w:tc>
          <w:tcPr>
            <w:tcW w:w="908" w:type="pct"/>
            <w:tcBorders>
              <w:top w:val="single" w:color="auto" w:sz="4" w:space="0"/>
              <w:left w:val="single" w:color="auto" w:sz="4" w:space="0"/>
              <w:bottom w:val="single" w:color="auto" w:sz="4" w:space="0"/>
              <w:right w:val="single" w:color="auto" w:sz="4" w:space="0"/>
            </w:tcBorders>
            <w:noWrap w:val="0"/>
            <w:vAlign w:val="center"/>
          </w:tcPr>
          <w:p w14:paraId="744CC565">
            <w:pPr>
              <w:pStyle w:val="52"/>
              <w:spacing w:line="360" w:lineRule="auto"/>
              <w:ind w:firstLine="0"/>
              <w:contextualSpacing/>
              <w:jc w:val="left"/>
              <w:rPr>
                <w:rFonts w:hint="eastAsia" w:ascii="仿宋_GB2312" w:hAnsi="仿宋_GB2312" w:eastAsia="仿宋_GB2312" w:cs="仿宋_GB2312"/>
                <w:i w:val="0"/>
                <w:iCs w:val="0"/>
                <w:color w:val="auto"/>
                <w:sz w:val="24"/>
                <w:szCs w:val="24"/>
                <w:highlight w:val="none"/>
                <w:lang w:val="en-US" w:eastAsia="zh-CN"/>
              </w:rPr>
            </w:pPr>
          </w:p>
        </w:tc>
        <w:tc>
          <w:tcPr>
            <w:tcW w:w="1734" w:type="pct"/>
            <w:tcBorders>
              <w:top w:val="single" w:color="auto" w:sz="4" w:space="0"/>
              <w:left w:val="single" w:color="auto" w:sz="4" w:space="0"/>
              <w:bottom w:val="single" w:color="auto" w:sz="4" w:space="0"/>
              <w:right w:val="single" w:color="auto" w:sz="4" w:space="0"/>
            </w:tcBorders>
            <w:noWrap w:val="0"/>
            <w:vAlign w:val="center"/>
          </w:tcPr>
          <w:p w14:paraId="41F6BBAD">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c>
          <w:tcPr>
            <w:tcW w:w="1420" w:type="pct"/>
            <w:tcBorders>
              <w:top w:val="single" w:color="auto" w:sz="4" w:space="0"/>
              <w:left w:val="single" w:color="auto" w:sz="4" w:space="0"/>
              <w:bottom w:val="single" w:color="auto" w:sz="4" w:space="0"/>
              <w:right w:val="single" w:color="auto" w:sz="4" w:space="0"/>
            </w:tcBorders>
            <w:noWrap w:val="0"/>
            <w:vAlign w:val="center"/>
          </w:tcPr>
          <w:p w14:paraId="62D210AA">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c>
          <w:tcPr>
            <w:tcW w:w="935" w:type="pct"/>
            <w:tcBorders>
              <w:top w:val="single" w:color="auto" w:sz="4" w:space="0"/>
              <w:left w:val="single" w:color="auto" w:sz="4" w:space="0"/>
              <w:bottom w:val="single" w:color="auto" w:sz="4" w:space="0"/>
              <w:right w:val="single" w:color="auto" w:sz="4" w:space="0"/>
            </w:tcBorders>
            <w:noWrap w:val="0"/>
            <w:vAlign w:val="center"/>
          </w:tcPr>
          <w:p w14:paraId="44D968C6">
            <w:pPr>
              <w:pStyle w:val="52"/>
              <w:spacing w:line="360" w:lineRule="auto"/>
              <w:ind w:firstLine="0"/>
              <w:contextualSpacing/>
              <w:jc w:val="center"/>
              <w:rPr>
                <w:rFonts w:hint="eastAsia" w:ascii="仿宋_GB2312" w:hAnsi="仿宋_GB2312" w:eastAsia="仿宋_GB2312" w:cs="仿宋_GB2312"/>
                <w:i w:val="0"/>
                <w:iCs w:val="0"/>
                <w:color w:val="auto"/>
                <w:sz w:val="24"/>
                <w:szCs w:val="24"/>
                <w:highlight w:val="none"/>
                <w:lang w:val="en-US" w:eastAsia="zh-CN"/>
              </w:rPr>
            </w:pPr>
          </w:p>
        </w:tc>
      </w:tr>
    </w:tbl>
    <w:p w14:paraId="7D2B6EF5">
      <w:pPr>
        <w:spacing w:line="360" w:lineRule="auto"/>
        <w:contextualSpacing/>
        <w:rPr>
          <w:rFonts w:hint="eastAsia" w:ascii="仿宋_GB2312" w:hAnsi="仿宋_GB2312" w:eastAsia="仿宋_GB2312" w:cs="仿宋_GB2312"/>
          <w:i w:val="0"/>
          <w:iCs w:val="0"/>
          <w:color w:val="auto"/>
          <w:sz w:val="24"/>
          <w:szCs w:val="24"/>
          <w:highlight w:val="none"/>
        </w:rPr>
      </w:pPr>
    </w:p>
    <w:p w14:paraId="501F7961">
      <w:pPr>
        <w:pStyle w:val="52"/>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w:t>
      </w:r>
    </w:p>
    <w:p w14:paraId="541D6E56">
      <w:pPr>
        <w:pStyle w:val="52"/>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1.说明：应对照磋商文件“第三章采购需求”中的服务内容与要求逐条作出明确响应</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并作出偏离说明。</w:t>
      </w:r>
    </w:p>
    <w:p w14:paraId="2576CCB4">
      <w:pPr>
        <w:pStyle w:val="52"/>
        <w:spacing w:line="360" w:lineRule="auto"/>
        <w:ind w:firstLine="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2.供应商应根据自身的承诺</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对照磋商文件要求</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在“偏离说明”中注明“正偏离”、“负偏离”或者“无偏离”。既不属于“正偏离”也不属于“负偏离”即为“无偏离”。</w:t>
      </w:r>
    </w:p>
    <w:p w14:paraId="5FA13237">
      <w:pPr>
        <w:spacing w:line="360" w:lineRule="auto"/>
        <w:ind w:right="-817"/>
        <w:contextualSpacing/>
        <w:rPr>
          <w:rFonts w:hint="eastAsia" w:ascii="仿宋_GB2312" w:hAnsi="仿宋_GB2312" w:eastAsia="仿宋_GB2312" w:cs="仿宋_GB2312"/>
          <w:i w:val="0"/>
          <w:iCs w:val="0"/>
          <w:color w:val="auto"/>
          <w:sz w:val="24"/>
          <w:szCs w:val="24"/>
          <w:highlight w:val="none"/>
        </w:rPr>
      </w:pPr>
    </w:p>
    <w:p w14:paraId="2E7BC5A1">
      <w:pPr>
        <w:spacing w:line="360" w:lineRule="auto"/>
        <w:ind w:right="-817"/>
        <w:contextualSpacing/>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法定代表人或者委托代理人（签字或者电子签名）：</w:t>
      </w:r>
    </w:p>
    <w:p w14:paraId="46D3E91A">
      <w:pPr>
        <w:spacing w:line="360" w:lineRule="auto"/>
        <w:ind w:right="-817" w:firstLine="352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供应商名称（电子签章）：</w:t>
      </w:r>
    </w:p>
    <w:p w14:paraId="4DC70C9F">
      <w:pPr>
        <w:spacing w:line="360" w:lineRule="auto"/>
        <w:ind w:right="-817" w:firstLine="544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日期：年月日</w:t>
      </w:r>
    </w:p>
    <w:p w14:paraId="0D47F7C7">
      <w:pPr>
        <w:spacing w:before="120" w:after="50"/>
        <w:ind w:left="142"/>
        <w:jc w:val="left"/>
        <w:rPr>
          <w:rFonts w:hint="eastAsia" w:ascii="仿宋_GB2312" w:hAnsi="仿宋_GB2312" w:eastAsia="仿宋_GB2312" w:cs="仿宋_GB2312"/>
          <w:b/>
          <w:i w:val="0"/>
          <w:iCs w:val="0"/>
          <w:color w:val="auto"/>
          <w:sz w:val="32"/>
          <w:szCs w:val="32"/>
          <w:highlight w:val="none"/>
        </w:rPr>
      </w:pPr>
      <w:r>
        <w:rPr>
          <w:rFonts w:ascii="宋体" w:hAnsi="宋体" w:cs="仿宋_GB2312"/>
          <w:i w:val="0"/>
          <w:iCs w:val="0"/>
          <w:color w:val="auto"/>
          <w:sz w:val="24"/>
          <w:highlight w:val="none"/>
        </w:rPr>
        <w:br w:type="page" w:clear="all"/>
      </w:r>
      <w:r>
        <w:rPr>
          <w:rFonts w:hint="eastAsia" w:ascii="仿宋_GB2312" w:hAnsi="仿宋_GB2312" w:eastAsia="仿宋_GB2312" w:cs="仿宋_GB2312"/>
          <w:b/>
          <w:i w:val="0"/>
          <w:iCs w:val="0"/>
          <w:color w:val="auto"/>
          <w:sz w:val="32"/>
          <w:szCs w:val="32"/>
          <w:highlight w:val="none"/>
        </w:rPr>
        <w:t>拟投入本项目人员配备情况格式</w:t>
      </w:r>
    </w:p>
    <w:p w14:paraId="48FDFB11">
      <w:pPr>
        <w:spacing w:before="120" w:after="50"/>
        <w:ind w:left="142"/>
        <w:jc w:val="left"/>
        <w:rPr>
          <w:rFonts w:hint="eastAsia" w:ascii="仿宋_GB2312" w:hAnsi="仿宋_GB2312" w:eastAsia="仿宋_GB2312" w:cs="仿宋_GB2312"/>
          <w:b/>
          <w:i w:val="0"/>
          <w:iCs w:val="0"/>
          <w:color w:val="auto"/>
          <w:sz w:val="32"/>
          <w:szCs w:val="32"/>
          <w:highlight w:val="none"/>
        </w:rPr>
      </w:pPr>
    </w:p>
    <w:p w14:paraId="794F7DB7">
      <w:pPr>
        <w:spacing w:line="360" w:lineRule="auto"/>
        <w:ind w:left="142"/>
        <w:contextualSpacing/>
        <w:jc w:val="center"/>
        <w:rPr>
          <w:rFonts w:hint="eastAsia" w:ascii="仿宋_GB2312" w:hAnsi="仿宋_GB2312" w:eastAsia="仿宋_GB2312" w:cs="仿宋_GB2312"/>
          <w:b/>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rPr>
        <w:t>拟投入本项目人员配备情况表</w:t>
      </w:r>
    </w:p>
    <w:p w14:paraId="6094A502">
      <w:pPr>
        <w:pStyle w:val="224"/>
        <w:spacing w:line="360" w:lineRule="auto"/>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所竞分标：分标</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1327"/>
        <w:gridCol w:w="1938"/>
        <w:gridCol w:w="1650"/>
        <w:gridCol w:w="1635"/>
      </w:tblGrid>
      <w:tr w14:paraId="6B52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496" w:type="dxa"/>
            <w:tcBorders>
              <w:top w:val="single" w:color="auto" w:sz="4" w:space="0"/>
              <w:left w:val="single" w:color="auto" w:sz="4" w:space="0"/>
              <w:bottom w:val="single" w:color="auto" w:sz="4" w:space="0"/>
              <w:right w:val="single" w:color="auto" w:sz="4" w:space="0"/>
            </w:tcBorders>
            <w:noWrap w:val="0"/>
            <w:vAlign w:val="center"/>
          </w:tcPr>
          <w:p w14:paraId="3586E498">
            <w:pPr>
              <w:spacing w:line="360" w:lineRule="auto"/>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姓名</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4E99E024">
            <w:pPr>
              <w:spacing w:line="360" w:lineRule="auto"/>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专业</w:t>
            </w:r>
          </w:p>
        </w:tc>
        <w:tc>
          <w:tcPr>
            <w:tcW w:w="1938" w:type="dxa"/>
            <w:tcBorders>
              <w:top w:val="single" w:color="auto" w:sz="4" w:space="0"/>
              <w:left w:val="single" w:color="auto" w:sz="4" w:space="0"/>
              <w:bottom w:val="single" w:color="auto" w:sz="4" w:space="0"/>
              <w:right w:val="single" w:color="auto" w:sz="4" w:space="0"/>
            </w:tcBorders>
            <w:noWrap w:val="0"/>
            <w:vAlign w:val="center"/>
          </w:tcPr>
          <w:p w14:paraId="11851151">
            <w:pPr>
              <w:spacing w:line="360" w:lineRule="auto"/>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职称或相关证书</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27BF0830">
            <w:pPr>
              <w:spacing w:line="360" w:lineRule="auto"/>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拟担任职务</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4E189832">
            <w:pPr>
              <w:spacing w:line="360" w:lineRule="auto"/>
              <w:jc w:val="center"/>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备注</w:t>
            </w:r>
          </w:p>
        </w:tc>
      </w:tr>
      <w:tr w14:paraId="2381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496" w:type="dxa"/>
            <w:tcBorders>
              <w:top w:val="single" w:color="auto" w:sz="4" w:space="0"/>
              <w:left w:val="single" w:color="auto" w:sz="4" w:space="0"/>
              <w:bottom w:val="single" w:color="auto" w:sz="4" w:space="0"/>
              <w:right w:val="single" w:color="auto" w:sz="4" w:space="0"/>
            </w:tcBorders>
            <w:noWrap w:val="0"/>
            <w:vAlign w:val="center"/>
          </w:tcPr>
          <w:p w14:paraId="2116FC01">
            <w:pPr>
              <w:spacing w:line="360" w:lineRule="auto"/>
              <w:jc w:val="center"/>
              <w:rPr>
                <w:rFonts w:hint="eastAsia" w:ascii="仿宋_GB2312" w:hAnsi="仿宋_GB2312" w:eastAsia="仿宋_GB2312" w:cs="仿宋_GB2312"/>
                <w:i w:val="0"/>
                <w:iCs w:val="0"/>
                <w:color w:val="auto"/>
                <w:sz w:val="24"/>
                <w:szCs w:val="24"/>
                <w:highlight w:val="none"/>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7A84B6C8">
            <w:pPr>
              <w:spacing w:line="360" w:lineRule="auto"/>
              <w:jc w:val="center"/>
              <w:rPr>
                <w:rFonts w:hint="eastAsia" w:ascii="仿宋_GB2312" w:hAnsi="仿宋_GB2312" w:eastAsia="仿宋_GB2312" w:cs="仿宋_GB2312"/>
                <w:i w:val="0"/>
                <w:iCs w:val="0"/>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noWrap w:val="0"/>
            <w:vAlign w:val="center"/>
          </w:tcPr>
          <w:p w14:paraId="35CEFFFF">
            <w:pPr>
              <w:spacing w:line="360" w:lineRule="auto"/>
              <w:jc w:val="center"/>
              <w:rPr>
                <w:rFonts w:hint="eastAsia" w:ascii="仿宋_GB2312" w:hAnsi="仿宋_GB2312" w:eastAsia="仿宋_GB2312" w:cs="仿宋_GB2312"/>
                <w:i w:val="0"/>
                <w:iCs w:val="0"/>
                <w:color w:val="auto"/>
                <w:sz w:val="24"/>
                <w:szCs w:val="24"/>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4C31EAFC">
            <w:pPr>
              <w:spacing w:line="360" w:lineRule="auto"/>
              <w:jc w:val="center"/>
              <w:rPr>
                <w:rFonts w:hint="eastAsia" w:ascii="仿宋_GB2312" w:hAnsi="仿宋_GB2312" w:eastAsia="仿宋_GB2312" w:cs="仿宋_GB2312"/>
                <w:i w:val="0"/>
                <w:iCs w:val="0"/>
                <w:color w:val="auto"/>
                <w:sz w:val="24"/>
                <w:szCs w:val="24"/>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6F512207">
            <w:pPr>
              <w:spacing w:line="360" w:lineRule="auto"/>
              <w:jc w:val="center"/>
              <w:rPr>
                <w:rFonts w:hint="eastAsia" w:ascii="仿宋_GB2312" w:hAnsi="仿宋_GB2312" w:eastAsia="仿宋_GB2312" w:cs="仿宋_GB2312"/>
                <w:i w:val="0"/>
                <w:iCs w:val="0"/>
                <w:color w:val="auto"/>
                <w:sz w:val="24"/>
                <w:szCs w:val="24"/>
                <w:highlight w:val="none"/>
              </w:rPr>
            </w:pPr>
          </w:p>
        </w:tc>
      </w:tr>
      <w:tr w14:paraId="6164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496" w:type="dxa"/>
            <w:tcBorders>
              <w:top w:val="single" w:color="auto" w:sz="4" w:space="0"/>
              <w:left w:val="single" w:color="auto" w:sz="4" w:space="0"/>
              <w:bottom w:val="single" w:color="auto" w:sz="4" w:space="0"/>
              <w:right w:val="single" w:color="auto" w:sz="4" w:space="0"/>
            </w:tcBorders>
            <w:noWrap w:val="0"/>
            <w:vAlign w:val="center"/>
          </w:tcPr>
          <w:p w14:paraId="7C56E540">
            <w:pPr>
              <w:spacing w:line="360" w:lineRule="auto"/>
              <w:jc w:val="center"/>
              <w:rPr>
                <w:rFonts w:hint="eastAsia" w:ascii="仿宋_GB2312" w:hAnsi="仿宋_GB2312" w:eastAsia="仿宋_GB2312" w:cs="仿宋_GB2312"/>
                <w:i w:val="0"/>
                <w:iCs w:val="0"/>
                <w:color w:val="auto"/>
                <w:sz w:val="24"/>
                <w:szCs w:val="24"/>
                <w:highlight w:val="none"/>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488BBA5C">
            <w:pPr>
              <w:spacing w:line="360" w:lineRule="auto"/>
              <w:jc w:val="center"/>
              <w:rPr>
                <w:rFonts w:hint="eastAsia" w:ascii="仿宋_GB2312" w:hAnsi="仿宋_GB2312" w:eastAsia="仿宋_GB2312" w:cs="仿宋_GB2312"/>
                <w:i w:val="0"/>
                <w:iCs w:val="0"/>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noWrap w:val="0"/>
            <w:vAlign w:val="center"/>
          </w:tcPr>
          <w:p w14:paraId="0D540E8E">
            <w:pPr>
              <w:spacing w:line="360" w:lineRule="auto"/>
              <w:jc w:val="center"/>
              <w:rPr>
                <w:rFonts w:hint="eastAsia" w:ascii="仿宋_GB2312" w:hAnsi="仿宋_GB2312" w:eastAsia="仿宋_GB2312" w:cs="仿宋_GB2312"/>
                <w:i w:val="0"/>
                <w:iCs w:val="0"/>
                <w:color w:val="auto"/>
                <w:sz w:val="24"/>
                <w:szCs w:val="24"/>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744843CC">
            <w:pPr>
              <w:spacing w:line="360" w:lineRule="auto"/>
              <w:jc w:val="center"/>
              <w:rPr>
                <w:rFonts w:hint="eastAsia" w:ascii="仿宋_GB2312" w:hAnsi="仿宋_GB2312" w:eastAsia="仿宋_GB2312" w:cs="仿宋_GB2312"/>
                <w:i w:val="0"/>
                <w:iCs w:val="0"/>
                <w:color w:val="auto"/>
                <w:sz w:val="24"/>
                <w:szCs w:val="24"/>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587CEC93">
            <w:pPr>
              <w:spacing w:line="360" w:lineRule="auto"/>
              <w:jc w:val="center"/>
              <w:rPr>
                <w:rFonts w:hint="eastAsia" w:ascii="仿宋_GB2312" w:hAnsi="仿宋_GB2312" w:eastAsia="仿宋_GB2312" w:cs="仿宋_GB2312"/>
                <w:i w:val="0"/>
                <w:iCs w:val="0"/>
                <w:color w:val="auto"/>
                <w:sz w:val="24"/>
                <w:szCs w:val="24"/>
                <w:highlight w:val="none"/>
              </w:rPr>
            </w:pPr>
          </w:p>
        </w:tc>
      </w:tr>
      <w:tr w14:paraId="1D31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496" w:type="dxa"/>
            <w:tcBorders>
              <w:top w:val="single" w:color="auto" w:sz="4" w:space="0"/>
              <w:left w:val="single" w:color="auto" w:sz="4" w:space="0"/>
              <w:bottom w:val="single" w:color="auto" w:sz="4" w:space="0"/>
              <w:right w:val="single" w:color="auto" w:sz="4" w:space="0"/>
            </w:tcBorders>
            <w:noWrap w:val="0"/>
            <w:vAlign w:val="center"/>
          </w:tcPr>
          <w:p w14:paraId="32135F79">
            <w:pPr>
              <w:spacing w:line="360" w:lineRule="auto"/>
              <w:jc w:val="center"/>
              <w:rPr>
                <w:rFonts w:hint="eastAsia" w:ascii="仿宋_GB2312" w:hAnsi="仿宋_GB2312" w:eastAsia="仿宋_GB2312" w:cs="仿宋_GB2312"/>
                <w:i w:val="0"/>
                <w:iCs w:val="0"/>
                <w:color w:val="auto"/>
                <w:sz w:val="24"/>
                <w:szCs w:val="24"/>
                <w:highlight w:val="none"/>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42E2CA14">
            <w:pPr>
              <w:spacing w:line="360" w:lineRule="auto"/>
              <w:jc w:val="center"/>
              <w:rPr>
                <w:rFonts w:hint="eastAsia" w:ascii="仿宋_GB2312" w:hAnsi="仿宋_GB2312" w:eastAsia="仿宋_GB2312" w:cs="仿宋_GB2312"/>
                <w:i w:val="0"/>
                <w:iCs w:val="0"/>
                <w:color w:val="auto"/>
                <w:sz w:val="24"/>
                <w:szCs w:val="24"/>
                <w:highlight w:val="none"/>
              </w:rPr>
            </w:pPr>
          </w:p>
        </w:tc>
        <w:tc>
          <w:tcPr>
            <w:tcW w:w="1938" w:type="dxa"/>
            <w:tcBorders>
              <w:top w:val="single" w:color="auto" w:sz="4" w:space="0"/>
              <w:left w:val="single" w:color="auto" w:sz="4" w:space="0"/>
              <w:bottom w:val="single" w:color="auto" w:sz="4" w:space="0"/>
              <w:right w:val="single" w:color="auto" w:sz="4" w:space="0"/>
            </w:tcBorders>
            <w:noWrap w:val="0"/>
            <w:vAlign w:val="center"/>
          </w:tcPr>
          <w:p w14:paraId="11531BF6">
            <w:pPr>
              <w:spacing w:line="360" w:lineRule="auto"/>
              <w:jc w:val="center"/>
              <w:rPr>
                <w:rFonts w:hint="eastAsia" w:ascii="仿宋_GB2312" w:hAnsi="仿宋_GB2312" w:eastAsia="仿宋_GB2312" w:cs="仿宋_GB2312"/>
                <w:i w:val="0"/>
                <w:iCs w:val="0"/>
                <w:color w:val="auto"/>
                <w:sz w:val="24"/>
                <w:szCs w:val="24"/>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4B024A20">
            <w:pPr>
              <w:spacing w:line="360" w:lineRule="auto"/>
              <w:jc w:val="center"/>
              <w:rPr>
                <w:rFonts w:hint="eastAsia" w:ascii="仿宋_GB2312" w:hAnsi="仿宋_GB2312" w:eastAsia="仿宋_GB2312" w:cs="仿宋_GB2312"/>
                <w:i w:val="0"/>
                <w:iCs w:val="0"/>
                <w:color w:val="auto"/>
                <w:sz w:val="24"/>
                <w:szCs w:val="24"/>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45CB7910">
            <w:pPr>
              <w:spacing w:line="360" w:lineRule="auto"/>
              <w:jc w:val="center"/>
              <w:rPr>
                <w:rFonts w:hint="eastAsia" w:ascii="仿宋_GB2312" w:hAnsi="仿宋_GB2312" w:eastAsia="仿宋_GB2312" w:cs="仿宋_GB2312"/>
                <w:i w:val="0"/>
                <w:iCs w:val="0"/>
                <w:color w:val="auto"/>
                <w:sz w:val="24"/>
                <w:szCs w:val="24"/>
                <w:highlight w:val="none"/>
              </w:rPr>
            </w:pPr>
          </w:p>
        </w:tc>
      </w:tr>
    </w:tbl>
    <w:p w14:paraId="35EEB374">
      <w:pPr>
        <w:pStyle w:val="224"/>
        <w:spacing w:line="360" w:lineRule="auto"/>
        <w:contextualSpacing/>
        <w:rPr>
          <w:rFonts w:hint="eastAsia" w:ascii="仿宋_GB2312" w:hAnsi="仿宋_GB2312" w:eastAsia="仿宋_GB2312" w:cs="仿宋_GB2312"/>
          <w:i w:val="0"/>
          <w:iCs w:val="0"/>
          <w:color w:val="auto"/>
          <w:sz w:val="24"/>
          <w:szCs w:val="24"/>
          <w:highlight w:val="none"/>
        </w:rPr>
      </w:pPr>
    </w:p>
    <w:p w14:paraId="2532C681">
      <w:pPr>
        <w:spacing w:line="360" w:lineRule="auto"/>
        <w:contextualSpacing/>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w:t>
      </w:r>
    </w:p>
    <w:p w14:paraId="1A58CC2B">
      <w:pPr>
        <w:spacing w:line="360" w:lineRule="auto"/>
        <w:contextualSpacing/>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1.在填写时，如本表格不适合供应商的实际情况，可根据本表格式自行制表填写。</w:t>
      </w:r>
    </w:p>
    <w:p w14:paraId="0D3EC75E">
      <w:pPr>
        <w:spacing w:line="360" w:lineRule="auto"/>
        <w:contextualSpacing/>
        <w:rPr>
          <w:rFonts w:hint="eastAsia" w:ascii="仿宋_GB2312" w:hAnsi="仿宋_GB2312" w:eastAsia="仿宋_GB2312" w:cs="仿宋_GB2312"/>
          <w:i w:val="0"/>
          <w:iCs w:val="0"/>
          <w:color w:val="auto"/>
          <w:sz w:val="24"/>
          <w:szCs w:val="24"/>
          <w:highlight w:val="none"/>
        </w:rPr>
      </w:pPr>
    </w:p>
    <w:p w14:paraId="693090E8">
      <w:pPr>
        <w:spacing w:line="360" w:lineRule="auto"/>
        <w:contextualSpacing/>
        <w:rPr>
          <w:rFonts w:hint="eastAsia" w:ascii="仿宋_GB2312" w:hAnsi="仿宋_GB2312" w:eastAsia="仿宋_GB2312" w:cs="仿宋_GB2312"/>
          <w:i w:val="0"/>
          <w:iCs w:val="0"/>
          <w:color w:val="auto"/>
          <w:spacing w:val="20"/>
          <w:sz w:val="24"/>
          <w:szCs w:val="24"/>
          <w:highlight w:val="none"/>
          <w:u w:val="single"/>
        </w:rPr>
      </w:pPr>
      <w:r>
        <w:rPr>
          <w:rFonts w:hint="eastAsia" w:ascii="仿宋_GB2312" w:hAnsi="仿宋_GB2312" w:eastAsia="仿宋_GB2312" w:cs="仿宋_GB2312"/>
          <w:i w:val="0"/>
          <w:iCs w:val="0"/>
          <w:color w:val="auto"/>
          <w:sz w:val="24"/>
          <w:szCs w:val="24"/>
          <w:highlight w:val="none"/>
        </w:rPr>
        <w:t>法定代表人或者委托代理人（签字或者电子签名）</w:t>
      </w:r>
      <w:r>
        <w:rPr>
          <w:rFonts w:hint="eastAsia" w:ascii="仿宋_GB2312" w:hAnsi="仿宋_GB2312" w:eastAsia="仿宋_GB2312" w:cs="仿宋_GB2312"/>
          <w:i w:val="0"/>
          <w:iCs w:val="0"/>
          <w:color w:val="auto"/>
          <w:spacing w:val="20"/>
          <w:sz w:val="24"/>
          <w:szCs w:val="24"/>
          <w:highlight w:val="none"/>
        </w:rPr>
        <w:t>：</w:t>
      </w:r>
    </w:p>
    <w:p w14:paraId="5EC328D8">
      <w:pPr>
        <w:spacing w:line="360" w:lineRule="auto"/>
        <w:contextualSpacing/>
        <w:jc w:val="left"/>
        <w:rPr>
          <w:rFonts w:hint="eastAsia" w:ascii="仿宋_GB2312" w:hAnsi="仿宋_GB2312" w:eastAsia="仿宋_GB2312" w:cs="仿宋_GB2312"/>
          <w:i w:val="0"/>
          <w:iCs w:val="0"/>
          <w:color w:val="auto"/>
          <w:spacing w:val="20"/>
          <w:sz w:val="24"/>
          <w:szCs w:val="24"/>
          <w:highlight w:val="none"/>
        </w:rPr>
      </w:pPr>
      <w:r>
        <w:rPr>
          <w:rFonts w:hint="eastAsia" w:ascii="仿宋_GB2312" w:hAnsi="仿宋_GB2312" w:eastAsia="仿宋_GB2312" w:cs="仿宋_GB2312"/>
          <w:i w:val="0"/>
          <w:iCs w:val="0"/>
          <w:color w:val="auto"/>
          <w:spacing w:val="20"/>
          <w:sz w:val="24"/>
          <w:szCs w:val="24"/>
          <w:highlight w:val="none"/>
        </w:rPr>
        <w:t>供应商名称（电子签章）：</w:t>
      </w:r>
    </w:p>
    <w:p w14:paraId="42C9A652">
      <w:pPr>
        <w:spacing w:line="360" w:lineRule="auto"/>
        <w:contextualSpacing/>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pacing w:val="20"/>
          <w:sz w:val="24"/>
          <w:szCs w:val="24"/>
          <w:highlight w:val="none"/>
        </w:rPr>
        <w:t>日期：</w:t>
      </w:r>
    </w:p>
    <w:p w14:paraId="793AEE75">
      <w:pPr>
        <w:spacing w:line="300" w:lineRule="auto"/>
        <w:rPr>
          <w:rFonts w:hint="eastAsia" w:ascii="宋体" w:hAnsi="宋体"/>
          <w:i w:val="0"/>
          <w:iCs w:val="0"/>
          <w:color w:val="auto"/>
          <w:szCs w:val="21"/>
          <w:highlight w:val="none"/>
        </w:rPr>
      </w:pPr>
      <w:r>
        <w:rPr>
          <w:rFonts w:hint="eastAsia" w:ascii="仿宋_GB2312" w:hAnsi="仿宋_GB2312" w:eastAsia="仿宋_GB2312" w:cs="仿宋_GB2312"/>
          <w:i w:val="0"/>
          <w:iCs w:val="0"/>
          <w:color w:val="auto"/>
          <w:sz w:val="24"/>
          <w:szCs w:val="24"/>
          <w:highlight w:val="none"/>
        </w:rPr>
        <w:br w:type="page" w:clear="all"/>
      </w:r>
      <w:r>
        <w:rPr>
          <w:rFonts w:hint="eastAsia" w:ascii="宋体" w:hAnsi="宋体"/>
          <w:b/>
          <w:bCs/>
          <w:i w:val="0"/>
          <w:iCs w:val="0"/>
          <w:color w:val="auto"/>
          <w:sz w:val="24"/>
          <w:highlight w:val="none"/>
        </w:rPr>
        <w:t>其他文书、文件格式</w:t>
      </w:r>
    </w:p>
    <w:p w14:paraId="62409456">
      <w:pPr>
        <w:jc w:val="center"/>
        <w:rPr>
          <w:rFonts w:hint="eastAsia" w:ascii="方正公文小标宋" w:hAnsi="方正公文小标宋" w:eastAsia="方正公文小标宋" w:cs="方正公文小标宋"/>
          <w:i w:val="0"/>
          <w:iCs w:val="0"/>
          <w:color w:val="auto"/>
          <w:sz w:val="32"/>
          <w:szCs w:val="32"/>
          <w:highlight w:val="none"/>
        </w:rPr>
      </w:pPr>
      <w:r>
        <w:rPr>
          <w:rFonts w:hint="eastAsia" w:ascii="方正公文小标宋" w:hAnsi="方正公文小标宋" w:eastAsia="方正公文小标宋" w:cs="方正公文小标宋"/>
          <w:i w:val="0"/>
          <w:iCs w:val="0"/>
          <w:color w:val="auto"/>
          <w:sz w:val="32"/>
          <w:szCs w:val="32"/>
          <w:highlight w:val="none"/>
        </w:rPr>
        <w:t>中小企业声明函（服务）</w:t>
      </w:r>
    </w:p>
    <w:p w14:paraId="7F2A3967">
      <w:pPr>
        <w:spacing w:before="2" w:line="500" w:lineRule="exact"/>
        <w:ind w:firstLine="708"/>
        <w:rPr>
          <w:rFonts w:ascii="宋体" w:hAnsi="宋体" w:cs="宋体"/>
          <w:b/>
          <w:bCs/>
          <w:i w:val="0"/>
          <w:iCs w:val="0"/>
          <w:color w:val="auto"/>
          <w:sz w:val="24"/>
          <w:highlight w:val="none"/>
        </w:rPr>
      </w:pPr>
    </w:p>
    <w:p w14:paraId="59A776FD">
      <w:pPr>
        <w:pStyle w:val="53"/>
        <w:spacing w:line="500" w:lineRule="exact"/>
        <w:ind w:right="142" w:firstLine="823"/>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本公司（联合体）郑重声明</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根据《政府采购促进中小企业发展管理办法》（</w:t>
      </w:r>
      <w:r>
        <w:rPr>
          <w:rFonts w:hint="eastAsia" w:ascii="仿宋_GB2312" w:hAnsi="仿宋_GB2312" w:eastAsia="仿宋_GB2312" w:cs="仿宋_GB2312"/>
          <w:i w:val="0"/>
          <w:iCs w:val="0"/>
          <w:color w:val="auto"/>
          <w:sz w:val="24"/>
          <w:szCs w:val="24"/>
          <w:highlight w:val="none"/>
          <w:lang w:eastAsia="zh-CN"/>
        </w:rPr>
        <w:t>财库〔2020〕46号</w:t>
      </w:r>
      <w:r>
        <w:rPr>
          <w:rFonts w:hint="eastAsia" w:ascii="仿宋_GB2312" w:hAnsi="仿宋_GB2312" w:eastAsia="仿宋_GB2312" w:cs="仿宋_GB2312"/>
          <w:i w:val="0"/>
          <w:iCs w:val="0"/>
          <w:color w:val="auto"/>
          <w:sz w:val="24"/>
          <w:szCs w:val="24"/>
          <w:highlight w:val="none"/>
        </w:rPr>
        <w:t>）的规定</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本公司（联合体）参加</w:t>
      </w:r>
      <w:r>
        <w:rPr>
          <w:rFonts w:hint="eastAsia" w:ascii="仿宋_GB2312" w:hAnsi="仿宋_GB2312" w:eastAsia="仿宋_GB2312" w:cs="仿宋_GB2312"/>
          <w:i w:val="0"/>
          <w:iCs w:val="0"/>
          <w:color w:val="auto"/>
          <w:sz w:val="24"/>
          <w:szCs w:val="24"/>
          <w:highlight w:val="none"/>
          <w:u w:val="single"/>
        </w:rPr>
        <w:t>（单位名称）</w:t>
      </w:r>
      <w:r>
        <w:rPr>
          <w:rFonts w:hint="eastAsia" w:ascii="仿宋_GB2312" w:hAnsi="仿宋_GB2312" w:eastAsia="仿宋_GB2312" w:cs="仿宋_GB2312"/>
          <w:i w:val="0"/>
          <w:iCs w:val="0"/>
          <w:color w:val="auto"/>
          <w:sz w:val="24"/>
          <w:szCs w:val="24"/>
          <w:highlight w:val="none"/>
        </w:rPr>
        <w:t>的</w:t>
      </w:r>
      <w:r>
        <w:rPr>
          <w:rFonts w:hint="eastAsia" w:ascii="仿宋_GB2312" w:hAnsi="仿宋_GB2312" w:eastAsia="仿宋_GB2312" w:cs="仿宋_GB2312"/>
          <w:i w:val="0"/>
          <w:iCs w:val="0"/>
          <w:color w:val="auto"/>
          <w:sz w:val="24"/>
          <w:szCs w:val="24"/>
          <w:highlight w:val="none"/>
          <w:u w:val="single"/>
        </w:rPr>
        <w:t>（项目名称）</w:t>
      </w:r>
      <w:r>
        <w:rPr>
          <w:rFonts w:hint="eastAsia" w:ascii="仿宋_GB2312" w:hAnsi="仿宋_GB2312" w:eastAsia="仿宋_GB2312" w:cs="仿宋_GB2312"/>
          <w:i w:val="0"/>
          <w:iCs w:val="0"/>
          <w:color w:val="auto"/>
          <w:sz w:val="24"/>
          <w:szCs w:val="24"/>
          <w:highlight w:val="none"/>
        </w:rPr>
        <w:t>采购活动</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服务全部由符合政策要求的中小企业承接。相关企业（含联合体中的中小企业、签订分包意向协议的中小企业）的具体情况如下：</w:t>
      </w:r>
    </w:p>
    <w:p w14:paraId="03EAC76D">
      <w:pPr>
        <w:tabs>
          <w:tab w:val="left" w:pos="1384"/>
          <w:tab w:val="left" w:pos="4562"/>
          <w:tab w:val="left" w:pos="6803"/>
        </w:tabs>
        <w:spacing w:before="13" w:line="500" w:lineRule="exact"/>
        <w:ind w:right="142" w:firstLine="901"/>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w:t>
      </w:r>
      <w:r>
        <w:rPr>
          <w:rFonts w:hint="eastAsia" w:ascii="仿宋_GB2312" w:hAnsi="仿宋_GB2312" w:eastAsia="仿宋_GB2312" w:cs="仿宋_GB2312"/>
          <w:i w:val="0"/>
          <w:iCs w:val="0"/>
          <w:color w:val="auto"/>
          <w:sz w:val="24"/>
          <w:szCs w:val="24"/>
          <w:highlight w:val="none"/>
          <w:u w:val="single"/>
        </w:rPr>
        <w:t>（标的名称）</w:t>
      </w:r>
      <w:r>
        <w:rPr>
          <w:rFonts w:hint="eastAsia" w:ascii="仿宋_GB2312" w:hAnsi="仿宋_GB2312" w:eastAsia="仿宋_GB2312" w:cs="仿宋_GB2312"/>
          <w:i w:val="0"/>
          <w:iCs w:val="0"/>
          <w:color w:val="auto"/>
          <w:sz w:val="24"/>
          <w:szCs w:val="24"/>
          <w:highlight w:val="none"/>
        </w:rPr>
        <w:t>，属于</w:t>
      </w:r>
      <w:r>
        <w:rPr>
          <w:rFonts w:hint="eastAsia" w:ascii="仿宋_GB2312" w:hAnsi="仿宋_GB2312" w:eastAsia="仿宋_GB2312" w:cs="仿宋_GB2312"/>
          <w:i w:val="0"/>
          <w:iCs w:val="0"/>
          <w:color w:val="auto"/>
          <w:sz w:val="24"/>
          <w:szCs w:val="24"/>
          <w:highlight w:val="none"/>
          <w:u w:val="single"/>
        </w:rPr>
        <w:t>（采购文件中明确的所属行业）</w:t>
      </w:r>
      <w:r>
        <w:rPr>
          <w:rFonts w:hint="eastAsia" w:ascii="仿宋_GB2312" w:hAnsi="仿宋_GB2312" w:eastAsia="仿宋_GB2312" w:cs="仿宋_GB2312"/>
          <w:i w:val="0"/>
          <w:iCs w:val="0"/>
          <w:color w:val="auto"/>
          <w:sz w:val="24"/>
          <w:szCs w:val="24"/>
          <w:highlight w:val="none"/>
        </w:rPr>
        <w:t>；承接企业为</w:t>
      </w:r>
      <w:r>
        <w:rPr>
          <w:rFonts w:hint="eastAsia" w:ascii="仿宋_GB2312" w:hAnsi="仿宋_GB2312" w:eastAsia="仿宋_GB2312" w:cs="仿宋_GB2312"/>
          <w:i w:val="0"/>
          <w:iCs w:val="0"/>
          <w:color w:val="auto"/>
          <w:sz w:val="24"/>
          <w:szCs w:val="24"/>
          <w:highlight w:val="none"/>
          <w:u w:val="single"/>
        </w:rPr>
        <w:t>（企业名称）</w:t>
      </w:r>
      <w:r>
        <w:rPr>
          <w:rFonts w:hint="eastAsia" w:ascii="仿宋_GB2312" w:hAnsi="仿宋_GB2312" w:eastAsia="仿宋_GB2312" w:cs="仿宋_GB2312"/>
          <w:i w:val="0"/>
          <w:iCs w:val="0"/>
          <w:color w:val="auto"/>
          <w:sz w:val="24"/>
          <w:szCs w:val="24"/>
          <w:highlight w:val="none"/>
        </w:rPr>
        <w:t>，从业人员</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人，营业收入为</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万元，资产总额为</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万元，属于</w:t>
      </w:r>
      <w:r>
        <w:rPr>
          <w:rFonts w:hint="eastAsia" w:ascii="仿宋_GB2312" w:hAnsi="仿宋_GB2312" w:eastAsia="仿宋_GB2312" w:cs="仿宋_GB2312"/>
          <w:i w:val="0"/>
          <w:iCs w:val="0"/>
          <w:color w:val="auto"/>
          <w:sz w:val="24"/>
          <w:szCs w:val="24"/>
          <w:highlight w:val="none"/>
          <w:u w:val="single"/>
        </w:rPr>
        <w:t>（中型企业、小型企业、微型企业）</w:t>
      </w:r>
      <w:r>
        <w:rPr>
          <w:rFonts w:hint="eastAsia" w:ascii="仿宋_GB2312" w:hAnsi="仿宋_GB2312" w:eastAsia="仿宋_GB2312" w:cs="仿宋_GB2312"/>
          <w:i w:val="0"/>
          <w:iCs w:val="0"/>
          <w:color w:val="auto"/>
          <w:sz w:val="24"/>
          <w:szCs w:val="24"/>
          <w:highlight w:val="none"/>
        </w:rPr>
        <w:t>；</w:t>
      </w:r>
    </w:p>
    <w:p w14:paraId="516BA86F">
      <w:pPr>
        <w:tabs>
          <w:tab w:val="left" w:pos="1065"/>
          <w:tab w:val="left" w:pos="4262"/>
          <w:tab w:val="left" w:pos="6477"/>
        </w:tabs>
        <w:spacing w:before="20" w:line="500" w:lineRule="exact"/>
        <w:ind w:right="84" w:firstLine="901"/>
        <w:rPr>
          <w:rFonts w:hint="eastAsia" w:ascii="仿宋_GB2312" w:hAnsi="仿宋_GB2312" w:eastAsia="仿宋_GB2312" w:cs="仿宋_GB2312"/>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2.</w:t>
      </w:r>
      <w:r>
        <w:rPr>
          <w:rFonts w:hint="eastAsia" w:ascii="仿宋_GB2312" w:hAnsi="仿宋_GB2312" w:eastAsia="仿宋_GB2312" w:cs="仿宋_GB2312"/>
          <w:i w:val="0"/>
          <w:iCs w:val="0"/>
          <w:color w:val="auto"/>
          <w:sz w:val="24"/>
          <w:szCs w:val="24"/>
          <w:highlight w:val="none"/>
          <w:u w:val="single"/>
        </w:rPr>
        <w:t>（标的名称）</w:t>
      </w:r>
      <w:r>
        <w:rPr>
          <w:rFonts w:hint="eastAsia" w:ascii="仿宋_GB2312" w:hAnsi="仿宋_GB2312" w:eastAsia="仿宋_GB2312" w:cs="仿宋_GB2312"/>
          <w:i w:val="0"/>
          <w:iCs w:val="0"/>
          <w:color w:val="auto"/>
          <w:sz w:val="24"/>
          <w:szCs w:val="24"/>
          <w:highlight w:val="none"/>
        </w:rPr>
        <w:t>，属于</w:t>
      </w:r>
      <w:r>
        <w:rPr>
          <w:rFonts w:hint="eastAsia" w:ascii="仿宋_GB2312" w:hAnsi="仿宋_GB2312" w:eastAsia="仿宋_GB2312" w:cs="仿宋_GB2312"/>
          <w:i w:val="0"/>
          <w:iCs w:val="0"/>
          <w:color w:val="auto"/>
          <w:sz w:val="24"/>
          <w:szCs w:val="24"/>
          <w:highlight w:val="none"/>
          <w:u w:val="single"/>
        </w:rPr>
        <w:t>（采购文件中明确的所属行业）</w:t>
      </w:r>
      <w:r>
        <w:rPr>
          <w:rFonts w:hint="eastAsia" w:ascii="仿宋_GB2312" w:hAnsi="仿宋_GB2312" w:eastAsia="仿宋_GB2312" w:cs="仿宋_GB2312"/>
          <w:i w:val="0"/>
          <w:iCs w:val="0"/>
          <w:color w:val="auto"/>
          <w:sz w:val="24"/>
          <w:szCs w:val="24"/>
          <w:highlight w:val="none"/>
        </w:rPr>
        <w:t>；承接企业为</w:t>
      </w:r>
      <w:r>
        <w:rPr>
          <w:rFonts w:hint="eastAsia" w:ascii="仿宋_GB2312" w:hAnsi="仿宋_GB2312" w:eastAsia="仿宋_GB2312" w:cs="仿宋_GB2312"/>
          <w:i w:val="0"/>
          <w:iCs w:val="0"/>
          <w:color w:val="auto"/>
          <w:sz w:val="24"/>
          <w:szCs w:val="24"/>
          <w:highlight w:val="none"/>
          <w:u w:val="single"/>
        </w:rPr>
        <w:t>（企业名称）</w:t>
      </w:r>
      <w:r>
        <w:rPr>
          <w:rFonts w:hint="eastAsia" w:ascii="仿宋_GB2312" w:hAnsi="仿宋_GB2312" w:eastAsia="仿宋_GB2312" w:cs="仿宋_GB2312"/>
          <w:i w:val="0"/>
          <w:iCs w:val="0"/>
          <w:color w:val="auto"/>
          <w:sz w:val="24"/>
          <w:szCs w:val="24"/>
          <w:highlight w:val="none"/>
        </w:rPr>
        <w:t>，从业人员</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人，营业收入为</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万元，资产总额为</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万元，属于</w:t>
      </w:r>
      <w:r>
        <w:rPr>
          <w:rFonts w:hint="eastAsia" w:ascii="仿宋_GB2312" w:hAnsi="仿宋_GB2312" w:eastAsia="仿宋_GB2312" w:cs="仿宋_GB2312"/>
          <w:i w:val="0"/>
          <w:iCs w:val="0"/>
          <w:color w:val="auto"/>
          <w:sz w:val="24"/>
          <w:szCs w:val="24"/>
          <w:highlight w:val="none"/>
          <w:u w:val="single"/>
        </w:rPr>
        <w:t>（中型企业、小型企业、微型企业）</w:t>
      </w:r>
      <w:r>
        <w:rPr>
          <w:rFonts w:hint="eastAsia" w:ascii="仿宋_GB2312" w:hAnsi="仿宋_GB2312" w:eastAsia="仿宋_GB2312" w:cs="仿宋_GB2312"/>
          <w:i w:val="0"/>
          <w:iCs w:val="0"/>
          <w:color w:val="auto"/>
          <w:sz w:val="24"/>
          <w:szCs w:val="24"/>
          <w:highlight w:val="none"/>
        </w:rPr>
        <w:t>；</w:t>
      </w:r>
    </w:p>
    <w:p w14:paraId="2DCAA9C3">
      <w:pPr>
        <w:pStyle w:val="53"/>
        <w:spacing w:before="34" w:line="500" w:lineRule="exact"/>
        <w:ind w:right="142" w:firstLine="823"/>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w:t>
      </w:r>
    </w:p>
    <w:p w14:paraId="07B8D84E">
      <w:pPr>
        <w:pStyle w:val="53"/>
        <w:spacing w:before="34" w:line="500" w:lineRule="exact"/>
        <w:ind w:right="142" w:firstLine="823"/>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以上企业</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不属于大企业的分支机构</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不存在控股股东为大企业的情形</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也不存在与大企业的负责人为同一人的情形。</w:t>
      </w:r>
    </w:p>
    <w:p w14:paraId="60299C44">
      <w:pPr>
        <w:pStyle w:val="53"/>
        <w:spacing w:before="25" w:line="500" w:lineRule="exact"/>
        <w:ind w:right="142" w:firstLine="823"/>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本企业对上述声明内容的真实性负责。如有虚假</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将依法承担相应责任。</w:t>
      </w:r>
    </w:p>
    <w:p w14:paraId="6A83C12C">
      <w:pPr>
        <w:pStyle w:val="53"/>
        <w:spacing w:before="56" w:line="500" w:lineRule="exact"/>
        <w:ind w:right="1808" w:firstLine="823"/>
        <w:rPr>
          <w:rFonts w:hint="eastAsia" w:ascii="仿宋_GB2312" w:hAnsi="仿宋_GB2312" w:eastAsia="仿宋_GB2312" w:cs="仿宋_GB2312"/>
          <w:i w:val="0"/>
          <w:iCs w:val="0"/>
          <w:color w:val="auto"/>
          <w:sz w:val="24"/>
          <w:szCs w:val="24"/>
          <w:highlight w:val="none"/>
        </w:rPr>
      </w:pPr>
    </w:p>
    <w:p w14:paraId="0226F5C5">
      <w:pPr>
        <w:pStyle w:val="53"/>
        <w:spacing w:before="56" w:line="500" w:lineRule="exact"/>
        <w:ind w:right="650" w:firstLine="360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企业名称（章）：</w:t>
      </w:r>
    </w:p>
    <w:p w14:paraId="389CB984">
      <w:pPr>
        <w:pStyle w:val="53"/>
        <w:spacing w:before="56" w:line="500" w:lineRule="exact"/>
        <w:ind w:right="1808" w:firstLine="408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w:t>
      </w:r>
    </w:p>
    <w:p w14:paraId="7522D608">
      <w:pPr>
        <w:spacing w:line="520" w:lineRule="exact"/>
        <w:jc w:val="left"/>
        <w:rPr>
          <w:rFonts w:hint="eastAsia" w:ascii="仿宋_GB2312" w:hAnsi="仿宋_GB2312" w:eastAsia="仿宋_GB2312" w:cs="仿宋_GB2312"/>
          <w:i w:val="0"/>
          <w:iCs w:val="0"/>
          <w:color w:val="auto"/>
          <w:sz w:val="24"/>
          <w:szCs w:val="24"/>
          <w:highlight w:val="none"/>
        </w:rPr>
      </w:pPr>
    </w:p>
    <w:p w14:paraId="6449EFEE">
      <w:pPr>
        <w:spacing w:line="520" w:lineRule="exact"/>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3F3EE23">
      <w:pPr>
        <w:spacing w:line="520" w:lineRule="exact"/>
        <w:jc w:val="center"/>
        <w:rPr>
          <w:rFonts w:hint="eastAsia" w:ascii="方正公文小标宋" w:hAnsi="方正公文小标宋" w:eastAsia="方正公文小标宋" w:cs="方正公文小标宋"/>
          <w:i w:val="0"/>
          <w:iCs w:val="0"/>
          <w:color w:val="auto"/>
          <w:sz w:val="32"/>
          <w:szCs w:val="32"/>
          <w:highlight w:val="none"/>
        </w:rPr>
      </w:pPr>
      <w:r>
        <w:rPr>
          <w:rFonts w:hint="eastAsia" w:ascii="仿宋_GB2312" w:hAnsi="仿宋_GB2312" w:eastAsia="仿宋_GB2312" w:cs="仿宋_GB2312"/>
          <w:i w:val="0"/>
          <w:iCs w:val="0"/>
          <w:color w:val="auto"/>
          <w:sz w:val="32"/>
          <w:szCs w:val="32"/>
          <w:highlight w:val="none"/>
        </w:rPr>
        <w:br w:type="page" w:clear="all"/>
      </w:r>
      <w:r>
        <w:rPr>
          <w:rFonts w:hint="eastAsia" w:ascii="方正公文小标宋" w:hAnsi="方正公文小标宋" w:eastAsia="方正公文小标宋" w:cs="方正公文小标宋"/>
          <w:i w:val="0"/>
          <w:iCs w:val="0"/>
          <w:color w:val="auto"/>
          <w:sz w:val="32"/>
          <w:szCs w:val="32"/>
          <w:highlight w:val="none"/>
        </w:rPr>
        <w:t>残疾人福利性单位声明函</w:t>
      </w:r>
    </w:p>
    <w:p w14:paraId="2300665F">
      <w:pPr>
        <w:spacing w:line="360" w:lineRule="auto"/>
        <w:contextualSpacing/>
        <w:rPr>
          <w:rFonts w:hint="eastAsia" w:ascii="仿宋_GB2312" w:hAnsi="仿宋_GB2312" w:eastAsia="仿宋_GB2312" w:cs="仿宋_GB2312"/>
          <w:i w:val="0"/>
          <w:iCs w:val="0"/>
          <w:color w:val="auto"/>
          <w:sz w:val="32"/>
          <w:szCs w:val="32"/>
          <w:highlight w:val="none"/>
        </w:rPr>
      </w:pPr>
    </w:p>
    <w:p w14:paraId="4E3AE829">
      <w:pPr>
        <w:pStyle w:val="53"/>
        <w:spacing w:before="34" w:line="500" w:lineRule="exact"/>
        <w:ind w:right="142" w:firstLine="823"/>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本单位郑重声明，根据</w:t>
      </w:r>
      <w:r>
        <w:rPr>
          <w:rFonts w:hint="eastAsia" w:ascii="仿宋_GB2312" w:hAnsi="仿宋_GB2312" w:eastAsia="仿宋_GB2312" w:cs="仿宋_GB2312"/>
          <w:i w:val="0"/>
          <w:iCs w:val="0"/>
          <w:color w:val="auto"/>
          <w:sz w:val="24"/>
          <w:szCs w:val="24"/>
          <w:highlight w:val="none"/>
          <w:lang w:eastAsia="zh-CN"/>
        </w:rPr>
        <w:t>《财政部、民政部、中国残疾人联合会关于促进残疾人就业政府采购政策的通知》</w:t>
      </w:r>
      <w:r>
        <w:rPr>
          <w:rFonts w:hint="eastAsia" w:ascii="仿宋_GB2312" w:hAnsi="仿宋_GB2312" w:eastAsia="仿宋_GB2312" w:cs="仿宋_GB2312"/>
          <w:i w:val="0"/>
          <w:iCs w:val="0"/>
          <w:color w:val="auto"/>
          <w:sz w:val="24"/>
          <w:szCs w:val="24"/>
          <w:highlight w:val="none"/>
        </w:rPr>
        <w:t>（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926AC49">
      <w:pPr>
        <w:pStyle w:val="53"/>
        <w:spacing w:before="34" w:line="500" w:lineRule="exact"/>
        <w:ind w:right="142" w:firstLine="823"/>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本单位对上述声明的真实性负责。如有虚假，将依法承担相应责任。</w:t>
      </w:r>
    </w:p>
    <w:p w14:paraId="79E33F27">
      <w:pPr>
        <w:spacing w:line="360" w:lineRule="auto"/>
        <w:contextualSpacing/>
        <w:rPr>
          <w:rFonts w:hint="eastAsia" w:ascii="仿宋_GB2312" w:hAnsi="仿宋_GB2312" w:eastAsia="仿宋_GB2312" w:cs="仿宋_GB2312"/>
          <w:i w:val="0"/>
          <w:iCs w:val="0"/>
          <w:color w:val="auto"/>
          <w:sz w:val="24"/>
          <w:szCs w:val="24"/>
          <w:highlight w:val="none"/>
        </w:rPr>
      </w:pPr>
    </w:p>
    <w:p w14:paraId="6F4DDD77">
      <w:pPr>
        <w:spacing w:line="360" w:lineRule="auto"/>
        <w:contextualSpacing/>
        <w:rPr>
          <w:rFonts w:hint="eastAsia" w:ascii="仿宋_GB2312" w:hAnsi="仿宋_GB2312" w:eastAsia="仿宋_GB2312" w:cs="仿宋_GB2312"/>
          <w:i w:val="0"/>
          <w:iCs w:val="0"/>
          <w:color w:val="auto"/>
          <w:sz w:val="24"/>
          <w:szCs w:val="24"/>
          <w:highlight w:val="none"/>
        </w:rPr>
      </w:pPr>
    </w:p>
    <w:p w14:paraId="06C31800">
      <w:pPr>
        <w:spacing w:line="360" w:lineRule="auto"/>
        <w:contextualSpacing/>
        <w:rPr>
          <w:rFonts w:hint="eastAsia" w:ascii="仿宋_GB2312" w:hAnsi="仿宋_GB2312" w:eastAsia="仿宋_GB2312" w:cs="仿宋_GB2312"/>
          <w:i w:val="0"/>
          <w:iCs w:val="0"/>
          <w:color w:val="auto"/>
          <w:sz w:val="24"/>
          <w:szCs w:val="24"/>
          <w:highlight w:val="none"/>
        </w:rPr>
      </w:pPr>
    </w:p>
    <w:p w14:paraId="06226580">
      <w:pPr>
        <w:spacing w:line="360" w:lineRule="auto"/>
        <w:ind w:firstLine="320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单位名称（盖章）：</w:t>
      </w:r>
    </w:p>
    <w:p w14:paraId="3E1C6114">
      <w:pPr>
        <w:spacing w:line="360" w:lineRule="auto"/>
        <w:ind w:firstLine="480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w:t>
      </w:r>
    </w:p>
    <w:p w14:paraId="3B657D66">
      <w:pPr>
        <w:spacing w:line="360" w:lineRule="auto"/>
        <w:contextualSpacing/>
        <w:rPr>
          <w:rFonts w:hint="eastAsia" w:ascii="仿宋_GB2312" w:hAnsi="仿宋_GB2312" w:eastAsia="仿宋_GB2312" w:cs="仿宋_GB2312"/>
          <w:i w:val="0"/>
          <w:iCs w:val="0"/>
          <w:color w:val="auto"/>
          <w:sz w:val="24"/>
          <w:szCs w:val="24"/>
          <w:highlight w:val="none"/>
        </w:rPr>
      </w:pPr>
    </w:p>
    <w:p w14:paraId="27DC21AC">
      <w:pPr>
        <w:spacing w:line="360" w:lineRule="auto"/>
        <w:contextualSpacing/>
        <w:rPr>
          <w:rFonts w:hint="eastAsia" w:ascii="仿宋_GB2312" w:hAnsi="仿宋_GB2312" w:eastAsia="仿宋_GB2312" w:cs="仿宋_GB2312"/>
          <w:i w:val="0"/>
          <w:iCs w:val="0"/>
          <w:color w:val="auto"/>
          <w:sz w:val="24"/>
          <w:szCs w:val="24"/>
          <w:highlight w:val="none"/>
        </w:rPr>
      </w:pPr>
    </w:p>
    <w:p w14:paraId="268167F0">
      <w:pPr>
        <w:spacing w:line="520" w:lineRule="exact"/>
        <w:jc w:val="left"/>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注：请根据自己的真实情况出具《残疾人福利性单位声明函》。依法享受残疾人福利性单位优惠政策的，采购人或者采购代理机构在公告结果时，同时公告其《残疾人福利性单位声明函》，接受社会监督。</w:t>
      </w:r>
    </w:p>
    <w:p w14:paraId="55A33E0B">
      <w:pPr>
        <w:spacing w:before="120" w:after="50"/>
        <w:jc w:val="left"/>
        <w:rPr>
          <w:rFonts w:ascii="微软雅黑" w:hAnsi="微软雅黑" w:eastAsia="微软雅黑" w:cs="微软雅黑"/>
          <w:bCs/>
          <w:i w:val="0"/>
          <w:iCs w:val="0"/>
          <w:color w:val="auto"/>
          <w:szCs w:val="21"/>
          <w:highlight w:val="none"/>
        </w:rPr>
      </w:pPr>
      <w:r>
        <w:rPr>
          <w:rFonts w:hint="eastAsia" w:ascii="仿宋_GB2312" w:hAnsi="仿宋_GB2312" w:eastAsia="仿宋_GB2312" w:cs="仿宋_GB2312"/>
          <w:bCs/>
          <w:i w:val="0"/>
          <w:iCs w:val="0"/>
          <w:color w:val="auto"/>
          <w:sz w:val="32"/>
          <w:szCs w:val="32"/>
          <w:highlight w:val="none"/>
        </w:rPr>
        <w:br w:type="page" w:clear="all"/>
      </w:r>
      <w:r>
        <w:rPr>
          <w:rFonts w:hint="eastAsia" w:ascii="微软雅黑" w:hAnsi="微软雅黑" w:eastAsia="微软雅黑" w:cs="微软雅黑"/>
          <w:bCs/>
          <w:i w:val="0"/>
          <w:iCs w:val="0"/>
          <w:color w:val="auto"/>
          <w:szCs w:val="21"/>
          <w:highlight w:val="none"/>
        </w:rPr>
        <w:t>代理服务费承诺书</w:t>
      </w:r>
    </w:p>
    <w:p w14:paraId="34F9727D">
      <w:pPr>
        <w:spacing w:before="120" w:after="50"/>
        <w:jc w:val="center"/>
        <w:rPr>
          <w:rFonts w:hint="eastAsia" w:ascii="方正公文小标宋" w:hAnsi="方正公文小标宋" w:eastAsia="方正公文小标宋" w:cs="方正公文小标宋"/>
          <w:bCs/>
          <w:i w:val="0"/>
          <w:iCs w:val="0"/>
          <w:color w:val="auto"/>
          <w:sz w:val="32"/>
          <w:szCs w:val="32"/>
          <w:highlight w:val="none"/>
        </w:rPr>
      </w:pPr>
      <w:r>
        <w:rPr>
          <w:rFonts w:hint="eastAsia" w:ascii="方正公文小标宋" w:hAnsi="方正公文小标宋" w:eastAsia="方正公文小标宋" w:cs="方正公文小标宋"/>
          <w:bCs/>
          <w:i w:val="0"/>
          <w:iCs w:val="0"/>
          <w:color w:val="auto"/>
          <w:sz w:val="32"/>
          <w:szCs w:val="32"/>
          <w:highlight w:val="none"/>
        </w:rPr>
        <w:t>代理服务费承诺书</w:t>
      </w:r>
    </w:p>
    <w:p w14:paraId="7E2D31D5">
      <w:pPr>
        <w:spacing w:before="120" w:after="50"/>
        <w:jc w:val="center"/>
        <w:rPr>
          <w:rFonts w:hint="eastAsia" w:ascii="宋体" w:hAnsi="宋体"/>
          <w:b/>
          <w:i w:val="0"/>
          <w:iCs w:val="0"/>
          <w:color w:val="auto"/>
          <w:sz w:val="24"/>
          <w:highlight w:val="none"/>
        </w:rPr>
      </w:pPr>
    </w:p>
    <w:p w14:paraId="024DC483">
      <w:pPr>
        <w:spacing w:line="360" w:lineRule="auto"/>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致：采购代理机构名称</w:t>
      </w:r>
      <w:r>
        <w:rPr>
          <w:rFonts w:hint="eastAsia" w:ascii="仿宋_GB2312" w:hAnsi="仿宋_GB2312" w:eastAsia="仿宋_GB2312" w:cs="仿宋_GB2312"/>
          <w:i w:val="0"/>
          <w:iCs w:val="0"/>
          <w:color w:val="auto"/>
          <w:sz w:val="24"/>
          <w:szCs w:val="24"/>
          <w:highlight w:val="none"/>
        </w:rPr>
        <w:t>：</w:t>
      </w:r>
    </w:p>
    <w:p w14:paraId="188FECB5">
      <w:pPr>
        <w:spacing w:line="360" w:lineRule="auto"/>
        <w:ind w:firstLine="56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本单位参加了贵方组织的</w:t>
      </w:r>
      <w:r>
        <w:rPr>
          <w:rFonts w:hint="eastAsia" w:ascii="仿宋_GB2312" w:hAnsi="仿宋_GB2312" w:eastAsia="仿宋_GB2312" w:cs="仿宋_GB2312"/>
          <w:i w:val="0"/>
          <w:iCs w:val="0"/>
          <w:color w:val="auto"/>
          <w:sz w:val="24"/>
          <w:szCs w:val="24"/>
          <w:highlight w:val="none"/>
          <w:u w:val="single"/>
        </w:rPr>
        <w:t>项目名称（项目编号）</w:t>
      </w:r>
      <w:r>
        <w:rPr>
          <w:rFonts w:hint="eastAsia" w:ascii="仿宋_GB2312" w:hAnsi="仿宋_GB2312" w:eastAsia="仿宋_GB2312" w:cs="仿宋_GB2312"/>
          <w:i w:val="0"/>
          <w:iCs w:val="0"/>
          <w:color w:val="auto"/>
          <w:sz w:val="24"/>
          <w:szCs w:val="24"/>
          <w:highlight w:val="none"/>
        </w:rPr>
        <w:t>项目，在此说明如下：</w:t>
      </w:r>
    </w:p>
    <w:p w14:paraId="682CD242">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我方承诺，若本单位成交，保证在发出成交通知书之后，按本项目采购文件的规定标准向贵单位一次性足额支付代理服务费，在领取成交通知书后，由于被质疑、投诉或者其他原因而导致成交结果改变，我方将放弃对已缴纳的</w:t>
      </w:r>
      <w:r>
        <w:rPr>
          <w:rFonts w:hint="eastAsia" w:ascii="仿宋_GB2312" w:hAnsi="仿宋_GB2312" w:eastAsia="仿宋_GB2312" w:cs="仿宋_GB2312"/>
          <w:i w:val="0"/>
          <w:iCs w:val="0"/>
          <w:color w:val="auto"/>
          <w:sz w:val="24"/>
          <w:szCs w:val="24"/>
          <w:highlight w:val="none"/>
          <w:lang w:eastAsia="zh-CN"/>
        </w:rPr>
        <w:t>代理服务费</w:t>
      </w:r>
      <w:r>
        <w:rPr>
          <w:rFonts w:hint="eastAsia" w:ascii="仿宋_GB2312" w:hAnsi="仿宋_GB2312" w:eastAsia="仿宋_GB2312" w:cs="仿宋_GB2312"/>
          <w:i w:val="0"/>
          <w:iCs w:val="0"/>
          <w:color w:val="auto"/>
          <w:sz w:val="24"/>
          <w:szCs w:val="24"/>
          <w:highlight w:val="none"/>
        </w:rPr>
        <w:t>追还的一切权利。</w:t>
      </w:r>
    </w:p>
    <w:p w14:paraId="5C0BE9AB">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2.本单位选择第</w:t>
      </w:r>
      <w:r>
        <w:rPr>
          <w:rFonts w:hint="eastAsia" w:ascii="仿宋_GB2312" w:hAnsi="仿宋_GB2312" w:eastAsia="仿宋_GB2312" w:cs="仿宋_GB2312"/>
          <w:i w:val="0"/>
          <w:iCs w:val="0"/>
          <w:color w:val="auto"/>
          <w:sz w:val="24"/>
          <w:szCs w:val="24"/>
          <w:highlight w:val="none"/>
          <w:u w:val="single"/>
          <w:lang w:val="en-US" w:eastAsia="zh-CN"/>
        </w:rPr>
        <w:t xml:space="preserve">  </w:t>
      </w:r>
      <w:r>
        <w:rPr>
          <w:rFonts w:hint="eastAsia" w:ascii="仿宋_GB2312" w:hAnsi="仿宋_GB2312" w:eastAsia="仿宋_GB2312" w:cs="仿宋_GB2312"/>
          <w:i w:val="0"/>
          <w:iCs w:val="0"/>
          <w:color w:val="auto"/>
          <w:sz w:val="24"/>
          <w:szCs w:val="24"/>
          <w:highlight w:val="none"/>
        </w:rPr>
        <w:t>种方式作为代理服务费开票类型：</w:t>
      </w:r>
    </w:p>
    <w:p w14:paraId="23674679">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第一种方式：开具增值税普通发票。开票信息如下：</w:t>
      </w:r>
    </w:p>
    <w:p w14:paraId="30CBDA17">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（1）公司名称</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4D6825DB">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（2）纳税人识别号</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658A916D">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第二种方式：开具增值税专用发票，开票信息如下：</w:t>
      </w:r>
    </w:p>
    <w:p w14:paraId="2DEF15AE">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（1）公司名称</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4A4A45C4">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（2）纳税人识别号</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6ED6778E">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（3）在税务局登记的地址</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58B8DE77">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（4）在税务局登记的电话</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60AFA6D5">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（5）开户银行</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4C0E24F8">
      <w:pPr>
        <w:spacing w:line="360" w:lineRule="auto"/>
        <w:ind w:firstLine="42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（6）银行账户</w:t>
      </w:r>
      <w:r>
        <w:rPr>
          <w:rFonts w:hint="eastAsia" w:ascii="仿宋_GB2312" w:hAnsi="仿宋_GB2312" w:eastAsia="仿宋_GB2312" w:cs="仿宋_GB2312"/>
          <w:i w:val="0"/>
          <w:iCs w:val="0"/>
          <w:color w:val="auto"/>
          <w:sz w:val="24"/>
          <w:szCs w:val="24"/>
          <w:highlight w:val="none"/>
          <w:u w:val="single"/>
        </w:rPr>
        <w:t>_</w:t>
      </w:r>
      <w:r>
        <w:rPr>
          <w:rFonts w:hint="eastAsia" w:ascii="仿宋_GB2312" w:hAnsi="仿宋_GB2312" w:eastAsia="仿宋_GB2312" w:cs="仿宋_GB2312"/>
          <w:i w:val="0"/>
          <w:iCs w:val="0"/>
          <w:color w:val="auto"/>
          <w:sz w:val="24"/>
          <w:szCs w:val="24"/>
          <w:highlight w:val="none"/>
        </w:rPr>
        <w:t>。</w:t>
      </w:r>
    </w:p>
    <w:p w14:paraId="3A97ADBC">
      <w:pPr>
        <w:spacing w:line="440" w:lineRule="exact"/>
        <w:rPr>
          <w:rFonts w:hint="eastAsia" w:ascii="仿宋_GB2312" w:hAnsi="仿宋_GB2312" w:eastAsia="仿宋_GB2312" w:cs="仿宋_GB2312"/>
          <w:i w:val="0"/>
          <w:iCs w:val="0"/>
          <w:color w:val="auto"/>
          <w:sz w:val="24"/>
          <w:szCs w:val="24"/>
          <w:highlight w:val="none"/>
        </w:rPr>
      </w:pPr>
    </w:p>
    <w:p w14:paraId="4EFBB441">
      <w:pPr>
        <w:spacing w:line="360" w:lineRule="auto"/>
        <w:ind w:right="-817"/>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法定代表人或者委托代理人（签字或者电子签名）：</w:t>
      </w:r>
    </w:p>
    <w:p w14:paraId="2A84BAE5">
      <w:pPr>
        <w:spacing w:line="360" w:lineRule="auto"/>
        <w:ind w:left="2" w:right="-817" w:hanging="33"/>
        <w:rPr>
          <w:rFonts w:hint="eastAsia" w:ascii="仿宋_GB2312" w:hAnsi="仿宋_GB2312" w:eastAsia="仿宋_GB2312" w:cs="仿宋_GB2312"/>
          <w:i w:val="0"/>
          <w:iCs w:val="0"/>
          <w:color w:val="auto"/>
          <w:sz w:val="24"/>
          <w:szCs w:val="24"/>
          <w:highlight w:val="none"/>
          <w:lang w:eastAsia="zh-CN"/>
        </w:rPr>
      </w:pPr>
      <w:r>
        <w:rPr>
          <w:rFonts w:hint="eastAsia" w:ascii="仿宋_GB2312" w:hAnsi="仿宋_GB2312" w:eastAsia="仿宋_GB2312" w:cs="仿宋_GB2312"/>
          <w:i w:val="0"/>
          <w:iCs w:val="0"/>
          <w:color w:val="auto"/>
          <w:sz w:val="24"/>
          <w:szCs w:val="24"/>
          <w:highlight w:val="none"/>
          <w:lang w:eastAsia="zh-CN"/>
        </w:rPr>
        <w:t>供应商名称（电子签章）：</w:t>
      </w:r>
    </w:p>
    <w:p w14:paraId="3E7AA985">
      <w:pPr>
        <w:spacing w:line="360" w:lineRule="auto"/>
        <w:ind w:right="480" w:firstLine="280"/>
        <w:jc w:val="left"/>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rPr>
        <w:t>日期：年</w:t>
      </w:r>
      <w:r>
        <w:rPr>
          <w:rFonts w:hint="eastAsia" w:ascii="仿宋_GB2312" w:hAnsi="仿宋_GB2312" w:eastAsia="仿宋_GB2312" w:cs="仿宋_GB2312"/>
          <w:i w:val="0"/>
          <w:iCs w:val="0"/>
          <w:color w:val="auto"/>
          <w:sz w:val="24"/>
          <w:szCs w:val="24"/>
          <w:highlight w:val="none"/>
          <w:lang w:val="en-US" w:eastAsia="zh-CN"/>
        </w:rPr>
        <w:t xml:space="preserve"> </w:t>
      </w:r>
      <w:r>
        <w:rPr>
          <w:rFonts w:hint="eastAsia" w:ascii="仿宋_GB2312" w:hAnsi="仿宋_GB2312" w:eastAsia="仿宋_GB2312" w:cs="仿宋_GB2312"/>
          <w:i w:val="0"/>
          <w:iCs w:val="0"/>
          <w:color w:val="auto"/>
          <w:sz w:val="24"/>
          <w:szCs w:val="24"/>
          <w:highlight w:val="none"/>
        </w:rPr>
        <w:t>月</w:t>
      </w:r>
      <w:r>
        <w:rPr>
          <w:rFonts w:hint="eastAsia" w:ascii="仿宋_GB2312" w:hAnsi="仿宋_GB2312" w:eastAsia="仿宋_GB2312" w:cs="仿宋_GB2312"/>
          <w:i w:val="0"/>
          <w:iCs w:val="0"/>
          <w:color w:val="auto"/>
          <w:sz w:val="24"/>
          <w:szCs w:val="24"/>
          <w:highlight w:val="none"/>
          <w:lang w:val="en-US" w:eastAsia="zh-CN"/>
        </w:rPr>
        <w:t xml:space="preserve"> 日</w:t>
      </w:r>
    </w:p>
    <w:p w14:paraId="76D9870D">
      <w:pPr>
        <w:spacing w:line="360" w:lineRule="auto"/>
        <w:jc w:val="center"/>
        <w:rPr>
          <w:rFonts w:hint="eastAsia" w:ascii="方正公文小标宋" w:hAnsi="方正公文小标宋" w:eastAsia="方正公文小标宋" w:cs="方正公文小标宋"/>
          <w:b/>
          <w:bCs/>
          <w:i w:val="0"/>
          <w:iCs w:val="0"/>
          <w:color w:val="auto"/>
          <w:sz w:val="32"/>
          <w:szCs w:val="32"/>
          <w:highlight w:val="none"/>
        </w:rPr>
      </w:pPr>
      <w:r>
        <w:rPr>
          <w:i w:val="0"/>
          <w:iCs w:val="0"/>
          <w:color w:val="auto"/>
          <w:sz w:val="24"/>
          <w:szCs w:val="24"/>
          <w:highlight w:val="none"/>
          <w:lang w:val="en-US" w:eastAsia="zh-CN"/>
        </w:rPr>
        <w:br w:type="page" w:clear="all"/>
      </w:r>
      <w:r>
        <w:rPr>
          <w:rFonts w:hint="eastAsia" w:ascii="方正公文小标宋" w:hAnsi="方正公文小标宋" w:eastAsia="方正公文小标宋" w:cs="方正公文小标宋"/>
          <w:i w:val="0"/>
          <w:iCs w:val="0"/>
          <w:color w:val="auto"/>
          <w:sz w:val="32"/>
          <w:szCs w:val="32"/>
          <w:highlight w:val="none"/>
        </w:rPr>
        <w:t>质疑函（格式）</w:t>
      </w:r>
    </w:p>
    <w:p w14:paraId="7590CC86">
      <w:pPr>
        <w:pStyle w:val="224"/>
        <w:spacing w:line="360" w:lineRule="auto"/>
        <w:ind w:firstLine="643"/>
        <w:contextualSpacing/>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一、质疑供应商基本信息：</w:t>
      </w:r>
    </w:p>
    <w:p w14:paraId="5546D5BB">
      <w:pPr>
        <w:pStyle w:val="224"/>
        <w:spacing w:line="360" w:lineRule="auto"/>
        <w:ind w:firstLine="640"/>
        <w:contextualSpacing/>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质疑供应商：</w:t>
      </w:r>
    </w:p>
    <w:p w14:paraId="5E804719">
      <w:pPr>
        <w:pStyle w:val="224"/>
        <w:spacing w:line="360" w:lineRule="auto"/>
        <w:ind w:firstLine="640"/>
        <w:contextualSpacing/>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地址：邮编：</w:t>
      </w:r>
    </w:p>
    <w:p w14:paraId="758637AD">
      <w:pPr>
        <w:pStyle w:val="224"/>
        <w:spacing w:line="360" w:lineRule="auto"/>
        <w:ind w:firstLine="640"/>
        <w:contextualSpacing/>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联系人：联系电话：</w:t>
      </w:r>
    </w:p>
    <w:p w14:paraId="5C2D742B">
      <w:pPr>
        <w:pStyle w:val="224"/>
        <w:spacing w:line="360" w:lineRule="auto"/>
        <w:ind w:firstLine="640"/>
        <w:contextualSpacing/>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授权代表：</w:t>
      </w:r>
    </w:p>
    <w:p w14:paraId="0375C679">
      <w:pPr>
        <w:pStyle w:val="224"/>
        <w:spacing w:line="360" w:lineRule="auto"/>
        <w:ind w:firstLine="640"/>
        <w:contextualSpacing/>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联系电话：</w:t>
      </w:r>
    </w:p>
    <w:p w14:paraId="0DEF231A">
      <w:pPr>
        <w:pStyle w:val="224"/>
        <w:spacing w:line="360" w:lineRule="auto"/>
        <w:ind w:firstLine="640"/>
        <w:contextualSpacing/>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地址：邮编：</w:t>
      </w:r>
    </w:p>
    <w:p w14:paraId="1D314230">
      <w:pPr>
        <w:pStyle w:val="224"/>
        <w:spacing w:line="360" w:lineRule="auto"/>
        <w:ind w:firstLine="643"/>
        <w:contextualSpacing/>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二、质疑项目基本情况：</w:t>
      </w:r>
    </w:p>
    <w:p w14:paraId="017BD658">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质疑</w:t>
      </w:r>
      <w:r>
        <w:rPr>
          <w:rFonts w:hint="eastAsia" w:ascii="仿宋_GB2312" w:hAnsi="仿宋_GB2312" w:eastAsia="仿宋_GB2312" w:cs="仿宋_GB2312"/>
          <w:i w:val="0"/>
          <w:iCs w:val="0"/>
          <w:color w:val="auto"/>
          <w:sz w:val="24"/>
          <w:szCs w:val="24"/>
          <w:highlight w:val="none"/>
        </w:rPr>
        <w:t>项目的名称：</w:t>
      </w:r>
    </w:p>
    <w:p w14:paraId="166F3245">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质疑</w:t>
      </w:r>
      <w:r>
        <w:rPr>
          <w:rFonts w:hint="eastAsia" w:ascii="仿宋_GB2312" w:hAnsi="仿宋_GB2312" w:eastAsia="仿宋_GB2312" w:cs="仿宋_GB2312"/>
          <w:i w:val="0"/>
          <w:iCs w:val="0"/>
          <w:color w:val="auto"/>
          <w:sz w:val="24"/>
          <w:szCs w:val="24"/>
          <w:highlight w:val="none"/>
        </w:rPr>
        <w:t>项目的编号：</w:t>
      </w:r>
    </w:p>
    <w:p w14:paraId="79D4138B">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采购人名称：</w:t>
      </w:r>
    </w:p>
    <w:p w14:paraId="48A543D3">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质疑事项：</w:t>
      </w:r>
    </w:p>
    <w:p w14:paraId="23F8D099">
      <w:pPr>
        <w:pStyle w:val="224"/>
        <w:spacing w:line="360" w:lineRule="auto"/>
        <w:ind w:left="25" w:firstLine="47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□采购文件获取日期：</w:t>
      </w:r>
    </w:p>
    <w:p w14:paraId="2141EE2F">
      <w:pPr>
        <w:pStyle w:val="224"/>
        <w:spacing w:line="360" w:lineRule="auto"/>
        <w:ind w:left="25" w:firstLine="47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□采购过程</w:t>
      </w:r>
    </w:p>
    <w:p w14:paraId="724C1AB8">
      <w:pPr>
        <w:pStyle w:val="224"/>
        <w:spacing w:line="360" w:lineRule="auto"/>
        <w:ind w:left="25" w:firstLine="470"/>
        <w:contextualSpacing/>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□成交结果</w:t>
      </w:r>
    </w:p>
    <w:p w14:paraId="31AA4BCF">
      <w:pPr>
        <w:pStyle w:val="224"/>
        <w:spacing w:line="360" w:lineRule="auto"/>
        <w:ind w:left="25" w:firstLine="630"/>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三、质疑事项具体内容</w:t>
      </w:r>
    </w:p>
    <w:p w14:paraId="254431EB">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质疑事项1：</w:t>
      </w:r>
    </w:p>
    <w:p w14:paraId="6E88829C">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事实依据：</w:t>
      </w:r>
    </w:p>
    <w:p w14:paraId="3CBA98A8">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法律依据：</w:t>
      </w:r>
    </w:p>
    <w:p w14:paraId="6A503F65">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质疑事项2</w:t>
      </w:r>
    </w:p>
    <w:p w14:paraId="599810C8">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w:t>
      </w:r>
    </w:p>
    <w:p w14:paraId="5F373970">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四、与质疑事项相关的质疑请求：</w:t>
      </w:r>
    </w:p>
    <w:p w14:paraId="09F33182">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请求：</w:t>
      </w:r>
    </w:p>
    <w:p w14:paraId="093C32D5">
      <w:pPr>
        <w:pStyle w:val="224"/>
        <w:spacing w:line="360" w:lineRule="auto"/>
        <w:ind w:left="25" w:firstLine="470"/>
        <w:contextualSpacing/>
        <w:rPr>
          <w:rFonts w:hint="eastAsia" w:ascii="仿宋_GB2312" w:hAnsi="仿宋_GB2312" w:eastAsia="仿宋_GB2312" w:cs="仿宋_GB2312"/>
          <w:i w:val="0"/>
          <w:iCs w:val="0"/>
          <w:color w:val="auto"/>
          <w:sz w:val="24"/>
          <w:szCs w:val="24"/>
          <w:highlight w:val="none"/>
        </w:rPr>
      </w:pPr>
    </w:p>
    <w:p w14:paraId="3FCA456C">
      <w:pPr>
        <w:pStyle w:val="224"/>
        <w:spacing w:line="360" w:lineRule="auto"/>
        <w:ind w:left="25" w:firstLine="630"/>
        <w:contextualSpacing/>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签字（签章）：公章：</w:t>
      </w:r>
    </w:p>
    <w:p w14:paraId="241B52BE">
      <w:pPr>
        <w:pStyle w:val="224"/>
        <w:spacing w:line="360" w:lineRule="auto"/>
        <w:ind w:firstLine="640"/>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w:t>
      </w:r>
    </w:p>
    <w:p w14:paraId="790750A4">
      <w:pPr>
        <w:pStyle w:val="224"/>
        <w:spacing w:line="360" w:lineRule="auto"/>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说明：</w:t>
      </w:r>
    </w:p>
    <w:p w14:paraId="783B6F5F">
      <w:pPr>
        <w:pStyle w:val="224"/>
        <w:spacing w:line="360" w:lineRule="auto"/>
        <w:ind w:left="25" w:firstLine="472"/>
        <w:contextualSpacing/>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1.供应商提出质疑时</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应提交质疑函和必要的证明材料</w:t>
      </w:r>
      <w:r>
        <w:rPr>
          <w:rFonts w:hint="eastAsia" w:ascii="仿宋_GB2312" w:hAnsi="仿宋_GB2312" w:eastAsia="仿宋_GB2312" w:cs="仿宋_GB2312"/>
          <w:b/>
          <w:bCs/>
          <w:i w:val="0"/>
          <w:iCs w:val="0"/>
          <w:color w:val="auto"/>
          <w:sz w:val="24"/>
          <w:szCs w:val="24"/>
          <w:highlight w:val="none"/>
        </w:rPr>
        <w:t>。</w:t>
      </w:r>
    </w:p>
    <w:p w14:paraId="42849020">
      <w:pPr>
        <w:pStyle w:val="224"/>
        <w:spacing w:line="360" w:lineRule="auto"/>
        <w:ind w:left="25" w:firstLine="472"/>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2.质疑供应商若委托代理人进行质疑的</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质疑函应按要求列明“授权代表”的有关内容</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并在附件中提交由质疑供应商签署的授权委托书。授权委托书应载明代理人的姓名或者名称、代理事项、具体权限、期限和相关事项。</w:t>
      </w:r>
    </w:p>
    <w:p w14:paraId="1D949DBC">
      <w:pPr>
        <w:pStyle w:val="224"/>
        <w:spacing w:line="360" w:lineRule="auto"/>
        <w:ind w:left="25" w:firstLine="472"/>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3.质疑函的质疑事项应具体、明确</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并有必要的事实依据和法律依据。</w:t>
      </w:r>
    </w:p>
    <w:p w14:paraId="4E9C6DE0">
      <w:pPr>
        <w:pStyle w:val="224"/>
        <w:spacing w:line="360" w:lineRule="auto"/>
        <w:ind w:left="25" w:firstLine="472"/>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4.质疑函的质疑请求应与质疑事项相关。</w:t>
      </w:r>
    </w:p>
    <w:p w14:paraId="7E22FB68">
      <w:pPr>
        <w:pStyle w:val="224"/>
        <w:spacing w:line="360" w:lineRule="auto"/>
        <w:ind w:left="25" w:firstLine="472"/>
        <w:contextualSpacing/>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5.质疑供应商为法人或者其他组织的</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质疑函应由法定代表人、主要负责人</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或者其授权代表签字或者盖章</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并加盖公章。</w:t>
      </w:r>
    </w:p>
    <w:p w14:paraId="1220ED31">
      <w:pPr>
        <w:pStyle w:val="224"/>
        <w:rPr>
          <w:rFonts w:hint="eastAsia"/>
          <w:b/>
          <w:i w:val="0"/>
          <w:iCs w:val="0"/>
          <w:color w:val="auto"/>
          <w:sz w:val="24"/>
          <w:szCs w:val="24"/>
          <w:highlight w:val="none"/>
        </w:rPr>
      </w:pPr>
    </w:p>
    <w:p w14:paraId="502886B9">
      <w:pPr>
        <w:rPr>
          <w:rFonts w:hint="eastAsia"/>
          <w:i w:val="0"/>
          <w:iCs w:val="0"/>
          <w:color w:val="auto"/>
          <w:sz w:val="32"/>
          <w:szCs w:val="40"/>
          <w:highlight w:val="none"/>
        </w:rPr>
      </w:pPr>
    </w:p>
    <w:p w14:paraId="5FF9FED3">
      <w:pPr>
        <w:rPr>
          <w:rFonts w:hint="eastAsia"/>
          <w:i w:val="0"/>
          <w:iCs w:val="0"/>
          <w:color w:val="auto"/>
          <w:sz w:val="32"/>
          <w:szCs w:val="40"/>
          <w:highlight w:val="none"/>
        </w:rPr>
      </w:pPr>
    </w:p>
    <w:p w14:paraId="642C7FA3">
      <w:pPr>
        <w:rPr>
          <w:rFonts w:hint="eastAsia"/>
          <w:i w:val="0"/>
          <w:iCs w:val="0"/>
          <w:color w:val="auto"/>
          <w:sz w:val="32"/>
          <w:szCs w:val="40"/>
          <w:highlight w:val="none"/>
        </w:rPr>
      </w:pPr>
    </w:p>
    <w:p w14:paraId="65850514">
      <w:pPr>
        <w:rPr>
          <w:rFonts w:hint="eastAsia"/>
          <w:i w:val="0"/>
          <w:iCs w:val="0"/>
          <w:color w:val="auto"/>
          <w:sz w:val="32"/>
          <w:szCs w:val="40"/>
          <w:highlight w:val="none"/>
        </w:rPr>
      </w:pPr>
    </w:p>
    <w:p w14:paraId="62626EF1">
      <w:pPr>
        <w:rPr>
          <w:rFonts w:hint="eastAsia"/>
          <w:i w:val="0"/>
          <w:iCs w:val="0"/>
          <w:color w:val="auto"/>
          <w:sz w:val="32"/>
          <w:szCs w:val="40"/>
          <w:highlight w:val="none"/>
        </w:rPr>
      </w:pPr>
    </w:p>
    <w:p w14:paraId="59D902AC">
      <w:pPr>
        <w:spacing w:line="360" w:lineRule="auto"/>
        <w:jc w:val="center"/>
        <w:rPr>
          <w:rFonts w:hint="eastAsia" w:ascii="方正公文小标宋" w:hAnsi="方正公文小标宋" w:eastAsia="方正公文小标宋" w:cs="方正公文小标宋"/>
          <w:i w:val="0"/>
          <w:iCs w:val="0"/>
          <w:color w:val="auto"/>
          <w:sz w:val="32"/>
          <w:szCs w:val="32"/>
          <w:highlight w:val="none"/>
        </w:rPr>
      </w:pPr>
      <w:r>
        <w:rPr>
          <w:rFonts w:hint="eastAsia" w:ascii="微软雅黑" w:hAnsi="微软雅黑" w:eastAsia="微软雅黑" w:cs="微软雅黑"/>
          <w:i w:val="0"/>
          <w:iCs w:val="0"/>
          <w:color w:val="auto"/>
          <w:sz w:val="44"/>
          <w:szCs w:val="44"/>
          <w:highlight w:val="none"/>
        </w:rPr>
        <w:br w:type="page" w:clear="all"/>
      </w:r>
      <w:r>
        <w:rPr>
          <w:rFonts w:hint="eastAsia" w:ascii="方正公文小标宋" w:hAnsi="方正公文小标宋" w:eastAsia="方正公文小标宋" w:cs="方正公文小标宋"/>
          <w:i w:val="0"/>
          <w:iCs w:val="0"/>
          <w:color w:val="auto"/>
          <w:sz w:val="32"/>
          <w:szCs w:val="32"/>
          <w:highlight w:val="none"/>
        </w:rPr>
        <w:t>投诉书（格式）</w:t>
      </w:r>
    </w:p>
    <w:p w14:paraId="28B3F538">
      <w:pPr>
        <w:pStyle w:val="224"/>
        <w:spacing w:line="360" w:lineRule="auto"/>
        <w:ind w:firstLine="643"/>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一、投诉相关主体基本情况：</w:t>
      </w:r>
    </w:p>
    <w:p w14:paraId="46BA4DDF">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供应商：</w:t>
      </w:r>
    </w:p>
    <w:p w14:paraId="75DA36CA">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地址：邮编：</w:t>
      </w:r>
    </w:p>
    <w:p w14:paraId="31B35BF4">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法定代表人/主要负责人：</w:t>
      </w:r>
    </w:p>
    <w:p w14:paraId="7A0BB8C5">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联系电话：</w:t>
      </w:r>
    </w:p>
    <w:p w14:paraId="1390A5A4">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授权代表：联系电话：</w:t>
      </w:r>
    </w:p>
    <w:p w14:paraId="5A60FC73">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地址：</w:t>
      </w:r>
    </w:p>
    <w:p w14:paraId="4929EA6F">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邮编：</w:t>
      </w:r>
    </w:p>
    <w:p w14:paraId="55DB2FD1">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被投诉人1：</w:t>
      </w:r>
    </w:p>
    <w:p w14:paraId="65C4355A">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地址：</w:t>
      </w:r>
    </w:p>
    <w:p w14:paraId="6F711FAE">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邮编：</w:t>
      </w:r>
    </w:p>
    <w:p w14:paraId="2D2DD8AF">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联系人：联系电话：</w:t>
      </w:r>
    </w:p>
    <w:p w14:paraId="4758BEDC">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被投诉人2：</w:t>
      </w:r>
    </w:p>
    <w:p w14:paraId="04804E7A">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w:t>
      </w:r>
    </w:p>
    <w:p w14:paraId="409E02EB">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相关供应商：</w:t>
      </w:r>
    </w:p>
    <w:p w14:paraId="78E5D30A">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地址：邮编：</w:t>
      </w:r>
    </w:p>
    <w:p w14:paraId="05EC7619">
      <w:pPr>
        <w:pStyle w:val="224"/>
        <w:spacing w:line="360" w:lineRule="auto"/>
        <w:ind w:firstLine="64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联系人：联系电话：</w:t>
      </w:r>
    </w:p>
    <w:p w14:paraId="1CDF1ED0">
      <w:pPr>
        <w:pStyle w:val="224"/>
        <w:spacing w:line="360" w:lineRule="auto"/>
        <w:ind w:firstLine="643"/>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二、投诉项目基本情况：</w:t>
      </w:r>
    </w:p>
    <w:p w14:paraId="30D0804F">
      <w:pPr>
        <w:pStyle w:val="224"/>
        <w:spacing w:line="360" w:lineRule="auto"/>
        <w:ind w:left="25" w:firstLine="63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采购</w:t>
      </w:r>
      <w:r>
        <w:rPr>
          <w:rFonts w:hint="eastAsia" w:ascii="仿宋_GB2312" w:hAnsi="仿宋_GB2312" w:eastAsia="仿宋_GB2312" w:cs="仿宋_GB2312"/>
          <w:i w:val="0"/>
          <w:iCs w:val="0"/>
          <w:color w:val="auto"/>
          <w:sz w:val="24"/>
          <w:szCs w:val="24"/>
          <w:highlight w:val="none"/>
        </w:rPr>
        <w:t>项目的名称：</w:t>
      </w:r>
    </w:p>
    <w:p w14:paraId="49A17177">
      <w:pPr>
        <w:pStyle w:val="224"/>
        <w:spacing w:line="360" w:lineRule="auto"/>
        <w:ind w:left="25" w:firstLine="63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采购</w:t>
      </w:r>
      <w:r>
        <w:rPr>
          <w:rFonts w:hint="eastAsia" w:ascii="仿宋_GB2312" w:hAnsi="仿宋_GB2312" w:eastAsia="仿宋_GB2312" w:cs="仿宋_GB2312"/>
          <w:i w:val="0"/>
          <w:iCs w:val="0"/>
          <w:color w:val="auto"/>
          <w:sz w:val="24"/>
          <w:szCs w:val="24"/>
          <w:highlight w:val="none"/>
        </w:rPr>
        <w:t>项目的编号：</w:t>
      </w:r>
    </w:p>
    <w:p w14:paraId="517F73C9">
      <w:pPr>
        <w:pStyle w:val="224"/>
        <w:spacing w:line="360" w:lineRule="auto"/>
        <w:ind w:left="25" w:firstLine="63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采购人名称：</w:t>
      </w:r>
    </w:p>
    <w:p w14:paraId="354C1E4D">
      <w:pPr>
        <w:pStyle w:val="224"/>
        <w:spacing w:line="360" w:lineRule="auto"/>
        <w:ind w:left="25" w:firstLine="63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代理机构名称：</w:t>
      </w:r>
    </w:p>
    <w:p w14:paraId="777B0572">
      <w:pPr>
        <w:pStyle w:val="224"/>
        <w:spacing w:line="360" w:lineRule="auto"/>
        <w:ind w:left="25" w:firstLine="63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采购文件公告：</w:t>
      </w:r>
      <w:r>
        <w:rPr>
          <w:rFonts w:hint="eastAsia" w:ascii="仿宋_GB2312" w:hAnsi="仿宋_GB2312" w:eastAsia="仿宋_GB2312" w:cs="仿宋_GB2312"/>
          <w:bCs/>
          <w:i w:val="0"/>
          <w:iCs w:val="0"/>
          <w:color w:val="auto"/>
          <w:sz w:val="24"/>
          <w:szCs w:val="24"/>
          <w:highlight w:val="none"/>
          <w:u w:val="single"/>
        </w:rPr>
        <w:t>是/否</w:t>
      </w:r>
      <w:r>
        <w:rPr>
          <w:rFonts w:hint="eastAsia" w:ascii="仿宋_GB2312" w:hAnsi="仿宋_GB2312" w:eastAsia="仿宋_GB2312" w:cs="仿宋_GB2312"/>
          <w:bCs/>
          <w:i w:val="0"/>
          <w:iCs w:val="0"/>
          <w:color w:val="auto"/>
          <w:sz w:val="24"/>
          <w:szCs w:val="24"/>
          <w:highlight w:val="none"/>
        </w:rPr>
        <w:t>公告期限：</w:t>
      </w:r>
    </w:p>
    <w:p w14:paraId="36BD092C">
      <w:pPr>
        <w:pStyle w:val="224"/>
        <w:spacing w:line="360" w:lineRule="auto"/>
        <w:ind w:left="25" w:firstLine="630"/>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采购结果公告：</w:t>
      </w:r>
      <w:r>
        <w:rPr>
          <w:rFonts w:hint="eastAsia" w:ascii="仿宋_GB2312" w:hAnsi="仿宋_GB2312" w:eastAsia="仿宋_GB2312" w:cs="仿宋_GB2312"/>
          <w:bCs/>
          <w:i w:val="0"/>
          <w:iCs w:val="0"/>
          <w:color w:val="auto"/>
          <w:sz w:val="24"/>
          <w:szCs w:val="24"/>
          <w:highlight w:val="none"/>
          <w:u w:val="single"/>
        </w:rPr>
        <w:t>是/否</w:t>
      </w:r>
      <w:r>
        <w:rPr>
          <w:rFonts w:hint="eastAsia" w:ascii="仿宋_GB2312" w:hAnsi="仿宋_GB2312" w:eastAsia="仿宋_GB2312" w:cs="仿宋_GB2312"/>
          <w:bCs/>
          <w:i w:val="0"/>
          <w:iCs w:val="0"/>
          <w:color w:val="auto"/>
          <w:sz w:val="24"/>
          <w:szCs w:val="24"/>
          <w:highlight w:val="none"/>
        </w:rPr>
        <w:t>公告期限：</w:t>
      </w:r>
    </w:p>
    <w:p w14:paraId="2F39F993">
      <w:pPr>
        <w:pStyle w:val="224"/>
        <w:spacing w:line="360" w:lineRule="auto"/>
        <w:ind w:left="25" w:firstLine="630"/>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三、质疑基本情况</w:t>
      </w:r>
    </w:p>
    <w:p w14:paraId="1C5CD0FB">
      <w:pPr>
        <w:pStyle w:val="224"/>
        <w:spacing w:line="360" w:lineRule="auto"/>
        <w:ind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投诉人于年月日</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向提出质疑</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i w:val="0"/>
          <w:iCs w:val="0"/>
          <w:color w:val="auto"/>
          <w:sz w:val="24"/>
          <w:szCs w:val="24"/>
          <w:highlight w:val="none"/>
        </w:rPr>
        <w:t>质疑事项为：</w:t>
      </w:r>
    </w:p>
    <w:p w14:paraId="53D2B294">
      <w:pPr>
        <w:pStyle w:val="224"/>
        <w:spacing w:line="360" w:lineRule="auto"/>
        <w:ind w:firstLine="241"/>
        <w:rPr>
          <w:rFonts w:hint="eastAsia" w:ascii="仿宋_GB2312" w:hAnsi="仿宋_GB2312" w:eastAsia="仿宋_GB2312" w:cs="仿宋_GB2312"/>
          <w:bCs/>
          <w:i w:val="0"/>
          <w:iCs w:val="0"/>
          <w:color w:val="auto"/>
          <w:sz w:val="24"/>
          <w:szCs w:val="24"/>
          <w:highlight w:val="none"/>
          <w:u w:val="single"/>
        </w:rPr>
      </w:pPr>
    </w:p>
    <w:p w14:paraId="2DE58EBC">
      <w:pPr>
        <w:pStyle w:val="224"/>
        <w:spacing w:line="360" w:lineRule="auto"/>
        <w:ind w:firstLine="241"/>
        <w:rPr>
          <w:rFonts w:hint="eastAsia" w:ascii="仿宋_GB2312" w:hAnsi="仿宋_GB2312" w:eastAsia="仿宋_GB2312" w:cs="仿宋_GB2312"/>
          <w:bCs/>
          <w:i w:val="0"/>
          <w:iCs w:val="0"/>
          <w:color w:val="auto"/>
          <w:sz w:val="24"/>
          <w:szCs w:val="24"/>
          <w:highlight w:val="none"/>
          <w:u w:val="single"/>
        </w:rPr>
      </w:pPr>
    </w:p>
    <w:p w14:paraId="1AD17E6F">
      <w:pPr>
        <w:pStyle w:val="224"/>
        <w:spacing w:line="360" w:lineRule="auto"/>
        <w:ind w:firstLine="64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u w:val="single"/>
        </w:rPr>
        <w:t>采购人/代理机构</w:t>
      </w:r>
      <w:r>
        <w:rPr>
          <w:rFonts w:hint="eastAsia" w:ascii="仿宋_GB2312" w:hAnsi="仿宋_GB2312" w:eastAsia="仿宋_GB2312" w:cs="仿宋_GB2312"/>
          <w:bCs/>
          <w:i w:val="0"/>
          <w:iCs w:val="0"/>
          <w:color w:val="auto"/>
          <w:sz w:val="24"/>
          <w:szCs w:val="24"/>
          <w:highlight w:val="none"/>
        </w:rPr>
        <w:t>于</w:t>
      </w:r>
      <w:r>
        <w:rPr>
          <w:rFonts w:hint="eastAsia" w:ascii="仿宋_GB2312" w:hAnsi="仿宋_GB2312" w:eastAsia="仿宋_GB2312" w:cs="仿宋_GB2312"/>
          <w:i w:val="0"/>
          <w:iCs w:val="0"/>
          <w:color w:val="auto"/>
          <w:sz w:val="24"/>
          <w:szCs w:val="24"/>
          <w:highlight w:val="none"/>
        </w:rPr>
        <w:t>年月日</w:t>
      </w:r>
      <w:r>
        <w:rPr>
          <w:rFonts w:hint="eastAsia" w:ascii="仿宋_GB2312" w:hAnsi="仿宋_GB2312" w:eastAsia="仿宋_GB2312" w:cs="仿宋_GB2312"/>
          <w:i w:val="0"/>
          <w:iCs w:val="0"/>
          <w:color w:val="auto"/>
          <w:sz w:val="24"/>
          <w:szCs w:val="24"/>
          <w:highlight w:val="none"/>
          <w:lang w:eastAsia="zh-CN"/>
        </w:rPr>
        <w:t>，</w:t>
      </w:r>
      <w:r>
        <w:rPr>
          <w:rFonts w:hint="eastAsia" w:ascii="仿宋_GB2312" w:hAnsi="仿宋_GB2312" w:eastAsia="仿宋_GB2312" w:cs="仿宋_GB2312"/>
          <w:bCs/>
          <w:i w:val="0"/>
          <w:iCs w:val="0"/>
          <w:color w:val="auto"/>
          <w:sz w:val="24"/>
          <w:szCs w:val="24"/>
          <w:highlight w:val="none"/>
        </w:rPr>
        <w:t>就质疑事项作出了答复/没有在法定期限内作出答复。</w:t>
      </w:r>
    </w:p>
    <w:p w14:paraId="58D5488D">
      <w:pPr>
        <w:pStyle w:val="224"/>
        <w:spacing w:line="360" w:lineRule="auto"/>
        <w:ind w:left="25" w:firstLine="630"/>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四、投诉事项具体内容</w:t>
      </w:r>
    </w:p>
    <w:p w14:paraId="7C3C7655">
      <w:pPr>
        <w:pStyle w:val="224"/>
        <w:spacing w:line="360" w:lineRule="auto"/>
        <w:ind w:left="25" w:firstLine="63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i w:val="0"/>
          <w:iCs w:val="0"/>
          <w:color w:val="auto"/>
          <w:sz w:val="24"/>
          <w:szCs w:val="24"/>
          <w:highlight w:val="none"/>
        </w:rPr>
        <w:t>投诉事项1：</w:t>
      </w:r>
    </w:p>
    <w:p w14:paraId="18E7A2E1">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事实依据：</w:t>
      </w:r>
    </w:p>
    <w:p w14:paraId="3E3AA32E">
      <w:pPr>
        <w:pStyle w:val="224"/>
        <w:spacing w:line="360" w:lineRule="auto"/>
        <w:ind w:left="25" w:firstLine="630"/>
        <w:rPr>
          <w:rFonts w:hint="eastAsia" w:ascii="仿宋_GB2312" w:hAnsi="仿宋_GB2312" w:eastAsia="仿宋_GB2312" w:cs="仿宋_GB2312"/>
          <w:i w:val="0"/>
          <w:iCs w:val="0"/>
          <w:color w:val="auto"/>
          <w:sz w:val="24"/>
          <w:szCs w:val="24"/>
          <w:highlight w:val="none"/>
        </w:rPr>
      </w:pPr>
    </w:p>
    <w:p w14:paraId="71AA550B">
      <w:pPr>
        <w:pStyle w:val="224"/>
        <w:spacing w:line="360" w:lineRule="auto"/>
        <w:ind w:firstLine="640"/>
        <w:rPr>
          <w:rFonts w:hint="eastAsia" w:ascii="仿宋_GB2312" w:hAnsi="仿宋_GB2312" w:eastAsia="仿宋_GB2312" w:cs="仿宋_GB2312"/>
          <w:bCs/>
          <w:i w:val="0"/>
          <w:iCs w:val="0"/>
          <w:color w:val="auto"/>
          <w:sz w:val="24"/>
          <w:szCs w:val="24"/>
          <w:highlight w:val="none"/>
          <w:u w:val="single"/>
        </w:rPr>
      </w:pPr>
      <w:r>
        <w:rPr>
          <w:rFonts w:hint="eastAsia" w:ascii="仿宋_GB2312" w:hAnsi="仿宋_GB2312" w:eastAsia="仿宋_GB2312" w:cs="仿宋_GB2312"/>
          <w:bCs/>
          <w:i w:val="0"/>
          <w:iCs w:val="0"/>
          <w:color w:val="auto"/>
          <w:sz w:val="24"/>
          <w:szCs w:val="24"/>
          <w:highlight w:val="none"/>
        </w:rPr>
        <w:t>法律依据：</w:t>
      </w:r>
    </w:p>
    <w:p w14:paraId="766279C4">
      <w:pPr>
        <w:pStyle w:val="224"/>
        <w:spacing w:line="360" w:lineRule="auto"/>
        <w:ind w:left="25" w:firstLine="470"/>
        <w:rPr>
          <w:rFonts w:hint="eastAsia" w:ascii="仿宋_GB2312" w:hAnsi="仿宋_GB2312" w:eastAsia="仿宋_GB2312" w:cs="仿宋_GB2312"/>
          <w:bCs/>
          <w:i w:val="0"/>
          <w:iCs w:val="0"/>
          <w:color w:val="auto"/>
          <w:sz w:val="24"/>
          <w:szCs w:val="24"/>
          <w:highlight w:val="none"/>
          <w:u w:val="single"/>
        </w:rPr>
      </w:pPr>
    </w:p>
    <w:p w14:paraId="398D583D">
      <w:pPr>
        <w:pStyle w:val="224"/>
        <w:spacing w:line="360" w:lineRule="auto"/>
        <w:ind w:left="25" w:firstLine="63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投诉事项2</w:t>
      </w:r>
    </w:p>
    <w:p w14:paraId="51670FFE">
      <w:pPr>
        <w:pStyle w:val="224"/>
        <w:spacing w:line="360" w:lineRule="auto"/>
        <w:ind w:left="25" w:firstLine="630"/>
        <w:rPr>
          <w:rFonts w:hint="eastAsia" w:ascii="仿宋_GB2312" w:hAnsi="仿宋_GB2312" w:eastAsia="仿宋_GB2312" w:cs="仿宋_GB2312"/>
          <w:bCs/>
          <w:i w:val="0"/>
          <w:iCs w:val="0"/>
          <w:color w:val="auto"/>
          <w:sz w:val="24"/>
          <w:szCs w:val="24"/>
          <w:highlight w:val="none"/>
        </w:rPr>
      </w:pPr>
      <w:r>
        <w:rPr>
          <w:rFonts w:hint="eastAsia" w:ascii="仿宋_GB2312" w:hAnsi="仿宋_GB2312" w:eastAsia="仿宋_GB2312" w:cs="仿宋_GB2312"/>
          <w:bCs/>
          <w:i w:val="0"/>
          <w:iCs w:val="0"/>
          <w:color w:val="auto"/>
          <w:sz w:val="24"/>
          <w:szCs w:val="24"/>
          <w:highlight w:val="none"/>
        </w:rPr>
        <w:t>……</w:t>
      </w:r>
    </w:p>
    <w:p w14:paraId="279FB924">
      <w:pPr>
        <w:pStyle w:val="224"/>
        <w:spacing w:line="360" w:lineRule="auto"/>
        <w:ind w:left="25" w:firstLine="630"/>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五、与投诉事项相关的投诉请求：</w:t>
      </w:r>
    </w:p>
    <w:p w14:paraId="5846D79F">
      <w:pPr>
        <w:pStyle w:val="224"/>
        <w:spacing w:line="360" w:lineRule="auto"/>
        <w:ind w:left="25" w:firstLine="63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请求：</w:t>
      </w:r>
    </w:p>
    <w:p w14:paraId="3C2CA51F">
      <w:pPr>
        <w:pStyle w:val="224"/>
        <w:spacing w:line="360" w:lineRule="auto"/>
        <w:ind w:left="25" w:firstLine="470"/>
        <w:rPr>
          <w:rFonts w:hint="eastAsia" w:ascii="仿宋_GB2312" w:hAnsi="仿宋_GB2312" w:eastAsia="仿宋_GB2312" w:cs="仿宋_GB2312"/>
          <w:i w:val="0"/>
          <w:iCs w:val="0"/>
          <w:color w:val="auto"/>
          <w:sz w:val="24"/>
          <w:szCs w:val="24"/>
          <w:highlight w:val="none"/>
        </w:rPr>
      </w:pPr>
    </w:p>
    <w:p w14:paraId="5E7259D9">
      <w:pPr>
        <w:pStyle w:val="224"/>
        <w:spacing w:line="360" w:lineRule="auto"/>
        <w:ind w:left="25" w:firstLine="63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签字（签章）：公章：</w:t>
      </w:r>
    </w:p>
    <w:p w14:paraId="3046636C">
      <w:pPr>
        <w:pStyle w:val="224"/>
        <w:spacing w:line="360" w:lineRule="auto"/>
        <w:ind w:left="25" w:firstLine="470"/>
        <w:rPr>
          <w:rFonts w:hint="eastAsia" w:ascii="仿宋_GB2312" w:hAnsi="仿宋_GB2312" w:eastAsia="仿宋_GB2312" w:cs="仿宋_GB2312"/>
          <w:i w:val="0"/>
          <w:iCs w:val="0"/>
          <w:color w:val="auto"/>
          <w:sz w:val="24"/>
          <w:szCs w:val="24"/>
          <w:highlight w:val="none"/>
        </w:rPr>
      </w:pPr>
    </w:p>
    <w:p w14:paraId="29049F16">
      <w:pPr>
        <w:pStyle w:val="224"/>
        <w:spacing w:line="360" w:lineRule="auto"/>
        <w:ind w:left="25" w:firstLine="63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rPr>
        <w:t>日期：</w:t>
      </w:r>
    </w:p>
    <w:p w14:paraId="295D2896">
      <w:pPr>
        <w:pStyle w:val="224"/>
        <w:spacing w:line="360" w:lineRule="auto"/>
        <w:ind w:left="25" w:firstLine="633"/>
        <w:rPr>
          <w:rFonts w:hint="eastAsia" w:ascii="仿宋_GB2312" w:hAnsi="仿宋_GB2312" w:eastAsia="仿宋_GB2312" w:cs="仿宋_GB2312"/>
          <w:b/>
          <w:i w:val="0"/>
          <w:iCs w:val="0"/>
          <w:color w:val="auto"/>
          <w:sz w:val="24"/>
          <w:szCs w:val="24"/>
          <w:highlight w:val="none"/>
        </w:rPr>
      </w:pPr>
    </w:p>
    <w:p w14:paraId="24808911">
      <w:pPr>
        <w:pStyle w:val="224"/>
        <w:spacing w:line="360" w:lineRule="auto"/>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说明：</w:t>
      </w:r>
    </w:p>
    <w:p w14:paraId="5AB7CB01">
      <w:pPr>
        <w:pStyle w:val="224"/>
        <w:spacing w:line="360" w:lineRule="auto"/>
        <w:ind w:left="25" w:firstLine="472"/>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1.投诉人提起投诉时</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应当提交投诉书和必要的证明材料</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并按照被投诉人和与投诉事项有关的供应商数量提供投诉书副本</w:t>
      </w:r>
      <w:r>
        <w:rPr>
          <w:rFonts w:hint="eastAsia" w:ascii="仿宋_GB2312" w:hAnsi="仿宋_GB2312" w:eastAsia="仿宋_GB2312" w:cs="仿宋_GB2312"/>
          <w:b/>
          <w:bCs/>
          <w:i w:val="0"/>
          <w:iCs w:val="0"/>
          <w:color w:val="auto"/>
          <w:sz w:val="24"/>
          <w:szCs w:val="24"/>
          <w:highlight w:val="none"/>
        </w:rPr>
        <w:t>。</w:t>
      </w:r>
    </w:p>
    <w:p w14:paraId="19678EFA">
      <w:pPr>
        <w:pStyle w:val="224"/>
        <w:spacing w:line="360" w:lineRule="auto"/>
        <w:ind w:left="25" w:firstLine="472"/>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2.投诉人若委托代理人进行投诉的</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投诉书应按要求列明“授权代表”的有关内容</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并在附件中提交由投诉人签署的授权委托书。授权委托书应当载明代理人的姓名或者名称、代理事项、具体权限、期限和相关事项。</w:t>
      </w:r>
    </w:p>
    <w:p w14:paraId="03943DFC">
      <w:pPr>
        <w:pStyle w:val="224"/>
        <w:spacing w:line="360" w:lineRule="auto"/>
        <w:ind w:left="25" w:firstLine="472"/>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3.投诉书应简要列明质疑事项</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质疑函、质疑答复等作为附件材料提供。</w:t>
      </w:r>
    </w:p>
    <w:p w14:paraId="08976307">
      <w:pPr>
        <w:pStyle w:val="224"/>
        <w:spacing w:line="360" w:lineRule="auto"/>
        <w:ind w:left="25" w:firstLine="472"/>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4.投诉书的投诉事项应具体、明确</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并有必要的事实依据和法律依据。</w:t>
      </w:r>
    </w:p>
    <w:p w14:paraId="7906EA4C">
      <w:pPr>
        <w:pStyle w:val="224"/>
        <w:spacing w:line="360" w:lineRule="auto"/>
        <w:ind w:left="25" w:firstLine="472"/>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5.投诉书的投诉请求应与投诉事项相关。</w:t>
      </w:r>
    </w:p>
    <w:p w14:paraId="287A9834">
      <w:pPr>
        <w:pStyle w:val="224"/>
        <w:spacing w:line="360" w:lineRule="auto"/>
        <w:ind w:left="25" w:firstLine="472"/>
        <w:rPr>
          <w:rFonts w:hint="eastAsia" w:ascii="仿宋_GB2312" w:hAnsi="仿宋_GB2312" w:eastAsia="仿宋_GB2312" w:cs="仿宋_GB2312"/>
          <w:b/>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6.投诉人为法人或者其他组织的</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投诉书应由法定代表人、主要负责人</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或者其授权代表签字或者盖章</w:t>
      </w:r>
      <w:r>
        <w:rPr>
          <w:rFonts w:hint="eastAsia" w:ascii="仿宋_GB2312" w:hAnsi="仿宋_GB2312" w:eastAsia="仿宋_GB2312" w:cs="仿宋_GB2312"/>
          <w:b/>
          <w:i w:val="0"/>
          <w:iCs w:val="0"/>
          <w:color w:val="auto"/>
          <w:sz w:val="24"/>
          <w:szCs w:val="24"/>
          <w:highlight w:val="none"/>
          <w:lang w:eastAsia="zh-CN"/>
        </w:rPr>
        <w:t>，</w:t>
      </w:r>
      <w:r>
        <w:rPr>
          <w:rFonts w:hint="eastAsia" w:ascii="仿宋_GB2312" w:hAnsi="仿宋_GB2312" w:eastAsia="仿宋_GB2312" w:cs="仿宋_GB2312"/>
          <w:b/>
          <w:i w:val="0"/>
          <w:iCs w:val="0"/>
          <w:color w:val="auto"/>
          <w:sz w:val="24"/>
          <w:szCs w:val="24"/>
          <w:highlight w:val="none"/>
        </w:rPr>
        <w:t>并加盖公章。</w:t>
      </w:r>
    </w:p>
    <w:p w14:paraId="4260105D">
      <w:pPr>
        <w:pStyle w:val="50"/>
        <w:jc w:val="center"/>
        <w:rPr>
          <w:rFonts w:hint="eastAsia"/>
          <w:i w:val="0"/>
          <w:iCs w:val="0"/>
          <w:color w:val="auto"/>
          <w:highlight w:val="none"/>
        </w:rPr>
      </w:pPr>
      <w:r>
        <w:rPr>
          <w:rFonts w:hint="eastAsia"/>
          <w:i w:val="0"/>
          <w:iCs w:val="0"/>
          <w:color w:val="auto"/>
          <w:highlight w:val="none"/>
        </w:rPr>
        <w:br w:type="page" w:clear="all"/>
      </w:r>
      <w:bookmarkStart w:id="105" w:name="_Toc3668"/>
      <w:r>
        <w:rPr>
          <w:rFonts w:hint="eastAsia"/>
          <w:i w:val="0"/>
          <w:iCs w:val="0"/>
          <w:color w:val="auto"/>
          <w:highlight w:val="none"/>
        </w:rPr>
        <w:t>第六章合同文本</w:t>
      </w:r>
      <w:bookmarkEnd w:id="105"/>
    </w:p>
    <w:p w14:paraId="1F83E2D0">
      <w:pPr>
        <w:keepNext w:val="0"/>
        <w:keepLines w:val="0"/>
        <w:pageBreakBefore w:val="0"/>
        <w:widowControl w:val="0"/>
        <w:tabs>
          <w:tab w:val="left" w:pos="2100"/>
        </w:tabs>
        <w:bidi w:val="0"/>
        <w:spacing w:before="1873" w:after="4369"/>
        <w:jc w:val="center"/>
        <w:rPr>
          <w:rFonts w:hint="eastAsia" w:ascii="宋体" w:hAnsi="宋体" w:eastAsia="宋体" w:cs="宋体"/>
          <w:i w:val="0"/>
          <w:iCs w:val="0"/>
          <w:color w:val="auto"/>
          <w:szCs w:val="30"/>
          <w:highlight w:val="none"/>
        </w:rPr>
      </w:pPr>
      <w:r>
        <w:rPr>
          <w:rFonts w:ascii="宋体" w:hAnsi="宋体" w:cs="Courier New"/>
          <w:b/>
          <w:i w:val="0"/>
          <w:iCs w:val="0"/>
          <w:color w:val="auto"/>
          <w:sz w:val="32"/>
          <w:szCs w:val="32"/>
          <w:highlight w:val="none"/>
        </w:rPr>
        <w:br w:type="page" w:clear="all"/>
      </w:r>
      <w:r>
        <w:rPr>
          <w:rFonts w:hint="eastAsia" w:ascii="宋体" w:hAnsi="宋体" w:eastAsia="宋体" w:cs="宋体"/>
          <w:b/>
          <w:bCs/>
          <w:i w:val="0"/>
          <w:iCs w:val="0"/>
          <w:color w:val="auto"/>
          <w:spacing w:val="136"/>
          <w:sz w:val="84"/>
          <w:szCs w:val="84"/>
          <w:highlight w:val="none"/>
        </w:rPr>
        <w:t>合同书</w:t>
      </w:r>
    </w:p>
    <w:p w14:paraId="58E6000E">
      <w:pPr>
        <w:keepNext w:val="0"/>
        <w:keepLines w:val="0"/>
        <w:pageBreakBefore w:val="0"/>
        <w:widowControl w:val="0"/>
        <w:bidi w:val="0"/>
        <w:spacing w:line="480" w:lineRule="auto"/>
        <w:ind w:left="1314" w:hanging="117"/>
        <w:rPr>
          <w:rFonts w:hint="eastAsia" w:ascii="仿宋_GB2312" w:hAnsi="仿宋_GB2312" w:eastAsia="仿宋_GB2312" w:cs="仿宋_GB2312"/>
          <w:b w:val="0"/>
          <w:bCs/>
          <w:i w:val="0"/>
          <w:iCs w:val="0"/>
          <w:color w:val="auto"/>
          <w:sz w:val="30"/>
          <w:szCs w:val="30"/>
          <w:highlight w:val="none"/>
          <w:u w:val="none"/>
          <w:lang w:val="en-US" w:eastAsia="zh-CN"/>
        </w:rPr>
      </w:pPr>
      <w:r>
        <w:rPr>
          <w:rFonts w:hint="eastAsia" w:ascii="仿宋_GB2312" w:hAnsi="仿宋_GB2312" w:eastAsia="仿宋_GB2312" w:cs="仿宋_GB2312"/>
          <w:b w:val="0"/>
          <w:bCs/>
          <w:i w:val="0"/>
          <w:iCs w:val="0"/>
          <w:color w:val="auto"/>
          <w:sz w:val="30"/>
          <w:szCs w:val="30"/>
          <w:highlight w:val="none"/>
        </w:rPr>
        <w:t>项目名称：</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p>
    <w:p w14:paraId="646EA52B">
      <w:pPr>
        <w:keepNext w:val="0"/>
        <w:keepLines w:val="0"/>
        <w:pageBreakBefore w:val="0"/>
        <w:widowControl w:val="0"/>
        <w:bidi w:val="0"/>
        <w:spacing w:line="480" w:lineRule="auto"/>
        <w:ind w:left="1314" w:hanging="117"/>
        <w:rPr>
          <w:rFonts w:hint="eastAsia" w:ascii="仿宋_GB2312" w:hAnsi="仿宋_GB2312" w:eastAsia="仿宋_GB2312" w:cs="仿宋_GB2312"/>
          <w:b w:val="0"/>
          <w:bCs/>
          <w:i w:val="0"/>
          <w:iCs w:val="0"/>
          <w:color w:val="auto"/>
          <w:sz w:val="30"/>
          <w:szCs w:val="30"/>
          <w:highlight w:val="none"/>
          <w:u w:val="single"/>
          <w:lang w:val="en-US" w:eastAsia="zh-CN"/>
        </w:rPr>
      </w:pPr>
      <w:r>
        <w:rPr>
          <w:rFonts w:hint="eastAsia" w:ascii="仿宋_GB2312" w:hAnsi="仿宋_GB2312" w:eastAsia="仿宋_GB2312" w:cs="仿宋_GB2312"/>
          <w:b w:val="0"/>
          <w:bCs/>
          <w:i w:val="0"/>
          <w:iCs w:val="0"/>
          <w:color w:val="auto"/>
          <w:sz w:val="30"/>
          <w:szCs w:val="30"/>
          <w:highlight w:val="none"/>
        </w:rPr>
        <w:t>项目编号：</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p>
    <w:p w14:paraId="346CD014">
      <w:pPr>
        <w:keepNext w:val="0"/>
        <w:keepLines w:val="0"/>
        <w:pageBreakBefore w:val="0"/>
        <w:widowControl w:val="0"/>
        <w:bidi w:val="0"/>
        <w:spacing w:line="480" w:lineRule="auto"/>
        <w:ind w:firstLine="1200"/>
        <w:rPr>
          <w:rFonts w:hint="eastAsia" w:ascii="仿宋_GB2312" w:hAnsi="仿宋_GB2312" w:eastAsia="仿宋_GB2312" w:cs="仿宋_GB2312"/>
          <w:b w:val="0"/>
          <w:bCs/>
          <w:i w:val="0"/>
          <w:iCs w:val="0"/>
          <w:color w:val="auto"/>
          <w:sz w:val="30"/>
          <w:szCs w:val="30"/>
          <w:highlight w:val="none"/>
        </w:rPr>
      </w:pPr>
      <w:r>
        <w:rPr>
          <w:rFonts w:hint="eastAsia" w:ascii="仿宋_GB2312" w:hAnsi="仿宋_GB2312" w:eastAsia="仿宋_GB2312" w:cs="仿宋_GB2312"/>
          <w:b w:val="0"/>
          <w:bCs/>
          <w:i w:val="0"/>
          <w:iCs w:val="0"/>
          <w:color w:val="auto"/>
          <w:sz w:val="30"/>
          <w:szCs w:val="30"/>
          <w:highlight w:val="none"/>
          <w:lang w:val="en-US" w:eastAsia="zh-CN"/>
        </w:rPr>
        <w:t>采购人</w:t>
      </w:r>
      <w:r>
        <w:rPr>
          <w:rFonts w:hint="eastAsia" w:ascii="仿宋_GB2312" w:hAnsi="仿宋_GB2312" w:eastAsia="仿宋_GB2312" w:cs="仿宋_GB2312"/>
          <w:b w:val="0"/>
          <w:bCs/>
          <w:i w:val="0"/>
          <w:iCs w:val="0"/>
          <w:color w:val="auto"/>
          <w:sz w:val="30"/>
          <w:szCs w:val="30"/>
          <w:highlight w:val="none"/>
        </w:rPr>
        <w:t>（甲方）：</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r>
        <w:rPr>
          <w:rFonts w:hint="eastAsia" w:ascii="仿宋_GB2312" w:hAnsi="仿宋_GB2312" w:eastAsia="仿宋_GB2312" w:cs="仿宋_GB2312"/>
          <w:b w:val="0"/>
          <w:bCs/>
          <w:i w:val="0"/>
          <w:iCs w:val="0"/>
          <w:color w:val="auto"/>
          <w:sz w:val="30"/>
          <w:szCs w:val="30"/>
          <w:highlight w:val="none"/>
          <w:u w:val="single"/>
        </w:rPr>
        <w:t xml:space="preserve"> </w:t>
      </w:r>
    </w:p>
    <w:p w14:paraId="06E3C33A">
      <w:pPr>
        <w:keepNext w:val="0"/>
        <w:keepLines w:val="0"/>
        <w:pageBreakBefore w:val="0"/>
        <w:widowControl w:val="0"/>
        <w:bidi w:val="0"/>
        <w:spacing w:line="480" w:lineRule="auto"/>
        <w:ind w:firstLine="1200"/>
        <w:rPr>
          <w:rFonts w:hint="eastAsia" w:ascii="仿宋_GB2312" w:hAnsi="仿宋_GB2312" w:eastAsia="仿宋_GB2312" w:cs="仿宋_GB2312"/>
          <w:b w:val="0"/>
          <w:bCs/>
          <w:i w:val="0"/>
          <w:iCs w:val="0"/>
          <w:color w:val="auto"/>
          <w:sz w:val="30"/>
          <w:szCs w:val="30"/>
          <w:highlight w:val="none"/>
          <w:u w:val="single"/>
          <w:lang w:val="en-US" w:eastAsia="zh-CN"/>
        </w:rPr>
      </w:pPr>
      <w:r>
        <w:rPr>
          <w:rFonts w:hint="eastAsia" w:ascii="仿宋_GB2312" w:hAnsi="仿宋_GB2312" w:eastAsia="仿宋_GB2312" w:cs="仿宋_GB2312"/>
          <w:b w:val="0"/>
          <w:bCs/>
          <w:i w:val="0"/>
          <w:iCs w:val="0"/>
          <w:color w:val="auto"/>
          <w:sz w:val="30"/>
          <w:szCs w:val="30"/>
          <w:highlight w:val="none"/>
          <w:lang w:val="en-US" w:eastAsia="zh-CN"/>
        </w:rPr>
        <w:t>成交人</w:t>
      </w:r>
      <w:r>
        <w:rPr>
          <w:rFonts w:hint="eastAsia" w:ascii="仿宋_GB2312" w:hAnsi="仿宋_GB2312" w:eastAsia="仿宋_GB2312" w:cs="仿宋_GB2312"/>
          <w:b w:val="0"/>
          <w:bCs/>
          <w:i w:val="0"/>
          <w:iCs w:val="0"/>
          <w:color w:val="auto"/>
          <w:sz w:val="30"/>
          <w:szCs w:val="30"/>
          <w:highlight w:val="none"/>
        </w:rPr>
        <w:t>（乙方）：</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p>
    <w:p w14:paraId="2F604486">
      <w:pPr>
        <w:keepNext w:val="0"/>
        <w:keepLines w:val="0"/>
        <w:pageBreakBefore w:val="0"/>
        <w:widowControl w:val="0"/>
        <w:bidi w:val="0"/>
        <w:spacing w:line="480" w:lineRule="auto"/>
        <w:ind w:firstLine="1200"/>
        <w:rPr>
          <w:rFonts w:hint="eastAsia" w:ascii="仿宋_GB2312" w:hAnsi="仿宋_GB2312" w:eastAsia="仿宋_GB2312" w:cs="仿宋_GB2312"/>
          <w:b w:val="0"/>
          <w:bCs/>
          <w:i w:val="0"/>
          <w:iCs w:val="0"/>
          <w:color w:val="auto"/>
          <w:sz w:val="30"/>
          <w:szCs w:val="30"/>
          <w:highlight w:val="none"/>
          <w:lang w:val="en-US" w:eastAsia="zh-CN"/>
        </w:rPr>
      </w:pPr>
      <w:r>
        <w:rPr>
          <w:rFonts w:hint="eastAsia" w:ascii="仿宋_GB2312" w:hAnsi="仿宋_GB2312" w:eastAsia="仿宋_GB2312" w:cs="仿宋_GB2312"/>
          <w:b w:val="0"/>
          <w:bCs/>
          <w:i w:val="0"/>
          <w:iCs w:val="0"/>
          <w:color w:val="auto"/>
          <w:sz w:val="30"/>
          <w:szCs w:val="30"/>
          <w:highlight w:val="none"/>
        </w:rPr>
        <w:t>签订时间：</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r>
        <w:rPr>
          <w:rFonts w:hint="eastAsia" w:ascii="仿宋_GB2312" w:hAnsi="仿宋_GB2312" w:eastAsia="仿宋_GB2312" w:cs="仿宋_GB2312"/>
          <w:b w:val="0"/>
          <w:bCs/>
          <w:i w:val="0"/>
          <w:iCs w:val="0"/>
          <w:color w:val="auto"/>
          <w:sz w:val="30"/>
          <w:szCs w:val="30"/>
          <w:highlight w:val="none"/>
          <w:u w:val="single"/>
        </w:rPr>
        <w:t xml:space="preserve">    </w:t>
      </w:r>
      <w:r>
        <w:rPr>
          <w:rFonts w:hint="eastAsia" w:ascii="仿宋_GB2312" w:hAnsi="仿宋_GB2312" w:eastAsia="仿宋_GB2312" w:cs="仿宋_GB2312"/>
          <w:b w:val="0"/>
          <w:bCs/>
          <w:i w:val="0"/>
          <w:iCs w:val="0"/>
          <w:color w:val="auto"/>
          <w:sz w:val="30"/>
          <w:szCs w:val="30"/>
          <w:highlight w:val="none"/>
          <w:u w:val="single"/>
          <w:lang w:val="en-US" w:eastAsia="zh-CN"/>
        </w:rPr>
        <w:t xml:space="preserve"> </w:t>
      </w:r>
    </w:p>
    <w:p w14:paraId="7BD5F96B">
      <w:pPr>
        <w:keepNext w:val="0"/>
        <w:keepLines w:val="0"/>
        <w:pageBreakBefore w:val="0"/>
        <w:widowControl w:val="0"/>
        <w:bidi w:val="0"/>
        <w:spacing w:before="625" w:line="360" w:lineRule="auto"/>
        <w:rPr>
          <w:rFonts w:hint="eastAsia" w:ascii="仿宋_GB2312" w:hAnsi="仿宋_GB2312" w:eastAsia="仿宋_GB2312" w:cs="仿宋_GB2312"/>
          <w:i w:val="0"/>
          <w:iCs w:val="0"/>
          <w:color w:val="auto"/>
          <w:sz w:val="30"/>
          <w:szCs w:val="30"/>
          <w:highlight w:val="none"/>
          <w:lang w:eastAsia="zh-CN"/>
        </w:rPr>
      </w:pPr>
      <w:r>
        <w:rPr>
          <w:rFonts w:hint="eastAsia" w:ascii="仿宋_GB2312" w:hAnsi="仿宋_GB2312" w:eastAsia="仿宋_GB2312" w:cs="仿宋_GB2312"/>
          <w:b w:val="0"/>
          <w:bCs/>
          <w:i w:val="0"/>
          <w:iCs w:val="0"/>
          <w:color w:val="auto"/>
          <w:sz w:val="30"/>
          <w:szCs w:val="30"/>
          <w:highlight w:val="none"/>
          <w:lang w:val="en-US" w:eastAsia="zh-CN"/>
        </w:rPr>
        <w:t xml:space="preserve"> </w:t>
      </w:r>
    </w:p>
    <w:p w14:paraId="110996DF">
      <w:pPr>
        <w:pStyle w:val="224"/>
        <w:keepNext w:val="0"/>
        <w:keepLines w:val="0"/>
        <w:pageBreakBefore w:val="0"/>
        <w:widowControl w:val="0"/>
        <w:bidi w:val="0"/>
        <w:spacing w:before="625" w:line="420" w:lineRule="exact"/>
        <w:rPr>
          <w:rFonts w:hint="eastAsia" w:ascii="仿宋_GB2312" w:hAnsi="仿宋_GB2312" w:eastAsia="仿宋_GB2312" w:cs="仿宋_GB2312"/>
          <w:i w:val="0"/>
          <w:iCs w:val="0"/>
          <w:color w:val="auto"/>
          <w:sz w:val="30"/>
          <w:szCs w:val="30"/>
          <w:highlight w:val="none"/>
        </w:rPr>
        <w:sectPr>
          <w:pgSz w:w="11906" w:h="16838"/>
          <w:pgMar w:top="1440" w:right="1474" w:bottom="1440" w:left="1587" w:header="851" w:footer="992" w:gutter="0"/>
          <w:cols w:space="1701" w:num="1"/>
        </w:sectPr>
      </w:pPr>
    </w:p>
    <w:p w14:paraId="046BB841">
      <w:pPr>
        <w:spacing w:line="360" w:lineRule="auto"/>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b/>
          <w:i w:val="0"/>
          <w:iCs w:val="0"/>
          <w:color w:val="auto"/>
          <w:sz w:val="24"/>
          <w:szCs w:val="24"/>
          <w:highlight w:val="none"/>
        </w:rPr>
        <w:t xml:space="preserve">一般服务类（参考）： </w:t>
      </w:r>
    </w:p>
    <w:p w14:paraId="1553E190">
      <w:pPr>
        <w:keepNext w:val="0"/>
        <w:keepLines w:val="0"/>
        <w:pageBreakBefore w:val="0"/>
        <w:bidi w:val="0"/>
        <w:spacing w:line="500" w:lineRule="exact"/>
        <w:jc w:val="center"/>
        <w:rPr>
          <w:rFonts w:hint="eastAsia" w:ascii="仿宋_GB2312" w:hAnsi="仿宋_GB2312" w:eastAsia="仿宋_GB2312" w:cs="仿宋_GB2312"/>
          <w:b/>
          <w:bCs/>
          <w:i w:val="0"/>
          <w:iCs w:val="0"/>
          <w:color w:val="auto"/>
          <w:sz w:val="24"/>
          <w:szCs w:val="24"/>
          <w:highlight w:val="none"/>
        </w:rPr>
      </w:pPr>
    </w:p>
    <w:p w14:paraId="7A8115B1">
      <w:pPr>
        <w:keepNext w:val="0"/>
        <w:keepLines w:val="0"/>
        <w:pageBreakBefore w:val="0"/>
        <w:bidi w:val="0"/>
        <w:spacing w:line="500" w:lineRule="exact"/>
        <w:jc w:val="center"/>
        <w:rPr>
          <w:rFonts w:hint="eastAsia" w:ascii="仿宋_GB2312" w:hAnsi="仿宋_GB2312" w:eastAsia="仿宋_GB2312" w:cs="仿宋_GB2312"/>
          <w:b/>
          <w:bCs/>
          <w:i w:val="0"/>
          <w:iCs w:val="0"/>
          <w:color w:val="auto"/>
          <w:sz w:val="24"/>
          <w:szCs w:val="24"/>
          <w:highlight w:val="none"/>
        </w:rPr>
      </w:pPr>
      <w:r>
        <w:rPr>
          <w:rFonts w:hint="eastAsia" w:ascii="仿宋_GB2312" w:hAnsi="仿宋_GB2312" w:eastAsia="仿宋_GB2312" w:cs="仿宋_GB2312"/>
          <w:b/>
          <w:bCs/>
          <w:i w:val="0"/>
          <w:iCs w:val="0"/>
          <w:color w:val="auto"/>
          <w:sz w:val="24"/>
          <w:szCs w:val="24"/>
          <w:highlight w:val="none"/>
        </w:rPr>
        <w:t>《广西壮族自治区政府采购合同》</w:t>
      </w:r>
    </w:p>
    <w:p w14:paraId="3D2E8B8E">
      <w:pPr>
        <w:pStyle w:val="224"/>
        <w:keepNext w:val="0"/>
        <w:keepLines w:val="0"/>
        <w:pageBreakBefore w:val="0"/>
        <w:bidi w:val="0"/>
        <w:spacing w:line="500" w:lineRule="exact"/>
        <w:ind w:firstLine="7680"/>
        <w:rPr>
          <w:rFonts w:hint="eastAsia" w:ascii="仿宋_GB2312" w:hAnsi="仿宋_GB2312" w:eastAsia="仿宋_GB2312" w:cs="仿宋_GB2312"/>
          <w:i w:val="0"/>
          <w:iCs w:val="0"/>
          <w:color w:val="auto"/>
          <w:sz w:val="24"/>
          <w:szCs w:val="24"/>
          <w:highlight w:val="none"/>
        </w:rPr>
      </w:pPr>
    </w:p>
    <w:p w14:paraId="6516C4C3">
      <w:pPr>
        <w:pStyle w:val="224"/>
        <w:keepNext w:val="0"/>
        <w:keepLines w:val="0"/>
        <w:pageBreakBefore w:val="0"/>
        <w:bidi w:val="0"/>
        <w:spacing w:line="500" w:lineRule="exact"/>
        <w:ind w:firstLine="8000"/>
        <w:rPr>
          <w:rFonts w:hint="eastAsia" w:ascii="仿宋_GB2312" w:hAnsi="仿宋_GB2312" w:eastAsia="仿宋_GB2312" w:cs="仿宋_GB2312"/>
          <w:i w:val="0"/>
          <w:iCs w:val="0"/>
          <w:color w:val="auto"/>
          <w:sz w:val="24"/>
          <w:szCs w:val="24"/>
          <w:highlight w:val="none"/>
        </w:rPr>
      </w:pPr>
      <w:r>
        <w:rPr>
          <w:rFonts w:hint="eastAsia" w:ascii="仿宋_GB2312" w:hAnsi="仿宋_GB2312" w:eastAsia="仿宋_GB2312" w:cs="仿宋_GB2312"/>
          <w:i w:val="0"/>
          <w:iCs w:val="0"/>
          <w:color w:val="auto"/>
          <w:sz w:val="24"/>
          <w:szCs w:val="24"/>
          <w:highlight w:val="none"/>
          <w:lang w:val="en-US" w:eastAsia="zh-CN"/>
        </w:rPr>
        <w:t xml:space="preserve"> </w:t>
      </w:r>
    </w:p>
    <w:p w14:paraId="65DAD43C">
      <w:pPr>
        <w:pStyle w:val="224"/>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u w:val="single"/>
        </w:rPr>
      </w:pPr>
      <w:r>
        <w:rPr>
          <w:rFonts w:hint="eastAsia" w:ascii="宋体" w:hAnsi="宋体" w:eastAsia="宋体" w:cs="宋体"/>
          <w:i w:val="0"/>
          <w:iCs w:val="0"/>
          <w:color w:val="auto"/>
          <w:sz w:val="21"/>
          <w:szCs w:val="21"/>
          <w:highlight w:val="none"/>
        </w:rPr>
        <w:t>项目名称：</w:t>
      </w:r>
    </w:p>
    <w:p w14:paraId="6ABE8080">
      <w:pPr>
        <w:pStyle w:val="224"/>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项目编号：</w:t>
      </w:r>
    </w:p>
    <w:p w14:paraId="6DC06D71">
      <w:pPr>
        <w:pStyle w:val="224"/>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p>
    <w:p w14:paraId="70F196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采购单位（甲方）：</w:t>
      </w:r>
    </w:p>
    <w:p w14:paraId="3FDB4B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lang w:eastAsia="zh-CN"/>
        </w:rPr>
        <w:t>成交供应商（乙方）</w:t>
      </w:r>
      <w:r>
        <w:rPr>
          <w:rFonts w:hint="eastAsia" w:ascii="宋体" w:hAnsi="宋体" w:eastAsia="宋体" w:cs="宋体"/>
          <w:i w:val="0"/>
          <w:iCs w:val="0"/>
          <w:color w:val="auto"/>
          <w:sz w:val="21"/>
          <w:szCs w:val="21"/>
          <w:highlight w:val="none"/>
        </w:rPr>
        <w:t>：</w:t>
      </w:r>
    </w:p>
    <w:p w14:paraId="74CB42F7">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p>
    <w:p w14:paraId="540A1784">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根据《中华人民共和国政府采购法》《中华人民共和国民法典》等法律、法规规定，按照磋商文件规定条款和成交供应商承诺，甲乙双方签订本合同。</w:t>
      </w:r>
    </w:p>
    <w:p w14:paraId="79413854">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第一条　合同标的</w:t>
      </w:r>
    </w:p>
    <w:p w14:paraId="6CE93D70">
      <w:pPr>
        <w:keepNext w:val="0"/>
        <w:keepLines w:val="0"/>
        <w:pageBreakBefore w:val="0"/>
        <w:widowControl w:val="0"/>
        <w:tabs>
          <w:tab w:val="left" w:pos="8280"/>
        </w:tabs>
        <w:kinsoku/>
        <w:wordWrap/>
        <w:overflowPunct/>
        <w:topLinePunct w:val="0"/>
        <w:autoSpaceDE/>
        <w:autoSpaceDN/>
        <w:bidi w:val="0"/>
        <w:adjustRightInd/>
        <w:snapToGrid/>
        <w:spacing w:line="440" w:lineRule="exact"/>
        <w:ind w:right="26"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合同金额（人民币）：</w:t>
      </w:r>
      <w:r>
        <w:rPr>
          <w:rFonts w:hint="eastAsia" w:ascii="宋体" w:hAnsi="宋体" w:eastAsia="宋体" w:cs="宋体"/>
          <w:i w:val="0"/>
          <w:iCs w:val="0"/>
          <w:color w:val="auto"/>
          <w:sz w:val="21"/>
          <w:szCs w:val="21"/>
          <w:highlight w:val="none"/>
          <w:u w:val="single"/>
        </w:rPr>
        <w:t xml:space="preserve">                    </w:t>
      </w:r>
      <w:r>
        <w:rPr>
          <w:rFonts w:hint="eastAsia" w:ascii="宋体" w:hAnsi="宋体" w:eastAsia="宋体" w:cs="宋体"/>
          <w:i w:val="0"/>
          <w:iCs w:val="0"/>
          <w:color w:val="auto"/>
          <w:sz w:val="21"/>
          <w:szCs w:val="21"/>
          <w:highlight w:val="none"/>
        </w:rPr>
        <w:t>元整。</w:t>
      </w:r>
    </w:p>
    <w:p w14:paraId="63BC7480">
      <w:pPr>
        <w:keepNext w:val="0"/>
        <w:keepLines w:val="0"/>
        <w:pageBreakBefore w:val="0"/>
        <w:widowControl w:val="0"/>
        <w:tabs>
          <w:tab w:val="left" w:pos="8280"/>
        </w:tabs>
        <w:kinsoku/>
        <w:wordWrap/>
        <w:overflowPunct/>
        <w:topLinePunct w:val="0"/>
        <w:autoSpaceDE/>
        <w:autoSpaceDN/>
        <w:bidi w:val="0"/>
        <w:adjustRightInd/>
        <w:snapToGrid/>
        <w:spacing w:line="440" w:lineRule="exact"/>
        <w:ind w:right="26" w:firstLine="640"/>
        <w:textAlignment w:val="auto"/>
        <w:rPr>
          <w:rFonts w:hint="eastAsia" w:ascii="宋体" w:hAnsi="宋体" w:eastAsia="宋体" w:cs="宋体"/>
          <w:i w:val="0"/>
          <w:iCs w:val="0"/>
          <w:color w:val="auto"/>
          <w:sz w:val="21"/>
          <w:szCs w:val="21"/>
          <w:highlight w:val="none"/>
          <w:lang w:val="zh-CN" w:eastAsia="zh-CN"/>
        </w:rPr>
      </w:pPr>
      <w:r>
        <w:rPr>
          <w:rFonts w:hint="eastAsia" w:ascii="宋体" w:hAnsi="宋体" w:eastAsia="宋体" w:cs="宋体"/>
          <w:i w:val="0"/>
          <w:iCs w:val="0"/>
          <w:color w:val="auto"/>
          <w:sz w:val="21"/>
          <w:szCs w:val="21"/>
          <w:highlight w:val="none"/>
          <w:lang w:val="en-US" w:eastAsia="zh-CN"/>
        </w:rPr>
        <w:t>2</w:t>
      </w:r>
      <w:r>
        <w:rPr>
          <w:rFonts w:hint="eastAsia" w:ascii="宋体" w:hAnsi="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lang w:val="en-US" w:eastAsia="zh-CN"/>
        </w:rPr>
        <w:t>报价含以下部分，包括：（1）服务的价格；（2）必要的保险费用和各项税金；（3）其他（如劳务、管理、安装、调试、培训、技术支持、售后服务等费用）。</w:t>
      </w:r>
    </w:p>
    <w:p w14:paraId="08C25DE1">
      <w:pPr>
        <w:keepNext w:val="0"/>
        <w:keepLines w:val="0"/>
        <w:pageBreakBefore w:val="0"/>
        <w:widowControl w:val="0"/>
        <w:tabs>
          <w:tab w:val="left" w:pos="8280"/>
        </w:tabs>
        <w:kinsoku/>
        <w:wordWrap/>
        <w:overflowPunct/>
        <w:topLinePunct w:val="0"/>
        <w:autoSpaceDE/>
        <w:autoSpaceDN/>
        <w:bidi w:val="0"/>
        <w:adjustRightInd/>
        <w:snapToGrid/>
        <w:spacing w:line="440" w:lineRule="exact"/>
        <w:ind w:right="26" w:firstLine="643"/>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i w:val="0"/>
          <w:iCs w:val="0"/>
          <w:color w:val="auto"/>
          <w:sz w:val="21"/>
          <w:szCs w:val="21"/>
          <w:highlight w:val="none"/>
        </w:rPr>
        <w:t>第二条　服务保证</w:t>
      </w:r>
    </w:p>
    <w:p w14:paraId="67ABDBCD">
      <w:pPr>
        <w:snapToGrid w:val="0"/>
        <w:spacing w:line="380" w:lineRule="atLeast"/>
        <w:ind w:firstLine="420" w:firstLineChars="200"/>
        <w:rPr>
          <w:rFonts w:hint="default"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乙方所提供的服务质量必须与响应文件和承诺相一致，满足甲方的采购要求。</w:t>
      </w:r>
    </w:p>
    <w:p w14:paraId="1A4E4F4A">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b/>
          <w:i w:val="0"/>
          <w:iCs w:val="0"/>
          <w:color w:val="auto"/>
          <w:sz w:val="21"/>
          <w:szCs w:val="21"/>
          <w:highlight w:val="none"/>
        </w:rPr>
        <w:t>第三条　</w:t>
      </w:r>
      <w:r>
        <w:rPr>
          <w:rFonts w:hint="eastAsia" w:ascii="宋体" w:hAnsi="宋体" w:eastAsia="宋体" w:cs="宋体"/>
          <w:b/>
          <w:i w:val="0"/>
          <w:iCs w:val="0"/>
          <w:color w:val="auto"/>
          <w:sz w:val="21"/>
          <w:szCs w:val="21"/>
          <w:highlight w:val="none"/>
          <w:lang w:eastAsia="zh-CN"/>
        </w:rPr>
        <w:t>权利保证</w:t>
      </w:r>
    </w:p>
    <w:p w14:paraId="3530D81F">
      <w:pPr>
        <w:snapToGrid w:val="0"/>
        <w:spacing w:line="380" w:lineRule="atLeast"/>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1.甲方根据工作需要，可为乙方开展服务提供相关资料，乙方应当事先书面告知甲方需要准备的资料内容。</w:t>
      </w:r>
    </w:p>
    <w:p w14:paraId="164A85F5">
      <w:pPr>
        <w:snapToGrid w:val="0"/>
        <w:spacing w:line="380" w:lineRule="atLeast"/>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2.甲方有权定期了解乙方工作进展情况，并对乙方工作进行监督，提出合理建议，乙方需充分听取和采纳甲方的合理建议，如因客观情况出现确实无法采纳的，应当及时向甲方说明理由。</w:t>
      </w:r>
    </w:p>
    <w:p w14:paraId="7E680325">
      <w:pPr>
        <w:snapToGrid w:val="0"/>
        <w:spacing w:line="380" w:lineRule="atLeast"/>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3.乙方应按规定时间节点内完成项目工作。</w:t>
      </w:r>
    </w:p>
    <w:p w14:paraId="05EC511D">
      <w:pPr>
        <w:snapToGrid w:val="0"/>
        <w:spacing w:line="380" w:lineRule="atLeast"/>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4.乙方应委派具有相应能力、经验的员工为甲方提供服务，在合同履行过程中，未经甲方同意，乙方不得随意更换项目人员。如因离职等特殊原因确需更换项目人员的，经甲方同意可以更换同等专业资质的人员进场，否则不予更换。</w:t>
      </w:r>
    </w:p>
    <w:p w14:paraId="6D8305F1">
      <w:pPr>
        <w:snapToGrid w:val="0"/>
        <w:spacing w:line="380" w:lineRule="atLeast"/>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5.乙方应按响应文件规定的时间向甲方提供服务成果的有关资料。</w:t>
      </w:r>
    </w:p>
    <w:p w14:paraId="3DDC9FAD">
      <w:pPr>
        <w:snapToGrid w:val="0"/>
        <w:spacing w:line="380" w:lineRule="atLeast"/>
        <w:ind w:firstLine="420" w:firstLineChars="200"/>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6.在服务期间，乙方不得以甲方名义发生各种谋取不正当利益的违法、违纪行为。</w:t>
      </w:r>
    </w:p>
    <w:p w14:paraId="3DFA8C2C">
      <w:pPr>
        <w:snapToGrid w:val="0"/>
        <w:spacing w:line="380" w:lineRule="atLeast"/>
        <w:ind w:firstLine="420" w:firstLineChars="20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lang w:val="en-US" w:eastAsia="zh-CN"/>
        </w:rPr>
        <w:t>7.</w:t>
      </w:r>
      <w:r>
        <w:rPr>
          <w:rFonts w:hint="eastAsia" w:ascii="宋体" w:hAnsi="宋体" w:eastAsia="宋体" w:cs="宋体"/>
          <w:i w:val="0"/>
          <w:iCs w:val="0"/>
          <w:color w:val="auto"/>
          <w:sz w:val="21"/>
          <w:szCs w:val="21"/>
          <w:highlight w:val="none"/>
        </w:rPr>
        <w:t>乙方应保证所提供的服务成果不会侵犯任何第三方的专利权、著作权或其他权利。如有，甲方有权要求乙方进行更换相关服务内容，若导致甲方被第三方索赔的，赔偿责任由乙方承担，且需一并承担甲方维权而支出律师费、诉讼费、保全费、差旅费等。</w:t>
      </w:r>
    </w:p>
    <w:p w14:paraId="4ACEBB99">
      <w:pPr>
        <w:snapToGrid w:val="0"/>
        <w:spacing w:line="380" w:lineRule="atLeast"/>
        <w:ind w:firstLine="420" w:firstLineChars="20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没有甲方事先书面同意，乙方不得将由甲方提供的有关合同或任何合同条文、计划、资料等提供给与履行本合同无关的任何其他人。即使向履行本合同有关的人员提供，也应注意保密并限于履行合同的必需范围。</w:t>
      </w:r>
    </w:p>
    <w:p w14:paraId="4844AEF1">
      <w:pPr>
        <w:snapToGrid w:val="0"/>
        <w:spacing w:line="380" w:lineRule="atLeast"/>
        <w:ind w:firstLine="420" w:firstLineChars="20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lang w:val="en-US" w:eastAsia="zh-CN"/>
        </w:rPr>
        <w:t>8</w:t>
      </w:r>
      <w:r>
        <w:rPr>
          <w:rFonts w:hint="eastAsia" w:ascii="宋体" w:hAnsi="宋体" w:eastAsia="宋体" w:cs="宋体"/>
          <w:i w:val="0"/>
          <w:iCs w:val="0"/>
          <w:color w:val="auto"/>
          <w:sz w:val="21"/>
          <w:szCs w:val="21"/>
          <w:highlight w:val="none"/>
        </w:rPr>
        <w:t>.乙方有权要求甲方配合其工作，并要求甲方提供必要的协助（包括甲方内部事项协调、第三方单位之间的事项协调等），因甲方协调处理原因导致项目延误或无法完成服务工作的，双方可另行协商服务时间。</w:t>
      </w:r>
    </w:p>
    <w:p w14:paraId="22627EB1">
      <w:pPr>
        <w:snapToGrid w:val="0"/>
        <w:spacing w:line="380" w:lineRule="atLeast"/>
        <w:ind w:firstLine="420" w:firstLineChars="200"/>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9.乙方应按</w:t>
      </w:r>
      <w:r>
        <w:rPr>
          <w:rFonts w:hint="eastAsia" w:ascii="宋体" w:hAnsi="宋体" w:eastAsia="宋体" w:cs="宋体"/>
          <w:i w:val="0"/>
          <w:iCs w:val="0"/>
          <w:color w:val="auto"/>
          <w:sz w:val="21"/>
          <w:szCs w:val="21"/>
          <w:highlight w:val="none"/>
          <w:lang w:eastAsia="zh-CN"/>
        </w:rPr>
        <w:t>磋商文件</w:t>
      </w:r>
      <w:r>
        <w:rPr>
          <w:rFonts w:hint="eastAsia" w:ascii="宋体" w:hAnsi="宋体" w:eastAsia="宋体" w:cs="宋体"/>
          <w:i w:val="0"/>
          <w:iCs w:val="0"/>
          <w:color w:val="auto"/>
          <w:sz w:val="21"/>
          <w:szCs w:val="21"/>
          <w:highlight w:val="none"/>
        </w:rPr>
        <w:t>规定的时间或乙方承诺的时间向甲方提供项目实施服务工作有关技术资料。</w:t>
      </w:r>
    </w:p>
    <w:p w14:paraId="08727D09">
      <w:pPr>
        <w:snapToGrid w:val="0"/>
        <w:spacing w:line="380" w:lineRule="atLeast"/>
        <w:ind w:firstLine="420" w:firstLineChars="200"/>
        <w:rPr>
          <w:rFonts w:hint="eastAsia" w:ascii="宋体" w:hAnsi="宋体" w:cs="宋体"/>
          <w:i w:val="0"/>
          <w:iCs w:val="0"/>
          <w:color w:val="auto"/>
          <w:szCs w:val="21"/>
          <w:highlight w:val="none"/>
        </w:rPr>
      </w:pPr>
      <w:r>
        <w:rPr>
          <w:rFonts w:hint="eastAsia" w:ascii="宋体" w:hAnsi="宋体" w:cs="宋体"/>
          <w:i w:val="0"/>
          <w:iCs w:val="0"/>
          <w:color w:val="auto"/>
          <w:szCs w:val="21"/>
          <w:highlight w:val="none"/>
        </w:rPr>
        <w:t>10.没有甲方事先书面同意，乙方不得将由甲方提供的有关合同或任何合同条文、规格、计划、图纸、样品或资料提供给与履行本合同无关的任何其他人。即使向履行本合同有关的人员（仅为乙方项目参与人员，超出范围则视为乙方没有履行保密义务）提供，应征求甲方书面同意，且应注意保密事项和使用范围仅限于履行合同的必需范围。</w:t>
      </w:r>
    </w:p>
    <w:p w14:paraId="3FDB9864">
      <w:pPr>
        <w:snapToGrid w:val="0"/>
        <w:spacing w:line="380" w:lineRule="atLeast"/>
        <w:ind w:firstLine="420" w:firstLineChars="200"/>
        <w:rPr>
          <w:rFonts w:hint="eastAsia" w:ascii="宋体" w:hAnsi="宋体" w:eastAsia="宋体" w:cs="宋体"/>
          <w:b/>
          <w:i w:val="0"/>
          <w:iCs w:val="0"/>
          <w:color w:val="auto"/>
          <w:sz w:val="21"/>
          <w:szCs w:val="21"/>
          <w:highlight w:val="none"/>
        </w:rPr>
      </w:pPr>
      <w:r>
        <w:rPr>
          <w:rFonts w:hint="eastAsia" w:ascii="宋体" w:hAnsi="宋体" w:cs="宋体"/>
          <w:i w:val="0"/>
          <w:iCs w:val="0"/>
          <w:color w:val="auto"/>
          <w:szCs w:val="21"/>
          <w:highlight w:val="none"/>
        </w:rPr>
        <w:t>11.乙方保证所提供或交付的技术服务所有权完全属于乙方且无任何抵押、质押、查封等产权瑕疵。</w:t>
      </w:r>
    </w:p>
    <w:p w14:paraId="6405A677">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i w:val="0"/>
          <w:iCs w:val="0"/>
          <w:color w:val="auto"/>
          <w:sz w:val="21"/>
          <w:szCs w:val="21"/>
          <w:highlight w:val="none"/>
        </w:rPr>
        <w:t>第四条　交付和验收</w:t>
      </w:r>
    </w:p>
    <w:p w14:paraId="2171CA53">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u w:val="single"/>
          <w:lang w:val="en-US" w:eastAsia="zh-CN"/>
        </w:rPr>
      </w:pPr>
      <w:r>
        <w:rPr>
          <w:rFonts w:hint="eastAsia" w:ascii="宋体" w:hAnsi="宋体" w:eastAsia="宋体" w:cs="宋体"/>
          <w:i w:val="0"/>
          <w:iCs w:val="0"/>
          <w:color w:val="auto"/>
          <w:sz w:val="21"/>
          <w:szCs w:val="21"/>
          <w:highlight w:val="none"/>
        </w:rPr>
        <w:t>1</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交付时间及地点：</w:t>
      </w:r>
      <w:r>
        <w:rPr>
          <w:rFonts w:hint="eastAsia" w:ascii="宋体" w:hAnsi="宋体" w:eastAsia="宋体" w:cs="宋体"/>
          <w:i w:val="0"/>
          <w:iCs w:val="0"/>
          <w:color w:val="auto"/>
          <w:sz w:val="21"/>
          <w:szCs w:val="21"/>
          <w:highlight w:val="none"/>
          <w:u w:val="single"/>
          <w:lang w:val="en-US" w:eastAsia="zh-CN"/>
        </w:rPr>
        <w:t xml:space="preserve">            </w:t>
      </w:r>
    </w:p>
    <w:p w14:paraId="75BE4F2E">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乙方提供不符合</w:t>
      </w:r>
      <w:r>
        <w:rPr>
          <w:rFonts w:hint="eastAsia" w:ascii="宋体" w:hAnsi="宋体" w:eastAsia="宋体" w:cs="宋体"/>
          <w:i w:val="0"/>
          <w:iCs w:val="0"/>
          <w:color w:val="auto"/>
          <w:sz w:val="21"/>
          <w:szCs w:val="21"/>
          <w:highlight w:val="none"/>
          <w:lang w:eastAsia="zh-CN"/>
        </w:rPr>
        <w:t>磋商文件</w:t>
      </w:r>
      <w:r>
        <w:rPr>
          <w:rFonts w:hint="eastAsia" w:ascii="宋体" w:hAnsi="宋体" w:eastAsia="宋体" w:cs="宋体"/>
          <w:i w:val="0"/>
          <w:iCs w:val="0"/>
          <w:color w:val="auto"/>
          <w:sz w:val="21"/>
          <w:szCs w:val="21"/>
          <w:highlight w:val="none"/>
        </w:rPr>
        <w:t>和本合同规定的服务成果，甲方有权拒绝接受并要求乙</w:t>
      </w:r>
      <w:r>
        <w:rPr>
          <w:rFonts w:hint="eastAsia" w:ascii="宋体" w:hAnsi="宋体" w:eastAsia="宋体" w:cs="宋体"/>
          <w:i w:val="0"/>
          <w:iCs w:val="0"/>
          <w:color w:val="auto"/>
          <w:sz w:val="21"/>
          <w:szCs w:val="21"/>
          <w:highlight w:val="none"/>
          <w:lang w:eastAsia="zh-CN"/>
        </w:rPr>
        <w:t>方在</w:t>
      </w:r>
      <w:r>
        <w:rPr>
          <w:rFonts w:hint="eastAsia" w:ascii="宋体" w:hAnsi="宋体" w:eastAsia="宋体" w:cs="宋体"/>
          <w:i w:val="0"/>
          <w:iCs w:val="0"/>
          <w:color w:val="auto"/>
          <w:sz w:val="21"/>
          <w:szCs w:val="21"/>
          <w:highlight w:val="none"/>
        </w:rPr>
        <w:t>五个工作日内修改、重做，甲方也有权解除合同并追究乙方的违约责任。</w:t>
      </w:r>
    </w:p>
    <w:p w14:paraId="62AA50CB">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乙方应对提交的服务成果作出全面检查和整理，并列出清单，作为甲方验收和使用的技术条件依据，清单应随提交的服务成果交给甲方。</w:t>
      </w:r>
    </w:p>
    <w:p w14:paraId="42CAB38C">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4</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乙方应按要求提交服务成果材料：</w:t>
      </w:r>
      <w:r>
        <w:rPr>
          <w:rFonts w:hint="eastAsia" w:ascii="宋体" w:hAnsi="宋体" w:eastAsia="宋体" w:cs="宋体"/>
          <w:i w:val="0"/>
          <w:iCs w:val="0"/>
          <w:color w:val="auto"/>
          <w:sz w:val="21"/>
          <w:szCs w:val="21"/>
          <w:highlight w:val="none"/>
          <w:u w:val="single"/>
        </w:rPr>
        <w:t>详见乙方响应文件</w:t>
      </w:r>
      <w:r>
        <w:rPr>
          <w:rFonts w:hint="eastAsia" w:ascii="宋体" w:hAnsi="宋体" w:eastAsia="宋体" w:cs="宋体"/>
          <w:i w:val="0"/>
          <w:iCs w:val="0"/>
          <w:color w:val="auto"/>
          <w:sz w:val="21"/>
          <w:szCs w:val="21"/>
          <w:highlight w:val="none"/>
        </w:rPr>
        <w:t>，如有缺失应及时补齐，否则视为逾期交付。</w:t>
      </w:r>
    </w:p>
    <w:p w14:paraId="6DC2305A">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5</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乙方应在约定时间</w:t>
      </w:r>
      <w:r>
        <w:rPr>
          <w:rFonts w:hint="eastAsia" w:ascii="宋体" w:hAnsi="宋体" w:cs="宋体"/>
          <w:i w:val="0"/>
          <w:iCs w:val="0"/>
          <w:color w:val="auto"/>
          <w:sz w:val="21"/>
          <w:szCs w:val="21"/>
          <w:highlight w:val="none"/>
          <w:lang w:eastAsia="zh-CN"/>
        </w:rPr>
        <w:t>、指定</w:t>
      </w:r>
      <w:r>
        <w:rPr>
          <w:rFonts w:hint="eastAsia" w:ascii="宋体" w:hAnsi="宋体" w:eastAsia="宋体" w:cs="宋体"/>
          <w:i w:val="0"/>
          <w:iCs w:val="0"/>
          <w:color w:val="auto"/>
          <w:sz w:val="21"/>
          <w:szCs w:val="21"/>
          <w:highlight w:val="none"/>
        </w:rPr>
        <w:t>地点提交服务</w:t>
      </w:r>
      <w:r>
        <w:rPr>
          <w:rFonts w:hint="eastAsia" w:ascii="宋体" w:hAnsi="宋体" w:cs="宋体"/>
          <w:i w:val="0"/>
          <w:iCs w:val="0"/>
          <w:color w:val="auto"/>
          <w:sz w:val="21"/>
          <w:szCs w:val="21"/>
          <w:highlight w:val="none"/>
          <w:lang w:eastAsia="zh-CN"/>
        </w:rPr>
        <w:t>成果</w:t>
      </w:r>
      <w:r>
        <w:rPr>
          <w:rFonts w:hint="eastAsia" w:ascii="宋体" w:hAnsi="宋体" w:eastAsia="宋体" w:cs="宋体"/>
          <w:i w:val="0"/>
          <w:iCs w:val="0"/>
          <w:color w:val="auto"/>
          <w:sz w:val="21"/>
          <w:szCs w:val="21"/>
          <w:highlight w:val="none"/>
        </w:rPr>
        <w:t>，甲方应在七个工作日内进行验收，验收后由甲乙双方签署验收单并加盖采购单位公章，甲乙双方各执一份。服务成果以乙方提交评审稿并获得批复后，方为验收合格。</w:t>
      </w:r>
    </w:p>
    <w:p w14:paraId="1F0A4533">
      <w:pPr>
        <w:snapToGrid w:val="0"/>
        <w:spacing w:line="440" w:lineRule="exact"/>
        <w:ind w:firstLine="420" w:firstLineChars="200"/>
        <w:rPr>
          <w:rFonts w:hint="eastAsia" w:ascii="宋体" w:hAnsi="宋体" w:cs="宋体"/>
          <w:i w:val="0"/>
          <w:iCs w:val="0"/>
          <w:color w:val="auto"/>
          <w:szCs w:val="21"/>
          <w:highlight w:val="none"/>
        </w:rPr>
      </w:pPr>
      <w:r>
        <w:rPr>
          <w:rFonts w:hint="eastAsia" w:ascii="宋体" w:hAnsi="宋体" w:eastAsia="宋体" w:cs="宋体"/>
          <w:i w:val="0"/>
          <w:iCs w:val="0"/>
          <w:color w:val="auto"/>
          <w:sz w:val="21"/>
          <w:szCs w:val="21"/>
          <w:highlight w:val="none"/>
        </w:rPr>
        <w:t>6</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甲方对验收有异议的，在验收后五个工作日内以书面形式向乙方提出，乙方应自收到甲方书面异议后 5个工作日内及时予以解决</w:t>
      </w:r>
      <w:r>
        <w:rPr>
          <w:rFonts w:hint="eastAsia" w:ascii="宋体" w:hAnsi="宋体" w:eastAsia="宋体" w:cs="宋体"/>
          <w:i w:val="0"/>
          <w:iCs w:val="0"/>
          <w:color w:val="auto"/>
          <w:sz w:val="21"/>
          <w:szCs w:val="21"/>
          <w:highlight w:val="none"/>
          <w:lang w:eastAsia="zh-CN"/>
        </w:rPr>
        <w:t>，</w:t>
      </w:r>
      <w:r>
        <w:rPr>
          <w:rFonts w:hint="eastAsia" w:ascii="宋体" w:hAnsi="宋体" w:eastAsia="宋体" w:cs="宋体"/>
          <w:i w:val="0"/>
          <w:iCs w:val="0"/>
          <w:color w:val="auto"/>
          <w:sz w:val="21"/>
          <w:szCs w:val="21"/>
          <w:highlight w:val="none"/>
        </w:rPr>
        <w:t>并重新申请验收。乙方修改重做的，工期不顺延。乙方修改、重做不得超过3次，否则视为乙方提交的成果不合格，按前述第2点和本合同</w:t>
      </w:r>
      <w:r>
        <w:rPr>
          <w:rFonts w:hint="eastAsia" w:ascii="宋体" w:hAnsi="宋体" w:eastAsia="宋体" w:cs="宋体"/>
          <w:i w:val="0"/>
          <w:iCs w:val="0"/>
          <w:color w:val="auto"/>
          <w:sz w:val="21"/>
          <w:szCs w:val="21"/>
          <w:highlight w:val="none"/>
          <w:lang w:eastAsia="zh-CN"/>
        </w:rPr>
        <w:t>相关</w:t>
      </w:r>
      <w:r>
        <w:rPr>
          <w:rFonts w:hint="eastAsia" w:ascii="宋体" w:hAnsi="宋体" w:eastAsia="宋体" w:cs="宋体"/>
          <w:i w:val="0"/>
          <w:iCs w:val="0"/>
          <w:color w:val="auto"/>
          <w:sz w:val="21"/>
          <w:szCs w:val="21"/>
          <w:highlight w:val="none"/>
        </w:rPr>
        <w:t>条款追究乙方违约责任。</w:t>
      </w:r>
    </w:p>
    <w:p w14:paraId="1BE4D5F4">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第五条  服务、质量保证期</w:t>
      </w:r>
    </w:p>
    <w:p w14:paraId="118CBF80">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乙方应按照国家有关法律法规以及磋商文件和本合同所附的《服务承诺》，为甲方提供相关服务。</w:t>
      </w:r>
    </w:p>
    <w:p w14:paraId="62CA8547">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i w:val="0"/>
          <w:iCs w:val="0"/>
          <w:color w:val="auto"/>
          <w:sz w:val="21"/>
          <w:szCs w:val="21"/>
          <w:highlight w:val="none"/>
        </w:rPr>
        <w:t>第六条　付款方式</w:t>
      </w:r>
    </w:p>
    <w:p w14:paraId="253B715A">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1</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lang w:eastAsia="zh-CN"/>
        </w:rPr>
        <w:t>在合同履行期间，甲方要求终止或解除合同，乙方已开始工作的，甲方应根据乙方已进行的实际工作量给予适当的补偿。如乙方要求终止、解除合同或以自己的行动表明不履行合同义务的，甲方有权解除合同，要求乙方全部返还甲方已经支付的合同价款，并按合同价款30%承担违约金，赔偿甲方由此造成的全部损失，包括但不限于甲方重新招标的损失。</w:t>
      </w:r>
    </w:p>
    <w:p w14:paraId="61393EB9">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2.</w:t>
      </w:r>
      <w:r>
        <w:rPr>
          <w:rFonts w:hint="eastAsia" w:ascii="宋体" w:hAnsi="宋体" w:eastAsia="宋体" w:cs="宋体"/>
          <w:i w:val="0"/>
          <w:iCs w:val="0"/>
          <w:color w:val="auto"/>
          <w:sz w:val="21"/>
          <w:szCs w:val="21"/>
          <w:highlight w:val="none"/>
          <w:lang w:eastAsia="zh-CN"/>
        </w:rPr>
        <w:t>付款方式：</w:t>
      </w:r>
      <w:r>
        <w:rPr>
          <w:rFonts w:hint="eastAsia" w:ascii="宋体" w:hAnsi="宋体" w:eastAsia="宋体" w:cs="宋体"/>
          <w:i w:val="0"/>
          <w:iCs w:val="0"/>
          <w:color w:val="auto"/>
          <w:sz w:val="21"/>
          <w:szCs w:val="21"/>
          <w:highlight w:val="none"/>
          <w:lang w:val="en-US" w:eastAsia="zh-CN"/>
        </w:rPr>
        <w:t>详见商务条款。</w:t>
      </w:r>
    </w:p>
    <w:p w14:paraId="7D2483BF">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val="en-US" w:eastAsia="zh-CN"/>
        </w:rPr>
        <w:t>3.结算方式：本合同最终结算总价，以甲方实际书面通知要求检查的机构数量及成交单价据实结算。若因甲方原因主动减少检查数量，双方按实际检查数量结算。</w:t>
      </w:r>
    </w:p>
    <w:p w14:paraId="3767C213">
      <w:pPr>
        <w:keepNext w:val="0"/>
        <w:keepLines w:val="0"/>
        <w:pageBreakBefore w:val="0"/>
        <w:widowControl w:val="0"/>
        <w:kinsoku/>
        <w:wordWrap/>
        <w:overflowPunct/>
        <w:topLinePunct w:val="0"/>
        <w:autoSpaceDE/>
        <w:autoSpaceDN/>
        <w:bidi w:val="0"/>
        <w:adjustRightInd/>
        <w:snapToGrid/>
        <w:spacing w:line="440" w:lineRule="exact"/>
        <w:ind w:left="-61" w:firstLine="514"/>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第七条  税费</w:t>
      </w:r>
    </w:p>
    <w:p w14:paraId="08F489CF">
      <w:pPr>
        <w:keepNext w:val="0"/>
        <w:keepLines w:val="0"/>
        <w:pageBreakBefore w:val="0"/>
        <w:widowControl w:val="0"/>
        <w:kinsoku/>
        <w:wordWrap/>
        <w:overflowPunct/>
        <w:topLinePunct w:val="0"/>
        <w:autoSpaceDE/>
        <w:autoSpaceDN/>
        <w:bidi w:val="0"/>
        <w:adjustRightInd/>
        <w:snapToGrid/>
        <w:spacing w:line="440" w:lineRule="exact"/>
        <w:ind w:left="-61" w:firstLine="514"/>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本合同执行中相关的一切税费均由乙方负担。</w:t>
      </w:r>
    </w:p>
    <w:p w14:paraId="178C5735">
      <w:pPr>
        <w:keepNext w:val="0"/>
        <w:keepLines w:val="0"/>
        <w:pageBreakBefore w:val="0"/>
        <w:widowControl w:val="0"/>
        <w:kinsoku/>
        <w:wordWrap/>
        <w:overflowPunct/>
        <w:topLinePunct w:val="0"/>
        <w:autoSpaceDE/>
        <w:autoSpaceDN/>
        <w:bidi w:val="0"/>
        <w:adjustRightInd/>
        <w:snapToGrid/>
        <w:spacing w:line="440" w:lineRule="exact"/>
        <w:ind w:left="-61" w:firstLine="514"/>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i w:val="0"/>
          <w:iCs w:val="0"/>
          <w:color w:val="auto"/>
          <w:sz w:val="21"/>
          <w:szCs w:val="21"/>
          <w:highlight w:val="none"/>
        </w:rPr>
        <w:t>第八条  质量保证及服务</w:t>
      </w:r>
    </w:p>
    <w:p w14:paraId="6FCD9B93">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1.乙方应按磋商文件规定的服务内容、技术要求、质量标准向甲方提供无瑕疵的服务成果。否则甲方有权拒绝接收或要求乙方修订或重做，乙方进行修订或重做的工期不顺延。乙方对提交的最终服务成果质量负责。</w:t>
      </w:r>
    </w:p>
    <w:p w14:paraId="067D58AE">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2.成果提交后，如甲方有修改，乙方应在规定时间按要求完成修改工作，甲方不另行支付修改费用。</w:t>
      </w:r>
    </w:p>
    <w:p w14:paraId="3F454DE7">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第九条　违约责任</w:t>
      </w:r>
    </w:p>
    <w:p w14:paraId="65C6D3C8">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1</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lang w:eastAsia="zh-CN"/>
        </w:rPr>
        <w:t>乙方未按期限提交成果或者提交的成果不符合约定的，乙方应向甲方支付违约服务款额 1.5%违约金并赔偿甲方</w:t>
      </w:r>
      <w:r>
        <w:rPr>
          <w:rFonts w:hint="eastAsia" w:ascii="宋体" w:hAnsi="宋体" w:eastAsia="宋体" w:cs="宋体"/>
          <w:i w:val="0"/>
          <w:iCs w:val="0"/>
          <w:color w:val="auto"/>
          <w:sz w:val="21"/>
          <w:szCs w:val="21"/>
          <w:highlight w:val="none"/>
          <w:lang w:val="en-US" w:eastAsia="zh-CN"/>
        </w:rPr>
        <w:t>全部</w:t>
      </w:r>
      <w:r>
        <w:rPr>
          <w:rFonts w:hint="eastAsia" w:ascii="宋体" w:hAnsi="宋体" w:eastAsia="宋体" w:cs="宋体"/>
          <w:i w:val="0"/>
          <w:iCs w:val="0"/>
          <w:color w:val="auto"/>
          <w:sz w:val="21"/>
          <w:szCs w:val="21"/>
          <w:highlight w:val="none"/>
          <w:lang w:eastAsia="zh-CN"/>
        </w:rPr>
        <w:t xml:space="preserve">经济损失。                                       </w:t>
      </w:r>
    </w:p>
    <w:p w14:paraId="537B3158">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2</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lang w:eastAsia="zh-CN"/>
        </w:rPr>
        <w:t>乙方提供的成果如侵犯了第三方合法权益而引发的任何纠纷或诉讼，均由乙方负责交涉并承担全部责任，由此造成甲方损失的，包括但不限于应诉的律师费和诉讼费等，均由乙方全部赔偿。</w:t>
      </w:r>
    </w:p>
    <w:p w14:paraId="7CBDA90C">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3</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lang w:eastAsia="zh-CN"/>
        </w:rPr>
        <w:t>由于甲方的原因造成合同不能如期履行的，双方可根据具体情况顺延合同的履行期，对乙方因此遭受的损失，甲方应予以补偿。</w:t>
      </w:r>
    </w:p>
    <w:p w14:paraId="7514E7C8">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4</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lang w:eastAsia="zh-CN"/>
        </w:rPr>
        <w:t xml:space="preserve">乙方未按本合同和响应文件中规定的服务承诺提供服务的，乙方应按本合同合计金额 1.5%向甲方支付违约金。                                      </w:t>
      </w:r>
    </w:p>
    <w:p w14:paraId="1BACD23A">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5.乙方成交后被发现其在竞标活动中提供任何虚假材料的，甲方有权解除合同，并按照本条第1款追究乙方违约责任。</w:t>
      </w:r>
    </w:p>
    <w:p w14:paraId="3419F5E2">
      <w:pPr>
        <w:keepNext w:val="0"/>
        <w:keepLines w:val="0"/>
        <w:pageBreakBefore w:val="0"/>
        <w:widowControl w:val="0"/>
        <w:kinsoku/>
        <w:wordWrap/>
        <w:overflowPunct/>
        <w:topLinePunct w:val="0"/>
        <w:autoSpaceDE/>
        <w:autoSpaceDN/>
        <w:bidi w:val="0"/>
        <w:adjustRightInd/>
        <w:snapToGrid/>
        <w:spacing w:line="440" w:lineRule="exact"/>
        <w:ind w:firstLine="630"/>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第十条  不可抗力事件处理</w:t>
      </w:r>
    </w:p>
    <w:p w14:paraId="5D7C1305">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1.在合同有效期内，任何一方因不可抗力事件（本合同所称“不可抗力”系指双方在合同订立时不能预见、不能避免、不可控制的意外事故，例如（1）自然灾害、如台风、洪水、冰雹、地震、海啸、火灾、旱灾、大雪、山崩；（2）政府行为，如征收、征用、法令、政策；（3）社会异常事件，如罢工、骚乱等。导致不能履行合同，则合同履行期可延长，其延长期与不可抗力影响期相同。</w:t>
      </w:r>
    </w:p>
    <w:p w14:paraId="79ADDACE">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eastAsia="zh-CN"/>
        </w:rPr>
        <w:t xml:space="preserve"> </w:t>
      </w:r>
      <w:r>
        <w:rPr>
          <w:rFonts w:hint="eastAsia" w:ascii="宋体" w:hAnsi="宋体" w:eastAsia="宋体" w:cs="宋体"/>
          <w:i w:val="0"/>
          <w:iCs w:val="0"/>
          <w:color w:val="auto"/>
          <w:sz w:val="21"/>
          <w:szCs w:val="21"/>
          <w:highlight w:val="none"/>
          <w:lang w:val="en-US" w:eastAsia="zh-CN"/>
        </w:rPr>
        <w:t>2</w:t>
      </w:r>
      <w:r>
        <w:rPr>
          <w:rFonts w:hint="eastAsia" w:ascii="宋体" w:hAnsi="宋体" w:eastAsia="宋体" w:cs="宋体"/>
          <w:i w:val="0"/>
          <w:iCs w:val="0"/>
          <w:color w:val="auto"/>
          <w:sz w:val="21"/>
          <w:szCs w:val="21"/>
          <w:highlight w:val="none"/>
          <w:lang w:eastAsia="zh-CN"/>
        </w:rPr>
        <w:t>.若不可抗力发生使合同执行受阻，则合同执行时间根据受影响的时间相应延长，但合同价格不得调整。</w:t>
      </w:r>
    </w:p>
    <w:p w14:paraId="28D74476">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3</w:t>
      </w:r>
      <w:r>
        <w:rPr>
          <w:rFonts w:hint="eastAsia" w:ascii="宋体" w:hAnsi="宋体" w:eastAsia="宋体" w:cs="宋体"/>
          <w:i w:val="0"/>
          <w:iCs w:val="0"/>
          <w:color w:val="auto"/>
          <w:sz w:val="21"/>
          <w:szCs w:val="21"/>
          <w:highlight w:val="none"/>
          <w:lang w:eastAsia="zh-CN"/>
        </w:rPr>
        <w:t>.如发生不可抗力，乙方应在不可抗力影响消除后48小时内通知甲方并应提供官方机构的证明文件。除非甲方另有书面指示，乙方应继续依可行方式及其他不受不可抗力制约的替代形式履行合同义务。</w:t>
      </w:r>
    </w:p>
    <w:p w14:paraId="70D3E0C5">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4</w:t>
      </w:r>
      <w:r>
        <w:rPr>
          <w:rFonts w:hint="eastAsia" w:ascii="宋体" w:hAnsi="宋体" w:eastAsia="宋体" w:cs="宋体"/>
          <w:i w:val="0"/>
          <w:iCs w:val="0"/>
          <w:color w:val="auto"/>
          <w:sz w:val="21"/>
          <w:szCs w:val="21"/>
          <w:highlight w:val="none"/>
          <w:lang w:eastAsia="zh-CN"/>
        </w:rPr>
        <w:t>.不可抗力事件延续一百二十天以上，双方应通过友好协商，确定是否继续履行合同。</w:t>
      </w:r>
    </w:p>
    <w:p w14:paraId="74A5A892">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5.</w:t>
      </w:r>
      <w:r>
        <w:rPr>
          <w:rFonts w:hint="eastAsia" w:ascii="宋体" w:hAnsi="宋体" w:eastAsia="宋体" w:cs="宋体"/>
          <w:i w:val="0"/>
          <w:iCs w:val="0"/>
          <w:color w:val="auto"/>
          <w:sz w:val="21"/>
          <w:szCs w:val="21"/>
          <w:highlight w:val="none"/>
          <w:lang w:eastAsia="zh-CN"/>
        </w:rPr>
        <w:t>任何因不可抗力所导致延误履行合同或不能履行合同，受阻方将不因此构成违约。</w:t>
      </w:r>
    </w:p>
    <w:p w14:paraId="458A5AF6">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lang w:val="en-US" w:eastAsia="zh-CN"/>
        </w:rPr>
        <w:t>6.</w:t>
      </w:r>
      <w:r>
        <w:rPr>
          <w:rFonts w:hint="eastAsia" w:ascii="宋体" w:hAnsi="宋体" w:eastAsia="宋体" w:cs="宋体"/>
          <w:i w:val="0"/>
          <w:iCs w:val="0"/>
          <w:color w:val="auto"/>
          <w:sz w:val="21"/>
          <w:szCs w:val="21"/>
          <w:highlight w:val="none"/>
          <w:lang w:eastAsia="zh-CN"/>
        </w:rPr>
        <w:t>在发生任何不可抗力的情况时，甲乙双方应尽力继续履行其合同中的义务，并尽力减小不可抗力所造成的损失，否则应对不可抗力所造成的扩大损失承担违约责任和赔偿责任。</w:t>
      </w:r>
    </w:p>
    <w:p w14:paraId="2C243594">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i w:val="0"/>
          <w:iCs w:val="0"/>
          <w:color w:val="auto"/>
          <w:sz w:val="21"/>
          <w:szCs w:val="21"/>
          <w:highlight w:val="none"/>
        </w:rPr>
        <w:t>第十一条  合同争议解决</w:t>
      </w:r>
    </w:p>
    <w:p w14:paraId="41C50418">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因履行本合同引起的或与本合同有关的争议，甲乙双方应首先通过友好协商解决，如果协商不能解决，</w:t>
      </w:r>
      <w:r>
        <w:rPr>
          <w:rFonts w:hint="eastAsia" w:ascii="宋体" w:hAnsi="宋体" w:eastAsia="宋体" w:cs="宋体"/>
          <w:i w:val="0"/>
          <w:iCs w:val="0"/>
          <w:color w:val="auto"/>
          <w:sz w:val="21"/>
          <w:szCs w:val="21"/>
          <w:highlight w:val="none"/>
          <w:lang w:eastAsia="zh-CN"/>
        </w:rPr>
        <w:t>由甲方所在地人民法院起诉</w:t>
      </w:r>
      <w:r>
        <w:rPr>
          <w:rFonts w:hint="eastAsia" w:ascii="宋体" w:hAnsi="宋体" w:eastAsia="宋体" w:cs="宋体"/>
          <w:i w:val="0"/>
          <w:iCs w:val="0"/>
          <w:color w:val="auto"/>
          <w:sz w:val="21"/>
          <w:szCs w:val="21"/>
          <w:highlight w:val="none"/>
        </w:rPr>
        <w:t>。</w:t>
      </w:r>
    </w:p>
    <w:p w14:paraId="29039600">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诉讼期间，本合同无争议条款应继续履行，除非甲方同意或要求不履行。</w:t>
      </w:r>
    </w:p>
    <w:p w14:paraId="6561FCA8">
      <w:pPr>
        <w:keepNext w:val="0"/>
        <w:keepLines w:val="0"/>
        <w:pageBreakBefore w:val="0"/>
        <w:widowControl w:val="0"/>
        <w:kinsoku/>
        <w:wordWrap/>
        <w:overflowPunct/>
        <w:topLinePunct w:val="0"/>
        <w:autoSpaceDE/>
        <w:autoSpaceDN/>
        <w:bidi w:val="0"/>
        <w:adjustRightInd/>
        <w:snapToGrid/>
        <w:spacing w:line="440" w:lineRule="exact"/>
        <w:ind w:firstLine="630"/>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第十二条  合同生效及其它</w:t>
      </w:r>
    </w:p>
    <w:p w14:paraId="4024315C">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1.合同经双方法定代表人或被授权代表签字并加盖单位公章后生效。</w:t>
      </w:r>
    </w:p>
    <w:p w14:paraId="28EA7B06">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2.合同执行中涉及采购资金和采购内容修改或补充的，须经财政部门审批，并签书面补充协议报财政部门备案，方可作为主合同不可分割的一部分。</w:t>
      </w:r>
    </w:p>
    <w:p w14:paraId="1F180B05">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3.本合同未尽事宜，遵照《中华人民共和国政府采购法》《中华人民共和国民法典》等有关条文执行。</w:t>
      </w:r>
    </w:p>
    <w:p w14:paraId="00933A11">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第十三条　合同的变更、终止与转让</w:t>
      </w:r>
    </w:p>
    <w:p w14:paraId="02E8C887">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除《中华人民共和国政府采购法》第五十条规定的情形外，本合同一经签订，甲乙双方不得擅自变更、中止或终止。</w:t>
      </w:r>
    </w:p>
    <w:p w14:paraId="7239C4AA">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lang w:eastAsia="zh-CN"/>
        </w:rPr>
        <w:t>2.</w:t>
      </w:r>
      <w:r>
        <w:rPr>
          <w:rFonts w:hint="eastAsia" w:ascii="宋体" w:hAnsi="宋体" w:eastAsia="宋体" w:cs="宋体"/>
          <w:i w:val="0"/>
          <w:iCs w:val="0"/>
          <w:color w:val="auto"/>
          <w:sz w:val="21"/>
          <w:szCs w:val="21"/>
          <w:highlight w:val="none"/>
        </w:rPr>
        <w:t>未经甲方书面同意，乙方不得擅自转让本合同权利义务，不得转包分包服务内容，否则按第九条解除合同并违约处罚。</w:t>
      </w:r>
    </w:p>
    <w:p w14:paraId="4A7C3F00">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420" w:firstLine="320"/>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b/>
          <w:i w:val="0"/>
          <w:iCs w:val="0"/>
          <w:color w:val="auto"/>
          <w:sz w:val="21"/>
          <w:szCs w:val="21"/>
          <w:highlight w:val="none"/>
        </w:rPr>
        <w:t>签订本合同依据</w:t>
      </w:r>
    </w:p>
    <w:p w14:paraId="61258A3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740" w:leftChars="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1</w:t>
      </w:r>
      <w:r>
        <w:rPr>
          <w:rFonts w:hint="eastAsia" w:ascii="宋体" w:hAnsi="宋体" w:eastAsia="宋体" w:cs="宋体"/>
          <w:i w:val="0"/>
          <w:iCs w:val="0"/>
          <w:color w:val="auto"/>
          <w:sz w:val="21"/>
          <w:szCs w:val="21"/>
          <w:highlight w:val="none"/>
          <w:lang w:val="en-US" w:eastAsia="zh-CN"/>
        </w:rPr>
        <w:t>.竞争性磋商文件</w:t>
      </w:r>
      <w:r>
        <w:rPr>
          <w:rFonts w:hint="eastAsia" w:ascii="宋体" w:hAnsi="宋体" w:eastAsia="宋体" w:cs="宋体"/>
          <w:i w:val="0"/>
          <w:iCs w:val="0"/>
          <w:color w:val="auto"/>
          <w:sz w:val="21"/>
          <w:szCs w:val="21"/>
          <w:highlight w:val="none"/>
        </w:rPr>
        <w:t>；</w:t>
      </w:r>
    </w:p>
    <w:p w14:paraId="2098EE09">
      <w:pPr>
        <w:keepNext w:val="0"/>
        <w:keepLines w:val="0"/>
        <w:pageBreakBefore w:val="0"/>
        <w:widowControl w:val="0"/>
        <w:kinsoku/>
        <w:wordWrap/>
        <w:overflowPunct/>
        <w:topLinePunct w:val="0"/>
        <w:autoSpaceDE/>
        <w:autoSpaceDN/>
        <w:bidi w:val="0"/>
        <w:adjustRightInd/>
        <w:snapToGrid/>
        <w:spacing w:line="440" w:lineRule="exact"/>
        <w:ind w:left="420" w:firstLine="320"/>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2</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乙方提供的响应文件；</w:t>
      </w:r>
    </w:p>
    <w:p w14:paraId="3B455B44">
      <w:pPr>
        <w:keepNext w:val="0"/>
        <w:keepLines w:val="0"/>
        <w:pageBreakBefore w:val="0"/>
        <w:widowControl w:val="0"/>
        <w:kinsoku/>
        <w:wordWrap/>
        <w:overflowPunct/>
        <w:topLinePunct w:val="0"/>
        <w:autoSpaceDE/>
        <w:autoSpaceDN/>
        <w:bidi w:val="0"/>
        <w:adjustRightInd/>
        <w:snapToGrid/>
        <w:spacing w:line="440" w:lineRule="exact"/>
        <w:ind w:left="420" w:firstLine="320"/>
        <w:textAlignment w:val="auto"/>
        <w:rPr>
          <w:rFonts w:hint="eastAsia" w:ascii="宋体" w:hAnsi="宋体" w:eastAsia="宋体" w:cs="宋体"/>
          <w:b/>
          <w:i w:val="0"/>
          <w:iCs w:val="0"/>
          <w:color w:val="auto"/>
          <w:sz w:val="21"/>
          <w:szCs w:val="21"/>
          <w:highlight w:val="none"/>
        </w:rPr>
      </w:pPr>
      <w:r>
        <w:rPr>
          <w:rFonts w:hint="eastAsia" w:ascii="宋体" w:hAnsi="宋体" w:eastAsia="宋体" w:cs="宋体"/>
          <w:i w:val="0"/>
          <w:iCs w:val="0"/>
          <w:color w:val="auto"/>
          <w:sz w:val="21"/>
          <w:szCs w:val="21"/>
          <w:highlight w:val="none"/>
        </w:rPr>
        <w:t>3</w:t>
      </w:r>
      <w:r>
        <w:rPr>
          <w:rFonts w:hint="eastAsia" w:ascii="宋体" w:hAnsi="宋体" w:eastAsia="宋体" w:cs="宋体"/>
          <w:i w:val="0"/>
          <w:iCs w:val="0"/>
          <w:color w:val="auto"/>
          <w:sz w:val="21"/>
          <w:szCs w:val="21"/>
          <w:highlight w:val="none"/>
          <w:lang w:val="en-US" w:eastAsia="zh-CN"/>
        </w:rPr>
        <w:t>.</w:t>
      </w:r>
      <w:r>
        <w:rPr>
          <w:rFonts w:hint="eastAsia" w:ascii="宋体" w:hAnsi="宋体" w:eastAsia="宋体" w:cs="宋体"/>
          <w:i w:val="0"/>
          <w:iCs w:val="0"/>
          <w:color w:val="auto"/>
          <w:sz w:val="21"/>
          <w:szCs w:val="21"/>
          <w:highlight w:val="none"/>
        </w:rPr>
        <w:t>成交通知书。</w:t>
      </w:r>
    </w:p>
    <w:p w14:paraId="071C382D">
      <w:pPr>
        <w:keepNext w:val="0"/>
        <w:keepLines w:val="0"/>
        <w:pageBreakBefore w:val="0"/>
        <w:widowControl w:val="0"/>
        <w:kinsoku/>
        <w:wordWrap/>
        <w:overflowPunct/>
        <w:topLinePunct w:val="0"/>
        <w:autoSpaceDE/>
        <w:autoSpaceDN/>
        <w:bidi w:val="0"/>
        <w:adjustRightInd/>
        <w:snapToGrid/>
        <w:spacing w:line="440" w:lineRule="exact"/>
        <w:ind w:firstLine="643"/>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i w:val="0"/>
          <w:iCs w:val="0"/>
          <w:color w:val="auto"/>
          <w:sz w:val="21"/>
          <w:szCs w:val="21"/>
          <w:highlight w:val="none"/>
        </w:rPr>
        <w:t>第十五条　</w:t>
      </w:r>
      <w:r>
        <w:rPr>
          <w:rFonts w:hint="eastAsia" w:ascii="宋体" w:hAnsi="宋体" w:eastAsia="宋体" w:cs="宋体"/>
          <w:i w:val="0"/>
          <w:iCs w:val="0"/>
          <w:color w:val="auto"/>
          <w:sz w:val="21"/>
          <w:szCs w:val="21"/>
          <w:highlight w:val="none"/>
        </w:rPr>
        <w:t>本合同一式</w:t>
      </w:r>
      <w:r>
        <w:rPr>
          <w:rFonts w:hint="eastAsia" w:ascii="宋体" w:hAnsi="宋体" w:eastAsia="宋体" w:cs="宋体"/>
          <w:i w:val="0"/>
          <w:iCs w:val="0"/>
          <w:color w:val="auto"/>
          <w:sz w:val="21"/>
          <w:szCs w:val="21"/>
          <w:highlight w:val="none"/>
          <w:u w:val="single"/>
          <w:lang w:val="en-US" w:eastAsia="zh-CN"/>
        </w:rPr>
        <w:t>伍</w:t>
      </w:r>
      <w:r>
        <w:rPr>
          <w:rFonts w:hint="eastAsia" w:ascii="宋体" w:hAnsi="宋体" w:eastAsia="宋体" w:cs="宋体"/>
          <w:i w:val="0"/>
          <w:iCs w:val="0"/>
          <w:color w:val="auto"/>
          <w:sz w:val="21"/>
          <w:szCs w:val="21"/>
          <w:highlight w:val="none"/>
        </w:rPr>
        <w:t>份，具有同等法律效力，采购代理机构一份，甲方三份，乙方</w:t>
      </w:r>
      <w:r>
        <w:rPr>
          <w:rFonts w:hint="eastAsia" w:ascii="宋体" w:hAnsi="宋体" w:eastAsia="宋体" w:cs="宋体"/>
          <w:i w:val="0"/>
          <w:iCs w:val="0"/>
          <w:color w:val="auto"/>
          <w:sz w:val="21"/>
          <w:szCs w:val="21"/>
          <w:highlight w:val="none"/>
          <w:lang w:val="en-US" w:eastAsia="zh-CN"/>
        </w:rPr>
        <w:t>一</w:t>
      </w:r>
      <w:r>
        <w:rPr>
          <w:rFonts w:hint="eastAsia" w:ascii="宋体" w:hAnsi="宋体" w:eastAsia="宋体" w:cs="宋体"/>
          <w:i w:val="0"/>
          <w:iCs w:val="0"/>
          <w:color w:val="auto"/>
          <w:sz w:val="21"/>
          <w:szCs w:val="21"/>
          <w:highlight w:val="none"/>
        </w:rPr>
        <w:t>份（可根据需要另行增加）。本合同甲乙双方签字盖章后生效。</w:t>
      </w:r>
    </w:p>
    <w:p w14:paraId="0A89D6B4">
      <w:pPr>
        <w:keepNext w:val="0"/>
        <w:keepLines w:val="0"/>
        <w:pageBreakBefore w:val="0"/>
        <w:widowControl w:val="0"/>
        <w:kinsoku/>
        <w:wordWrap/>
        <w:overflowPunct/>
        <w:topLinePunct w:val="0"/>
        <w:autoSpaceDE/>
        <w:autoSpaceDN/>
        <w:bidi w:val="0"/>
        <w:adjustRightInd/>
        <w:snapToGrid/>
        <w:spacing w:line="440" w:lineRule="exact"/>
        <w:ind w:firstLine="640"/>
        <w:textAlignment w:val="auto"/>
        <w:rPr>
          <w:rFonts w:hint="eastAsia" w:ascii="宋体" w:hAnsi="宋体" w:eastAsia="宋体" w:cs="宋体"/>
          <w:bCs/>
          <w:i w:val="0"/>
          <w:iCs w:val="0"/>
          <w:color w:val="auto"/>
          <w:sz w:val="21"/>
          <w:szCs w:val="21"/>
          <w:highlight w:val="none"/>
        </w:rPr>
      </w:pPr>
      <w:r>
        <w:rPr>
          <w:rFonts w:hint="eastAsia" w:ascii="宋体" w:hAnsi="宋体" w:eastAsia="宋体" w:cs="宋体"/>
          <w:i w:val="0"/>
          <w:iCs w:val="0"/>
          <w:color w:val="auto"/>
          <w:sz w:val="21"/>
          <w:szCs w:val="21"/>
          <w:highlight w:val="none"/>
          <w:lang w:eastAsia="zh-CN"/>
        </w:rPr>
        <w:t>以下为签章页，无正文。</w:t>
      </w:r>
    </w:p>
    <w:tbl>
      <w:tblPr>
        <w:tblStyle w:val="36"/>
        <w:tblW w:w="876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80"/>
        <w:gridCol w:w="4380"/>
      </w:tblGrid>
      <w:tr w14:paraId="26D5B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82"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6EDA27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 xml:space="preserve">甲方（章）           </w:t>
            </w:r>
          </w:p>
          <w:p w14:paraId="455E3B9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p>
          <w:p w14:paraId="3BCF9A7F">
            <w:pPr>
              <w:keepNext w:val="0"/>
              <w:keepLines w:val="0"/>
              <w:pageBreakBefore w:val="0"/>
              <w:widowControl w:val="0"/>
              <w:kinsoku/>
              <w:wordWrap/>
              <w:overflowPunct/>
              <w:topLinePunct w:val="0"/>
              <w:autoSpaceDE/>
              <w:autoSpaceDN/>
              <w:bidi w:val="0"/>
              <w:adjustRightInd/>
              <w:snapToGrid/>
              <w:spacing w:line="440" w:lineRule="exact"/>
              <w:ind w:firstLine="1440"/>
              <w:jc w:val="righ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年   月   日</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3287DA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 xml:space="preserve">乙方（章）              </w:t>
            </w:r>
          </w:p>
          <w:p w14:paraId="164CC3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p>
          <w:p w14:paraId="1E07A86B">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 xml:space="preserve"> 年   月   日</w:t>
            </w:r>
          </w:p>
        </w:tc>
      </w:tr>
      <w:tr w14:paraId="2D82D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8"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03185F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单位地址：</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463E3D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单位地址：</w:t>
            </w:r>
          </w:p>
        </w:tc>
      </w:tr>
      <w:tr w14:paraId="30C9F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8"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1402A0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法定代表人（或委托代理人）：</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6F4941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法定代表人（或委托代理人）：</w:t>
            </w:r>
          </w:p>
        </w:tc>
      </w:tr>
      <w:tr w14:paraId="156B3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8"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091AC7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电话：</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0B4B24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电话：</w:t>
            </w:r>
          </w:p>
        </w:tc>
      </w:tr>
      <w:tr w14:paraId="2A9F2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8"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70BF8F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电子邮箱：</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4EED6D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电子邮箱：</w:t>
            </w:r>
          </w:p>
        </w:tc>
      </w:tr>
      <w:tr w14:paraId="74899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8"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27C39D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开户银行：</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283D62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开户银行：</w:t>
            </w:r>
          </w:p>
        </w:tc>
      </w:tr>
      <w:tr w14:paraId="11FD7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78"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1FCEA2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账号：</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1FA411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账号：</w:t>
            </w:r>
          </w:p>
        </w:tc>
      </w:tr>
      <w:tr w14:paraId="101C5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05" w:hRule="atLeast"/>
        </w:trPr>
        <w:tc>
          <w:tcPr>
            <w:tcW w:w="4380" w:type="dxa"/>
            <w:tcBorders>
              <w:top w:val="single" w:color="000000" w:sz="4" w:space="0"/>
              <w:left w:val="single" w:color="000000" w:sz="4" w:space="0"/>
              <w:bottom w:val="single" w:color="000000" w:sz="4" w:space="0"/>
              <w:right w:val="single" w:color="000000" w:sz="4" w:space="0"/>
            </w:tcBorders>
            <w:noWrap w:val="0"/>
            <w:vAlign w:val="center"/>
          </w:tcPr>
          <w:p w14:paraId="64B721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邮政编码：</w:t>
            </w:r>
          </w:p>
        </w:tc>
        <w:tc>
          <w:tcPr>
            <w:tcW w:w="4380" w:type="dxa"/>
            <w:tcBorders>
              <w:top w:val="single" w:color="000000" w:sz="4" w:space="0"/>
              <w:left w:val="single" w:color="000000" w:sz="4" w:space="0"/>
              <w:bottom w:val="single" w:color="000000" w:sz="4" w:space="0"/>
              <w:right w:val="single" w:color="000000" w:sz="4" w:space="0"/>
            </w:tcBorders>
            <w:noWrap w:val="0"/>
            <w:vAlign w:val="center"/>
          </w:tcPr>
          <w:p w14:paraId="3A5F15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邮政编码：</w:t>
            </w:r>
          </w:p>
        </w:tc>
      </w:tr>
    </w:tbl>
    <w:p w14:paraId="01628018">
      <w:pPr>
        <w:keepNext w:val="0"/>
        <w:keepLines w:val="0"/>
        <w:pageBreakBefore w:val="0"/>
        <w:widowControl w:val="0"/>
        <w:bidi w:val="0"/>
        <w:spacing w:line="520" w:lineRule="exact"/>
        <w:rPr>
          <w:rFonts w:hint="eastAsia" w:ascii="仿宋_GB2312" w:hAnsi="仿宋_GB2312" w:eastAsia="仿宋_GB2312" w:cs="仿宋_GB2312"/>
          <w:i w:val="0"/>
          <w:iCs w:val="0"/>
          <w:color w:val="auto"/>
          <w:sz w:val="24"/>
          <w:szCs w:val="24"/>
          <w:highlight w:val="none"/>
        </w:rPr>
      </w:pPr>
    </w:p>
    <w:p w14:paraId="4BDC374F">
      <w:pPr>
        <w:rPr>
          <w:i w:val="0"/>
          <w:iCs w:val="0"/>
          <w:color w:val="auto"/>
          <w:highlight w:val="none"/>
        </w:rPr>
      </w:pPr>
    </w:p>
    <w:p w14:paraId="5780BAF8">
      <w:pPr>
        <w:keepNext w:val="0"/>
        <w:keepLines w:val="0"/>
        <w:pageBreakBefore w:val="0"/>
        <w:widowControl w:val="0"/>
        <w:bidi w:val="0"/>
        <w:spacing w:line="520" w:lineRule="exact"/>
        <w:rPr>
          <w:rFonts w:hint="eastAsia" w:ascii="仿宋_GB2312" w:hAnsi="仿宋_GB2312" w:eastAsia="仿宋_GB2312" w:cs="仿宋_GB2312"/>
          <w:i w:val="0"/>
          <w:iCs w:val="0"/>
          <w:color w:val="auto"/>
          <w:sz w:val="24"/>
          <w:szCs w:val="24"/>
          <w:highlight w:val="none"/>
        </w:rPr>
      </w:pPr>
    </w:p>
    <w:sectPr>
      <w:footerReference r:id="rId8" w:type="first"/>
      <w:footerReference r:id="rId7" w:type="default"/>
      <w:pgSz w:w="11906" w:h="16838"/>
      <w:pgMar w:top="1440" w:right="1800" w:bottom="1440" w:left="1800"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4708B89-A5F7-401C-8AFB-7952AC48AC8E}"/>
  </w:font>
  <w:font w:name="黑体">
    <w:panose1 w:val="02010609060101010101"/>
    <w:charset w:val="86"/>
    <w:family w:val="auto"/>
    <w:pitch w:val="default"/>
    <w:sig w:usb0="800002BF" w:usb1="38CF7CFA" w:usb2="00000016" w:usb3="00000000" w:csb0="00040001" w:csb1="00000000"/>
    <w:embedRegular r:id="rId2" w:fontKey="{1BE17527-9F4D-4F6E-88EB-CB9A0FDF41E2}"/>
  </w:font>
  <w:font w:name="Courier New">
    <w:panose1 w:val="02070309020205020404"/>
    <w:charset w:val="01"/>
    <w:family w:val="modern"/>
    <w:pitch w:val="default"/>
    <w:sig w:usb0="E0002AFF" w:usb1="C0007843" w:usb2="00000009" w:usb3="00000000" w:csb0="400001FF" w:csb1="FFFF0000"/>
    <w:embedRegular r:id="rId3" w:fontKey="{D3B16051-C4EC-4FBA-94B5-48FE8B140D4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3E282AF5-64F1-41C4-824B-51A7167B9CE3}"/>
  </w:font>
  <w:font w:name="Arial MT">
    <w:altName w:val="Arial"/>
    <w:panose1 w:val="020B0604020202020204"/>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5" w:fontKey="{C484DD03-15B5-4C1B-9D34-925085626731}"/>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Tahoma">
    <w:panose1 w:val="020B0604030504040204"/>
    <w:charset w:val="00"/>
    <w:family w:val="auto"/>
    <w:pitch w:val="default"/>
    <w:sig w:usb0="E1002EFF" w:usb1="C000605B" w:usb2="00000029" w:usb3="00000000" w:csb0="200101FF" w:csb1="20280000"/>
    <w:embedRegular r:id="rId6" w:fontKey="{589C271C-FCF8-4D95-A87C-D7B85FA97D32}"/>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embedRegular r:id="rId7" w:fontKey="{A9B11C88-31CC-401E-BC7F-5345F2407264}"/>
  </w:font>
  <w:font w:name="华文新魏">
    <w:panose1 w:val="02010800040101010101"/>
    <w:charset w:val="86"/>
    <w:family w:val="auto"/>
    <w:pitch w:val="default"/>
    <w:sig w:usb0="00000001" w:usb1="080F0000" w:usb2="00000000" w:usb3="00000000" w:csb0="00040000" w:csb1="00000000"/>
    <w:embedRegular r:id="rId8" w:fontKey="{59F6160E-767B-4D31-B781-48C8830FA262}"/>
  </w:font>
  <w:font w:name="方正仿宋_GB2312">
    <w:panose1 w:val="02000000000000000000"/>
    <w:charset w:val="86"/>
    <w:family w:val="auto"/>
    <w:pitch w:val="default"/>
    <w:sig w:usb0="A00002BF" w:usb1="184F6CFA" w:usb2="00000012" w:usb3="00000000" w:csb0="00040001" w:csb1="00000000"/>
    <w:embedRegular r:id="rId9" w:fontKey="{827C5258-9237-409D-8E59-C65A2E4997A5}"/>
  </w:font>
  <w:font w:name="方正公文小标宋">
    <w:panose1 w:val="02000500000000000000"/>
    <w:charset w:val="86"/>
    <w:family w:val="auto"/>
    <w:pitch w:val="default"/>
    <w:sig w:usb0="A00002BF" w:usb1="38CF7CFA" w:usb2="00000016" w:usb3="00000000" w:csb0="00040001" w:csb1="00000000"/>
    <w:embedRegular r:id="rId10" w:fontKey="{8D93373F-B5AB-432B-BBFB-FDD8AA05F275}"/>
  </w:font>
  <w:font w:name="Wingdings 2">
    <w:panose1 w:val="05020102010507070707"/>
    <w:charset w:val="00"/>
    <w:family w:val="auto"/>
    <w:pitch w:val="default"/>
    <w:sig w:usb0="00000000" w:usb1="00000000" w:usb2="00000000" w:usb3="00000000" w:csb0="80000000" w:csb1="00000000"/>
    <w:embedRegular r:id="rId11" w:fontKey="{688B0B3B-0760-4967-9745-81AB188EAF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C8CD5">
    <w:pPr>
      <w:pStyle w:val="229"/>
      <w:tabs>
        <w:tab w:val="center" w:pos="4439"/>
      </w:tabs>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717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15A37E6C">
                          <w:pPr>
                            <w:pStyle w:val="229"/>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_x0000_s717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dH6lPxgEAAKgDAAAOAAAAAAAAAAEAIAAAAB4BAABkcnMvZTJvRG9jLnht&#10;bFBLBQYAAAAABgAGAFkBAABWBQAAAAA=&#10;">
              <v:fill on="f" focussize="0,0"/>
              <v:stroke on="f"/>
              <v:imagedata o:title=""/>
              <o:lock v:ext="edit" aspectratio="f"/>
              <v:textbox inset="0mm,0mm,0mm,0mm" style="mso-fit-shape-to-text:t;">
                <w:txbxContent>
                  <w:p w14:paraId="15A37E6C">
                    <w:pPr>
                      <w:pStyle w:val="229"/>
                    </w:pPr>
                    <w:r>
                      <w:fldChar w:fldCharType="begin"/>
                    </w:r>
                    <w:r>
                      <w:instrText xml:space="preserve"> PAGE  \* MERGEFORMAT </w:instrText>
                    </w:r>
                    <w:r>
                      <w:fldChar w:fldCharType="separate"/>
                    </w:r>
                    <w:r>
                      <w:t>2</w:t>
                    </w:r>
                    <w:r>
                      <w:fldChar w:fldCharType="end"/>
                    </w:r>
                  </w:p>
                </w:txbxContent>
              </v:textbox>
            </v:shape>
          </w:pict>
        </mc:Fallback>
      </mc:AlternateContent>
    </w:r>
  </w:p>
  <w:p w14:paraId="61559A63">
    <w:pPr>
      <w:pStyle w:val="2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84006">
    <w:pPr>
      <w:pStyle w:val="229"/>
      <w:tabs>
        <w:tab w:val="center" w:pos="4439"/>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717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264424B"/>
                      </w:txbxContent>
                    </wps:txbx>
                    <wps:bodyPr wrap="none" lIns="0" tIns="0" rIns="0" bIns="0" upright="1">
                      <a:spAutoFit/>
                    </wps:bodyPr>
                  </wps:wsp>
                </a:graphicData>
              </a:graphic>
            </wp:anchor>
          </w:drawing>
        </mc:Choice>
        <mc:Fallback>
          <w:pict>
            <v:shape id="_x0000_s717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dfE6zccBAACoAwAADgAAAAAAAAABACAAAAAeAQAAZHJzL2Uyb0RvYy54&#10;bWxQSwUGAAAAAAYABgBZAQAAVwUAAAAA&#10;">
              <v:fill on="f" focussize="0,0"/>
              <v:stroke on="f"/>
              <v:imagedata o:title=""/>
              <o:lock v:ext="edit" aspectratio="f"/>
              <v:textbox inset="0mm,0mm,0mm,0mm" style="mso-fit-shape-to-text:t;">
                <w:txbxContent>
                  <w:p w14:paraId="2264424B"/>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ACB55">
    <w:pPr>
      <w:pStyle w:val="22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716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C0B4E06">
                          <w:pPr>
                            <w:pStyle w:val="229"/>
                            <w:jc w:val="center"/>
                          </w:pPr>
                          <w:r>
                            <w:fldChar w:fldCharType="begin"/>
                          </w:r>
                          <w:r>
                            <w:instrText xml:space="preserve"> PAGE  \* MERGEFORMAT </w:instrText>
                          </w:r>
                          <w:r>
                            <w:fldChar w:fldCharType="separate"/>
                          </w:r>
                          <w:r>
                            <w:t>60</w:t>
                          </w:r>
                          <w:r>
                            <w:fldChar w:fldCharType="end"/>
                          </w:r>
                        </w:p>
                      </w:txbxContent>
                    </wps:txbx>
                    <wps:bodyPr wrap="none" lIns="0" tIns="0" rIns="0" bIns="0" upright="1">
                      <a:spAutoFit/>
                    </wps:bodyPr>
                  </wps:wsp>
                </a:graphicData>
              </a:graphic>
            </wp:anchor>
          </w:drawing>
        </mc:Choice>
        <mc:Fallback>
          <w:pict>
            <v:shape id="_x0000_s716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xNwy3IAQAAqAMAAA4AAAAAAAAAAQAgAAAAHgEAAGRycy9lMm9Eb2Mu&#10;eG1sUEsFBgAAAAAGAAYAWQEAAFgFAAAAAA==&#10;">
              <v:fill on="f" focussize="0,0"/>
              <v:stroke on="f"/>
              <v:imagedata o:title=""/>
              <o:lock v:ext="edit" aspectratio="f"/>
              <v:textbox inset="0mm,0mm,0mm,0mm" style="mso-fit-shape-to-text:t;">
                <w:txbxContent>
                  <w:p w14:paraId="0C0B4E06">
                    <w:pPr>
                      <w:pStyle w:val="229"/>
                      <w:jc w:val="center"/>
                    </w:pPr>
                    <w:r>
                      <w:fldChar w:fldCharType="begin"/>
                    </w:r>
                    <w:r>
                      <w:instrText xml:space="preserve"> PAGE  \* MERGEFORMAT </w:instrText>
                    </w:r>
                    <w:r>
                      <w:fldChar w:fldCharType="separate"/>
                    </w:r>
                    <w:r>
                      <w:t>60</w:t>
                    </w:r>
                    <w:r>
                      <w:fldChar w:fldCharType="end"/>
                    </w:r>
                  </w:p>
                </w:txbxContent>
              </v:textbox>
            </v:shape>
          </w:pict>
        </mc:Fallback>
      </mc:AlternateContent>
    </w:r>
  </w:p>
  <w:p w14:paraId="66B54035">
    <w:pPr>
      <w:pStyle w:val="2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AA3AC">
    <w:pPr>
      <w:pStyle w:val="2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717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607316A5">
                          <w:pPr>
                            <w:pStyle w:val="229"/>
                            <w:rPr>
                              <w:rFonts w:hint="eastAsia"/>
                            </w:rPr>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txbxContent>
                    </wps:txbx>
                    <wps:bodyPr wrap="none" lIns="0" tIns="0" rIns="0" bIns="0" upright="1">
                      <a:spAutoFit/>
                    </wps:bodyPr>
                  </wps:wsp>
                </a:graphicData>
              </a:graphic>
            </wp:anchor>
          </w:drawing>
        </mc:Choice>
        <mc:Fallback>
          <w:pict>
            <v:shape id="_x0000_s717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kgXyS8cBAACoAwAADgAAAAAAAAABACAAAAAeAQAAZHJzL2Uyb0RvYy54&#10;bWxQSwUGAAAAAAYABgBZAQAAVwUAAAAA&#10;">
              <v:fill on="f" focussize="0,0"/>
              <v:stroke on="f"/>
              <v:imagedata o:title=""/>
              <o:lock v:ext="edit" aspectratio="f"/>
              <v:textbox inset="0mm,0mm,0mm,0mm" style="mso-fit-shape-to-text:t;">
                <w:txbxContent>
                  <w:p w14:paraId="607316A5">
                    <w:pPr>
                      <w:pStyle w:val="229"/>
                      <w:rPr>
                        <w:rFonts w:hint="eastAsia"/>
                      </w:rPr>
                    </w:pPr>
                    <w:r>
                      <w:rPr>
                        <w:rFonts w:hint="eastAsia"/>
                      </w:rPr>
                      <w:fldChar w:fldCharType="begin"/>
                    </w:r>
                    <w:r>
                      <w:rPr>
                        <w:rFonts w:hint="eastAsia"/>
                      </w:rPr>
                      <w:instrText xml:space="preserve"> PAGE  \* MERGEFORMAT </w:instrText>
                    </w:r>
                    <w:r>
                      <w:rPr>
                        <w:rFonts w:hint="eastAsia"/>
                      </w:rPr>
                      <w:fldChar w:fldCharType="separate"/>
                    </w:r>
                    <w:r>
                      <w:t>84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AB9DA">
    <w:pPr>
      <w:pStyle w:val="231"/>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EB738">
    <w:pPr>
      <w:pStyle w:val="231"/>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97A7B"/>
    <w:multiLevelType w:val="multilevel"/>
    <w:tmpl w:val="EFA97A7B"/>
    <w:lvl w:ilvl="0" w:tentative="0">
      <w:start w:val="1"/>
      <w:numFmt w:val="chineseCounting"/>
      <w:suff w:val="nothing"/>
      <w:lvlText w:val="%1、"/>
      <w:lvlJc w:val="left"/>
      <w:pPr>
        <w:ind w:left="0" w:firstLine="480"/>
      </w:pPr>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FD7BC0F0"/>
    <w:multiLevelType w:val="multilevel"/>
    <w:tmpl w:val="FD7BC0F0"/>
    <w:lvl w:ilvl="0" w:tentative="0">
      <w:start w:val="1"/>
      <w:numFmt w:val="chineseCounting"/>
      <w:suff w:val="nothing"/>
      <w:lvlText w:val="第%1章 "/>
      <w:lvlJc w:val="left"/>
      <w:pPr>
        <w:tabs>
          <w:tab w:val="left" w:pos="0"/>
        </w:tabs>
        <w:ind w:left="0" w:firstLine="0"/>
      </w:pPr>
      <w:rPr>
        <w:rFonts w:hint="eastAsia" w:ascii="黑体" w:hAnsi="黑体" w:eastAsia="黑体" w:cs="黑体"/>
        <w:sz w:val="44"/>
        <w:szCs w:val="44"/>
      </w:rPr>
    </w:lvl>
    <w:lvl w:ilvl="1" w:tentative="0">
      <w:start w:val="1"/>
      <w:numFmt w:val="chineseCounting"/>
      <w:suff w:val="nothing"/>
      <w:lvlText w:val="%2、"/>
      <w:lvlJc w:val="left"/>
      <w:pPr>
        <w:tabs>
          <w:tab w:val="left" w:pos="0"/>
        </w:tabs>
        <w:ind w:left="0" w:firstLine="0"/>
      </w:pPr>
      <w:rPr>
        <w:rFonts w:hint="eastAsia" w:ascii="黑体" w:hAnsi="黑体" w:eastAsia="黑体"/>
        <w:sz w:val="32"/>
      </w:rPr>
    </w:lvl>
    <w:lvl w:ilvl="2" w:tentative="0">
      <w:start w:val="1"/>
      <w:numFmt w:val="decimal"/>
      <w:pStyle w:val="209"/>
      <w:suff w:val="nothing"/>
      <w:lvlText w:val="%3."/>
      <w:lvlJc w:val="left"/>
      <w:pPr>
        <w:tabs>
          <w:tab w:val="left" w:pos="0"/>
        </w:tabs>
        <w:ind w:left="0" w:firstLine="400"/>
      </w:pPr>
      <w:rPr>
        <w:rFonts w:hint="eastAsia" w:ascii="黑体" w:hAnsi="黑体" w:eastAsia="黑体"/>
        <w:sz w:val="30"/>
      </w:rPr>
    </w:lvl>
    <w:lvl w:ilvl="3" w:tentative="0">
      <w:start w:val="1"/>
      <w:numFmt w:val="decimal"/>
      <w:suff w:val="nothing"/>
      <w:lvlText w:val="（%4）"/>
      <w:lvlJc w:val="left"/>
      <w:pPr>
        <w:tabs>
          <w:tab w:val="left" w:pos="0"/>
        </w:tabs>
        <w:ind w:left="0" w:firstLine="402"/>
      </w:pPr>
      <w:rPr>
        <w:rFonts w:hint="eastAsia" w:ascii="黑体" w:hAnsi="黑体" w:eastAsia="黑体"/>
      </w:rPr>
    </w:lvl>
    <w:lvl w:ilvl="4" w:tentative="0">
      <w:start w:val="1"/>
      <w:numFmt w:val="decimalEnclosedCircleChinese"/>
      <w:suff w:val="nothing"/>
      <w:lvlText w:val="%5"/>
      <w:lvlJc w:val="left"/>
      <w:pPr>
        <w:tabs>
          <w:tab w:val="left" w:pos="0"/>
        </w:tabs>
        <w:ind w:left="0" w:firstLine="402"/>
      </w:pPr>
      <w:rPr>
        <w:rFonts w:hint="eastAsia" w:ascii="黑体" w:hAnsi="黑体" w:eastAsia="黑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00B23849"/>
    <w:multiLevelType w:val="multilevel"/>
    <w:tmpl w:val="00B23849"/>
    <w:lvl w:ilvl="0" w:tentative="0">
      <w:start w:val="4"/>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01B36A88"/>
    <w:multiLevelType w:val="multilevel"/>
    <w:tmpl w:val="01B36A88"/>
    <w:lvl w:ilvl="0" w:tentative="0">
      <w:start w:val="1"/>
      <w:numFmt w:val="decimal"/>
      <w:lvlText w:val="%1."/>
      <w:lvlJc w:val="left"/>
      <w:pPr>
        <w:tabs>
          <w:tab w:val="left" w:pos="210"/>
        </w:tabs>
        <w:ind w:left="0" w:firstLine="482"/>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074C7C65"/>
    <w:multiLevelType w:val="multilevel"/>
    <w:tmpl w:val="074C7C65"/>
    <w:lvl w:ilvl="0" w:tentative="0">
      <w:start w:val="1"/>
      <w:numFmt w:val="decimal"/>
      <w:lvlText w:val="%1."/>
      <w:lvlJc w:val="left"/>
      <w:pPr>
        <w:tabs>
          <w:tab w:val="left" w:pos="210"/>
        </w:tabs>
        <w:ind w:left="0" w:firstLine="482"/>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0FE69A67"/>
    <w:multiLevelType w:val="multilevel"/>
    <w:tmpl w:val="0FE69A67"/>
    <w:lvl w:ilvl="0" w:tentative="0">
      <w:start w:val="1"/>
      <w:numFmt w:val="decimal"/>
      <w:lvlText w:val="%1."/>
      <w:lvlJc w:val="left"/>
      <w:pPr>
        <w:tabs>
          <w:tab w:val="left" w:pos="210"/>
        </w:tabs>
        <w:ind w:left="0" w:firstLine="482"/>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6">
    <w:nsid w:val="2830E9D6"/>
    <w:multiLevelType w:val="multilevel"/>
    <w:tmpl w:val="2830E9D6"/>
    <w:lvl w:ilvl="0" w:tentative="0">
      <w:start w:val="1"/>
      <w:numFmt w:val="decimal"/>
      <w:lvlText w:val="%1."/>
      <w:lvlJc w:val="left"/>
      <w:pPr>
        <w:tabs>
          <w:tab w:val="left" w:pos="21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33ED8567"/>
    <w:multiLevelType w:val="multilevel"/>
    <w:tmpl w:val="33ED8567"/>
    <w:lvl w:ilvl="0" w:tentative="0">
      <w:start w:val="1"/>
      <w:numFmt w:val="decimal"/>
      <w:lvlText w:val="%1."/>
      <w:lvlJc w:val="left"/>
      <w:pPr>
        <w:tabs>
          <w:tab w:val="left" w:pos="210"/>
        </w:tabs>
        <w:ind w:left="0" w:firstLine="482"/>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450C12F6"/>
    <w:multiLevelType w:val="multilevel"/>
    <w:tmpl w:val="450C12F6"/>
    <w:lvl w:ilvl="0" w:tentative="0">
      <w:start w:val="1"/>
      <w:numFmt w:val="decimal"/>
      <w:lvlText w:val="%1."/>
      <w:lvlJc w:val="left"/>
      <w:pPr>
        <w:tabs>
          <w:tab w:val="left" w:pos="21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9">
    <w:nsid w:val="477C8688"/>
    <w:multiLevelType w:val="singleLevel"/>
    <w:tmpl w:val="477C8688"/>
    <w:lvl w:ilvl="0" w:tentative="0">
      <w:start w:val="14"/>
      <w:numFmt w:val="chineseCounting"/>
      <w:suff w:val="nothing"/>
      <w:lvlText w:val="第%1条　"/>
      <w:lvlJc w:val="left"/>
      <w:rPr>
        <w:rFonts w:hint="eastAsia"/>
      </w:rPr>
    </w:lvl>
  </w:abstractNum>
  <w:num w:numId="1">
    <w:abstractNumId w:val="1"/>
  </w:num>
  <w:num w:numId="2">
    <w:abstractNumId w:val="2"/>
  </w:num>
  <w:num w:numId="3">
    <w:abstractNumId w:val="7"/>
  </w:num>
  <w:num w:numId="4">
    <w:abstractNumId w:val="6"/>
  </w:num>
  <w:num w:numId="5">
    <w:abstractNumId w:val="8"/>
  </w:num>
  <w:num w:numId="6">
    <w:abstractNumId w:val="3"/>
  </w:num>
  <w:num w:numId="7">
    <w:abstractNumId w:val="5"/>
  </w:num>
  <w:num w:numId="8">
    <w:abstractNumId w:val="0"/>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234F9"/>
    <w:rsid w:val="01FD62E0"/>
    <w:rsid w:val="022E5E86"/>
    <w:rsid w:val="04657553"/>
    <w:rsid w:val="04B57847"/>
    <w:rsid w:val="055D4CF2"/>
    <w:rsid w:val="05B82AE4"/>
    <w:rsid w:val="069A65B0"/>
    <w:rsid w:val="07AC4274"/>
    <w:rsid w:val="082C2ED8"/>
    <w:rsid w:val="08447661"/>
    <w:rsid w:val="088938AB"/>
    <w:rsid w:val="08D03AAE"/>
    <w:rsid w:val="09D43B87"/>
    <w:rsid w:val="0B64138A"/>
    <w:rsid w:val="0B854CB3"/>
    <w:rsid w:val="0CAA5073"/>
    <w:rsid w:val="0E1C145A"/>
    <w:rsid w:val="0E653000"/>
    <w:rsid w:val="0EFA6181"/>
    <w:rsid w:val="0FC5047B"/>
    <w:rsid w:val="10895467"/>
    <w:rsid w:val="109E39DC"/>
    <w:rsid w:val="10B25B1B"/>
    <w:rsid w:val="11E46932"/>
    <w:rsid w:val="123F4C78"/>
    <w:rsid w:val="13144C8A"/>
    <w:rsid w:val="13DE55F9"/>
    <w:rsid w:val="149363ED"/>
    <w:rsid w:val="14D266A8"/>
    <w:rsid w:val="17191AAC"/>
    <w:rsid w:val="17E52ABC"/>
    <w:rsid w:val="189015C1"/>
    <w:rsid w:val="18B371BD"/>
    <w:rsid w:val="18B45463"/>
    <w:rsid w:val="18C77458"/>
    <w:rsid w:val="19832335"/>
    <w:rsid w:val="1A316EC1"/>
    <w:rsid w:val="1A834927"/>
    <w:rsid w:val="1BCB2F91"/>
    <w:rsid w:val="1C1A2435"/>
    <w:rsid w:val="1D2441FA"/>
    <w:rsid w:val="1D446A9B"/>
    <w:rsid w:val="1D54181B"/>
    <w:rsid w:val="1E5863F5"/>
    <w:rsid w:val="1E6E5CC1"/>
    <w:rsid w:val="1F0B272B"/>
    <w:rsid w:val="1F579848"/>
    <w:rsid w:val="20FD3168"/>
    <w:rsid w:val="249266C1"/>
    <w:rsid w:val="2501527E"/>
    <w:rsid w:val="26700873"/>
    <w:rsid w:val="270017D6"/>
    <w:rsid w:val="270D3E41"/>
    <w:rsid w:val="294A30C6"/>
    <w:rsid w:val="29521CCC"/>
    <w:rsid w:val="29EA13DF"/>
    <w:rsid w:val="2A081929"/>
    <w:rsid w:val="2AA8279A"/>
    <w:rsid w:val="2B8878D2"/>
    <w:rsid w:val="2BF76407"/>
    <w:rsid w:val="2C380380"/>
    <w:rsid w:val="2CA43435"/>
    <w:rsid w:val="2CC3523C"/>
    <w:rsid w:val="2D776454"/>
    <w:rsid w:val="2EDA313F"/>
    <w:rsid w:val="30265693"/>
    <w:rsid w:val="307A05E7"/>
    <w:rsid w:val="307B6271"/>
    <w:rsid w:val="3232497F"/>
    <w:rsid w:val="32955728"/>
    <w:rsid w:val="32ED680E"/>
    <w:rsid w:val="33D63F8B"/>
    <w:rsid w:val="340C5B48"/>
    <w:rsid w:val="35442412"/>
    <w:rsid w:val="35BC085A"/>
    <w:rsid w:val="35D259FB"/>
    <w:rsid w:val="366F0610"/>
    <w:rsid w:val="389E2594"/>
    <w:rsid w:val="390E5EBF"/>
    <w:rsid w:val="3AC801F5"/>
    <w:rsid w:val="3B044079"/>
    <w:rsid w:val="3B5D74A6"/>
    <w:rsid w:val="3BC907C3"/>
    <w:rsid w:val="3C2B5872"/>
    <w:rsid w:val="3C30439E"/>
    <w:rsid w:val="3D5A20FB"/>
    <w:rsid w:val="3DD551FD"/>
    <w:rsid w:val="3E75330B"/>
    <w:rsid w:val="3F560272"/>
    <w:rsid w:val="43E31EB1"/>
    <w:rsid w:val="44421112"/>
    <w:rsid w:val="445B51E7"/>
    <w:rsid w:val="44906FD3"/>
    <w:rsid w:val="4492661D"/>
    <w:rsid w:val="45451BA3"/>
    <w:rsid w:val="46B300A5"/>
    <w:rsid w:val="47375A38"/>
    <w:rsid w:val="474B0ECA"/>
    <w:rsid w:val="47C11E6D"/>
    <w:rsid w:val="47C9569D"/>
    <w:rsid w:val="47CE1016"/>
    <w:rsid w:val="484F0807"/>
    <w:rsid w:val="487C18F9"/>
    <w:rsid w:val="48BE3891"/>
    <w:rsid w:val="49DA528B"/>
    <w:rsid w:val="4A7728F0"/>
    <w:rsid w:val="4A9A555E"/>
    <w:rsid w:val="4B773D97"/>
    <w:rsid w:val="4C3C3F35"/>
    <w:rsid w:val="4C6D6718"/>
    <w:rsid w:val="4DCA5DBC"/>
    <w:rsid w:val="4F226516"/>
    <w:rsid w:val="4F2A5D4B"/>
    <w:rsid w:val="4FB56C3C"/>
    <w:rsid w:val="4FB629B4"/>
    <w:rsid w:val="50D41344"/>
    <w:rsid w:val="50E00C25"/>
    <w:rsid w:val="51490189"/>
    <w:rsid w:val="518C7D55"/>
    <w:rsid w:val="51E8779D"/>
    <w:rsid w:val="520003B7"/>
    <w:rsid w:val="537E4C2F"/>
    <w:rsid w:val="564C7BCE"/>
    <w:rsid w:val="56520B3C"/>
    <w:rsid w:val="568B4B9B"/>
    <w:rsid w:val="5945181B"/>
    <w:rsid w:val="59AC047A"/>
    <w:rsid w:val="5A403808"/>
    <w:rsid w:val="5BAB60E1"/>
    <w:rsid w:val="5BD42B40"/>
    <w:rsid w:val="5BE826B4"/>
    <w:rsid w:val="5E107633"/>
    <w:rsid w:val="5F4F0F88"/>
    <w:rsid w:val="5F5A0896"/>
    <w:rsid w:val="5F954394"/>
    <w:rsid w:val="5FFC8C60"/>
    <w:rsid w:val="622A30E9"/>
    <w:rsid w:val="62E80C7F"/>
    <w:rsid w:val="643423CE"/>
    <w:rsid w:val="65765CD8"/>
    <w:rsid w:val="669F7A98"/>
    <w:rsid w:val="66CE5E35"/>
    <w:rsid w:val="672F7D25"/>
    <w:rsid w:val="673503FE"/>
    <w:rsid w:val="68AF443A"/>
    <w:rsid w:val="6ACE616C"/>
    <w:rsid w:val="6C853825"/>
    <w:rsid w:val="72674753"/>
    <w:rsid w:val="73432763"/>
    <w:rsid w:val="7371C996"/>
    <w:rsid w:val="743E1047"/>
    <w:rsid w:val="74C86751"/>
    <w:rsid w:val="75FE6672"/>
    <w:rsid w:val="7820118F"/>
    <w:rsid w:val="7A0235FC"/>
    <w:rsid w:val="7B484E73"/>
    <w:rsid w:val="7C1D11E6"/>
    <w:rsid w:val="7F444186"/>
    <w:rsid w:val="AD75422D"/>
    <w:rsid w:val="FBBE48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71"/>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4">
    <w:name w:val="heading 1"/>
    <w:basedOn w:val="1"/>
    <w:next w:val="1"/>
    <w:link w:val="180"/>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5">
    <w:name w:val="heading 2"/>
    <w:basedOn w:val="1"/>
    <w:next w:val="1"/>
    <w:link w:val="181"/>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6">
    <w:name w:val="heading 3"/>
    <w:basedOn w:val="1"/>
    <w:next w:val="1"/>
    <w:link w:val="182"/>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7">
    <w:name w:val="heading 4"/>
    <w:basedOn w:val="1"/>
    <w:next w:val="1"/>
    <w:link w:val="183"/>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8">
    <w:name w:val="heading 5"/>
    <w:basedOn w:val="1"/>
    <w:next w:val="1"/>
    <w:link w:val="184"/>
    <w:unhideWhenUsed/>
    <w:qFormat/>
    <w:uiPriority w:val="9"/>
    <w:pPr>
      <w:keepNext/>
      <w:keepLines/>
      <w:spacing w:before="80" w:after="40"/>
      <w:outlineLvl w:val="4"/>
    </w:pPr>
    <w:rPr>
      <w:rFonts w:ascii="Arial" w:hAnsi="Arial" w:eastAsia="Arial" w:cs="Arial"/>
      <w:color w:val="376092" w:themeColor="accent1" w:themeShade="BF"/>
    </w:rPr>
  </w:style>
  <w:style w:type="paragraph" w:styleId="9">
    <w:name w:val="heading 6"/>
    <w:basedOn w:val="1"/>
    <w:next w:val="1"/>
    <w:link w:val="185"/>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86"/>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87"/>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88"/>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Body Text"/>
    <w:basedOn w:val="1"/>
    <w:next w:val="3"/>
    <w:qFormat/>
    <w:uiPriority w:val="0"/>
    <w:pPr>
      <w:widowControl w:val="0"/>
      <w:spacing w:after="120" w:afterAutospacing="0" w:line="360" w:lineRule="auto"/>
      <w:ind w:firstLine="420"/>
    </w:pPr>
    <w:rPr>
      <w:rFonts w:hint="default" w:ascii="Times New Roman" w:hAnsi="Times New Roman" w:eastAsia="宋体" w:cs="Times New Roman"/>
      <w:sz w:val="24"/>
    </w:rPr>
  </w:style>
  <w:style w:type="paragraph" w:customStyle="1" w:styleId="3">
    <w:name w:val="Default"/>
    <w:next w:val="1"/>
    <w:qFormat/>
    <w:uiPriority w:val="0"/>
    <w:pPr>
      <w:widowControl w:val="0"/>
    </w:pPr>
    <w:rPr>
      <w:rFonts w:hint="default" w:ascii="Arial MT" w:hAnsi="Times New Roman" w:eastAsia="Arial MT" w:cs="Arial MT"/>
      <w:color w:val="000000"/>
      <w:sz w:val="24"/>
      <w:szCs w:val="24"/>
      <w:lang w:val="en-US" w:eastAsia="en-US" w:bidi="ar-SA"/>
    </w:rPr>
  </w:style>
  <w:style w:type="paragraph" w:styleId="13">
    <w:name w:val="toc 7"/>
    <w:basedOn w:val="1"/>
    <w:next w:val="1"/>
    <w:unhideWhenUsed/>
    <w:qFormat/>
    <w:uiPriority w:val="39"/>
    <w:pPr>
      <w:spacing w:after="100"/>
      <w:ind w:left="1320"/>
    </w:pPr>
  </w:style>
  <w:style w:type="paragraph" w:styleId="14">
    <w:name w:val="Normal Indent"/>
    <w:basedOn w:val="1"/>
    <w:next w:val="15"/>
    <w:qFormat/>
    <w:uiPriority w:val="0"/>
    <w:pPr>
      <w:ind w:firstLine="420"/>
    </w:pPr>
    <w:rPr>
      <w:szCs w:val="20"/>
    </w:rPr>
  </w:style>
  <w:style w:type="paragraph" w:styleId="15">
    <w:name w:val="annotation subject"/>
    <w:basedOn w:val="16"/>
    <w:next w:val="17"/>
    <w:qFormat/>
    <w:uiPriority w:val="99"/>
    <w:rPr>
      <w:b/>
      <w:bCs/>
    </w:rPr>
  </w:style>
  <w:style w:type="paragraph" w:styleId="16">
    <w:name w:val="annotation text"/>
    <w:basedOn w:val="1"/>
    <w:semiHidden/>
    <w:unhideWhenUsed/>
    <w:qFormat/>
    <w:uiPriority w:val="99"/>
    <w:pPr>
      <w:jc w:val="left"/>
    </w:pPr>
  </w:style>
  <w:style w:type="paragraph" w:styleId="17">
    <w:name w:val="Body Text Indent"/>
    <w:basedOn w:val="1"/>
    <w:next w:val="18"/>
    <w:qFormat/>
    <w:uiPriority w:val="0"/>
    <w:pPr>
      <w:ind w:firstLine="830" w:firstLineChars="352"/>
    </w:pPr>
    <w:rPr>
      <w:rFonts w:ascii="仿宋_GB2312" w:eastAsia="仿宋_GB2312"/>
      <w:kern w:val="0"/>
      <w:sz w:val="32"/>
      <w:szCs w:val="20"/>
    </w:rPr>
  </w:style>
  <w:style w:type="paragraph" w:styleId="18">
    <w:name w:val="Normal (Web)"/>
    <w:basedOn w:val="1"/>
    <w:semiHidden/>
    <w:unhideWhenUsed/>
    <w:qFormat/>
    <w:uiPriority w:val="99"/>
    <w:pPr>
      <w:spacing w:before="0" w:beforeAutospacing="1" w:after="0" w:afterAutospacing="1"/>
      <w:ind w:left="0" w:right="0"/>
      <w:jc w:val="left"/>
    </w:pPr>
    <w:rPr>
      <w:sz w:val="24"/>
      <w:lang w:val="en-US" w:eastAsia="zh-CN" w:bidi="ar"/>
    </w:rPr>
  </w:style>
  <w:style w:type="paragraph" w:styleId="19">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20">
    <w:name w:val="toc 5"/>
    <w:basedOn w:val="1"/>
    <w:next w:val="1"/>
    <w:unhideWhenUsed/>
    <w:qFormat/>
    <w:uiPriority w:val="39"/>
    <w:pPr>
      <w:spacing w:after="100"/>
      <w:ind w:left="880"/>
    </w:pPr>
  </w:style>
  <w:style w:type="paragraph" w:styleId="21">
    <w:name w:val="toc 3"/>
    <w:basedOn w:val="1"/>
    <w:next w:val="1"/>
    <w:unhideWhenUsed/>
    <w:qFormat/>
    <w:uiPriority w:val="39"/>
    <w:pPr>
      <w:spacing w:after="100"/>
      <w:ind w:left="440"/>
    </w:pPr>
  </w:style>
  <w:style w:type="paragraph" w:styleId="22">
    <w:name w:val="toc 8"/>
    <w:basedOn w:val="1"/>
    <w:next w:val="1"/>
    <w:unhideWhenUsed/>
    <w:qFormat/>
    <w:uiPriority w:val="39"/>
    <w:pPr>
      <w:spacing w:after="100"/>
      <w:ind w:left="1540"/>
    </w:pPr>
  </w:style>
  <w:style w:type="paragraph" w:styleId="23">
    <w:name w:val="endnote text"/>
    <w:basedOn w:val="1"/>
    <w:link w:val="205"/>
    <w:semiHidden/>
    <w:unhideWhenUsed/>
    <w:qFormat/>
    <w:uiPriority w:val="99"/>
    <w:pPr>
      <w:spacing w:after="0" w:line="240" w:lineRule="auto"/>
    </w:pPr>
    <w:rPr>
      <w:sz w:val="20"/>
      <w:szCs w:val="20"/>
    </w:rPr>
  </w:style>
  <w:style w:type="paragraph" w:styleId="24">
    <w:name w:val="footer"/>
    <w:basedOn w:val="1"/>
    <w:link w:val="203"/>
    <w:unhideWhenUsed/>
    <w:qFormat/>
    <w:uiPriority w:val="99"/>
    <w:pPr>
      <w:tabs>
        <w:tab w:val="center" w:pos="4844"/>
        <w:tab w:val="right" w:pos="9689"/>
      </w:tabs>
      <w:spacing w:after="0" w:line="240" w:lineRule="auto"/>
    </w:pPr>
  </w:style>
  <w:style w:type="paragraph" w:styleId="25">
    <w:name w:val="header"/>
    <w:basedOn w:val="1"/>
    <w:link w:val="202"/>
    <w:unhideWhenUsed/>
    <w:qFormat/>
    <w:uiPriority w:val="99"/>
    <w:pPr>
      <w:tabs>
        <w:tab w:val="center" w:pos="4844"/>
        <w:tab w:val="right" w:pos="9689"/>
      </w:tabs>
      <w:spacing w:after="0" w:line="240" w:lineRule="auto"/>
    </w:pPr>
  </w:style>
  <w:style w:type="paragraph" w:styleId="26">
    <w:name w:val="toc 1"/>
    <w:basedOn w:val="1"/>
    <w:next w:val="1"/>
    <w:unhideWhenUsed/>
    <w:qFormat/>
    <w:uiPriority w:val="39"/>
    <w:pPr>
      <w:spacing w:after="100"/>
    </w:pPr>
  </w:style>
  <w:style w:type="paragraph" w:styleId="27">
    <w:name w:val="toc 4"/>
    <w:basedOn w:val="1"/>
    <w:next w:val="1"/>
    <w:unhideWhenUsed/>
    <w:qFormat/>
    <w:uiPriority w:val="39"/>
    <w:pPr>
      <w:spacing w:after="100"/>
      <w:ind w:left="660"/>
    </w:pPr>
  </w:style>
  <w:style w:type="paragraph" w:styleId="28">
    <w:name w:val="Subtitle"/>
    <w:basedOn w:val="1"/>
    <w:next w:val="1"/>
    <w:link w:val="19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9">
    <w:name w:val="footnote text"/>
    <w:basedOn w:val="1"/>
    <w:link w:val="204"/>
    <w:semiHidden/>
    <w:unhideWhenUsed/>
    <w:qFormat/>
    <w:uiPriority w:val="99"/>
    <w:pPr>
      <w:spacing w:after="0" w:line="240" w:lineRule="auto"/>
    </w:pPr>
    <w:rPr>
      <w:sz w:val="20"/>
      <w:szCs w:val="20"/>
    </w:rPr>
  </w:style>
  <w:style w:type="paragraph" w:styleId="30">
    <w:name w:val="toc 6"/>
    <w:basedOn w:val="1"/>
    <w:next w:val="1"/>
    <w:unhideWhenUsed/>
    <w:qFormat/>
    <w:uiPriority w:val="39"/>
    <w:pPr>
      <w:spacing w:after="100"/>
      <w:ind w:left="1100"/>
    </w:pPr>
  </w:style>
  <w:style w:type="paragraph" w:styleId="31">
    <w:name w:val="table of figures"/>
    <w:basedOn w:val="1"/>
    <w:next w:val="1"/>
    <w:unhideWhenUsed/>
    <w:qFormat/>
    <w:uiPriority w:val="99"/>
    <w:pPr>
      <w:spacing w:after="0" w:afterAutospacing="0"/>
    </w:pPr>
  </w:style>
  <w:style w:type="paragraph" w:styleId="32">
    <w:name w:val="toc 2"/>
    <w:basedOn w:val="1"/>
    <w:next w:val="1"/>
    <w:unhideWhenUsed/>
    <w:qFormat/>
    <w:uiPriority w:val="39"/>
    <w:pPr>
      <w:spacing w:after="100"/>
      <w:ind w:left="220"/>
    </w:pPr>
  </w:style>
  <w:style w:type="paragraph" w:styleId="33">
    <w:name w:val="toc 9"/>
    <w:basedOn w:val="1"/>
    <w:next w:val="1"/>
    <w:unhideWhenUsed/>
    <w:qFormat/>
    <w:uiPriority w:val="39"/>
    <w:pPr>
      <w:spacing w:after="100"/>
      <w:ind w:left="1760"/>
    </w:pPr>
  </w:style>
  <w:style w:type="paragraph" w:styleId="34">
    <w:name w:val="Title"/>
    <w:basedOn w:val="1"/>
    <w:next w:val="1"/>
    <w:link w:val="189"/>
    <w:qFormat/>
    <w:uiPriority w:val="10"/>
    <w:pPr>
      <w:spacing w:after="80" w:line="240" w:lineRule="auto"/>
      <w:contextualSpacing/>
    </w:pPr>
    <w:rPr>
      <w:rFonts w:ascii="Arial" w:hAnsi="Arial" w:eastAsia="Arial" w:cs="Arial"/>
      <w:spacing w:val="-10"/>
      <w:sz w:val="56"/>
      <w:szCs w:val="56"/>
    </w:rPr>
  </w:style>
  <w:style w:type="paragraph" w:styleId="35">
    <w:name w:val="Body Text First Indent 2"/>
    <w:basedOn w:val="1"/>
    <w:unhideWhenUsed/>
    <w:qFormat/>
    <w:uiPriority w:val="99"/>
    <w:pPr>
      <w:ind w:left="0" w:leftChars="0" w:firstLine="420" w:firstLineChars="200"/>
    </w:pPr>
    <w:rPr>
      <w:rFonts w:ascii="仿宋" w:hAnsi="仿宋"/>
    </w:rPr>
  </w:style>
  <w:style w:type="table" w:styleId="37">
    <w:name w:val="Table Grid"/>
    <w:basedOn w:val="36"/>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9">
    <w:name w:val="Strong"/>
    <w:basedOn w:val="38"/>
    <w:qFormat/>
    <w:uiPriority w:val="22"/>
    <w:rPr>
      <w:b/>
      <w:bCs/>
    </w:rPr>
  </w:style>
  <w:style w:type="character" w:styleId="40">
    <w:name w:val="endnote reference"/>
    <w:basedOn w:val="38"/>
    <w:semiHidden/>
    <w:unhideWhenUsed/>
    <w:qFormat/>
    <w:uiPriority w:val="99"/>
    <w:rPr>
      <w:vertAlign w:val="superscript"/>
    </w:rPr>
  </w:style>
  <w:style w:type="character" w:styleId="41">
    <w:name w:val="FollowedHyperlink"/>
    <w:basedOn w:val="38"/>
    <w:semiHidden/>
    <w:unhideWhenUsed/>
    <w:qFormat/>
    <w:uiPriority w:val="99"/>
    <w:rPr>
      <w:color w:val="800080" w:themeColor="followedHyperlink"/>
      <w:u w:val="single"/>
      <w14:textFill>
        <w14:solidFill>
          <w14:schemeClr w14:val="folHlink"/>
        </w14:solidFill>
      </w14:textFill>
    </w:rPr>
  </w:style>
  <w:style w:type="character" w:styleId="42">
    <w:name w:val="Emphasis"/>
    <w:basedOn w:val="38"/>
    <w:qFormat/>
    <w:uiPriority w:val="20"/>
    <w:rPr>
      <w:i/>
      <w:iCs/>
    </w:rPr>
  </w:style>
  <w:style w:type="character" w:styleId="43">
    <w:name w:val="Hyperlink"/>
    <w:basedOn w:val="38"/>
    <w:unhideWhenUsed/>
    <w:qFormat/>
    <w:uiPriority w:val="99"/>
    <w:rPr>
      <w:color w:val="0000FF" w:themeColor="hyperlink"/>
      <w:u w:val="single"/>
      <w14:textFill>
        <w14:solidFill>
          <w14:schemeClr w14:val="hlink"/>
        </w14:solidFill>
      </w14:textFill>
    </w:rPr>
  </w:style>
  <w:style w:type="character" w:styleId="44">
    <w:name w:val="footnote reference"/>
    <w:basedOn w:val="38"/>
    <w:semiHidden/>
    <w:unhideWhenUsed/>
    <w:qFormat/>
    <w:uiPriority w:val="99"/>
    <w:rPr>
      <w:vertAlign w:val="superscript"/>
    </w:rPr>
  </w:style>
  <w:style w:type="character" w:customStyle="1" w:styleId="45">
    <w:name w:val="标题 2 Char"/>
    <w:link w:val="1"/>
    <w:qFormat/>
    <w:uiPriority w:val="9"/>
    <w:rPr>
      <w:rFonts w:ascii="Cambria" w:hAnsi="Cambria" w:eastAsia="宋体" w:cs="Times New Roman"/>
      <w:b/>
      <w:bCs/>
      <w:sz w:val="32"/>
      <w:szCs w:val="32"/>
    </w:rPr>
  </w:style>
  <w:style w:type="character" w:customStyle="1" w:styleId="46">
    <w:name w:val="标题 5 Char"/>
    <w:link w:val="47"/>
    <w:semiHidden/>
    <w:qFormat/>
    <w:uiPriority w:val="9"/>
    <w:rPr>
      <w:rFonts w:ascii="Times New Roman" w:hAnsi="Times New Roman"/>
      <w:b/>
      <w:bCs/>
      <w:sz w:val="28"/>
      <w:szCs w:val="28"/>
    </w:rPr>
  </w:style>
  <w:style w:type="paragraph" w:customStyle="1" w:styleId="47">
    <w:name w:val="标题 51"/>
    <w:basedOn w:val="1"/>
    <w:next w:val="48"/>
    <w:link w:val="46"/>
    <w:qFormat/>
    <w:uiPriority w:val="9"/>
    <w:pPr>
      <w:keepNext/>
      <w:keepLines/>
      <w:spacing w:before="280" w:after="290" w:line="376" w:lineRule="auto"/>
      <w:outlineLvl w:val="4"/>
    </w:pPr>
    <w:rPr>
      <w:b/>
      <w:bCs/>
      <w:sz w:val="28"/>
      <w:szCs w:val="28"/>
    </w:rPr>
  </w:style>
  <w:style w:type="paragraph" w:customStyle="1" w:styleId="48">
    <w:name w:val="正文缩进1"/>
    <w:basedOn w:val="1"/>
    <w:qFormat/>
    <w:uiPriority w:val="0"/>
    <w:pPr>
      <w:ind w:firstLine="420"/>
    </w:pPr>
    <w:rPr>
      <w:szCs w:val="20"/>
    </w:rPr>
  </w:style>
  <w:style w:type="character" w:customStyle="1" w:styleId="49">
    <w:name w:val="标题 1 Char"/>
    <w:link w:val="50"/>
    <w:qFormat/>
    <w:uiPriority w:val="9"/>
    <w:rPr>
      <w:b/>
      <w:bCs/>
      <w:sz w:val="44"/>
      <w:szCs w:val="44"/>
    </w:rPr>
  </w:style>
  <w:style w:type="paragraph" w:customStyle="1" w:styleId="50">
    <w:name w:val="标题 11"/>
    <w:basedOn w:val="1"/>
    <w:next w:val="1"/>
    <w:link w:val="49"/>
    <w:qFormat/>
    <w:uiPriority w:val="9"/>
    <w:pPr>
      <w:keepNext/>
      <w:keepLines/>
      <w:spacing w:before="340" w:after="330" w:line="578" w:lineRule="auto"/>
      <w:outlineLvl w:val="0"/>
    </w:pPr>
    <w:rPr>
      <w:b/>
      <w:bCs/>
      <w:sz w:val="44"/>
      <w:szCs w:val="44"/>
    </w:rPr>
  </w:style>
  <w:style w:type="paragraph" w:customStyle="1" w:styleId="51">
    <w:name w:val="表格文字"/>
    <w:basedOn w:val="52"/>
    <w:next w:val="53"/>
    <w:qFormat/>
    <w:uiPriority w:val="0"/>
    <w:pPr>
      <w:spacing w:before="25" w:after="25"/>
      <w:jc w:val="left"/>
    </w:pPr>
    <w:rPr>
      <w:bCs/>
      <w:spacing w:val="10"/>
      <w:sz w:val="24"/>
    </w:rPr>
  </w:style>
  <w:style w:type="paragraph" w:customStyle="1" w:styleId="52">
    <w:name w:val="正文文本缩进1"/>
    <w:basedOn w:val="1"/>
    <w:link w:val="222"/>
    <w:qFormat/>
    <w:uiPriority w:val="0"/>
    <w:pPr>
      <w:ind w:firstLine="830"/>
    </w:pPr>
    <w:rPr>
      <w:rFonts w:ascii="仿宋_GB2312" w:eastAsia="仿宋_GB2312"/>
      <w:sz w:val="32"/>
      <w:szCs w:val="20"/>
    </w:rPr>
  </w:style>
  <w:style w:type="paragraph" w:customStyle="1" w:styleId="53">
    <w:name w:val="正文文本1"/>
    <w:basedOn w:val="1"/>
    <w:link w:val="214"/>
    <w:unhideWhenUsed/>
    <w:qFormat/>
    <w:uiPriority w:val="0"/>
    <w:pPr>
      <w:spacing w:after="120"/>
    </w:pPr>
  </w:style>
  <w:style w:type="paragraph" w:customStyle="1" w:styleId="54">
    <w:name w:val="可表头"/>
    <w:basedOn w:val="1"/>
    <w:qFormat/>
    <w:uiPriority w:val="99"/>
    <w:pPr>
      <w:spacing w:line="360" w:lineRule="auto"/>
      <w:jc w:val="center"/>
    </w:pPr>
    <w:rPr>
      <w:rFonts w:ascii="宋体" w:hAnsi="宋体" w:eastAsia="宋体" w:cs="宋体"/>
      <w:b/>
      <w:bCs/>
      <w:sz w:val="24"/>
      <w:lang w:val="zh-CN"/>
    </w:rPr>
  </w:style>
  <w:style w:type="table" w:customStyle="1" w:styleId="55">
    <w:name w:val="Table Grid Light"/>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6">
    <w:name w:val="Plain Table 1"/>
    <w:basedOn w:val="36"/>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7">
    <w:name w:val="Plain Table 2"/>
    <w:basedOn w:val="36"/>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8">
    <w:name w:val="Plain Table 3"/>
    <w:basedOn w:val="36"/>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4"/>
    <w:basedOn w:val="36"/>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5"/>
    <w:basedOn w:val="36"/>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Grid Table 1 Light"/>
    <w:basedOn w:val="36"/>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2">
    <w:name w:val="Grid Table 1 Light - Accent 1"/>
    <w:basedOn w:val="36"/>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3">
    <w:name w:val="Grid Table 1 Light - Accent 2"/>
    <w:basedOn w:val="36"/>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4">
    <w:name w:val="Grid Table 1 Light - Accent 3"/>
    <w:basedOn w:val="36"/>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5">
    <w:name w:val="Grid Table 1 Light - Accent 4"/>
    <w:basedOn w:val="36"/>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6">
    <w:name w:val="Grid Table 1 Light - Accent 5"/>
    <w:basedOn w:val="36"/>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7">
    <w:name w:val="Grid Table 1 Light - Accent 6"/>
    <w:basedOn w:val="3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8">
    <w:name w:val="Grid Table 2"/>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2 - Accent 1"/>
    <w:basedOn w:val="36"/>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0">
    <w:name w:val="Grid Table 2 - Accent 2"/>
    <w:basedOn w:val="36"/>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2 - Accent 3"/>
    <w:basedOn w:val="36"/>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2 - Accent 4"/>
    <w:basedOn w:val="36"/>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2 - Accent 5"/>
    <w:basedOn w:val="36"/>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2 - Accent 6"/>
    <w:basedOn w:val="3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3"/>
    <w:basedOn w:val="36"/>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6">
    <w:name w:val="Grid Table 3 - Accent 1"/>
    <w:basedOn w:val="36"/>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7">
    <w:name w:val="Grid Table 3 - Accent 2"/>
    <w:basedOn w:val="36"/>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8">
    <w:name w:val="Grid Table 3 - Accent 3"/>
    <w:basedOn w:val="36"/>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9">
    <w:name w:val="Grid Table 3 - Accent 4"/>
    <w:basedOn w:val="36"/>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0">
    <w:name w:val="Grid Table 3 - Accent 5"/>
    <w:basedOn w:val="36"/>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1">
    <w:name w:val="Grid Table 3 - Accent 6"/>
    <w:basedOn w:val="3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2">
    <w:name w:val="Grid Table 4"/>
    <w:basedOn w:val="36"/>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3">
    <w:name w:val="Grid Table 4 - Accent 1"/>
    <w:basedOn w:val="36"/>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4">
    <w:name w:val="Grid Table 4 - Accent 2"/>
    <w:basedOn w:val="36"/>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5">
    <w:name w:val="Grid Table 4 - Accent 3"/>
    <w:basedOn w:val="36"/>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6">
    <w:name w:val="Grid Table 4 - Accent 4"/>
    <w:basedOn w:val="36"/>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7">
    <w:name w:val="Grid Table 4 - Accent 5"/>
    <w:basedOn w:val="36"/>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8">
    <w:name w:val="Grid Table 4 - Accent 6"/>
    <w:basedOn w:val="3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9">
    <w:name w:val="Grid Table 5 Dark"/>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0">
    <w:name w:val="Grid Table 5 Dark- Accent 1"/>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1">
    <w:name w:val="Grid Table 5 Dark - Accent 2"/>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2">
    <w:name w:val="Grid Table 5 Dark - Accent 3"/>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3">
    <w:name w:val="Grid Table 5 Dark- Accent 4"/>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4">
    <w:name w:val="Grid Table 5 Dark - Accent 5"/>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5">
    <w:name w:val="Grid Table 5 Dark - Accent 6"/>
    <w:basedOn w:val="3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6">
    <w:name w:val="Grid Table 6 Colorful"/>
    <w:basedOn w:val="36"/>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1"/>
    <w:basedOn w:val="36"/>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8">
    <w:name w:val="Grid Table 6 Colorful - Accent 2"/>
    <w:basedOn w:val="36"/>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9">
    <w:name w:val="Grid Table 6 Colorful - Accent 3"/>
    <w:basedOn w:val="36"/>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0">
    <w:name w:val="Grid Table 6 Colorful - Accent 4"/>
    <w:basedOn w:val="36"/>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1">
    <w:name w:val="Grid Table 6 Colorful - Accent 5"/>
    <w:basedOn w:val="36"/>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2">
    <w:name w:val="Grid Table 6 Colorful - Accent 6"/>
    <w:basedOn w:val="3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7 Colorful"/>
    <w:basedOn w:val="36"/>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1"/>
    <w:basedOn w:val="36"/>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5">
    <w:name w:val="Grid Table 7 Colorful - Accent 2"/>
    <w:basedOn w:val="36"/>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6">
    <w:name w:val="Grid Table 7 Colorful - Accent 3"/>
    <w:basedOn w:val="36"/>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7">
    <w:name w:val="Grid Table 7 Colorful - Accent 4"/>
    <w:basedOn w:val="36"/>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8">
    <w:name w:val="Grid Table 7 Colorful - Accent 5"/>
    <w:basedOn w:val="36"/>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9">
    <w:name w:val="Grid Table 7 Colorful - Accent 6"/>
    <w:basedOn w:val="3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0">
    <w:name w:val="List Table 1 Light"/>
    <w:basedOn w:val="36"/>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1">
    <w:name w:val="List Table 1 Light - Accent 1"/>
    <w:basedOn w:val="36"/>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2">
    <w:name w:val="List Table 1 Light - Accent 2"/>
    <w:basedOn w:val="36"/>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3">
    <w:name w:val="List Table 1 Light - Accent 3"/>
    <w:basedOn w:val="36"/>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4">
    <w:name w:val="List Table 1 Light - Accent 4"/>
    <w:basedOn w:val="36"/>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5">
    <w:name w:val="List Table 1 Light - Accent 5"/>
    <w:basedOn w:val="36"/>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6">
    <w:name w:val="List Table 1 Light - Accent 6"/>
    <w:basedOn w:val="3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7">
    <w:name w:val="List Table 2"/>
    <w:basedOn w:val="36"/>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2 - Accent 1"/>
    <w:basedOn w:val="36"/>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2 - Accent 2"/>
    <w:basedOn w:val="36"/>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2 - Accent 3"/>
    <w:basedOn w:val="36"/>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2 - Accent 4"/>
    <w:basedOn w:val="36"/>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2 - Accent 5"/>
    <w:basedOn w:val="36"/>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2 - Accent 6"/>
    <w:basedOn w:val="3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3"/>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5">
    <w:name w:val="List Table 3 - Accent 1"/>
    <w:basedOn w:val="36"/>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6">
    <w:name w:val="List Table 3 - Accent 2"/>
    <w:basedOn w:val="36"/>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7">
    <w:name w:val="List Table 3 - Accent 3"/>
    <w:basedOn w:val="36"/>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8">
    <w:name w:val="List Table 3 - Accent 4"/>
    <w:basedOn w:val="36"/>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9">
    <w:name w:val="List Table 3 - Accent 5"/>
    <w:basedOn w:val="36"/>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0">
    <w:name w:val="List Table 3 - Accent 6"/>
    <w:basedOn w:val="3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1">
    <w:name w:val="List Table 4"/>
    <w:basedOn w:val="36"/>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2">
    <w:name w:val="List Table 4 - Accent 1"/>
    <w:basedOn w:val="36"/>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3">
    <w:name w:val="List Table 4 - Accent 2"/>
    <w:basedOn w:val="36"/>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4">
    <w:name w:val="List Table 4 - Accent 3"/>
    <w:basedOn w:val="36"/>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5">
    <w:name w:val="List Table 4 - Accent 4"/>
    <w:basedOn w:val="36"/>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6">
    <w:name w:val="List Table 4 - Accent 5"/>
    <w:basedOn w:val="36"/>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7">
    <w:name w:val="List Table 4 - Accent 6"/>
    <w:basedOn w:val="3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8">
    <w:name w:val="List Table 5 Dark"/>
    <w:basedOn w:val="36"/>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9">
    <w:name w:val="List Table 5 Dark - Accent 1"/>
    <w:basedOn w:val="36"/>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0">
    <w:name w:val="List Table 5 Dark - Accent 2"/>
    <w:basedOn w:val="36"/>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1">
    <w:name w:val="List Table 5 Dark - Accent 3"/>
    <w:basedOn w:val="36"/>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2">
    <w:name w:val="List Table 5 Dark - Accent 4"/>
    <w:basedOn w:val="36"/>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3">
    <w:name w:val="List Table 5 Dark - Accent 5"/>
    <w:basedOn w:val="36"/>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4">
    <w:name w:val="List Table 5 Dark - Accent 6"/>
    <w:basedOn w:val="3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5">
    <w:name w:val="List Table 6 Colorful"/>
    <w:basedOn w:val="36"/>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6">
    <w:name w:val="List Table 6 Colorful - Accent 1"/>
    <w:basedOn w:val="36"/>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7">
    <w:name w:val="List Table 6 Colorful - Accent 2"/>
    <w:basedOn w:val="36"/>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8">
    <w:name w:val="List Table 6 Colorful - Accent 3"/>
    <w:basedOn w:val="36"/>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4"/>
    <w:basedOn w:val="36"/>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5"/>
    <w:basedOn w:val="36"/>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1">
    <w:name w:val="List Table 6 Colorful - Accent 6"/>
    <w:basedOn w:val="3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2">
    <w:name w:val="List Table 7 Colorful"/>
    <w:basedOn w:val="36"/>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3">
    <w:name w:val="List Table 7 Colorful - Accent 1"/>
    <w:basedOn w:val="36"/>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4">
    <w:name w:val="List Table 7 Colorful - Accent 2"/>
    <w:basedOn w:val="36"/>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5">
    <w:name w:val="List Table 7 Colorful - Accent 3"/>
    <w:basedOn w:val="36"/>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4"/>
    <w:basedOn w:val="36"/>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5"/>
    <w:basedOn w:val="36"/>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8">
    <w:name w:val="List Table 7 Colorful - Accent 6"/>
    <w:basedOn w:val="3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9">
    <w:name w:val="Lined - Accent"/>
    <w:basedOn w:val="36"/>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0">
    <w:name w:val="Lined - Accent 1"/>
    <w:basedOn w:val="36"/>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1">
    <w:name w:val="Lined - Accent 2"/>
    <w:basedOn w:val="36"/>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2">
    <w:name w:val="Lined - Accent 3"/>
    <w:basedOn w:val="36"/>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3">
    <w:name w:val="Lined - Accent 4"/>
    <w:basedOn w:val="36"/>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4">
    <w:name w:val="Lined - Accent 5"/>
    <w:basedOn w:val="36"/>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5">
    <w:name w:val="Lined - Accent 6"/>
    <w:basedOn w:val="3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6">
    <w:name w:val="Bordered &amp; Lined - Accent"/>
    <w:basedOn w:val="36"/>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7">
    <w:name w:val="Bordered &amp; Lined - Accent 1"/>
    <w:basedOn w:val="36"/>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8">
    <w:name w:val="Bordered &amp; Lined - Accent 2"/>
    <w:basedOn w:val="36"/>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9">
    <w:name w:val="Bordered &amp; Lined - Accent 3"/>
    <w:basedOn w:val="36"/>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0">
    <w:name w:val="Bordered &amp; Lined - Accent 4"/>
    <w:basedOn w:val="36"/>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1">
    <w:name w:val="Bordered &amp; Lined - Accent 5"/>
    <w:basedOn w:val="36"/>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2">
    <w:name w:val="Bordered &amp; Lined - Accent 6"/>
    <w:basedOn w:val="3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3">
    <w:name w:val="Bordered"/>
    <w:basedOn w:val="36"/>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4">
    <w:name w:val="Bordered - Accent 1"/>
    <w:basedOn w:val="36"/>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5">
    <w:name w:val="Bordered - Accent 2"/>
    <w:basedOn w:val="36"/>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6">
    <w:name w:val="Bordered - Accent 3"/>
    <w:basedOn w:val="36"/>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7">
    <w:name w:val="Bordered - Accent 4"/>
    <w:basedOn w:val="36"/>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8">
    <w:name w:val="Bordered - Accent 5"/>
    <w:basedOn w:val="36"/>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9">
    <w:name w:val="Bordered - Accent 6"/>
    <w:basedOn w:val="3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0">
    <w:name w:val="Heading 1 Char"/>
    <w:basedOn w:val="38"/>
    <w:link w:val="4"/>
    <w:qFormat/>
    <w:uiPriority w:val="9"/>
    <w:rPr>
      <w:rFonts w:ascii="Arial" w:hAnsi="Arial" w:eastAsia="Arial" w:cs="Arial"/>
      <w:color w:val="376092" w:themeColor="accent1" w:themeShade="BF"/>
      <w:sz w:val="40"/>
      <w:szCs w:val="40"/>
    </w:rPr>
  </w:style>
  <w:style w:type="character" w:customStyle="1" w:styleId="181">
    <w:name w:val="Heading 2 Char"/>
    <w:basedOn w:val="38"/>
    <w:link w:val="5"/>
    <w:qFormat/>
    <w:uiPriority w:val="9"/>
    <w:rPr>
      <w:rFonts w:ascii="Arial" w:hAnsi="Arial" w:eastAsia="Arial" w:cs="Arial"/>
      <w:color w:val="376092" w:themeColor="accent1" w:themeShade="BF"/>
      <w:sz w:val="32"/>
      <w:szCs w:val="32"/>
    </w:rPr>
  </w:style>
  <w:style w:type="character" w:customStyle="1" w:styleId="182">
    <w:name w:val="Heading 3 Char"/>
    <w:basedOn w:val="38"/>
    <w:link w:val="6"/>
    <w:qFormat/>
    <w:uiPriority w:val="9"/>
    <w:rPr>
      <w:rFonts w:ascii="Arial" w:hAnsi="Arial" w:eastAsia="Arial" w:cs="Arial"/>
      <w:color w:val="376092" w:themeColor="accent1" w:themeShade="BF"/>
      <w:sz w:val="28"/>
      <w:szCs w:val="28"/>
    </w:rPr>
  </w:style>
  <w:style w:type="character" w:customStyle="1" w:styleId="183">
    <w:name w:val="Heading 4 Char"/>
    <w:basedOn w:val="38"/>
    <w:link w:val="7"/>
    <w:qFormat/>
    <w:uiPriority w:val="9"/>
    <w:rPr>
      <w:rFonts w:ascii="Arial" w:hAnsi="Arial" w:eastAsia="Arial" w:cs="Arial"/>
      <w:i/>
      <w:iCs/>
      <w:color w:val="376092" w:themeColor="accent1" w:themeShade="BF"/>
    </w:rPr>
  </w:style>
  <w:style w:type="character" w:customStyle="1" w:styleId="184">
    <w:name w:val="Heading 5 Char"/>
    <w:basedOn w:val="38"/>
    <w:link w:val="8"/>
    <w:qFormat/>
    <w:uiPriority w:val="9"/>
    <w:rPr>
      <w:rFonts w:ascii="Arial" w:hAnsi="Arial" w:eastAsia="Arial" w:cs="Arial"/>
      <w:color w:val="376092" w:themeColor="accent1" w:themeShade="BF"/>
    </w:rPr>
  </w:style>
  <w:style w:type="character" w:customStyle="1" w:styleId="185">
    <w:name w:val="Heading 6 Char"/>
    <w:basedOn w:val="38"/>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86">
    <w:name w:val="Heading 7 Char"/>
    <w:basedOn w:val="38"/>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87">
    <w:name w:val="Heading 8 Char"/>
    <w:basedOn w:val="38"/>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8">
    <w:name w:val="Heading 9 Char"/>
    <w:basedOn w:val="38"/>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9">
    <w:name w:val="Title Char"/>
    <w:basedOn w:val="38"/>
    <w:link w:val="34"/>
    <w:qFormat/>
    <w:uiPriority w:val="10"/>
    <w:rPr>
      <w:rFonts w:ascii="Arial" w:hAnsi="Arial" w:eastAsia="Arial" w:cs="Arial"/>
      <w:spacing w:val="-10"/>
      <w:sz w:val="56"/>
      <w:szCs w:val="56"/>
    </w:rPr>
  </w:style>
  <w:style w:type="character" w:customStyle="1" w:styleId="190">
    <w:name w:val="Subtitle Char"/>
    <w:basedOn w:val="38"/>
    <w:link w:val="2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91">
    <w:name w:val="Quote"/>
    <w:basedOn w:val="1"/>
    <w:next w:val="1"/>
    <w:link w:val="19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92">
    <w:name w:val="Quote Char"/>
    <w:basedOn w:val="38"/>
    <w:link w:val="191"/>
    <w:qFormat/>
    <w:uiPriority w:val="29"/>
    <w:rPr>
      <w:i/>
      <w:iCs/>
      <w:color w:val="404040" w:themeColor="text1" w:themeTint="BF"/>
      <w14:textFill>
        <w14:solidFill>
          <w14:schemeClr w14:val="tx1">
            <w14:lumMod w14:val="75000"/>
            <w14:lumOff w14:val="25000"/>
          </w14:schemeClr>
        </w14:solidFill>
      </w14:textFill>
    </w:rPr>
  </w:style>
  <w:style w:type="paragraph" w:styleId="193">
    <w:name w:val="List Paragraph"/>
    <w:basedOn w:val="1"/>
    <w:qFormat/>
    <w:uiPriority w:val="34"/>
    <w:pPr>
      <w:ind w:left="720"/>
      <w:contextualSpacing/>
    </w:pPr>
  </w:style>
  <w:style w:type="character" w:customStyle="1" w:styleId="194">
    <w:name w:val="Intense Emphasis"/>
    <w:basedOn w:val="38"/>
    <w:qFormat/>
    <w:uiPriority w:val="21"/>
    <w:rPr>
      <w:i/>
      <w:iCs/>
      <w:color w:val="376092" w:themeColor="accent1" w:themeShade="BF"/>
    </w:rPr>
  </w:style>
  <w:style w:type="paragraph" w:styleId="195">
    <w:name w:val="Intense Quote"/>
    <w:basedOn w:val="1"/>
    <w:next w:val="1"/>
    <w:link w:val="196"/>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96">
    <w:name w:val="Intense Quote Char"/>
    <w:basedOn w:val="38"/>
    <w:link w:val="195"/>
    <w:qFormat/>
    <w:uiPriority w:val="30"/>
    <w:rPr>
      <w:i/>
      <w:iCs/>
      <w:color w:val="376092" w:themeColor="accent1" w:themeShade="BF"/>
    </w:rPr>
  </w:style>
  <w:style w:type="character" w:customStyle="1" w:styleId="197">
    <w:name w:val="Intense Reference"/>
    <w:basedOn w:val="38"/>
    <w:qFormat/>
    <w:uiPriority w:val="32"/>
    <w:rPr>
      <w:b/>
      <w:bCs/>
      <w:smallCaps/>
      <w:color w:val="376092" w:themeColor="accent1" w:themeShade="BF"/>
      <w:spacing w:val="5"/>
    </w:rPr>
  </w:style>
  <w:style w:type="paragraph" w:styleId="198">
    <w:name w:val="No Spacing"/>
    <w:basedOn w:val="1"/>
    <w:qFormat/>
    <w:uiPriority w:val="1"/>
    <w:pPr>
      <w:spacing w:after="0" w:line="240" w:lineRule="auto"/>
    </w:pPr>
  </w:style>
  <w:style w:type="character" w:customStyle="1" w:styleId="199">
    <w:name w:val="Subtle Emphasis"/>
    <w:basedOn w:val="38"/>
    <w:qFormat/>
    <w:uiPriority w:val="19"/>
    <w:rPr>
      <w:i/>
      <w:iCs/>
      <w:color w:val="404040" w:themeColor="text1" w:themeTint="BF"/>
      <w14:textFill>
        <w14:solidFill>
          <w14:schemeClr w14:val="tx1">
            <w14:lumMod w14:val="75000"/>
            <w14:lumOff w14:val="25000"/>
          </w14:schemeClr>
        </w14:solidFill>
      </w14:textFill>
    </w:rPr>
  </w:style>
  <w:style w:type="character" w:customStyle="1" w:styleId="200">
    <w:name w:val="Subtle Reference"/>
    <w:basedOn w:val="38"/>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01">
    <w:name w:val="Book Title"/>
    <w:basedOn w:val="38"/>
    <w:qFormat/>
    <w:uiPriority w:val="33"/>
    <w:rPr>
      <w:b/>
      <w:bCs/>
      <w:i/>
      <w:iCs/>
      <w:spacing w:val="5"/>
    </w:rPr>
  </w:style>
  <w:style w:type="character" w:customStyle="1" w:styleId="202">
    <w:name w:val="Header Char"/>
    <w:basedOn w:val="38"/>
    <w:link w:val="25"/>
    <w:qFormat/>
    <w:uiPriority w:val="99"/>
  </w:style>
  <w:style w:type="character" w:customStyle="1" w:styleId="203">
    <w:name w:val="Footer Char"/>
    <w:basedOn w:val="38"/>
    <w:link w:val="24"/>
    <w:qFormat/>
    <w:uiPriority w:val="99"/>
  </w:style>
  <w:style w:type="character" w:customStyle="1" w:styleId="204">
    <w:name w:val="Footnote Text Char"/>
    <w:basedOn w:val="38"/>
    <w:link w:val="29"/>
    <w:semiHidden/>
    <w:qFormat/>
    <w:uiPriority w:val="99"/>
    <w:rPr>
      <w:sz w:val="20"/>
      <w:szCs w:val="20"/>
    </w:rPr>
  </w:style>
  <w:style w:type="character" w:customStyle="1" w:styleId="205">
    <w:name w:val="Endnote Text Char"/>
    <w:basedOn w:val="38"/>
    <w:link w:val="23"/>
    <w:semiHidden/>
    <w:qFormat/>
    <w:uiPriority w:val="99"/>
    <w:rPr>
      <w:sz w:val="20"/>
      <w:szCs w:val="20"/>
    </w:rPr>
  </w:style>
  <w:style w:type="character" w:styleId="206">
    <w:name w:val="Placeholder Text"/>
    <w:basedOn w:val="38"/>
    <w:semiHidden/>
    <w:qFormat/>
    <w:uiPriority w:val="99"/>
    <w:rPr>
      <w:color w:val="666666"/>
    </w:rPr>
  </w:style>
  <w:style w:type="paragraph" w:customStyle="1" w:styleId="207">
    <w:name w:val="TOC Heading"/>
    <w:unhideWhenUsed/>
    <w:qFormat/>
    <w:uiPriority w:val="39"/>
    <w:rPr>
      <w:rFonts w:hint="default" w:ascii="Times New Roman" w:hAnsi="Times New Roman" w:eastAsia="宋体" w:cs="Times New Roman"/>
    </w:rPr>
  </w:style>
  <w:style w:type="paragraph" w:customStyle="1" w:styleId="208">
    <w:name w:val="标题 211"/>
    <w:basedOn w:val="1"/>
    <w:next w:val="1"/>
    <w:link w:val="215"/>
    <w:qFormat/>
    <w:uiPriority w:val="9"/>
    <w:pPr>
      <w:keepNext/>
      <w:keepLines/>
      <w:spacing w:before="260" w:after="260" w:line="416" w:lineRule="auto"/>
      <w:outlineLvl w:val="1"/>
    </w:pPr>
    <w:rPr>
      <w:rFonts w:ascii="Cambria" w:hAnsi="Cambria"/>
      <w:b/>
      <w:bCs/>
      <w:sz w:val="32"/>
      <w:szCs w:val="32"/>
    </w:rPr>
  </w:style>
  <w:style w:type="paragraph" w:customStyle="1" w:styleId="209">
    <w:name w:val="标题 31"/>
    <w:unhideWhenUsed/>
    <w:qFormat/>
    <w:uiPriority w:val="9"/>
    <w:pPr>
      <w:numPr>
        <w:ilvl w:val="2"/>
        <w:numId w:val="1"/>
      </w:numPr>
      <w:tabs>
        <w:tab w:val="left" w:pos="312"/>
      </w:tabs>
      <w:ind w:left="0" w:firstLine="403"/>
      <w:outlineLvl w:val="2"/>
    </w:pPr>
    <w:rPr>
      <w:rFonts w:hint="default" w:ascii="Arial" w:hAnsi="Arial" w:eastAsia="黑体" w:cs="Times New Roman"/>
      <w:b/>
      <w:sz w:val="30"/>
      <w:szCs w:val="30"/>
      <w:lang w:val="en-US" w:eastAsia="zh-CN" w:bidi="ar-SA"/>
    </w:rPr>
  </w:style>
  <w:style w:type="paragraph" w:customStyle="1" w:styleId="210">
    <w:name w:val="标题 41"/>
    <w:basedOn w:val="1"/>
    <w:next w:val="1"/>
    <w:qFormat/>
    <w:uiPriority w:val="9"/>
    <w:pPr>
      <w:keepNext/>
      <w:keepLines/>
      <w:spacing w:before="280" w:after="290" w:line="376" w:lineRule="auto"/>
      <w:outlineLvl w:val="3"/>
    </w:pPr>
    <w:rPr>
      <w:rFonts w:ascii="Cambria" w:hAnsi="Cambria" w:eastAsia="宋体" w:cs="Times New Roman"/>
      <w:b/>
      <w:bCs/>
      <w:sz w:val="28"/>
      <w:szCs w:val="28"/>
    </w:rPr>
  </w:style>
  <w:style w:type="paragraph" w:customStyle="1" w:styleId="211">
    <w:name w:val="标题 81"/>
    <w:basedOn w:val="1"/>
    <w:next w:val="1"/>
    <w:link w:val="216"/>
    <w:qFormat/>
    <w:uiPriority w:val="9"/>
    <w:pPr>
      <w:keepNext/>
      <w:keepLines/>
      <w:spacing w:before="240" w:after="64" w:line="320" w:lineRule="auto"/>
      <w:outlineLvl w:val="7"/>
    </w:pPr>
    <w:rPr>
      <w:rFonts w:ascii="等线 Light" w:hAnsi="等线 Light" w:eastAsia="等线 Light"/>
      <w:sz w:val="24"/>
    </w:rPr>
  </w:style>
  <w:style w:type="character" w:customStyle="1" w:styleId="212">
    <w:name w:val="默认段落字体1"/>
    <w:link w:val="1"/>
    <w:unhideWhenUsed/>
    <w:qFormat/>
    <w:uiPriority w:val="1"/>
  </w:style>
  <w:style w:type="table" w:customStyle="1" w:styleId="213">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14">
    <w:name w:val="正文文本 Char1"/>
    <w:link w:val="53"/>
    <w:qFormat/>
    <w:uiPriority w:val="0"/>
    <w:rPr>
      <w:rFonts w:ascii="Times New Roman" w:hAnsi="Times New Roman"/>
      <w:sz w:val="21"/>
      <w:szCs w:val="24"/>
    </w:rPr>
  </w:style>
  <w:style w:type="character" w:customStyle="1" w:styleId="215">
    <w:name w:val="标题 2 Char1"/>
    <w:link w:val="208"/>
    <w:qFormat/>
    <w:uiPriority w:val="9"/>
    <w:rPr>
      <w:rFonts w:ascii="Cambria" w:hAnsi="Cambria" w:eastAsia="宋体" w:cs="Times New Roman"/>
      <w:b/>
      <w:bCs/>
      <w:sz w:val="32"/>
      <w:szCs w:val="32"/>
    </w:rPr>
  </w:style>
  <w:style w:type="character" w:customStyle="1" w:styleId="216">
    <w:name w:val="标题 8 Char1"/>
    <w:link w:val="211"/>
    <w:semiHidden/>
    <w:qFormat/>
    <w:uiPriority w:val="9"/>
    <w:rPr>
      <w:rFonts w:ascii="等线 Light" w:hAnsi="等线 Light" w:eastAsia="等线 Light" w:cs="Times New Roman"/>
      <w:sz w:val="24"/>
      <w:szCs w:val="24"/>
    </w:rPr>
  </w:style>
  <w:style w:type="paragraph" w:customStyle="1" w:styleId="217">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8">
    <w:name w:val="批注文字1"/>
    <w:basedOn w:val="1"/>
    <w:link w:val="219"/>
    <w:qFormat/>
    <w:uiPriority w:val="0"/>
    <w:pPr>
      <w:jc w:val="left"/>
    </w:pPr>
  </w:style>
  <w:style w:type="character" w:customStyle="1" w:styleId="219">
    <w:name w:val="批注文字 Char1"/>
    <w:link w:val="218"/>
    <w:qFormat/>
    <w:uiPriority w:val="0"/>
    <w:rPr>
      <w:rFonts w:ascii="Times New Roman" w:hAnsi="Times New Roman"/>
      <w:sz w:val="21"/>
      <w:szCs w:val="24"/>
    </w:rPr>
  </w:style>
  <w:style w:type="paragraph" w:customStyle="1" w:styleId="220">
    <w:name w:val="正文文本 31"/>
    <w:basedOn w:val="1"/>
    <w:link w:val="221"/>
    <w:unhideWhenUsed/>
    <w:qFormat/>
    <w:uiPriority w:val="99"/>
    <w:pPr>
      <w:spacing w:after="120"/>
    </w:pPr>
    <w:rPr>
      <w:sz w:val="16"/>
      <w:szCs w:val="16"/>
    </w:rPr>
  </w:style>
  <w:style w:type="character" w:customStyle="1" w:styleId="221">
    <w:name w:val="正文文本 3 Char"/>
    <w:link w:val="220"/>
    <w:semiHidden/>
    <w:qFormat/>
    <w:uiPriority w:val="99"/>
    <w:rPr>
      <w:sz w:val="16"/>
      <w:szCs w:val="16"/>
    </w:rPr>
  </w:style>
  <w:style w:type="character" w:customStyle="1" w:styleId="222">
    <w:name w:val="正文文本缩进 Char"/>
    <w:link w:val="52"/>
    <w:qFormat/>
    <w:uiPriority w:val="0"/>
    <w:rPr>
      <w:rFonts w:ascii="仿宋_GB2312" w:hAnsi="Times New Roman" w:eastAsia="仿宋_GB2312" w:cs="Times New Roman"/>
      <w:sz w:val="32"/>
      <w:szCs w:val="20"/>
    </w:rPr>
  </w:style>
  <w:style w:type="paragraph" w:customStyle="1" w:styleId="223">
    <w:name w:val="列表 21"/>
    <w:basedOn w:val="1"/>
    <w:unhideWhenUsed/>
    <w:qFormat/>
    <w:uiPriority w:val="99"/>
    <w:pPr>
      <w:ind w:left="100" w:hanging="200"/>
      <w:contextualSpacing/>
    </w:pPr>
  </w:style>
  <w:style w:type="paragraph" w:customStyle="1" w:styleId="224">
    <w:name w:val="纯文本1"/>
    <w:basedOn w:val="1"/>
    <w:link w:val="225"/>
    <w:qFormat/>
    <w:uiPriority w:val="0"/>
    <w:rPr>
      <w:rFonts w:ascii="宋体" w:hAnsi="Courier New"/>
      <w:sz w:val="20"/>
      <w:szCs w:val="21"/>
    </w:rPr>
  </w:style>
  <w:style w:type="character" w:customStyle="1" w:styleId="225">
    <w:name w:val="纯文本 Char1"/>
    <w:link w:val="224"/>
    <w:qFormat/>
    <w:uiPriority w:val="0"/>
    <w:rPr>
      <w:rFonts w:ascii="宋体" w:hAnsi="Courier New" w:eastAsia="宋体" w:cs="Courier New"/>
      <w:szCs w:val="21"/>
    </w:rPr>
  </w:style>
  <w:style w:type="paragraph" w:customStyle="1" w:styleId="226">
    <w:name w:val="日期1"/>
    <w:basedOn w:val="1"/>
    <w:next w:val="1"/>
    <w:link w:val="227"/>
    <w:unhideWhenUsed/>
    <w:qFormat/>
    <w:uiPriority w:val="99"/>
    <w:pPr>
      <w:ind w:left="100"/>
    </w:pPr>
  </w:style>
  <w:style w:type="character" w:customStyle="1" w:styleId="227">
    <w:name w:val="日期 Char"/>
    <w:link w:val="226"/>
    <w:semiHidden/>
    <w:qFormat/>
    <w:uiPriority w:val="99"/>
    <w:rPr>
      <w:rFonts w:ascii="Times New Roman" w:hAnsi="Times New Roman"/>
      <w:sz w:val="21"/>
      <w:szCs w:val="24"/>
    </w:rPr>
  </w:style>
  <w:style w:type="paragraph" w:customStyle="1" w:styleId="228">
    <w:name w:val="批注框文本1"/>
    <w:basedOn w:val="1"/>
    <w:semiHidden/>
    <w:qFormat/>
    <w:uiPriority w:val="0"/>
    <w:rPr>
      <w:sz w:val="18"/>
      <w:szCs w:val="18"/>
    </w:rPr>
  </w:style>
  <w:style w:type="paragraph" w:customStyle="1" w:styleId="229">
    <w:name w:val="页脚1"/>
    <w:basedOn w:val="1"/>
    <w:link w:val="230"/>
    <w:unhideWhenUsed/>
    <w:qFormat/>
    <w:uiPriority w:val="99"/>
    <w:pPr>
      <w:tabs>
        <w:tab w:val="center" w:pos="4153"/>
        <w:tab w:val="right" w:pos="8306"/>
      </w:tabs>
      <w:jc w:val="left"/>
    </w:pPr>
    <w:rPr>
      <w:sz w:val="18"/>
      <w:szCs w:val="18"/>
    </w:rPr>
  </w:style>
  <w:style w:type="character" w:customStyle="1" w:styleId="230">
    <w:name w:val="页脚 Char"/>
    <w:link w:val="229"/>
    <w:qFormat/>
    <w:uiPriority w:val="99"/>
    <w:rPr>
      <w:sz w:val="18"/>
      <w:szCs w:val="18"/>
    </w:rPr>
  </w:style>
  <w:style w:type="paragraph" w:customStyle="1" w:styleId="231">
    <w:name w:val="页眉1"/>
    <w:basedOn w:val="1"/>
    <w:link w:val="232"/>
    <w:unhideWhenUsed/>
    <w:qFormat/>
    <w:uiPriority w:val="99"/>
    <w:pPr>
      <w:pBdr>
        <w:bottom w:val="single" w:color="000000" w:sz="6" w:space="1"/>
      </w:pBdr>
      <w:tabs>
        <w:tab w:val="center" w:pos="4153"/>
        <w:tab w:val="right" w:pos="8306"/>
      </w:tabs>
      <w:jc w:val="center"/>
    </w:pPr>
    <w:rPr>
      <w:sz w:val="18"/>
      <w:szCs w:val="18"/>
    </w:rPr>
  </w:style>
  <w:style w:type="character" w:customStyle="1" w:styleId="232">
    <w:name w:val="页眉 Char"/>
    <w:link w:val="231"/>
    <w:qFormat/>
    <w:uiPriority w:val="99"/>
    <w:rPr>
      <w:sz w:val="18"/>
      <w:szCs w:val="18"/>
    </w:rPr>
  </w:style>
  <w:style w:type="paragraph" w:customStyle="1" w:styleId="233">
    <w:name w:val="目录 11"/>
    <w:basedOn w:val="1"/>
    <w:next w:val="1"/>
    <w:unhideWhenUsed/>
    <w:qFormat/>
    <w:uiPriority w:val="39"/>
  </w:style>
  <w:style w:type="paragraph" w:customStyle="1" w:styleId="234">
    <w:name w:val="目录 21"/>
    <w:basedOn w:val="1"/>
    <w:next w:val="1"/>
    <w:unhideWhenUsed/>
    <w:qFormat/>
    <w:uiPriority w:val="39"/>
    <w:pPr>
      <w:tabs>
        <w:tab w:val="right" w:leader="dot" w:pos="8296"/>
      </w:tabs>
      <w:ind w:left="420"/>
    </w:pPr>
  </w:style>
  <w:style w:type="paragraph" w:customStyle="1" w:styleId="235">
    <w:name w:val="普通(网站)1"/>
    <w:basedOn w:val="1"/>
    <w:unhideWhenUsed/>
    <w:qFormat/>
    <w:uiPriority w:val="99"/>
    <w:pPr>
      <w:spacing w:before="0" w:beforeAutospacing="0" w:after="0" w:afterAutospacing="0"/>
      <w:ind w:left="0" w:right="0"/>
      <w:jc w:val="both"/>
    </w:pPr>
    <w:rPr>
      <w:rFonts w:ascii="Calibri" w:hAnsi="Calibri" w:cs="Calibri"/>
      <w:sz w:val="24"/>
      <w:szCs w:val="24"/>
      <w:lang w:val="en-US" w:eastAsia="zh-CN" w:bidi="ar"/>
    </w:rPr>
  </w:style>
  <w:style w:type="paragraph" w:customStyle="1" w:styleId="236">
    <w:name w:val="标题1"/>
    <w:basedOn w:val="1"/>
    <w:qFormat/>
    <w:uiPriority w:val="10"/>
    <w:pPr>
      <w:keepNext/>
      <w:keepLines/>
      <w:widowControl/>
      <w:spacing w:before="50" w:after="50" w:line="240" w:lineRule="auto"/>
      <w:ind w:firstLine="0"/>
      <w:jc w:val="center"/>
      <w:outlineLvl w:val="9"/>
    </w:pPr>
    <w:rPr>
      <w:rFonts w:ascii="宋体" w:hAnsi="宋体" w:eastAsia="黑体"/>
      <w:b/>
      <w:sz w:val="40"/>
      <w:szCs w:val="44"/>
    </w:rPr>
  </w:style>
  <w:style w:type="paragraph" w:customStyle="1" w:styleId="237">
    <w:name w:val="批注主题1"/>
    <w:basedOn w:val="218"/>
    <w:next w:val="218"/>
    <w:link w:val="238"/>
    <w:qFormat/>
    <w:uiPriority w:val="99"/>
    <w:rPr>
      <w:b/>
      <w:bCs/>
    </w:rPr>
  </w:style>
  <w:style w:type="character" w:customStyle="1" w:styleId="238">
    <w:name w:val="批注主题 Char"/>
    <w:link w:val="237"/>
    <w:qFormat/>
    <w:uiPriority w:val="99"/>
    <w:rPr>
      <w:rFonts w:ascii="Times New Roman" w:hAnsi="Times New Roman"/>
      <w:b/>
      <w:bCs/>
      <w:sz w:val="21"/>
      <w:szCs w:val="24"/>
    </w:rPr>
  </w:style>
  <w:style w:type="paragraph" w:customStyle="1" w:styleId="239">
    <w:name w:val="正文首行缩进1"/>
    <w:basedOn w:val="53"/>
    <w:qFormat/>
    <w:uiPriority w:val="99"/>
    <w:pPr>
      <w:spacing w:after="120"/>
      <w:ind w:firstLine="420"/>
    </w:pPr>
    <w:rPr>
      <w:rFonts w:ascii="宋体"/>
      <w:sz w:val="21"/>
    </w:rPr>
  </w:style>
  <w:style w:type="paragraph" w:customStyle="1" w:styleId="240">
    <w:name w:val="正文首行缩进 21"/>
    <w:basedOn w:val="1"/>
    <w:unhideWhenUsed/>
    <w:qFormat/>
    <w:uiPriority w:val="99"/>
    <w:pPr>
      <w:ind w:left="0" w:firstLine="420"/>
    </w:pPr>
    <w:rPr>
      <w:rFonts w:ascii="仿宋" w:hAnsi="仿宋"/>
    </w:rPr>
  </w:style>
  <w:style w:type="table" w:customStyle="1" w:styleId="241">
    <w:name w:val="网格型1"/>
    <w:basedOn w:val="21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42">
    <w:name w:val="要点1"/>
    <w:basedOn w:val="212"/>
    <w:link w:val="1"/>
    <w:qFormat/>
    <w:uiPriority w:val="22"/>
    <w:rPr>
      <w:b/>
    </w:rPr>
  </w:style>
  <w:style w:type="character" w:customStyle="1" w:styleId="243">
    <w:name w:val="尾注引用1"/>
    <w:link w:val="1"/>
    <w:unhideWhenUsed/>
    <w:qFormat/>
    <w:uiPriority w:val="99"/>
    <w:rPr>
      <w:vertAlign w:val="superscript"/>
    </w:rPr>
  </w:style>
  <w:style w:type="character" w:customStyle="1" w:styleId="244">
    <w:name w:val="超链接1"/>
    <w:link w:val="1"/>
    <w:unhideWhenUsed/>
    <w:qFormat/>
    <w:uiPriority w:val="99"/>
    <w:rPr>
      <w:color w:val="0000FF"/>
      <w:u w:val="single"/>
    </w:rPr>
  </w:style>
  <w:style w:type="character" w:customStyle="1" w:styleId="245">
    <w:name w:val="批注引用1"/>
    <w:link w:val="1"/>
    <w:qFormat/>
    <w:uiPriority w:val="0"/>
    <w:rPr>
      <w:sz w:val="21"/>
      <w:szCs w:val="21"/>
    </w:rPr>
  </w:style>
  <w:style w:type="character" w:customStyle="1" w:styleId="246">
    <w:name w:val="HTML 样本1"/>
    <w:basedOn w:val="212"/>
    <w:link w:val="1"/>
    <w:unhideWhenUsed/>
    <w:qFormat/>
    <w:uiPriority w:val="99"/>
    <w:rPr>
      <w:rFonts w:ascii="Courier New" w:hAnsi="Courier New"/>
    </w:rPr>
  </w:style>
  <w:style w:type="paragraph" w:customStyle="1" w:styleId="247">
    <w:name w:val="正文文本 21"/>
    <w:basedOn w:val="1"/>
    <w:next w:val="53"/>
    <w:qFormat/>
    <w:uiPriority w:val="0"/>
    <w:pPr>
      <w:spacing w:before="0" w:after="120" w:line="480" w:lineRule="auto"/>
    </w:pPr>
    <w:rPr>
      <w:sz w:val="20"/>
    </w:rPr>
  </w:style>
  <w:style w:type="character" w:customStyle="1" w:styleId="248">
    <w:name w:val="标题 1 字符1"/>
    <w:link w:val="1"/>
    <w:qFormat/>
    <w:uiPriority w:val="0"/>
    <w:rPr>
      <w:b/>
      <w:bCs/>
      <w:sz w:val="44"/>
      <w:szCs w:val="44"/>
    </w:rPr>
  </w:style>
  <w:style w:type="character" w:customStyle="1" w:styleId="249">
    <w:name w:val="textcontents"/>
    <w:link w:val="1"/>
    <w:qFormat/>
    <w:uiPriority w:val="0"/>
  </w:style>
  <w:style w:type="character" w:customStyle="1" w:styleId="250">
    <w:name w:val="批注文字 Char"/>
    <w:link w:val="1"/>
    <w:qFormat/>
    <w:uiPriority w:val="0"/>
    <w:rPr>
      <w:rFonts w:ascii="Times New Roman" w:hAnsi="Times New Roman"/>
      <w:sz w:val="21"/>
      <w:szCs w:val="24"/>
    </w:rPr>
  </w:style>
  <w:style w:type="character" w:customStyle="1" w:styleId="251">
    <w:name w:val="纯文本 字符"/>
    <w:link w:val="1"/>
    <w:qFormat/>
    <w:uiPriority w:val="0"/>
    <w:rPr>
      <w:rFonts w:ascii="宋体" w:hAnsi="Courier New" w:eastAsia="宋体" w:cs="Courier New"/>
      <w:szCs w:val="21"/>
    </w:rPr>
  </w:style>
  <w:style w:type="character" w:customStyle="1" w:styleId="252">
    <w:name w:val="纯文本 Char"/>
    <w:link w:val="1"/>
    <w:qFormat/>
    <w:uiPriority w:val="0"/>
    <w:rPr>
      <w:rFonts w:ascii="宋体" w:hAnsi="Courier New" w:eastAsia="宋体" w:cs="Courier New"/>
      <w:szCs w:val="21"/>
    </w:rPr>
  </w:style>
  <w:style w:type="character" w:customStyle="1" w:styleId="253">
    <w:name w:val="纯文本 字符2"/>
    <w:link w:val="1"/>
    <w:qFormat/>
    <w:uiPriority w:val="0"/>
    <w:rPr>
      <w:rFonts w:ascii="宋体" w:hAnsi="Courier New" w:eastAsia="宋体" w:cs="Courier New"/>
      <w:szCs w:val="21"/>
    </w:rPr>
  </w:style>
  <w:style w:type="character" w:customStyle="1" w:styleId="254">
    <w:name w:val="批注文字 字符1"/>
    <w:link w:val="1"/>
    <w:qFormat/>
    <w:uiPriority w:val="0"/>
    <w:rPr>
      <w:rFonts w:ascii="Times New Roman" w:hAnsi="Times New Roman"/>
      <w:sz w:val="21"/>
      <w:szCs w:val="24"/>
    </w:rPr>
  </w:style>
  <w:style w:type="character" w:customStyle="1" w:styleId="255">
    <w:name w:val="正文文本 (26) + 间距 0 pt"/>
    <w:link w:val="1"/>
    <w:qFormat/>
    <w:uiPriority w:val="0"/>
    <w:rPr>
      <w:rFonts w:ascii="宋体" w:hAnsi="宋体" w:eastAsia="宋体" w:cs="宋体"/>
      <w:color w:val="000000"/>
      <w:spacing w:val="0"/>
      <w:position w:val="0"/>
      <w:sz w:val="22"/>
      <w:szCs w:val="22"/>
      <w:u w:val="none"/>
      <w:lang w:val="zh-CN" w:eastAsia="zh-CN" w:bidi="zh-CN"/>
    </w:rPr>
  </w:style>
  <w:style w:type="character" w:customStyle="1" w:styleId="256">
    <w:name w:val="纯文本 字符1"/>
    <w:link w:val="1"/>
    <w:qFormat/>
    <w:uiPriority w:val="0"/>
    <w:rPr>
      <w:rFonts w:ascii="宋体" w:hAnsi="Courier New"/>
    </w:rPr>
  </w:style>
  <w:style w:type="character" w:customStyle="1" w:styleId="257">
    <w:name w:val="正文文本 Char"/>
    <w:link w:val="1"/>
    <w:qFormat/>
    <w:uiPriority w:val="99"/>
    <w:rPr>
      <w:rFonts w:ascii="Times New Roman" w:hAnsi="Times New Roman"/>
      <w:sz w:val="21"/>
      <w:szCs w:val="24"/>
    </w:rPr>
  </w:style>
  <w:style w:type="character" w:customStyle="1" w:styleId="258">
    <w:name w:val="批注文字 字符"/>
    <w:link w:val="1"/>
    <w:qFormat/>
    <w:uiPriority w:val="0"/>
    <w:rPr>
      <w:rFonts w:ascii="Times New Roman" w:hAnsi="Times New Roman"/>
      <w:sz w:val="21"/>
      <w:szCs w:val="24"/>
    </w:rPr>
  </w:style>
  <w:style w:type="character" w:customStyle="1" w:styleId="259">
    <w:name w:val="标题 8 Char"/>
    <w:link w:val="1"/>
    <w:qFormat/>
    <w:uiPriority w:val="0"/>
    <w:rPr>
      <w:rFonts w:ascii="Arial" w:hAnsi="Arial" w:eastAsia="黑体"/>
      <w:sz w:val="24"/>
      <w:szCs w:val="24"/>
    </w:rPr>
  </w:style>
  <w:style w:type="character" w:customStyle="1" w:styleId="260">
    <w:name w:val="apple-style-span"/>
    <w:link w:val="1"/>
    <w:qFormat/>
    <w:uiPriority w:val="0"/>
  </w:style>
  <w:style w:type="paragraph" w:customStyle="1" w:styleId="261">
    <w:name w:val="默认段落字体 Para Char Char Char Char Char Char Char Char Char1 Char Char Char Char"/>
    <w:basedOn w:val="1"/>
    <w:qFormat/>
    <w:uiPriority w:val="0"/>
    <w:rPr>
      <w:rFonts w:ascii="Tahoma" w:hAnsi="Tahoma"/>
      <w:sz w:val="24"/>
      <w:szCs w:val="20"/>
    </w:rPr>
  </w:style>
  <w:style w:type="paragraph" w:customStyle="1" w:styleId="262">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63">
    <w:name w:val="列出段落"/>
    <w:basedOn w:val="1"/>
    <w:qFormat/>
    <w:uiPriority w:val="34"/>
    <w:pPr>
      <w:ind w:firstLine="420"/>
    </w:pPr>
  </w:style>
  <w:style w:type="paragraph" w:customStyle="1" w:styleId="264">
    <w:name w:val="Table Paragraph"/>
    <w:basedOn w:val="1"/>
    <w:qFormat/>
    <w:uiPriority w:val="1"/>
    <w:pPr>
      <w:jc w:val="left"/>
    </w:pPr>
    <w:rPr>
      <w:rFonts w:ascii="Calibri" w:hAnsi="Calibri"/>
      <w:sz w:val="22"/>
      <w:szCs w:val="22"/>
      <w:lang w:eastAsia="en-US"/>
    </w:rPr>
  </w:style>
  <w:style w:type="character" w:customStyle="1" w:styleId="265">
    <w:name w:val="正文文本 字符"/>
    <w:link w:val="1"/>
    <w:qFormat/>
    <w:uiPriority w:val="0"/>
    <w:rPr>
      <w:rFonts w:ascii="Times New Roman" w:hAnsi="Times New Roman"/>
      <w:sz w:val="21"/>
      <w:szCs w:val="24"/>
    </w:rPr>
  </w:style>
  <w:style w:type="character" w:customStyle="1" w:styleId="266">
    <w:name w:val="批注文字 Char2"/>
    <w:link w:val="1"/>
    <w:qFormat/>
    <w:uiPriority w:val="0"/>
    <w:rPr>
      <w:rFonts w:ascii="Times New Roman" w:hAnsi="Times New Roman"/>
      <w:sz w:val="21"/>
      <w:szCs w:val="24"/>
    </w:rPr>
  </w:style>
  <w:style w:type="character" w:customStyle="1" w:styleId="267">
    <w:name w:val="正文2 Char Char"/>
    <w:link w:val="268"/>
    <w:qFormat/>
    <w:uiPriority w:val="0"/>
    <w:rPr>
      <w:sz w:val="24"/>
    </w:rPr>
  </w:style>
  <w:style w:type="paragraph" w:customStyle="1" w:styleId="268">
    <w:name w:val="正文2"/>
    <w:basedOn w:val="1"/>
    <w:link w:val="267"/>
    <w:qFormat/>
    <w:uiPriority w:val="0"/>
    <w:pPr>
      <w:spacing w:before="156" w:line="360" w:lineRule="auto"/>
      <w:ind w:firstLine="510"/>
    </w:pPr>
    <w:rPr>
      <w:sz w:val="24"/>
      <w:szCs w:val="20"/>
    </w:rPr>
  </w:style>
  <w:style w:type="paragraph" w:customStyle="1" w:styleId="269">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270">
    <w:name w:val="列出段落1"/>
    <w:basedOn w:val="1"/>
    <w:qFormat/>
    <w:uiPriority w:val="0"/>
    <w:pPr>
      <w:ind w:firstLine="420"/>
    </w:pPr>
    <w:rPr>
      <w:szCs w:val="21"/>
    </w:rPr>
  </w:style>
  <w:style w:type="character" w:customStyle="1" w:styleId="271">
    <w:name w:val="NormalCharacter1"/>
    <w:link w:val="1"/>
    <w:qFormat/>
    <w:uiPriority w:val="0"/>
  </w:style>
  <w:style w:type="paragraph" w:customStyle="1" w:styleId="272">
    <w:name w:val="Table Text"/>
    <w:basedOn w:val="1"/>
    <w:semiHidden/>
    <w:qFormat/>
    <w:uiPriority w:val="0"/>
    <w:rPr>
      <w:rFonts w:ascii="宋体" w:hAnsi="宋体" w:eastAsia="宋体" w:cs="宋体"/>
      <w:sz w:val="20"/>
      <w:szCs w:val="20"/>
      <w:lang w:val="en-US" w:eastAsia="en-US" w:bidi="ar-SA"/>
    </w:rPr>
  </w:style>
  <w:style w:type="table" w:customStyle="1" w:styleId="273">
    <w:name w:val="Table Normal"/>
    <w:unhideWhenUsed/>
    <w:qFormat/>
    <w:uiPriority w:val="0"/>
    <w:rPr>
      <w:lang w:val="en-US" w:eastAsia="zh-CN"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74">
    <w:name w:val="标题 21"/>
    <w:basedOn w:val="275"/>
    <w:next w:val="275"/>
    <w:qFormat/>
    <w:uiPriority w:val="0"/>
    <w:pPr>
      <w:keepNext/>
      <w:keepLines/>
      <w:pageBreakBefore w:val="0"/>
      <w:widowControl w:val="0"/>
      <w:numPr>
        <w:ilvl w:val="0"/>
        <w:numId w:val="0"/>
      </w:numPr>
      <w:suppressLineNumbers w:val="0"/>
      <w:pBdr>
        <w:top w:val="none" w:color="000000" w:sz="0" w:space="0"/>
        <w:left w:val="none" w:color="000000" w:sz="0" w:space="0"/>
        <w:bottom w:val="none" w:color="000000" w:sz="0" w:space="0"/>
        <w:right w:val="none" w:color="000000" w:sz="0" w:space="0"/>
        <w:between w:val="none" w:color="000000" w:sz="0" w:space="0"/>
      </w:pBdr>
      <w:shd w:val="clear" w:color="auto" w:fill="auto"/>
      <w:bidi w:val="0"/>
      <w:spacing w:before="260" w:beforeAutospacing="0" w:after="260" w:afterAutospacing="0" w:line="416" w:lineRule="auto"/>
      <w:ind w:left="0" w:right="0" w:firstLine="0"/>
      <w:jc w:val="both"/>
      <w:outlineLvl w:val="0"/>
    </w:pPr>
    <w:rPr>
      <w:rFonts w:ascii="Cambria" w:hAnsi="Cambria" w:eastAsia="Cambria" w:cs="Cambria"/>
      <w:b/>
      <w:bCs/>
      <w:color w:val="000000"/>
      <w:spacing w:val="0"/>
      <w:position w:val="0"/>
      <w:sz w:val="32"/>
      <w:szCs w:val="32"/>
      <w:u w:val="none"/>
      <w:shd w:val="clear" w:color="auto" w:fill="auto"/>
      <w:vertAlign w:val="baseline"/>
      <w:lang w:val="en-US"/>
    </w:rPr>
  </w:style>
  <w:style w:type="paragraph" w:customStyle="1" w:styleId="275">
    <w:name w:val="正文1"/>
    <w:next w:val="274"/>
    <w:qFormat/>
    <w:uiPriority w:val="0"/>
    <w:pPr>
      <w:widowControl w:val="0"/>
      <w:jc w:val="both"/>
    </w:pPr>
    <w:rPr>
      <w:rFonts w:hint="default" w:ascii="Times New Roman" w:hAnsi="Times New Roman" w:eastAsia="仿宋_GB2312" w:cs="Times New Roman"/>
      <w:sz w:val="21"/>
      <w:szCs w:val="24"/>
      <w:lang w:val="en-US" w:eastAsia="zh-CN" w:bidi="ar-SA"/>
    </w:rPr>
  </w:style>
  <w:style w:type="paragraph" w:customStyle="1" w:styleId="276">
    <w:name w:val="正文-公1"/>
    <w:basedOn w:val="1"/>
    <w:qFormat/>
    <w:uiPriority w:val="0"/>
    <w:pPr>
      <w:ind w:firstLine="200"/>
    </w:pPr>
    <w:rPr>
      <w:rFonts w:ascii="Calibri" w:hAnsi="Calibri" w:cs="Calibri"/>
      <w:color w:val="000000"/>
      <w:szCs w:val="21"/>
    </w:rPr>
  </w:style>
  <w:style w:type="paragraph" w:customStyle="1" w:styleId="277">
    <w:name w:val="_Style 1"/>
    <w:basedOn w:val="1"/>
    <w:qFormat/>
    <w:uiPriority w:val="0"/>
    <w:pPr>
      <w:ind w:firstLine="42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广西云龙招</Company>
  <Pages>88</Pages>
  <Words>21462</Words>
  <Characters>22762</Characters>
  <TotalTime>105</TotalTime>
  <ScaleCrop>false</ScaleCrop>
  <LinksUpToDate>false</LinksUpToDate>
  <CharactersWithSpaces>22961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2024-05-13T00:44:00Z</dcterms:created>
  <dc:creator>唐</dc:creator>
  <cp:lastModifiedBy>云之龙来宾</cp:lastModifiedBy>
  <dcterms:modified xsi:type="dcterms:W3CDTF">2026-09-20T05:48:55Z</dcterms:modified>
  <dc:title>竞争性谈判</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eyJoZGlkIjoiZWEwN2ZmYjhiMDY4MWNlYTU5YTM2MTRlMmQ2YzE4NjUiLCJ1c2VySWQiOiIxMzA4MzI0ODMyIn0=</vt:lpwstr>
  </property>
  <property fmtid="{D5CDD505-2E9C-101B-9397-08002B2CF9AE}" pid="3" name="KSOProductBuildVer">
    <vt:lpwstr>2052-12.1.0.19302</vt:lpwstr>
  </property>
  <property fmtid="{D5CDD505-2E9C-101B-9397-08002B2CF9AE}" pid="4" name="ICV">
    <vt:lpwstr>5478B503D6194B0E8D4F13492035AEE0_13</vt:lpwstr>
  </property>
</Properties>
</file>