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262717">
      <w:pPr>
        <w:spacing w:before="312" w:after="156" w:line="600" w:lineRule="exact"/>
        <w:jc w:val="center"/>
        <w:rPr>
          <w:rFonts w:hint="eastAsia" w:ascii="方正小标宋简体" w:hAnsi="宋体" w:eastAsia="方正小标宋简体"/>
          <w:color w:val="auto"/>
          <w:sz w:val="52"/>
          <w:szCs w:val="52"/>
          <w:highlight w:val="none"/>
        </w:rPr>
      </w:pPr>
    </w:p>
    <w:p w14:paraId="50B66C8E">
      <w:pPr>
        <w:spacing w:line="360" w:lineRule="auto"/>
        <w:jc w:val="center"/>
        <w:rPr>
          <w:rFonts w:ascii="方正小标宋简体" w:hAnsi="宋体" w:eastAsia="方正小标宋简体"/>
          <w:color w:val="auto"/>
          <w:sz w:val="52"/>
          <w:szCs w:val="52"/>
          <w:highlight w:val="none"/>
        </w:rPr>
      </w:pPr>
      <w:r>
        <w:rPr>
          <w:rFonts w:hint="eastAsia" w:ascii="方正小标宋_GBK" w:hAnsi="方正小标宋_GBK" w:eastAsia="方正小标宋_GBK" w:cs="方正小标宋_GBK"/>
          <w:color w:val="auto"/>
          <w:sz w:val="52"/>
          <w:szCs w:val="52"/>
          <w:highlight w:val="none"/>
        </w:rPr>
        <w:t>云之龙咨询集团有限公司</w:t>
      </w:r>
    </w:p>
    <w:p w14:paraId="016F5D34">
      <w:pPr>
        <w:spacing w:before="156" w:line="360" w:lineRule="auto"/>
        <w:jc w:val="center"/>
        <w:rPr>
          <w:rFonts w:ascii="宋体" w:hAnsi="宋体"/>
          <w:i/>
          <w:color w:val="auto"/>
          <w:sz w:val="52"/>
          <w:szCs w:val="52"/>
          <w:highlight w:val="none"/>
        </w:rPr>
      </w:pPr>
    </w:p>
    <w:p w14:paraId="285750A9">
      <w:pPr>
        <w:spacing w:line="360" w:lineRule="auto"/>
        <w:rPr>
          <w:rFonts w:ascii="方正小标宋简体" w:hAnsi="方正小标宋简体" w:eastAsia="方正小标宋简体" w:cs="方正小标宋简体"/>
          <w:b/>
          <w:color w:val="auto"/>
          <w:sz w:val="44"/>
          <w:szCs w:val="44"/>
          <w:highlight w:val="none"/>
        </w:rPr>
      </w:pPr>
    </w:p>
    <w:p w14:paraId="38BE22C9">
      <w:pPr>
        <w:spacing w:before="156" w:line="360" w:lineRule="auto"/>
        <w:jc w:val="center"/>
        <w:rPr>
          <w:rFonts w:ascii="华文新魏" w:hAnsi="宋体" w:eastAsia="华文新魏"/>
          <w:color w:val="auto"/>
          <w:sz w:val="120"/>
          <w:szCs w:val="120"/>
          <w:highlight w:val="none"/>
        </w:rPr>
      </w:pPr>
      <w:r>
        <w:rPr>
          <w:rFonts w:hint="eastAsia" w:ascii="华文新魏" w:hAnsi="宋体" w:eastAsia="华文新魏"/>
          <w:color w:val="auto"/>
          <w:sz w:val="120"/>
          <w:szCs w:val="120"/>
          <w:highlight w:val="none"/>
        </w:rPr>
        <w:t>竞争性谈判文件</w:t>
      </w:r>
    </w:p>
    <w:p w14:paraId="7149519F">
      <w:pPr>
        <w:spacing w:before="156" w:line="360" w:lineRule="auto"/>
        <w:jc w:val="center"/>
        <w:rPr>
          <w:rFonts w:ascii="仿宋_GB2312" w:hAnsi="宋体" w:eastAsia="仿宋_GB2312"/>
          <w:b/>
          <w:color w:val="auto"/>
          <w:sz w:val="30"/>
          <w:szCs w:val="72"/>
          <w:highlight w:val="none"/>
        </w:rPr>
      </w:pPr>
      <w:r>
        <w:rPr>
          <w:rFonts w:hint="eastAsia" w:ascii="仿宋_GB2312" w:hAnsi="宋体" w:eastAsia="仿宋_GB2312"/>
          <w:b/>
          <w:color w:val="auto"/>
          <w:sz w:val="48"/>
          <w:szCs w:val="48"/>
          <w:highlight w:val="none"/>
        </w:rPr>
        <w:t>（全流程电子化采购）</w:t>
      </w:r>
    </w:p>
    <w:p w14:paraId="24CD25C4">
      <w:pPr>
        <w:spacing w:line="360" w:lineRule="auto"/>
        <w:rPr>
          <w:rFonts w:ascii="仿宋_GB2312" w:hAnsi="宋体" w:eastAsia="仿宋_GB2312"/>
          <w:color w:val="auto"/>
          <w:sz w:val="30"/>
          <w:szCs w:val="72"/>
          <w:highlight w:val="none"/>
        </w:rPr>
      </w:pPr>
    </w:p>
    <w:p w14:paraId="6D2EA458">
      <w:pPr>
        <w:pStyle w:val="222"/>
        <w:spacing w:line="360" w:lineRule="auto"/>
        <w:ind w:firstLine="1193"/>
        <w:rPr>
          <w:rFonts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项目</w:t>
      </w:r>
      <w:r>
        <w:rPr>
          <w:rFonts w:hint="eastAsia" w:ascii="仿宋_GB2312" w:hAnsi="宋体" w:eastAsia="仿宋_GB2312" w:cs="Courier New"/>
          <w:b/>
          <w:bCs/>
          <w:color w:val="auto"/>
          <w:sz w:val="30"/>
          <w:szCs w:val="30"/>
          <w:highlight w:val="none"/>
        </w:rPr>
        <w:t>名称</w:t>
      </w:r>
      <w:r>
        <w:rPr>
          <w:rFonts w:hint="eastAsia" w:ascii="仿宋_GB2312" w:hAnsi="宋体" w:eastAsia="仿宋_GB2312"/>
          <w:b/>
          <w:bCs/>
          <w:color w:val="auto"/>
          <w:sz w:val="30"/>
          <w:szCs w:val="30"/>
          <w:highlight w:val="none"/>
        </w:rPr>
        <w:t>：梧州市妇幼保健院彩色多普勒超声诊断仪采购</w:t>
      </w:r>
    </w:p>
    <w:p w14:paraId="3163C37F">
      <w:pPr>
        <w:spacing w:line="360" w:lineRule="auto"/>
        <w:ind w:firstLine="1145"/>
        <w:rPr>
          <w:rFonts w:ascii="仿宋_GB2312" w:hAnsi="宋体" w:eastAsia="仿宋_GB2312"/>
          <w:color w:val="auto"/>
          <w:sz w:val="30"/>
          <w:szCs w:val="72"/>
          <w:highlight w:val="none"/>
        </w:rPr>
      </w:pPr>
      <w:r>
        <w:rPr>
          <w:rFonts w:hint="eastAsia" w:ascii="仿宋_GB2312" w:hAnsi="宋体" w:eastAsia="仿宋_GB2312" w:cs="Courier New"/>
          <w:b/>
          <w:bCs/>
          <w:color w:val="auto"/>
          <w:sz w:val="30"/>
          <w:szCs w:val="30"/>
          <w:highlight w:val="none"/>
        </w:rPr>
        <w:t>项目</w:t>
      </w:r>
      <w:r>
        <w:rPr>
          <w:rFonts w:hint="eastAsia" w:ascii="仿宋_GB2312" w:hAnsi="宋体" w:eastAsia="仿宋_GB2312"/>
          <w:b/>
          <w:bCs/>
          <w:color w:val="auto"/>
          <w:sz w:val="30"/>
          <w:szCs w:val="30"/>
          <w:highlight w:val="none"/>
        </w:rPr>
        <w:t>编号</w:t>
      </w:r>
      <w:r>
        <w:rPr>
          <w:rFonts w:hint="eastAsia" w:ascii="仿宋_GB2312" w:hAnsi="宋体" w:eastAsia="仿宋_GB2312" w:cs="Courier New"/>
          <w:b/>
          <w:bCs/>
          <w:color w:val="auto"/>
          <w:sz w:val="30"/>
          <w:szCs w:val="30"/>
          <w:highlight w:val="none"/>
        </w:rPr>
        <w:t>：</w:t>
      </w:r>
      <w:r>
        <w:rPr>
          <w:rFonts w:hint="eastAsia" w:ascii="仿宋_GB2312" w:hAnsi="宋体" w:eastAsia="仿宋_GB2312" w:cs="Courier New"/>
          <w:b/>
          <w:bCs/>
          <w:color w:val="auto"/>
          <w:sz w:val="30"/>
          <w:szCs w:val="30"/>
          <w:highlight w:val="none"/>
          <w:lang w:eastAsia="zh-CN"/>
        </w:rPr>
        <w:t>WZZC2026-J1-990205-YZLZ</w:t>
      </w:r>
      <w:r>
        <w:rPr>
          <w:rFonts w:hint="eastAsia" w:ascii="仿宋_GB2312" w:hAnsi="宋体" w:eastAsia="仿宋_GB2312" w:cs="Courier New"/>
          <w:b/>
          <w:bCs/>
          <w:color w:val="auto"/>
          <w:sz w:val="30"/>
          <w:szCs w:val="30"/>
          <w:highlight w:val="none"/>
        </w:rPr>
        <w:t xml:space="preserve"> </w:t>
      </w:r>
    </w:p>
    <w:p w14:paraId="5B4FBEF8">
      <w:pPr>
        <w:pStyle w:val="222"/>
        <w:spacing w:line="360" w:lineRule="auto"/>
        <w:ind w:firstLine="1125"/>
        <w:rPr>
          <w:rFonts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 xml:space="preserve">采 购 人：梧州市妇幼保健院   </w:t>
      </w:r>
    </w:p>
    <w:p w14:paraId="1D5E1626">
      <w:pPr>
        <w:pStyle w:val="222"/>
        <w:spacing w:line="360" w:lineRule="auto"/>
        <w:ind w:firstLine="1125"/>
        <w:rPr>
          <w:rFonts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采购代理机构：云之龙咨询集团有限公司</w:t>
      </w:r>
    </w:p>
    <w:p w14:paraId="3D84726B">
      <w:pPr>
        <w:pStyle w:val="222"/>
        <w:spacing w:line="360" w:lineRule="auto"/>
        <w:ind w:firstLine="1125"/>
        <w:rPr>
          <w:rFonts w:ascii="仿宋_GB2312" w:hAnsi="宋体" w:eastAsia="仿宋_GB2312"/>
          <w:b/>
          <w:bCs/>
          <w:color w:val="auto"/>
          <w:sz w:val="30"/>
          <w:szCs w:val="30"/>
          <w:highlight w:val="none"/>
        </w:rPr>
      </w:pPr>
    </w:p>
    <w:p w14:paraId="1D2638B5">
      <w:pPr>
        <w:pStyle w:val="222"/>
        <w:spacing w:line="360" w:lineRule="auto"/>
        <w:ind w:firstLine="1125"/>
        <w:rPr>
          <w:rFonts w:ascii="仿宋_GB2312" w:hAnsi="宋体" w:eastAsia="仿宋_GB2312"/>
          <w:b/>
          <w:bCs/>
          <w:color w:val="auto"/>
          <w:sz w:val="30"/>
          <w:szCs w:val="30"/>
          <w:highlight w:val="none"/>
        </w:rPr>
      </w:pPr>
    </w:p>
    <w:p w14:paraId="5E5A3651">
      <w:pPr>
        <w:pStyle w:val="222"/>
        <w:spacing w:line="360" w:lineRule="auto"/>
        <w:ind w:firstLine="841"/>
        <w:rPr>
          <w:rFonts w:ascii="仿宋_GB2312" w:eastAsia="仿宋_GB2312"/>
          <w:color w:val="auto"/>
          <w:szCs w:val="20"/>
          <w:highlight w:val="none"/>
        </w:rPr>
      </w:pPr>
      <w:r>
        <w:rPr>
          <w:rFonts w:hint="eastAsia" w:ascii="仿宋_GB2312" w:hAnsi="宋体" w:eastAsia="仿宋_GB2312"/>
          <w:b/>
          <w:bCs/>
          <w:color w:val="auto"/>
          <w:sz w:val="30"/>
          <w:szCs w:val="30"/>
          <w:highlight w:val="none"/>
        </w:rPr>
        <w:t xml:space="preserve">               2026年</w:t>
      </w:r>
      <w:r>
        <w:rPr>
          <w:rFonts w:hint="eastAsia" w:ascii="仿宋_GB2312" w:hAnsi="宋体" w:eastAsia="仿宋_GB2312"/>
          <w:b/>
          <w:bCs/>
          <w:color w:val="auto"/>
          <w:sz w:val="30"/>
          <w:szCs w:val="30"/>
          <w:highlight w:val="none"/>
          <w:lang w:val="en-US" w:eastAsia="zh-CN"/>
        </w:rPr>
        <w:t>8</w:t>
      </w:r>
      <w:r>
        <w:rPr>
          <w:rFonts w:hint="eastAsia" w:ascii="仿宋_GB2312" w:hAnsi="宋体" w:eastAsia="仿宋_GB2312"/>
          <w:b/>
          <w:bCs/>
          <w:color w:val="auto"/>
          <w:sz w:val="30"/>
          <w:szCs w:val="30"/>
          <w:highlight w:val="none"/>
        </w:rPr>
        <w:t>月</w:t>
      </w:r>
      <w:r>
        <w:rPr>
          <w:rFonts w:hint="eastAsia" w:ascii="仿宋_GB2312" w:hAnsi="宋体" w:eastAsia="仿宋_GB2312"/>
          <w:b/>
          <w:bCs/>
          <w:color w:val="auto"/>
          <w:sz w:val="30"/>
          <w:szCs w:val="30"/>
          <w:highlight w:val="none"/>
          <w:lang w:val="en-US" w:eastAsia="zh-CN"/>
        </w:rPr>
        <w:t>28</w:t>
      </w:r>
      <w:r>
        <w:rPr>
          <w:rFonts w:hint="eastAsia" w:ascii="仿宋_GB2312" w:hAnsi="宋体" w:eastAsia="仿宋_GB2312"/>
          <w:b/>
          <w:bCs/>
          <w:color w:val="auto"/>
          <w:sz w:val="30"/>
          <w:szCs w:val="30"/>
          <w:highlight w:val="none"/>
        </w:rPr>
        <w:t>日</w:t>
      </w:r>
    </w:p>
    <w:p w14:paraId="45E2B4F7">
      <w:pPr>
        <w:tabs>
          <w:tab w:val="left" w:pos="1080"/>
        </w:tabs>
        <w:spacing w:line="360" w:lineRule="auto"/>
        <w:rPr>
          <w:rFonts w:ascii="宋体" w:hAnsi="宋体"/>
          <w:b/>
          <w:color w:val="auto"/>
          <w:sz w:val="44"/>
          <w:szCs w:val="44"/>
          <w:highlight w:val="none"/>
        </w:rPr>
      </w:pPr>
      <w:r>
        <w:rPr>
          <w:rFonts w:ascii="仿宋_GB2312" w:hAnsi="宋体" w:eastAsia="仿宋_GB2312"/>
          <w:b/>
          <w:color w:val="auto"/>
          <w:sz w:val="30"/>
          <w:szCs w:val="30"/>
          <w:highlight w:val="none"/>
        </w:rPr>
        <w:br w:type="page" w:clear="all"/>
      </w:r>
    </w:p>
    <w:p w14:paraId="25454505">
      <w:pPr>
        <w:spacing w:line="360" w:lineRule="auto"/>
        <w:jc w:val="center"/>
        <w:rPr>
          <w:rFonts w:ascii="宋体" w:hAnsi="宋体"/>
          <w:b/>
          <w:color w:val="auto"/>
          <w:sz w:val="44"/>
          <w:szCs w:val="44"/>
          <w:highlight w:val="none"/>
        </w:rPr>
      </w:pPr>
      <w:r>
        <w:rPr>
          <w:rFonts w:hint="eastAsia" w:ascii="宋体" w:hAnsi="宋体"/>
          <w:b/>
          <w:color w:val="auto"/>
          <w:sz w:val="44"/>
          <w:szCs w:val="44"/>
          <w:highlight w:val="none"/>
        </w:rPr>
        <w:t>目  录</w:t>
      </w:r>
    </w:p>
    <w:p w14:paraId="26CDFCDB">
      <w:pPr>
        <w:spacing w:line="400" w:lineRule="exact"/>
        <w:jc w:val="center"/>
        <w:rPr>
          <w:rFonts w:ascii="宋体" w:hAnsi="宋体"/>
          <w:b/>
          <w:color w:val="auto"/>
          <w:sz w:val="44"/>
          <w:szCs w:val="44"/>
          <w:highlight w:val="none"/>
        </w:rPr>
      </w:pPr>
    </w:p>
    <w:p w14:paraId="476A27BD">
      <w:pPr>
        <w:pStyle w:val="26"/>
        <w:tabs>
          <w:tab w:val="right" w:leader="dot" w:pos="8879"/>
        </w:tabs>
        <w:rPr>
          <w:b/>
          <w:bCs/>
          <w:color w:val="auto"/>
          <w:sz w:val="28"/>
          <w:szCs w:val="28"/>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 </w:instrText>
      </w:r>
      <w:r>
        <w:rPr>
          <w:rFonts w:hint="eastAsia" w:ascii="宋体" w:hAnsi="宋体"/>
          <w:b/>
          <w:bCs/>
          <w:color w:val="auto"/>
          <w:sz w:val="28"/>
          <w:szCs w:val="28"/>
          <w:highlight w:val="none"/>
        </w:rPr>
        <w:instrText xml:space="preserve">TOC \o "1-3" \h \z \u</w:instrText>
      </w:r>
      <w:r>
        <w:rPr>
          <w:rFonts w:ascii="宋体" w:hAnsi="宋体"/>
          <w:b/>
          <w:bCs/>
          <w:color w:val="auto"/>
          <w:sz w:val="28"/>
          <w:szCs w:val="28"/>
          <w:highlight w:val="none"/>
        </w:rPr>
        <w:instrText xml:space="preserve">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"_Toc4914" </w:instrText>
      </w:r>
      <w:r>
        <w:rPr>
          <w:color w:val="auto"/>
          <w:highlight w:val="none"/>
        </w:rPr>
        <w:fldChar w:fldCharType="separate"/>
      </w:r>
      <w:r>
        <w:rPr>
          <w:rFonts w:hint="eastAsia"/>
          <w:b/>
          <w:bCs/>
          <w:color w:val="auto"/>
          <w:sz w:val="28"/>
          <w:szCs w:val="28"/>
          <w:highlight w:val="none"/>
        </w:rPr>
        <w:t>第一章 竞争性谈判公告</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_Toc4914 \h </w:instrText>
      </w:r>
      <w:r>
        <w:rPr>
          <w:b/>
          <w:bCs/>
          <w:color w:val="auto"/>
          <w:sz w:val="28"/>
          <w:szCs w:val="28"/>
          <w:highlight w:val="none"/>
        </w:rPr>
        <w:fldChar w:fldCharType="separate"/>
      </w:r>
      <w:r>
        <w:rPr>
          <w:b/>
          <w:bCs/>
          <w:color w:val="auto"/>
          <w:sz w:val="28"/>
          <w:szCs w:val="28"/>
          <w:highlight w:val="none"/>
        </w:rPr>
        <w:t>3</w:t>
      </w:r>
      <w:r>
        <w:rPr>
          <w:b/>
          <w:bCs/>
          <w:color w:val="auto"/>
          <w:sz w:val="28"/>
          <w:szCs w:val="28"/>
          <w:highlight w:val="none"/>
        </w:rPr>
        <w:fldChar w:fldCharType="end"/>
      </w:r>
      <w:r>
        <w:rPr>
          <w:b/>
          <w:bCs/>
          <w:color w:val="auto"/>
          <w:sz w:val="28"/>
          <w:szCs w:val="28"/>
          <w:highlight w:val="none"/>
        </w:rPr>
        <w:fldChar w:fldCharType="end"/>
      </w:r>
    </w:p>
    <w:p w14:paraId="4E8350C1">
      <w:pPr>
        <w:pStyle w:val="26"/>
        <w:tabs>
          <w:tab w:val="right" w:leader="dot" w:pos="8879"/>
        </w:tabs>
        <w:rPr>
          <w:b/>
          <w:bCs/>
          <w:color w:val="auto"/>
          <w:sz w:val="28"/>
          <w:szCs w:val="28"/>
          <w:highlight w:val="none"/>
        </w:rPr>
      </w:pPr>
      <w:r>
        <w:rPr>
          <w:color w:val="auto"/>
          <w:highlight w:val="none"/>
        </w:rPr>
        <w:fldChar w:fldCharType="begin"/>
      </w:r>
      <w:r>
        <w:rPr>
          <w:color w:val="auto"/>
          <w:highlight w:val="none"/>
        </w:rPr>
        <w:instrText xml:space="preserve"> HYPERLINK \l "_Toc1434" </w:instrText>
      </w:r>
      <w:r>
        <w:rPr>
          <w:color w:val="auto"/>
          <w:highlight w:val="none"/>
        </w:rPr>
        <w:fldChar w:fldCharType="separate"/>
      </w:r>
      <w:r>
        <w:rPr>
          <w:rFonts w:hint="eastAsia"/>
          <w:b/>
          <w:bCs/>
          <w:color w:val="auto"/>
          <w:sz w:val="28"/>
          <w:szCs w:val="28"/>
          <w:highlight w:val="none"/>
        </w:rPr>
        <w:t>第二章 供应商须知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_Toc1434 \h </w:instrText>
      </w:r>
      <w:r>
        <w:rPr>
          <w:b/>
          <w:bCs/>
          <w:color w:val="auto"/>
          <w:sz w:val="28"/>
          <w:szCs w:val="28"/>
          <w:highlight w:val="none"/>
        </w:rPr>
        <w:fldChar w:fldCharType="separate"/>
      </w:r>
      <w:r>
        <w:rPr>
          <w:b/>
          <w:bCs/>
          <w:color w:val="auto"/>
          <w:sz w:val="28"/>
          <w:szCs w:val="28"/>
          <w:highlight w:val="none"/>
        </w:rPr>
        <w:t>6</w:t>
      </w:r>
      <w:r>
        <w:rPr>
          <w:b/>
          <w:bCs/>
          <w:color w:val="auto"/>
          <w:sz w:val="28"/>
          <w:szCs w:val="28"/>
          <w:highlight w:val="none"/>
        </w:rPr>
        <w:fldChar w:fldCharType="end"/>
      </w:r>
      <w:r>
        <w:rPr>
          <w:b/>
          <w:bCs/>
          <w:color w:val="auto"/>
          <w:sz w:val="28"/>
          <w:szCs w:val="28"/>
          <w:highlight w:val="none"/>
        </w:rPr>
        <w:fldChar w:fldCharType="end"/>
      </w:r>
    </w:p>
    <w:p w14:paraId="1EBDE6D0">
      <w:pPr>
        <w:pStyle w:val="26"/>
        <w:tabs>
          <w:tab w:val="right" w:leader="dot" w:pos="8879"/>
        </w:tabs>
        <w:rPr>
          <w:b/>
          <w:bCs/>
          <w:color w:val="auto"/>
          <w:sz w:val="28"/>
          <w:szCs w:val="28"/>
          <w:highlight w:val="none"/>
        </w:rPr>
      </w:pPr>
      <w:r>
        <w:rPr>
          <w:color w:val="auto"/>
          <w:highlight w:val="none"/>
        </w:rPr>
        <w:fldChar w:fldCharType="begin"/>
      </w:r>
      <w:r>
        <w:rPr>
          <w:color w:val="auto"/>
          <w:highlight w:val="none"/>
        </w:rPr>
        <w:instrText xml:space="preserve"> HYPERLINK \l "_Toc16215" </w:instrText>
      </w:r>
      <w:r>
        <w:rPr>
          <w:color w:val="auto"/>
          <w:highlight w:val="none"/>
        </w:rPr>
        <w:fldChar w:fldCharType="separate"/>
      </w:r>
      <w:r>
        <w:rPr>
          <w:rFonts w:hint="eastAsia"/>
          <w:b/>
          <w:bCs/>
          <w:color w:val="auto"/>
          <w:sz w:val="28"/>
          <w:szCs w:val="28"/>
          <w:highlight w:val="none"/>
        </w:rPr>
        <w:t>第三章 采购需求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_Toc16215 \h </w:instrText>
      </w:r>
      <w:r>
        <w:rPr>
          <w:b/>
          <w:bCs/>
          <w:color w:val="auto"/>
          <w:sz w:val="28"/>
          <w:szCs w:val="28"/>
          <w:highlight w:val="none"/>
        </w:rPr>
        <w:fldChar w:fldCharType="separate"/>
      </w:r>
      <w:r>
        <w:rPr>
          <w:b/>
          <w:bCs/>
          <w:color w:val="auto"/>
          <w:sz w:val="28"/>
          <w:szCs w:val="28"/>
          <w:highlight w:val="none"/>
        </w:rPr>
        <w:t>25</w:t>
      </w:r>
      <w:r>
        <w:rPr>
          <w:b/>
          <w:bCs/>
          <w:color w:val="auto"/>
          <w:sz w:val="28"/>
          <w:szCs w:val="28"/>
          <w:highlight w:val="none"/>
        </w:rPr>
        <w:fldChar w:fldCharType="end"/>
      </w:r>
      <w:r>
        <w:rPr>
          <w:b/>
          <w:bCs/>
          <w:color w:val="auto"/>
          <w:sz w:val="28"/>
          <w:szCs w:val="28"/>
          <w:highlight w:val="none"/>
        </w:rPr>
        <w:fldChar w:fldCharType="end"/>
      </w:r>
    </w:p>
    <w:p w14:paraId="764C8636">
      <w:pPr>
        <w:pStyle w:val="26"/>
        <w:tabs>
          <w:tab w:val="right" w:leader="dot" w:pos="8879"/>
        </w:tabs>
        <w:rPr>
          <w:b/>
          <w:bCs/>
          <w:color w:val="auto"/>
          <w:sz w:val="28"/>
          <w:szCs w:val="28"/>
          <w:highlight w:val="none"/>
        </w:rPr>
      </w:pPr>
      <w:r>
        <w:rPr>
          <w:color w:val="auto"/>
          <w:highlight w:val="none"/>
        </w:rPr>
        <w:fldChar w:fldCharType="begin"/>
      </w:r>
      <w:r>
        <w:rPr>
          <w:color w:val="auto"/>
          <w:highlight w:val="none"/>
        </w:rPr>
        <w:instrText xml:space="preserve"> HYPERLINK \l "_Toc20146" </w:instrText>
      </w:r>
      <w:r>
        <w:rPr>
          <w:color w:val="auto"/>
          <w:highlight w:val="none"/>
        </w:rPr>
        <w:fldChar w:fldCharType="separate"/>
      </w:r>
      <w:r>
        <w:rPr>
          <w:rFonts w:hint="eastAsia"/>
          <w:b/>
          <w:bCs/>
          <w:color w:val="auto"/>
          <w:sz w:val="28"/>
          <w:szCs w:val="28"/>
          <w:highlight w:val="none"/>
        </w:rPr>
        <w:t>第四章 评审程序和评定成交的标准</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_Toc20146 \h </w:instrText>
      </w:r>
      <w:r>
        <w:rPr>
          <w:b/>
          <w:bCs/>
          <w:color w:val="auto"/>
          <w:sz w:val="28"/>
          <w:szCs w:val="28"/>
          <w:highlight w:val="none"/>
        </w:rPr>
        <w:fldChar w:fldCharType="separate"/>
      </w:r>
      <w:r>
        <w:rPr>
          <w:b/>
          <w:bCs/>
          <w:color w:val="auto"/>
          <w:sz w:val="28"/>
          <w:szCs w:val="28"/>
          <w:highlight w:val="none"/>
        </w:rPr>
        <w:t>40</w:t>
      </w:r>
      <w:r>
        <w:rPr>
          <w:b/>
          <w:bCs/>
          <w:color w:val="auto"/>
          <w:sz w:val="28"/>
          <w:szCs w:val="28"/>
          <w:highlight w:val="none"/>
        </w:rPr>
        <w:fldChar w:fldCharType="end"/>
      </w:r>
      <w:r>
        <w:rPr>
          <w:b/>
          <w:bCs/>
          <w:color w:val="auto"/>
          <w:sz w:val="28"/>
          <w:szCs w:val="28"/>
          <w:highlight w:val="none"/>
        </w:rPr>
        <w:fldChar w:fldCharType="end"/>
      </w:r>
    </w:p>
    <w:p w14:paraId="70C5BED9">
      <w:pPr>
        <w:pStyle w:val="26"/>
        <w:tabs>
          <w:tab w:val="right" w:leader="dot" w:pos="8879"/>
        </w:tabs>
        <w:rPr>
          <w:b/>
          <w:bCs/>
          <w:color w:val="auto"/>
          <w:sz w:val="28"/>
          <w:szCs w:val="28"/>
          <w:highlight w:val="none"/>
        </w:rPr>
      </w:pPr>
      <w:r>
        <w:rPr>
          <w:color w:val="auto"/>
          <w:highlight w:val="none"/>
        </w:rPr>
        <w:fldChar w:fldCharType="begin"/>
      </w:r>
      <w:r>
        <w:rPr>
          <w:color w:val="auto"/>
          <w:highlight w:val="none"/>
        </w:rPr>
        <w:instrText xml:space="preserve"> HYPERLINK \l "_Toc23712" </w:instrText>
      </w:r>
      <w:r>
        <w:rPr>
          <w:color w:val="auto"/>
          <w:highlight w:val="none"/>
        </w:rPr>
        <w:fldChar w:fldCharType="separate"/>
      </w:r>
      <w:r>
        <w:rPr>
          <w:rFonts w:hint="eastAsia"/>
          <w:b/>
          <w:bCs/>
          <w:color w:val="auto"/>
          <w:sz w:val="28"/>
          <w:szCs w:val="28"/>
          <w:highlight w:val="none"/>
        </w:rPr>
        <w:t>第五章 响应文件格式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_Toc23712 \h </w:instrText>
      </w:r>
      <w:r>
        <w:rPr>
          <w:b/>
          <w:bCs/>
          <w:color w:val="auto"/>
          <w:sz w:val="28"/>
          <w:szCs w:val="28"/>
          <w:highlight w:val="none"/>
        </w:rPr>
        <w:fldChar w:fldCharType="separate"/>
      </w:r>
      <w:r>
        <w:rPr>
          <w:b/>
          <w:bCs/>
          <w:color w:val="auto"/>
          <w:sz w:val="28"/>
          <w:szCs w:val="28"/>
          <w:highlight w:val="none"/>
        </w:rPr>
        <w:t>47</w:t>
      </w:r>
      <w:r>
        <w:rPr>
          <w:b/>
          <w:bCs/>
          <w:color w:val="auto"/>
          <w:sz w:val="28"/>
          <w:szCs w:val="28"/>
          <w:highlight w:val="none"/>
        </w:rPr>
        <w:fldChar w:fldCharType="end"/>
      </w:r>
      <w:r>
        <w:rPr>
          <w:b/>
          <w:bCs/>
          <w:color w:val="auto"/>
          <w:sz w:val="28"/>
          <w:szCs w:val="28"/>
          <w:highlight w:val="none"/>
        </w:rPr>
        <w:fldChar w:fldCharType="end"/>
      </w:r>
    </w:p>
    <w:p w14:paraId="6D378723">
      <w:pPr>
        <w:pStyle w:val="26"/>
        <w:tabs>
          <w:tab w:val="right" w:leader="dot" w:pos="8879"/>
        </w:tabs>
        <w:rPr>
          <w:b/>
          <w:bCs/>
          <w:color w:val="auto"/>
          <w:sz w:val="28"/>
          <w:szCs w:val="28"/>
          <w:highlight w:val="none"/>
        </w:rPr>
      </w:pPr>
      <w:r>
        <w:rPr>
          <w:color w:val="auto"/>
          <w:highlight w:val="none"/>
        </w:rPr>
        <w:fldChar w:fldCharType="begin"/>
      </w:r>
      <w:r>
        <w:rPr>
          <w:color w:val="auto"/>
          <w:highlight w:val="none"/>
        </w:rPr>
        <w:instrText xml:space="preserve"> HYPERLINK \l "_Toc27083" </w:instrText>
      </w:r>
      <w:r>
        <w:rPr>
          <w:color w:val="auto"/>
          <w:highlight w:val="none"/>
        </w:rPr>
        <w:fldChar w:fldCharType="separate"/>
      </w:r>
      <w:r>
        <w:rPr>
          <w:rFonts w:hint="eastAsia"/>
          <w:b/>
          <w:bCs/>
          <w:color w:val="auto"/>
          <w:sz w:val="28"/>
          <w:szCs w:val="28"/>
          <w:highlight w:val="none"/>
        </w:rPr>
        <w:t>第六章 合同文本</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_Toc27083 \h </w:instrText>
      </w:r>
      <w:r>
        <w:rPr>
          <w:b/>
          <w:bCs/>
          <w:color w:val="auto"/>
          <w:sz w:val="28"/>
          <w:szCs w:val="28"/>
          <w:highlight w:val="none"/>
        </w:rPr>
        <w:fldChar w:fldCharType="separate"/>
      </w:r>
      <w:r>
        <w:rPr>
          <w:b/>
          <w:bCs/>
          <w:color w:val="auto"/>
          <w:sz w:val="28"/>
          <w:szCs w:val="28"/>
          <w:highlight w:val="none"/>
        </w:rPr>
        <w:t>74</w:t>
      </w:r>
      <w:r>
        <w:rPr>
          <w:b/>
          <w:bCs/>
          <w:color w:val="auto"/>
          <w:sz w:val="28"/>
          <w:szCs w:val="28"/>
          <w:highlight w:val="none"/>
        </w:rPr>
        <w:fldChar w:fldCharType="end"/>
      </w:r>
      <w:r>
        <w:rPr>
          <w:b/>
          <w:bCs/>
          <w:color w:val="auto"/>
          <w:sz w:val="28"/>
          <w:szCs w:val="28"/>
          <w:highlight w:val="none"/>
        </w:rPr>
        <w:fldChar w:fldCharType="end"/>
      </w:r>
    </w:p>
    <w:p w14:paraId="064830BF">
      <w:pPr>
        <w:pStyle w:val="232"/>
        <w:tabs>
          <w:tab w:val="right" w:leader="dot" w:pos="8931"/>
        </w:tabs>
        <w:spacing w:line="500" w:lineRule="atLeast"/>
        <w:ind w:left="0"/>
        <w:rPr>
          <w:rFonts w:ascii="宋体" w:hAnsi="宋体"/>
          <w:b/>
          <w:color w:val="auto"/>
          <w:sz w:val="24"/>
          <w:highlight w:val="none"/>
        </w:rPr>
      </w:pPr>
      <w:r>
        <w:rPr>
          <w:rFonts w:ascii="宋体" w:hAnsi="宋体"/>
          <w:b/>
          <w:bCs/>
          <w:color w:val="auto"/>
          <w:sz w:val="28"/>
          <w:szCs w:val="28"/>
          <w:highlight w:val="none"/>
        </w:rPr>
        <w:fldChar w:fldCharType="end"/>
      </w:r>
    </w:p>
    <w:p w14:paraId="1A82B993">
      <w:pPr>
        <w:spacing w:line="400" w:lineRule="exact"/>
        <w:jc w:val="left"/>
        <w:rPr>
          <w:rFonts w:ascii="宋体" w:hAnsi="宋体"/>
          <w:b/>
          <w:color w:val="auto"/>
          <w:sz w:val="32"/>
          <w:szCs w:val="32"/>
          <w:highlight w:val="none"/>
        </w:rPr>
      </w:pPr>
      <w:bookmarkStart w:id="74" w:name="_GoBack"/>
      <w:bookmarkEnd w:id="74"/>
    </w:p>
    <w:p w14:paraId="2415F9FF">
      <w:pPr>
        <w:spacing w:line="400" w:lineRule="exact"/>
        <w:jc w:val="center"/>
        <w:rPr>
          <w:rFonts w:ascii="宋体" w:hAnsi="宋体"/>
          <w:b/>
          <w:color w:val="auto"/>
          <w:sz w:val="32"/>
          <w:szCs w:val="32"/>
          <w:highlight w:val="none"/>
        </w:rPr>
      </w:pPr>
    </w:p>
    <w:p w14:paraId="7A246AF3">
      <w:pPr>
        <w:spacing w:line="400" w:lineRule="exact"/>
        <w:jc w:val="center"/>
        <w:rPr>
          <w:rFonts w:ascii="宋体" w:hAnsi="宋体"/>
          <w:b/>
          <w:color w:val="auto"/>
          <w:sz w:val="32"/>
          <w:szCs w:val="32"/>
          <w:highlight w:val="none"/>
        </w:rPr>
      </w:pPr>
    </w:p>
    <w:p w14:paraId="6227D8C6">
      <w:pPr>
        <w:spacing w:line="400" w:lineRule="exact"/>
        <w:jc w:val="center"/>
        <w:rPr>
          <w:rFonts w:ascii="宋体" w:hAnsi="宋体"/>
          <w:b/>
          <w:color w:val="auto"/>
          <w:sz w:val="32"/>
          <w:szCs w:val="32"/>
          <w:highlight w:val="none"/>
        </w:rPr>
      </w:pPr>
    </w:p>
    <w:p w14:paraId="2DB3FE5F">
      <w:pPr>
        <w:spacing w:line="400" w:lineRule="exact"/>
        <w:jc w:val="center"/>
        <w:rPr>
          <w:rFonts w:ascii="宋体" w:hAnsi="宋体"/>
          <w:b/>
          <w:color w:val="auto"/>
          <w:sz w:val="32"/>
          <w:szCs w:val="32"/>
          <w:highlight w:val="none"/>
        </w:rPr>
      </w:pPr>
    </w:p>
    <w:p w14:paraId="5F794807">
      <w:pPr>
        <w:spacing w:line="400" w:lineRule="exact"/>
        <w:rPr>
          <w:rFonts w:ascii="宋体" w:hAnsi="宋体"/>
          <w:b/>
          <w:color w:val="auto"/>
          <w:sz w:val="32"/>
          <w:szCs w:val="32"/>
          <w:highlight w:val="none"/>
        </w:rPr>
        <w:sectPr>
          <w:headerReference r:id="rId3" w:type="default"/>
          <w:footerReference r:id="rId4" w:type="default"/>
          <w:pgSz w:w="11906" w:h="16838"/>
          <w:pgMar w:top="1440" w:right="1440" w:bottom="1440" w:left="1587" w:header="851" w:footer="992" w:gutter="0"/>
          <w:cols w:space="1701" w:num="1"/>
          <w:titlePg/>
        </w:sectPr>
      </w:pPr>
    </w:p>
    <w:p w14:paraId="4ACD1A5F">
      <w:pPr>
        <w:pStyle w:val="201"/>
        <w:spacing w:after="100" w:line="480" w:lineRule="auto"/>
        <w:jc w:val="center"/>
        <w:rPr>
          <w:color w:val="auto"/>
          <w:highlight w:val="none"/>
        </w:rPr>
      </w:pPr>
      <w:bookmarkStart w:id="0" w:name="_Toc4914"/>
      <w:r>
        <w:rPr>
          <w:rFonts w:hint="eastAsia"/>
          <w:color w:val="auto"/>
          <w:highlight w:val="none"/>
        </w:rPr>
        <w:t>第一章 竞争性谈判公告</w:t>
      </w:r>
      <w:bookmarkEnd w:id="0"/>
    </w:p>
    <w:p w14:paraId="39798295">
      <w:pPr>
        <w:spacing w:line="40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竞争性谈判公告</w:t>
      </w:r>
    </w:p>
    <w:p w14:paraId="05936054">
      <w:pPr>
        <w:spacing w:line="360" w:lineRule="auto"/>
        <w:rPr>
          <w:rFonts w:ascii="宋体" w:hAnsi="宋体"/>
          <w:color w:val="auto"/>
          <w:szCs w:val="21"/>
          <w:highlight w:val="none"/>
        </w:rPr>
      </w:pPr>
    </w:p>
    <w:p w14:paraId="01E333F6">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color w:val="auto"/>
          <w:szCs w:val="21"/>
          <w:highlight w:val="none"/>
        </w:rPr>
      </w:pPr>
      <w:bookmarkStart w:id="1" w:name="_Hlk37430271"/>
      <w:r>
        <w:rPr>
          <w:rFonts w:hint="eastAsia" w:ascii="宋体" w:hAnsi="宋体"/>
          <w:color w:val="auto"/>
          <w:szCs w:val="21"/>
          <w:highlight w:val="none"/>
        </w:rPr>
        <w:t>项目概况</w:t>
      </w:r>
    </w:p>
    <w:p w14:paraId="044D15C0">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bCs/>
          <w:color w:val="auto"/>
          <w:szCs w:val="21"/>
          <w:highlight w:val="none"/>
          <w:u w:val="single"/>
        </w:rPr>
      </w:pPr>
      <w:r>
        <w:rPr>
          <w:rFonts w:hint="eastAsia" w:ascii="宋体" w:hAnsi="宋体"/>
          <w:color w:val="auto"/>
          <w:szCs w:val="21"/>
          <w:highlight w:val="none"/>
          <w:u w:val="single"/>
        </w:rPr>
        <w:t xml:space="preserve"> 梧州市妇幼保健院彩色多普勒超声诊断仪采购</w:t>
      </w:r>
      <w:r>
        <w:rPr>
          <w:rFonts w:hint="eastAsia" w:ascii="宋体" w:hAnsi="宋体"/>
          <w:color w:val="auto"/>
          <w:szCs w:val="21"/>
          <w:highlight w:val="none"/>
        </w:rPr>
        <w:t>的潜在供应商应在广西政府采购云平台（https://www.gcy.zfcg.gxzf.gov.cn/）获取（下载）竞争性谈判文件，并于</w:t>
      </w:r>
      <w:r>
        <w:rPr>
          <w:rFonts w:hint="eastAsia" w:ascii="宋体" w:hAnsi="宋体"/>
          <w:color w:val="auto"/>
          <w:szCs w:val="21"/>
          <w:highlight w:val="none"/>
          <w:u w:val="single"/>
        </w:rPr>
        <w:t>2026</w:t>
      </w:r>
      <w:r>
        <w:rPr>
          <w:rFonts w:hint="eastAsia" w:ascii="宋体" w:hAnsi="宋体"/>
          <w:bCs/>
          <w:color w:val="auto"/>
          <w:szCs w:val="21"/>
          <w:highlight w:val="none"/>
          <w:u w:val="single"/>
        </w:rPr>
        <w:t>年</w:t>
      </w:r>
      <w:r>
        <w:rPr>
          <w:rFonts w:hint="eastAsia" w:ascii="宋体" w:hAnsi="宋体"/>
          <w:bCs/>
          <w:color w:val="auto"/>
          <w:szCs w:val="21"/>
          <w:highlight w:val="none"/>
          <w:u w:val="single"/>
          <w:lang w:val="en-US" w:eastAsia="zh-CN"/>
        </w:rPr>
        <w:t>9</w:t>
      </w:r>
      <w:r>
        <w:rPr>
          <w:rFonts w:hint="eastAsia" w:ascii="宋体" w:hAnsi="宋体"/>
          <w:bCs/>
          <w:color w:val="auto"/>
          <w:szCs w:val="21"/>
          <w:highlight w:val="none"/>
          <w:u w:val="single"/>
        </w:rPr>
        <w:t>月</w:t>
      </w:r>
    </w:p>
    <w:p w14:paraId="1C480EC4">
      <w:pPr>
        <w:pBdr>
          <w:top w:val="single" w:color="000000" w:sz="4" w:space="1"/>
          <w:left w:val="single" w:color="000000" w:sz="4" w:space="4"/>
          <w:bottom w:val="single" w:color="000000" w:sz="4" w:space="1"/>
          <w:right w:val="single" w:color="000000" w:sz="4" w:space="4"/>
        </w:pBdr>
        <w:spacing w:line="360" w:lineRule="auto"/>
        <w:rPr>
          <w:rFonts w:ascii="宋体" w:hAnsi="宋体"/>
          <w:color w:val="auto"/>
          <w:szCs w:val="21"/>
          <w:highlight w:val="none"/>
        </w:rPr>
      </w:pPr>
      <w:r>
        <w:rPr>
          <w:rFonts w:hint="eastAsia" w:ascii="宋体" w:hAnsi="宋体"/>
          <w:bCs/>
          <w:color w:val="auto"/>
          <w:szCs w:val="21"/>
          <w:highlight w:val="none"/>
          <w:u w:val="single"/>
          <w:lang w:val="en-US" w:eastAsia="zh-CN"/>
        </w:rPr>
        <w:t xml:space="preserve">3 </w:t>
      </w:r>
      <w:r>
        <w:rPr>
          <w:rFonts w:hint="eastAsia" w:ascii="宋体" w:hAnsi="宋体"/>
          <w:bCs/>
          <w:color w:val="auto"/>
          <w:szCs w:val="21"/>
          <w:highlight w:val="none"/>
          <w:u w:val="single"/>
        </w:rPr>
        <w:t>日</w:t>
      </w:r>
      <w:r>
        <w:rPr>
          <w:rFonts w:hint="eastAsia" w:ascii="宋体" w:hAnsi="宋体"/>
          <w:bCs/>
          <w:color w:val="auto"/>
          <w:szCs w:val="21"/>
          <w:highlight w:val="none"/>
          <w:u w:val="single"/>
          <w:lang w:val="en-US" w:eastAsia="zh-CN"/>
        </w:rPr>
        <w:t>9</w:t>
      </w:r>
      <w:r>
        <w:rPr>
          <w:rFonts w:hint="eastAsia" w:ascii="宋体" w:hAnsi="宋体"/>
          <w:bCs/>
          <w:color w:val="auto"/>
          <w:szCs w:val="21"/>
          <w:highlight w:val="none"/>
          <w:u w:val="single"/>
        </w:rPr>
        <w:t>时30分（</w:t>
      </w:r>
      <w:r>
        <w:rPr>
          <w:rFonts w:hint="eastAsia" w:ascii="宋体" w:hAnsi="宋体"/>
          <w:bCs/>
          <w:color w:val="auto"/>
          <w:szCs w:val="21"/>
          <w:highlight w:val="none"/>
        </w:rPr>
        <w:t>北京时间）前提交（上传）</w:t>
      </w:r>
      <w:r>
        <w:rPr>
          <w:rFonts w:hint="eastAsia" w:ascii="宋体" w:hAnsi="宋体"/>
          <w:color w:val="auto"/>
          <w:szCs w:val="21"/>
          <w:highlight w:val="none"/>
        </w:rPr>
        <w:t>响应</w:t>
      </w:r>
      <w:r>
        <w:rPr>
          <w:rFonts w:ascii="宋体" w:hAnsi="宋体"/>
          <w:bCs/>
          <w:color w:val="auto"/>
          <w:szCs w:val="21"/>
          <w:highlight w:val="none"/>
        </w:rPr>
        <w:t>文件</w:t>
      </w:r>
      <w:r>
        <w:rPr>
          <w:rFonts w:hint="eastAsia" w:ascii="宋体" w:hAnsi="宋体"/>
          <w:color w:val="auto"/>
          <w:szCs w:val="21"/>
          <w:highlight w:val="none"/>
        </w:rPr>
        <w:t>。</w:t>
      </w:r>
    </w:p>
    <w:p w14:paraId="136B3F87">
      <w:pPr>
        <w:spacing w:line="360" w:lineRule="auto"/>
        <w:ind w:firstLine="360"/>
        <w:rPr>
          <w:rFonts w:ascii="黑体" w:hAnsi="黑体" w:eastAsia="黑体"/>
          <w:color w:val="auto"/>
          <w:sz w:val="24"/>
          <w:highlight w:val="none"/>
        </w:rPr>
      </w:pPr>
      <w:bookmarkStart w:id="2" w:name="_Toc28359012"/>
      <w:bookmarkStart w:id="3" w:name="_Toc71366040"/>
      <w:bookmarkStart w:id="4" w:name="_Toc28359089"/>
      <w:bookmarkStart w:id="5" w:name="_Toc71365362"/>
      <w:bookmarkStart w:id="6" w:name="_Toc35393798"/>
      <w:bookmarkStart w:id="7" w:name="_Toc35393629"/>
      <w:r>
        <w:rPr>
          <w:rFonts w:hint="eastAsia" w:ascii="黑体" w:hAnsi="黑体" w:eastAsia="黑体"/>
          <w:color w:val="auto"/>
          <w:sz w:val="24"/>
          <w:highlight w:val="none"/>
        </w:rPr>
        <w:t>一、项目基本情况</w:t>
      </w:r>
      <w:bookmarkEnd w:id="1"/>
      <w:bookmarkEnd w:id="2"/>
      <w:bookmarkEnd w:id="3"/>
      <w:bookmarkEnd w:id="4"/>
      <w:bookmarkEnd w:id="5"/>
      <w:bookmarkEnd w:id="6"/>
    </w:p>
    <w:p w14:paraId="1470C978">
      <w:pPr>
        <w:spacing w:line="360" w:lineRule="auto"/>
        <w:ind w:firstLine="420"/>
        <w:rPr>
          <w:rFonts w:hint="eastAsia" w:ascii="宋体" w:hAnsi="宋体" w:eastAsia="宋体"/>
          <w:color w:val="auto"/>
          <w:szCs w:val="21"/>
          <w:highlight w:val="none"/>
          <w:lang w:eastAsia="zh-CN"/>
        </w:rPr>
      </w:pPr>
      <w:r>
        <w:rPr>
          <w:rFonts w:hint="eastAsia" w:ascii="宋体" w:hAnsi="宋体"/>
          <w:color w:val="auto"/>
          <w:szCs w:val="21"/>
          <w:highlight w:val="none"/>
        </w:rPr>
        <w:t>项目编号：</w:t>
      </w:r>
      <w:r>
        <w:rPr>
          <w:rFonts w:hint="eastAsia" w:ascii="宋体" w:hAnsi="宋体"/>
          <w:color w:val="auto"/>
          <w:szCs w:val="21"/>
          <w:highlight w:val="none"/>
          <w:lang w:eastAsia="zh-CN"/>
        </w:rPr>
        <w:t>WZZC2026-J1-990205-YZLZ</w:t>
      </w:r>
    </w:p>
    <w:p w14:paraId="45EDAAE4">
      <w:pPr>
        <w:spacing w:line="360" w:lineRule="auto"/>
        <w:ind w:firstLine="420"/>
        <w:rPr>
          <w:rFonts w:ascii="宋体" w:hAnsi="宋体"/>
          <w:color w:val="auto"/>
          <w:szCs w:val="21"/>
          <w:highlight w:val="none"/>
          <w:u w:val="single"/>
        </w:rPr>
      </w:pPr>
      <w:r>
        <w:rPr>
          <w:rFonts w:hint="eastAsia" w:ascii="宋体" w:hAnsi="宋体"/>
          <w:color w:val="auto"/>
          <w:szCs w:val="21"/>
          <w:highlight w:val="none"/>
        </w:rPr>
        <w:t>项目名称：梧州市妇幼保健院彩色多普勒超声诊断仪采购</w:t>
      </w:r>
    </w:p>
    <w:p w14:paraId="49C1C80E">
      <w:pPr>
        <w:spacing w:line="360" w:lineRule="auto"/>
        <w:ind w:firstLine="420"/>
        <w:rPr>
          <w:rFonts w:ascii="宋体" w:hAnsi="宋体"/>
          <w:color w:val="auto"/>
          <w:szCs w:val="21"/>
          <w:highlight w:val="none"/>
        </w:rPr>
      </w:pPr>
      <w:r>
        <w:rPr>
          <w:rFonts w:hint="eastAsia" w:ascii="宋体" w:hAnsi="宋体"/>
          <w:color w:val="auto"/>
          <w:szCs w:val="21"/>
          <w:highlight w:val="none"/>
        </w:rPr>
        <w:t>采购方式：竞争性谈判</w:t>
      </w:r>
    </w:p>
    <w:p w14:paraId="2A248D5D">
      <w:pPr>
        <w:spacing w:line="360" w:lineRule="auto"/>
        <w:ind w:firstLine="420"/>
        <w:rPr>
          <w:rFonts w:ascii="宋体" w:hAnsi="宋体"/>
          <w:color w:val="auto"/>
          <w:szCs w:val="21"/>
          <w:highlight w:val="none"/>
        </w:rPr>
      </w:pPr>
      <w:r>
        <w:rPr>
          <w:rFonts w:hint="eastAsia" w:ascii="宋体" w:hAnsi="宋体"/>
          <w:color w:val="auto"/>
          <w:szCs w:val="21"/>
          <w:highlight w:val="none"/>
        </w:rPr>
        <w:t>预算总金额（元）：648000.00</w:t>
      </w:r>
    </w:p>
    <w:p w14:paraId="574FFF2D">
      <w:pPr>
        <w:spacing w:line="360" w:lineRule="auto"/>
        <w:ind w:firstLine="420"/>
        <w:rPr>
          <w:rFonts w:ascii="宋体" w:hAnsi="宋体"/>
          <w:color w:val="auto"/>
          <w:szCs w:val="21"/>
          <w:highlight w:val="none"/>
        </w:rPr>
      </w:pPr>
      <w:r>
        <w:rPr>
          <w:rFonts w:hint="eastAsia" w:ascii="宋体" w:hAnsi="宋体"/>
          <w:color w:val="auto"/>
          <w:szCs w:val="21"/>
          <w:highlight w:val="none"/>
        </w:rPr>
        <w:t>最高限价（元）：648000.00</w:t>
      </w:r>
    </w:p>
    <w:p w14:paraId="32FD4BBF">
      <w:pPr>
        <w:spacing w:line="360" w:lineRule="auto"/>
        <w:ind w:firstLine="420"/>
        <w:rPr>
          <w:rFonts w:ascii="宋体" w:hAnsi="宋体"/>
          <w:color w:val="auto"/>
          <w:szCs w:val="21"/>
          <w:highlight w:val="none"/>
        </w:rPr>
      </w:pPr>
      <w:r>
        <w:rPr>
          <w:rFonts w:hint="eastAsia" w:ascii="宋体" w:hAnsi="宋体"/>
          <w:color w:val="auto"/>
          <w:szCs w:val="21"/>
          <w:highlight w:val="none"/>
        </w:rPr>
        <w:t>采购需求：</w:t>
      </w:r>
    </w:p>
    <w:tbl>
      <w:tblPr>
        <w:tblStyle w:val="38"/>
        <w:tblW w:w="875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3"/>
        <w:gridCol w:w="1488"/>
        <w:gridCol w:w="1729"/>
        <w:gridCol w:w="4805"/>
      </w:tblGrid>
      <w:tr w14:paraId="742AC2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3" w:type="dxa"/>
            <w:tcBorders>
              <w:top w:val="single" w:color="auto" w:sz="4" w:space="0"/>
              <w:left w:val="single" w:color="auto" w:sz="4" w:space="0"/>
              <w:bottom w:val="single" w:color="auto" w:sz="4" w:space="0"/>
              <w:right w:val="single" w:color="auto" w:sz="4" w:space="0"/>
            </w:tcBorders>
            <w:vAlign w:val="center"/>
          </w:tcPr>
          <w:p w14:paraId="3A4FB587">
            <w:pPr>
              <w:spacing w:line="360" w:lineRule="auto"/>
              <w:jc w:val="center"/>
              <w:rPr>
                <w:rFonts w:ascii="宋体" w:hAnsi="宋体"/>
                <w:color w:val="auto"/>
                <w:szCs w:val="21"/>
                <w:highlight w:val="none"/>
              </w:rPr>
            </w:pPr>
            <w:r>
              <w:rPr>
                <w:rFonts w:hint="eastAsia" w:ascii="宋体" w:hAnsi="宋体"/>
                <w:color w:val="auto"/>
                <w:szCs w:val="21"/>
                <w:highlight w:val="none"/>
              </w:rPr>
              <w:t>序号</w:t>
            </w:r>
          </w:p>
        </w:tc>
        <w:tc>
          <w:tcPr>
            <w:tcW w:w="1488" w:type="dxa"/>
            <w:tcBorders>
              <w:top w:val="single" w:color="auto" w:sz="4" w:space="0"/>
              <w:left w:val="single" w:color="auto" w:sz="4" w:space="0"/>
              <w:bottom w:val="single" w:color="auto" w:sz="4" w:space="0"/>
              <w:right w:val="single" w:color="auto" w:sz="4" w:space="0"/>
            </w:tcBorders>
            <w:vAlign w:val="center"/>
          </w:tcPr>
          <w:p w14:paraId="1EF3DF66">
            <w:pPr>
              <w:spacing w:line="360" w:lineRule="auto"/>
              <w:jc w:val="center"/>
              <w:rPr>
                <w:rFonts w:ascii="宋体" w:hAnsi="宋体"/>
                <w:color w:val="auto"/>
                <w:szCs w:val="21"/>
                <w:highlight w:val="none"/>
              </w:rPr>
            </w:pPr>
            <w:r>
              <w:rPr>
                <w:rFonts w:hint="eastAsia" w:ascii="宋体" w:hAnsi="宋体"/>
                <w:color w:val="auto"/>
                <w:szCs w:val="21"/>
                <w:highlight w:val="none"/>
              </w:rPr>
              <w:t>标的的名称</w:t>
            </w:r>
          </w:p>
        </w:tc>
        <w:tc>
          <w:tcPr>
            <w:tcW w:w="1729" w:type="dxa"/>
            <w:tcBorders>
              <w:top w:val="single" w:color="auto" w:sz="4" w:space="0"/>
              <w:left w:val="single" w:color="auto" w:sz="4" w:space="0"/>
              <w:bottom w:val="single" w:color="auto" w:sz="4" w:space="0"/>
              <w:right w:val="single" w:color="auto" w:sz="4" w:space="0"/>
            </w:tcBorders>
            <w:vAlign w:val="center"/>
          </w:tcPr>
          <w:p w14:paraId="0CCE205A">
            <w:pPr>
              <w:spacing w:line="360" w:lineRule="auto"/>
              <w:jc w:val="center"/>
              <w:rPr>
                <w:rFonts w:ascii="宋体" w:hAnsi="宋体"/>
                <w:color w:val="auto"/>
                <w:szCs w:val="21"/>
                <w:highlight w:val="none"/>
              </w:rPr>
            </w:pPr>
            <w:r>
              <w:rPr>
                <w:rFonts w:hint="eastAsia" w:ascii="宋体" w:hAnsi="宋体"/>
                <w:color w:val="auto"/>
                <w:szCs w:val="21"/>
                <w:highlight w:val="none"/>
              </w:rPr>
              <w:t>数量及单位</w:t>
            </w:r>
          </w:p>
        </w:tc>
        <w:tc>
          <w:tcPr>
            <w:tcW w:w="4805" w:type="dxa"/>
            <w:tcBorders>
              <w:top w:val="single" w:color="auto" w:sz="4" w:space="0"/>
              <w:left w:val="single" w:color="auto" w:sz="4" w:space="0"/>
              <w:bottom w:val="single" w:color="auto" w:sz="4" w:space="0"/>
              <w:right w:val="single" w:color="auto" w:sz="4" w:space="0"/>
            </w:tcBorders>
            <w:vAlign w:val="center"/>
          </w:tcPr>
          <w:p w14:paraId="5ABBDD6F">
            <w:pPr>
              <w:spacing w:line="360" w:lineRule="auto"/>
              <w:jc w:val="center"/>
              <w:rPr>
                <w:rFonts w:ascii="宋体" w:hAnsi="宋体"/>
                <w:color w:val="auto"/>
                <w:szCs w:val="21"/>
                <w:highlight w:val="none"/>
              </w:rPr>
            </w:pPr>
            <w:r>
              <w:rPr>
                <w:rFonts w:hint="eastAsia" w:ascii="宋体" w:hAnsi="宋体"/>
                <w:color w:val="auto"/>
                <w:szCs w:val="21"/>
                <w:highlight w:val="none"/>
              </w:rPr>
              <w:t>简要技术需求或者服务要求</w:t>
            </w:r>
          </w:p>
        </w:tc>
      </w:tr>
      <w:tr w14:paraId="781B98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3" w:type="dxa"/>
            <w:tcBorders>
              <w:top w:val="single" w:color="auto" w:sz="4" w:space="0"/>
              <w:left w:val="single" w:color="auto" w:sz="4" w:space="0"/>
              <w:bottom w:val="single" w:color="auto" w:sz="4" w:space="0"/>
              <w:right w:val="single" w:color="auto" w:sz="4" w:space="0"/>
            </w:tcBorders>
            <w:vAlign w:val="center"/>
          </w:tcPr>
          <w:p w14:paraId="277EB212">
            <w:pPr>
              <w:spacing w:line="360" w:lineRule="auto"/>
              <w:jc w:val="center"/>
              <w:rPr>
                <w:rFonts w:ascii="宋体" w:hAnsi="宋体"/>
                <w:color w:val="auto"/>
                <w:szCs w:val="21"/>
                <w:highlight w:val="none"/>
              </w:rPr>
            </w:pPr>
            <w:r>
              <w:rPr>
                <w:rFonts w:hint="eastAsia" w:ascii="宋体" w:hAnsi="宋体"/>
                <w:color w:val="auto"/>
                <w:szCs w:val="21"/>
                <w:highlight w:val="none"/>
              </w:rPr>
              <w:t>1</w:t>
            </w:r>
          </w:p>
        </w:tc>
        <w:tc>
          <w:tcPr>
            <w:tcW w:w="1488" w:type="dxa"/>
            <w:tcBorders>
              <w:top w:val="single" w:color="auto" w:sz="4" w:space="0"/>
              <w:left w:val="single" w:color="auto" w:sz="4" w:space="0"/>
              <w:bottom w:val="single" w:color="auto" w:sz="4" w:space="0"/>
              <w:right w:val="single" w:color="auto" w:sz="4" w:space="0"/>
            </w:tcBorders>
            <w:vAlign w:val="center"/>
          </w:tcPr>
          <w:p w14:paraId="42822080">
            <w:pPr>
              <w:spacing w:line="360" w:lineRule="auto"/>
              <w:jc w:val="center"/>
              <w:rPr>
                <w:rFonts w:ascii="宋体" w:hAnsi="宋体"/>
                <w:color w:val="auto"/>
                <w:szCs w:val="21"/>
                <w:highlight w:val="none"/>
              </w:rPr>
            </w:pPr>
            <w:r>
              <w:rPr>
                <w:rFonts w:hint="eastAsia" w:ascii="宋体" w:hAnsi="宋体"/>
                <w:color w:val="auto"/>
                <w:szCs w:val="21"/>
                <w:highlight w:val="none"/>
              </w:rPr>
              <w:t>彩色多普勒超声诊断仪</w:t>
            </w:r>
          </w:p>
        </w:tc>
        <w:tc>
          <w:tcPr>
            <w:tcW w:w="1729" w:type="dxa"/>
            <w:tcBorders>
              <w:top w:val="single" w:color="auto" w:sz="4" w:space="0"/>
              <w:left w:val="single" w:color="auto" w:sz="4" w:space="0"/>
              <w:bottom w:val="single" w:color="auto" w:sz="4" w:space="0"/>
              <w:right w:val="single" w:color="auto" w:sz="4" w:space="0"/>
            </w:tcBorders>
            <w:vAlign w:val="center"/>
          </w:tcPr>
          <w:p w14:paraId="15259EAD">
            <w:pPr>
              <w:spacing w:line="360" w:lineRule="auto"/>
              <w:jc w:val="center"/>
              <w:rPr>
                <w:rFonts w:ascii="宋体" w:hAnsi="宋体"/>
                <w:color w:val="auto"/>
                <w:szCs w:val="21"/>
                <w:highlight w:val="none"/>
              </w:rPr>
            </w:pPr>
            <w:r>
              <w:rPr>
                <w:rFonts w:hint="eastAsia" w:ascii="宋体" w:hAnsi="宋体"/>
                <w:color w:val="auto"/>
                <w:szCs w:val="21"/>
                <w:highlight w:val="none"/>
              </w:rPr>
              <w:t>1套</w:t>
            </w:r>
          </w:p>
        </w:tc>
        <w:tc>
          <w:tcPr>
            <w:tcW w:w="4805" w:type="dxa"/>
            <w:tcBorders>
              <w:top w:val="single" w:color="auto" w:sz="4" w:space="0"/>
              <w:left w:val="single" w:color="auto" w:sz="4" w:space="0"/>
              <w:bottom w:val="single" w:color="auto" w:sz="4" w:space="0"/>
              <w:right w:val="single" w:color="auto" w:sz="4" w:space="0"/>
            </w:tcBorders>
            <w:vAlign w:val="center"/>
          </w:tcPr>
          <w:p w14:paraId="5F4513F5">
            <w:pPr>
              <w:spacing w:line="360" w:lineRule="auto"/>
              <w:rPr>
                <w:rFonts w:ascii="宋体" w:hAnsi="宋体"/>
                <w:color w:val="auto"/>
                <w:szCs w:val="21"/>
                <w:highlight w:val="none"/>
              </w:rPr>
            </w:pPr>
            <w:r>
              <w:rPr>
                <w:rFonts w:hint="eastAsia" w:ascii="宋体" w:hAnsi="宋体"/>
                <w:color w:val="auto"/>
                <w:szCs w:val="21"/>
                <w:highlight w:val="none"/>
              </w:rPr>
              <w:t>设备用途及说明: 全身应用型彩色多普勒超声波诊断系统，主要用于腹部、心脏、妇产、泌尿、浅表小器官与血管、儿科、肌骨神经、介入诊疗及临床学术研究，具体详见竞争性谈判文件。</w:t>
            </w:r>
          </w:p>
        </w:tc>
      </w:tr>
    </w:tbl>
    <w:p w14:paraId="55AE1324">
      <w:pPr>
        <w:spacing w:line="360" w:lineRule="auto"/>
        <w:ind w:firstLine="420"/>
        <w:rPr>
          <w:rFonts w:ascii="宋体" w:hAnsi="宋体"/>
          <w:color w:val="auto"/>
          <w:szCs w:val="21"/>
          <w:highlight w:val="none"/>
          <w:u w:val="single"/>
        </w:rPr>
      </w:pPr>
      <w:r>
        <w:rPr>
          <w:rFonts w:hint="eastAsia" w:ascii="宋体" w:hAnsi="宋体"/>
          <w:color w:val="auto"/>
          <w:szCs w:val="21"/>
          <w:highlight w:val="none"/>
        </w:rPr>
        <w:t>合同履行期限：采购人向成交供应商发出供货通知，成交供应商在收到采购人通知后30个日历日内将全部货物运抵采购人指定地点后完成安装、调试、培训等全部工作，并经最终验收合格后交付使用。</w:t>
      </w:r>
    </w:p>
    <w:p w14:paraId="12213834">
      <w:pPr>
        <w:spacing w:line="360" w:lineRule="auto"/>
        <w:ind w:firstLine="420"/>
        <w:rPr>
          <w:rFonts w:ascii="宋体" w:hAnsi="宋体"/>
          <w:color w:val="auto"/>
          <w:szCs w:val="21"/>
          <w:highlight w:val="none"/>
        </w:rPr>
      </w:pPr>
      <w:r>
        <w:rPr>
          <w:rFonts w:hint="eastAsia" w:ascii="宋体" w:hAnsi="宋体"/>
          <w:color w:val="auto"/>
          <w:szCs w:val="21"/>
          <w:highlight w:val="none"/>
        </w:rPr>
        <w:t>本项目（否）接受联合体。</w:t>
      </w:r>
    </w:p>
    <w:p w14:paraId="1F75DA7D">
      <w:pPr>
        <w:spacing w:line="360" w:lineRule="auto"/>
        <w:ind w:firstLine="480"/>
        <w:rPr>
          <w:rFonts w:ascii="黑体" w:hAnsi="黑体" w:eastAsia="黑体"/>
          <w:color w:val="auto"/>
          <w:sz w:val="24"/>
          <w:highlight w:val="none"/>
        </w:rPr>
      </w:pPr>
      <w:bookmarkStart w:id="8" w:name="_Toc71365363"/>
      <w:bookmarkStart w:id="9" w:name="_Toc28359090"/>
      <w:bookmarkStart w:id="10" w:name="_Toc71366041"/>
      <w:bookmarkStart w:id="11" w:name="_Toc28359013"/>
      <w:bookmarkStart w:id="12" w:name="_Toc35393630"/>
      <w:bookmarkStart w:id="13" w:name="_Toc35393799"/>
      <w:r>
        <w:rPr>
          <w:rFonts w:hint="eastAsia" w:ascii="黑体" w:hAnsi="黑体" w:eastAsia="黑体"/>
          <w:color w:val="auto"/>
          <w:sz w:val="24"/>
          <w:highlight w:val="none"/>
        </w:rPr>
        <w:t>二、供应商的资格条件：</w:t>
      </w:r>
      <w:bookmarkEnd w:id="7"/>
      <w:bookmarkEnd w:id="8"/>
      <w:bookmarkEnd w:id="9"/>
      <w:bookmarkEnd w:id="10"/>
      <w:bookmarkEnd w:id="11"/>
      <w:bookmarkEnd w:id="12"/>
    </w:p>
    <w:p w14:paraId="074BBEB6">
      <w:pPr>
        <w:spacing w:line="360" w:lineRule="auto"/>
        <w:ind w:firstLine="420"/>
        <w:rPr>
          <w:rFonts w:ascii="宋体" w:hAnsi="宋体"/>
          <w:color w:val="auto"/>
          <w:szCs w:val="21"/>
          <w:highlight w:val="none"/>
        </w:rPr>
      </w:pPr>
      <w:bookmarkStart w:id="14" w:name="_Toc28359091"/>
      <w:bookmarkStart w:id="15" w:name="_Toc28359014"/>
      <w:r>
        <w:rPr>
          <w:rFonts w:hint="eastAsia" w:ascii="宋体" w:hAnsi="宋体"/>
          <w:color w:val="auto"/>
          <w:szCs w:val="21"/>
          <w:highlight w:val="none"/>
        </w:rPr>
        <w:t>1.满足《中华人民共和国政府采购法》第二十二条规定；</w:t>
      </w:r>
    </w:p>
    <w:p w14:paraId="3DAFA540">
      <w:pPr>
        <w:spacing w:line="360" w:lineRule="auto"/>
        <w:ind w:firstLine="420"/>
        <w:rPr>
          <w:rFonts w:hint="eastAsia" w:ascii="宋体" w:hAnsi="宋体" w:eastAsia="宋体"/>
          <w:color w:val="auto"/>
          <w:szCs w:val="21"/>
          <w:highlight w:val="none"/>
          <w:lang w:eastAsia="zh-CN"/>
        </w:rPr>
      </w:pPr>
      <w:r>
        <w:rPr>
          <w:rFonts w:ascii="宋体" w:hAnsi="宋体"/>
          <w:color w:val="auto"/>
          <w:szCs w:val="21"/>
          <w:highlight w:val="none"/>
        </w:rPr>
        <w:t>2</w:t>
      </w:r>
      <w:r>
        <w:rPr>
          <w:rFonts w:hint="eastAsia" w:ascii="宋体" w:hAnsi="宋体"/>
          <w:color w:val="auto"/>
          <w:szCs w:val="21"/>
          <w:highlight w:val="none"/>
        </w:rPr>
        <w:t>.落实政府采购政策需满足的资格要求：本项目</w:t>
      </w:r>
      <w:r>
        <w:rPr>
          <w:rFonts w:hint="eastAsia" w:ascii="宋体" w:hAnsi="宋体"/>
          <w:color w:val="auto"/>
          <w:szCs w:val="21"/>
          <w:highlight w:val="none"/>
          <w:lang w:eastAsia="zh-CN"/>
        </w:rPr>
        <w:t>非</w:t>
      </w:r>
      <w:r>
        <w:rPr>
          <w:rFonts w:hint="eastAsia" w:ascii="宋体" w:hAnsi="宋体"/>
          <w:color w:val="auto"/>
          <w:szCs w:val="21"/>
          <w:highlight w:val="none"/>
        </w:rPr>
        <w:t>专门面向中小企业采购</w:t>
      </w:r>
      <w:r>
        <w:rPr>
          <w:rFonts w:hint="eastAsia" w:ascii="宋体" w:hAnsi="宋体"/>
          <w:color w:val="auto"/>
          <w:szCs w:val="21"/>
          <w:highlight w:val="none"/>
          <w:lang w:eastAsia="zh-CN"/>
        </w:rPr>
        <w:t>；</w:t>
      </w:r>
    </w:p>
    <w:p w14:paraId="4FD31696">
      <w:pPr>
        <w:spacing w:line="360" w:lineRule="auto"/>
        <w:ind w:firstLine="420"/>
        <w:rPr>
          <w:rFonts w:hint="eastAsia" w:eastAsia="宋体"/>
          <w:color w:val="auto"/>
          <w:highlight w:val="none"/>
          <w:lang w:eastAsia="zh-CN"/>
        </w:rPr>
      </w:pPr>
      <w:r>
        <w:rPr>
          <w:rFonts w:hint="eastAsia" w:ascii="宋体" w:hAnsi="宋体"/>
          <w:color w:val="auto"/>
          <w:szCs w:val="21"/>
          <w:highlight w:val="none"/>
        </w:rPr>
        <w:t>3.本项目的特定资格要求：供应商按《医疗器械监督管理条例》（国务院令第739号）医疗器械分类管理要求具备有效的医疗器械经营备案凭证或者经营许可证，且经营范围必须包含采购标的[符合《医疗器械监督管理条例》第四十一条第二款规定的除外]；或者供应商具有《医疗器械监督管理条例》第四十三条规定的注册凭证。</w:t>
      </w:r>
      <w:r>
        <w:rPr>
          <w:rFonts w:hint="eastAsia" w:ascii="宋体" w:hAnsi="宋体" w:cs="宋体"/>
          <w:color w:val="auto"/>
          <w:szCs w:val="21"/>
          <w:highlight w:val="none"/>
        </w:rPr>
        <w:t>（</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r>
        <w:rPr>
          <w:rFonts w:hint="eastAsia" w:ascii="宋体" w:hAnsi="宋体" w:cs="宋体"/>
          <w:color w:val="auto"/>
          <w:szCs w:val="21"/>
          <w:highlight w:val="none"/>
          <w:lang w:eastAsia="zh-CN"/>
        </w:rPr>
        <w:t>。</w:t>
      </w:r>
    </w:p>
    <w:p w14:paraId="26BFB1C1">
      <w:pPr>
        <w:spacing w:line="360" w:lineRule="auto"/>
        <w:ind w:firstLine="480"/>
        <w:rPr>
          <w:rFonts w:ascii="黑体" w:hAnsi="黑体" w:eastAsia="黑体"/>
          <w:color w:val="auto"/>
          <w:sz w:val="24"/>
          <w:highlight w:val="none"/>
        </w:rPr>
      </w:pPr>
      <w:bookmarkStart w:id="16" w:name="_Toc35393631"/>
      <w:bookmarkStart w:id="17" w:name="_Toc35393800"/>
      <w:bookmarkStart w:id="18" w:name="_Toc71365364"/>
      <w:bookmarkStart w:id="19" w:name="_Toc71366042"/>
      <w:r>
        <w:rPr>
          <w:rFonts w:hint="eastAsia" w:ascii="黑体" w:hAnsi="黑体" w:eastAsia="黑体"/>
          <w:color w:val="auto"/>
          <w:sz w:val="24"/>
          <w:highlight w:val="none"/>
        </w:rPr>
        <w:t>三、获取竞争性谈判文件</w:t>
      </w:r>
      <w:bookmarkEnd w:id="13"/>
      <w:bookmarkEnd w:id="14"/>
      <w:bookmarkEnd w:id="15"/>
      <w:bookmarkEnd w:id="16"/>
      <w:bookmarkEnd w:id="17"/>
      <w:bookmarkEnd w:id="18"/>
    </w:p>
    <w:p w14:paraId="231309F7">
      <w:pPr>
        <w:spacing w:line="360" w:lineRule="auto"/>
        <w:ind w:firstLine="420"/>
        <w:rPr>
          <w:rFonts w:ascii="宋体" w:hAnsi="宋体" w:cs="宋体"/>
          <w:bCs/>
          <w:color w:val="auto"/>
          <w:szCs w:val="21"/>
          <w:highlight w:val="none"/>
        </w:rPr>
      </w:pPr>
      <w:r>
        <w:rPr>
          <w:rFonts w:hint="eastAsia" w:ascii="宋体" w:hAnsi="宋体" w:cs="宋体"/>
          <w:bCs/>
          <w:color w:val="auto"/>
          <w:szCs w:val="21"/>
          <w:highlight w:val="none"/>
        </w:rPr>
        <w:t>时间：2026年</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rPr>
        <w:t>月</w:t>
      </w:r>
      <w:r>
        <w:rPr>
          <w:rFonts w:hint="eastAsia" w:ascii="宋体" w:hAnsi="宋体" w:cs="宋体"/>
          <w:bCs/>
          <w:color w:val="auto"/>
          <w:szCs w:val="21"/>
          <w:highlight w:val="none"/>
          <w:lang w:val="en-US" w:eastAsia="zh-CN"/>
        </w:rPr>
        <w:t>28</w:t>
      </w:r>
      <w:r>
        <w:rPr>
          <w:rFonts w:hint="eastAsia" w:ascii="宋体" w:hAnsi="宋体" w:cs="宋体"/>
          <w:bCs/>
          <w:color w:val="auto"/>
          <w:szCs w:val="21"/>
          <w:highlight w:val="none"/>
        </w:rPr>
        <w:t>日至2026年</w:t>
      </w:r>
      <w:r>
        <w:rPr>
          <w:rFonts w:hint="eastAsia" w:ascii="宋体" w:hAnsi="宋体" w:cs="宋体"/>
          <w:bCs/>
          <w:color w:val="auto"/>
          <w:szCs w:val="21"/>
          <w:highlight w:val="none"/>
          <w:lang w:val="en-US" w:eastAsia="zh-CN"/>
        </w:rPr>
        <w:t>9</w:t>
      </w:r>
      <w:r>
        <w:rPr>
          <w:rFonts w:hint="eastAsia" w:ascii="宋体" w:hAnsi="宋体" w:cs="宋体"/>
          <w:bCs/>
          <w:color w:val="auto"/>
          <w:szCs w:val="21"/>
          <w:highlight w:val="none"/>
        </w:rPr>
        <w:t>月</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日，每天上午8:00至12:00，下午3:00至6:00（北京时间）</w:t>
      </w:r>
    </w:p>
    <w:p w14:paraId="2C71FBD5">
      <w:pPr>
        <w:spacing w:line="360" w:lineRule="auto"/>
        <w:ind w:firstLine="540"/>
        <w:rPr>
          <w:rFonts w:ascii="宋体" w:hAnsi="宋体" w:cs="宋体"/>
          <w:bCs/>
          <w:color w:val="auto"/>
          <w:szCs w:val="21"/>
          <w:highlight w:val="none"/>
        </w:rPr>
      </w:pPr>
      <w:r>
        <w:rPr>
          <w:rFonts w:hint="eastAsia" w:ascii="宋体" w:hAnsi="宋体" w:cs="宋体"/>
          <w:bCs/>
          <w:color w:val="auto"/>
          <w:szCs w:val="21"/>
          <w:highlight w:val="none"/>
        </w:rPr>
        <w:t>地点：广西政府采购云平台（https://www.gcy.zfcg.gxzf.gov.cn/）</w:t>
      </w:r>
    </w:p>
    <w:p w14:paraId="2BD6EF93">
      <w:pPr>
        <w:spacing w:line="360" w:lineRule="auto"/>
        <w:ind w:firstLine="540"/>
        <w:rPr>
          <w:rFonts w:ascii="宋体" w:hAnsi="宋体" w:cs="宋体"/>
          <w:bCs/>
          <w:color w:val="auto"/>
          <w:szCs w:val="21"/>
          <w:highlight w:val="none"/>
        </w:rPr>
      </w:pPr>
      <w:r>
        <w:rPr>
          <w:rFonts w:hint="eastAsia" w:ascii="宋体" w:hAnsi="宋体" w:cs="宋体"/>
          <w:bCs/>
          <w:color w:val="auto"/>
          <w:szCs w:val="21"/>
          <w:highlight w:val="none"/>
        </w:rPr>
        <w:t>方式：网上下载。本项目不提供纸质文件，潜在供应商需使用账号登录或者使用CA登录广西政府采购云平台（https://www.gcy.zfcg.gxzf.gov.cn/）-进入“项目采购”应用，在获取采购文件菜单中选择项目，获取竞争性谈判文件。</w:t>
      </w:r>
      <w:r>
        <w:rPr>
          <w:rFonts w:hint="eastAsia" w:ascii="宋体" w:hAnsi="宋体"/>
          <w:color w:val="auto"/>
          <w:szCs w:val="21"/>
          <w:highlight w:val="none"/>
        </w:rPr>
        <w:t>电子</w:t>
      </w:r>
      <w:r>
        <w:rPr>
          <w:rFonts w:hint="eastAsia"/>
          <w:color w:val="auto"/>
          <w:highlight w:val="none"/>
        </w:rPr>
        <w:t>响应文件</w:t>
      </w:r>
      <w:r>
        <w:rPr>
          <w:rFonts w:hint="eastAsia" w:ascii="宋体" w:hAnsi="宋体"/>
          <w:color w:val="auto"/>
          <w:szCs w:val="21"/>
          <w:highlight w:val="none"/>
        </w:rPr>
        <w:t>制作需要基于广西政府采购云平台获取的谈判文件编制，</w:t>
      </w:r>
      <w:r>
        <w:rPr>
          <w:rFonts w:hint="eastAsia" w:ascii="宋体" w:hAnsi="宋体" w:cs="宋体"/>
          <w:bCs/>
          <w:color w:val="auto"/>
          <w:szCs w:val="21"/>
          <w:highlight w:val="none"/>
        </w:rPr>
        <w:t>通过其他方式获取谈判文件的，将有可能导致供应商无法在广西政府采购云平台编制及上传响应文件。</w:t>
      </w:r>
    </w:p>
    <w:p w14:paraId="6FB1A208">
      <w:pPr>
        <w:spacing w:line="360" w:lineRule="auto"/>
        <w:ind w:firstLine="540"/>
        <w:rPr>
          <w:rFonts w:ascii="宋体" w:hAnsi="宋体" w:cs="宋体"/>
          <w:color w:val="auto"/>
          <w:szCs w:val="21"/>
          <w:highlight w:val="none"/>
        </w:rPr>
      </w:pPr>
      <w:r>
        <w:rPr>
          <w:rFonts w:hint="eastAsia" w:ascii="宋体" w:hAnsi="宋体" w:cs="宋体"/>
          <w:bCs/>
          <w:color w:val="auto"/>
          <w:szCs w:val="21"/>
          <w:highlight w:val="none"/>
        </w:rPr>
        <w:t>售价：</w:t>
      </w:r>
      <w:r>
        <w:rPr>
          <w:rFonts w:hint="eastAsia" w:ascii="宋体" w:hAnsi="宋体" w:cs="宋体"/>
          <w:iCs/>
          <w:color w:val="auto"/>
          <w:szCs w:val="21"/>
          <w:highlight w:val="none"/>
          <w:u w:val="single"/>
        </w:rPr>
        <w:t>0</w:t>
      </w:r>
      <w:r>
        <w:rPr>
          <w:rFonts w:hint="eastAsia" w:ascii="宋体" w:hAnsi="宋体" w:cs="宋体"/>
          <w:color w:val="auto"/>
          <w:szCs w:val="21"/>
          <w:highlight w:val="none"/>
        </w:rPr>
        <w:t>元</w:t>
      </w:r>
    </w:p>
    <w:p w14:paraId="0CA1FFA0">
      <w:pPr>
        <w:spacing w:line="360" w:lineRule="auto"/>
        <w:ind w:firstLine="360"/>
        <w:rPr>
          <w:rFonts w:ascii="黑体" w:hAnsi="黑体" w:eastAsia="黑体"/>
          <w:color w:val="auto"/>
          <w:sz w:val="24"/>
          <w:highlight w:val="none"/>
        </w:rPr>
      </w:pPr>
      <w:bookmarkStart w:id="20" w:name="_Toc28359092"/>
      <w:bookmarkStart w:id="21" w:name="_Toc35393801"/>
      <w:bookmarkStart w:id="22" w:name="_Toc28359015"/>
      <w:bookmarkStart w:id="23" w:name="_Toc71365365"/>
      <w:bookmarkStart w:id="24" w:name="_Toc35393632"/>
      <w:bookmarkStart w:id="25" w:name="_Toc71366043"/>
      <w:r>
        <w:rPr>
          <w:rFonts w:hint="eastAsia" w:ascii="黑体" w:hAnsi="黑体" w:eastAsia="黑体"/>
          <w:color w:val="auto"/>
          <w:sz w:val="24"/>
          <w:highlight w:val="none"/>
        </w:rPr>
        <w:t>四、响应文件提交</w:t>
      </w:r>
      <w:bookmarkEnd w:id="19"/>
      <w:bookmarkEnd w:id="20"/>
      <w:bookmarkEnd w:id="21"/>
      <w:bookmarkEnd w:id="22"/>
      <w:bookmarkEnd w:id="23"/>
      <w:bookmarkEnd w:id="24"/>
    </w:p>
    <w:p w14:paraId="3DD85433">
      <w:pPr>
        <w:spacing w:line="360" w:lineRule="auto"/>
        <w:ind w:firstLine="420"/>
        <w:rPr>
          <w:rFonts w:ascii="宋体" w:hAnsi="宋体"/>
          <w:bCs/>
          <w:color w:val="auto"/>
          <w:szCs w:val="21"/>
          <w:highlight w:val="none"/>
          <w:u w:val="single"/>
        </w:rPr>
      </w:pPr>
      <w:r>
        <w:rPr>
          <w:rFonts w:hint="eastAsia" w:ascii="宋体" w:hAnsi="宋体"/>
          <w:color w:val="auto"/>
          <w:szCs w:val="21"/>
          <w:highlight w:val="none"/>
        </w:rPr>
        <w:t>截止时间：</w:t>
      </w:r>
      <w:r>
        <w:rPr>
          <w:rFonts w:hint="eastAsia" w:ascii="宋体" w:hAnsi="宋体"/>
          <w:bCs/>
          <w:color w:val="auto"/>
          <w:szCs w:val="21"/>
          <w:highlight w:val="none"/>
          <w:u w:val="single"/>
        </w:rPr>
        <w:t>2026</w:t>
      </w:r>
      <w:r>
        <w:rPr>
          <w:rFonts w:hint="eastAsia" w:ascii="宋体" w:hAnsi="宋体"/>
          <w:bCs/>
          <w:color w:val="auto"/>
          <w:szCs w:val="21"/>
          <w:highlight w:val="none"/>
        </w:rPr>
        <w:t>年</w:t>
      </w:r>
      <w:r>
        <w:rPr>
          <w:rFonts w:hint="eastAsia" w:ascii="宋体" w:hAnsi="宋体"/>
          <w:bCs/>
          <w:color w:val="auto"/>
          <w:szCs w:val="21"/>
          <w:highlight w:val="none"/>
          <w:u w:val="single"/>
          <w:lang w:val="en-US" w:eastAsia="zh-CN"/>
        </w:rPr>
        <w:t>9</w:t>
      </w:r>
      <w:r>
        <w:rPr>
          <w:rFonts w:hint="eastAsia" w:ascii="宋体" w:hAnsi="宋体"/>
          <w:bCs/>
          <w:color w:val="auto"/>
          <w:szCs w:val="21"/>
          <w:highlight w:val="none"/>
        </w:rPr>
        <w:t>月</w:t>
      </w:r>
      <w:r>
        <w:rPr>
          <w:rFonts w:hint="eastAsia" w:ascii="宋体" w:hAnsi="宋体"/>
          <w:bCs/>
          <w:color w:val="auto"/>
          <w:szCs w:val="21"/>
          <w:highlight w:val="none"/>
          <w:u w:val="single"/>
          <w:lang w:val="en-US" w:eastAsia="zh-CN"/>
        </w:rPr>
        <w:t>3</w:t>
      </w:r>
      <w:r>
        <w:rPr>
          <w:rFonts w:hint="eastAsia" w:ascii="宋体" w:hAnsi="宋体"/>
          <w:bCs/>
          <w:color w:val="auto"/>
          <w:szCs w:val="21"/>
          <w:highlight w:val="none"/>
        </w:rPr>
        <w:t>日</w:t>
      </w:r>
      <w:r>
        <w:rPr>
          <w:rFonts w:hint="eastAsia" w:ascii="宋体" w:hAnsi="宋体"/>
          <w:bCs/>
          <w:color w:val="auto"/>
          <w:szCs w:val="21"/>
          <w:highlight w:val="none"/>
          <w:lang w:val="en-US" w:eastAsia="zh-CN"/>
        </w:rPr>
        <w:t>9</w:t>
      </w:r>
      <w:r>
        <w:rPr>
          <w:rFonts w:hint="eastAsia" w:ascii="宋体" w:hAnsi="宋体"/>
          <w:bCs/>
          <w:color w:val="auto"/>
          <w:szCs w:val="21"/>
          <w:highlight w:val="none"/>
        </w:rPr>
        <w:t>:30（北京时间</w:t>
      </w:r>
      <w:r>
        <w:rPr>
          <w:rFonts w:hint="eastAsia" w:ascii="宋体" w:hAnsi="宋体" w:cs="宋体"/>
          <w:bCs/>
          <w:color w:val="auto"/>
          <w:szCs w:val="21"/>
          <w:highlight w:val="none"/>
        </w:rPr>
        <w:t>，法定节假日除外</w:t>
      </w:r>
      <w:r>
        <w:rPr>
          <w:rFonts w:hint="eastAsia" w:ascii="宋体" w:hAnsi="宋体"/>
          <w:bCs/>
          <w:color w:val="auto"/>
          <w:szCs w:val="21"/>
          <w:highlight w:val="none"/>
        </w:rPr>
        <w:t>）</w:t>
      </w:r>
    </w:p>
    <w:p w14:paraId="2F22EF69">
      <w:pPr>
        <w:spacing w:line="360" w:lineRule="auto"/>
        <w:ind w:left="422"/>
        <w:rPr>
          <w:rFonts w:ascii="宋体" w:hAnsi="宋体"/>
          <w:bCs/>
          <w:color w:val="auto"/>
          <w:szCs w:val="21"/>
          <w:highlight w:val="none"/>
          <w:u w:val="single"/>
        </w:rPr>
      </w:pPr>
      <w:r>
        <w:rPr>
          <w:rFonts w:hint="eastAsia" w:ascii="宋体" w:hAnsi="宋体"/>
          <w:color w:val="auto"/>
          <w:szCs w:val="21"/>
          <w:highlight w:val="none"/>
        </w:rPr>
        <w:t>地点：广西政府采购云平台（https://www.gcy.zfcg.gxzf.gov.cn/）</w:t>
      </w:r>
    </w:p>
    <w:p w14:paraId="6A47628A">
      <w:pPr>
        <w:spacing w:line="360" w:lineRule="auto"/>
        <w:ind w:firstLine="360"/>
        <w:rPr>
          <w:rFonts w:ascii="黑体" w:hAnsi="黑体" w:eastAsia="黑体"/>
          <w:color w:val="auto"/>
          <w:sz w:val="24"/>
          <w:highlight w:val="none"/>
        </w:rPr>
      </w:pPr>
      <w:bookmarkStart w:id="26" w:name="_Toc28359093"/>
      <w:bookmarkStart w:id="27" w:name="_Toc71366044"/>
      <w:bookmarkStart w:id="28" w:name="_Toc28359016"/>
      <w:bookmarkStart w:id="29" w:name="_Toc35393802"/>
      <w:bookmarkStart w:id="30" w:name="_Toc71365366"/>
      <w:bookmarkStart w:id="31" w:name="_Toc35393633"/>
      <w:r>
        <w:rPr>
          <w:rFonts w:hint="eastAsia" w:ascii="黑体" w:hAnsi="黑体" w:eastAsia="黑体"/>
          <w:color w:val="auto"/>
          <w:sz w:val="24"/>
          <w:highlight w:val="none"/>
        </w:rPr>
        <w:t>五、开启</w:t>
      </w:r>
      <w:bookmarkEnd w:id="25"/>
      <w:bookmarkEnd w:id="26"/>
      <w:bookmarkEnd w:id="27"/>
      <w:bookmarkEnd w:id="28"/>
      <w:bookmarkEnd w:id="29"/>
      <w:bookmarkEnd w:id="30"/>
    </w:p>
    <w:p w14:paraId="4F9C2857">
      <w:pPr>
        <w:spacing w:line="360" w:lineRule="auto"/>
        <w:ind w:firstLine="420"/>
        <w:rPr>
          <w:rFonts w:ascii="宋体" w:hAnsi="宋体"/>
          <w:bCs/>
          <w:color w:val="auto"/>
          <w:szCs w:val="21"/>
          <w:highlight w:val="none"/>
        </w:rPr>
      </w:pPr>
      <w:r>
        <w:rPr>
          <w:rFonts w:hint="eastAsia" w:ascii="宋体" w:hAnsi="宋体"/>
          <w:color w:val="auto"/>
          <w:szCs w:val="21"/>
          <w:highlight w:val="none"/>
        </w:rPr>
        <w:t>时间：</w:t>
      </w:r>
      <w:r>
        <w:rPr>
          <w:rFonts w:hint="eastAsia" w:ascii="宋体" w:hAnsi="宋体"/>
          <w:bCs/>
          <w:color w:val="auto"/>
          <w:szCs w:val="21"/>
          <w:highlight w:val="none"/>
          <w:u w:val="single"/>
        </w:rPr>
        <w:t>2026</w:t>
      </w:r>
      <w:r>
        <w:rPr>
          <w:rFonts w:hint="eastAsia" w:ascii="宋体" w:hAnsi="宋体"/>
          <w:bCs/>
          <w:color w:val="auto"/>
          <w:szCs w:val="21"/>
          <w:highlight w:val="none"/>
        </w:rPr>
        <w:t>年</w:t>
      </w:r>
      <w:r>
        <w:rPr>
          <w:rFonts w:hint="eastAsia" w:ascii="宋体" w:hAnsi="宋体"/>
          <w:bCs/>
          <w:color w:val="auto"/>
          <w:szCs w:val="21"/>
          <w:highlight w:val="none"/>
          <w:u w:val="single"/>
          <w:lang w:val="en-US" w:eastAsia="zh-CN"/>
        </w:rPr>
        <w:t>9</w:t>
      </w:r>
      <w:r>
        <w:rPr>
          <w:rFonts w:hint="eastAsia" w:ascii="宋体" w:hAnsi="宋体"/>
          <w:bCs/>
          <w:color w:val="auto"/>
          <w:szCs w:val="21"/>
          <w:highlight w:val="none"/>
        </w:rPr>
        <w:t>月</w:t>
      </w:r>
      <w:r>
        <w:rPr>
          <w:rFonts w:hint="eastAsia" w:ascii="宋体" w:hAnsi="宋体"/>
          <w:bCs/>
          <w:color w:val="auto"/>
          <w:szCs w:val="21"/>
          <w:highlight w:val="none"/>
          <w:u w:val="single"/>
          <w:lang w:val="en-US" w:eastAsia="zh-CN"/>
        </w:rPr>
        <w:t>3</w:t>
      </w:r>
      <w:r>
        <w:rPr>
          <w:rFonts w:hint="eastAsia" w:ascii="宋体" w:hAnsi="宋体"/>
          <w:bCs/>
          <w:color w:val="auto"/>
          <w:szCs w:val="21"/>
          <w:highlight w:val="none"/>
        </w:rPr>
        <w:t>日</w:t>
      </w:r>
      <w:r>
        <w:rPr>
          <w:rFonts w:hint="eastAsia" w:ascii="宋体" w:hAnsi="宋体"/>
          <w:bCs/>
          <w:color w:val="auto"/>
          <w:szCs w:val="21"/>
          <w:highlight w:val="none"/>
          <w:lang w:val="en-US" w:eastAsia="zh-CN"/>
        </w:rPr>
        <w:t>9</w:t>
      </w:r>
      <w:r>
        <w:rPr>
          <w:rFonts w:hint="eastAsia" w:ascii="宋体" w:hAnsi="宋体"/>
          <w:bCs/>
          <w:color w:val="auto"/>
          <w:szCs w:val="21"/>
          <w:highlight w:val="none"/>
        </w:rPr>
        <w:t>:30（北京时间）</w:t>
      </w:r>
    </w:p>
    <w:p w14:paraId="34C47423">
      <w:pPr>
        <w:spacing w:line="360" w:lineRule="auto"/>
        <w:ind w:firstLine="420"/>
        <w:rPr>
          <w:rFonts w:ascii="宋体" w:hAnsi="宋体"/>
          <w:bCs/>
          <w:color w:val="auto"/>
          <w:szCs w:val="21"/>
          <w:highlight w:val="none"/>
          <w:u w:val="single"/>
        </w:rPr>
      </w:pPr>
      <w:r>
        <w:rPr>
          <w:rFonts w:hint="eastAsia" w:ascii="宋体" w:hAnsi="宋体"/>
          <w:color w:val="auto"/>
          <w:szCs w:val="21"/>
          <w:highlight w:val="none"/>
        </w:rPr>
        <w:t>地点：广西政府采购云平台（https://www.gcy.zfcg.gxzf.gov.cn/）</w:t>
      </w:r>
    </w:p>
    <w:p w14:paraId="6FA83715">
      <w:pPr>
        <w:spacing w:line="360" w:lineRule="auto"/>
        <w:ind w:firstLine="360"/>
        <w:rPr>
          <w:rFonts w:ascii="黑体" w:hAnsi="黑体" w:eastAsia="黑体"/>
          <w:color w:val="auto"/>
          <w:sz w:val="24"/>
          <w:highlight w:val="none"/>
        </w:rPr>
      </w:pPr>
      <w:bookmarkStart w:id="32" w:name="_Toc71365367"/>
      <w:bookmarkStart w:id="33" w:name="_Toc35393634"/>
      <w:bookmarkStart w:id="34" w:name="_Toc71366045"/>
      <w:bookmarkStart w:id="35" w:name="_Toc28359017"/>
      <w:bookmarkStart w:id="36" w:name="_Toc28359094"/>
      <w:bookmarkStart w:id="37" w:name="_Toc35393803"/>
      <w:r>
        <w:rPr>
          <w:rFonts w:hint="eastAsia" w:ascii="黑体" w:hAnsi="黑体" w:eastAsia="黑体"/>
          <w:color w:val="auto"/>
          <w:sz w:val="24"/>
          <w:highlight w:val="none"/>
        </w:rPr>
        <w:t>六、公告期限</w:t>
      </w:r>
      <w:bookmarkEnd w:id="31"/>
      <w:bookmarkEnd w:id="32"/>
      <w:bookmarkEnd w:id="33"/>
      <w:bookmarkEnd w:id="34"/>
      <w:bookmarkEnd w:id="35"/>
      <w:bookmarkEnd w:id="36"/>
    </w:p>
    <w:p w14:paraId="23560EB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自本公告发布之日起3个工作日。</w:t>
      </w:r>
    </w:p>
    <w:p w14:paraId="377EBC6C">
      <w:pPr>
        <w:spacing w:line="360" w:lineRule="auto"/>
        <w:ind w:firstLine="360"/>
        <w:rPr>
          <w:rFonts w:ascii="黑体" w:hAnsi="黑体" w:eastAsia="黑体"/>
          <w:color w:val="auto"/>
          <w:sz w:val="24"/>
          <w:highlight w:val="none"/>
        </w:rPr>
      </w:pPr>
      <w:bookmarkStart w:id="38" w:name="_Toc35393635"/>
      <w:bookmarkStart w:id="39" w:name="_Toc71365368"/>
      <w:bookmarkStart w:id="40" w:name="_Toc35393804"/>
      <w:bookmarkStart w:id="41" w:name="_Toc71366046"/>
      <w:r>
        <w:rPr>
          <w:rFonts w:hint="eastAsia" w:ascii="黑体" w:hAnsi="黑体" w:eastAsia="黑体"/>
          <w:color w:val="auto"/>
          <w:sz w:val="24"/>
          <w:highlight w:val="none"/>
        </w:rPr>
        <w:t>七、其他补充事宜</w:t>
      </w:r>
      <w:bookmarkEnd w:id="37"/>
      <w:bookmarkEnd w:id="38"/>
      <w:bookmarkEnd w:id="39"/>
      <w:bookmarkEnd w:id="40"/>
    </w:p>
    <w:p w14:paraId="140F5B7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w:t>
      </w:r>
      <w:r>
        <w:rPr>
          <w:rFonts w:hint="eastAsia" w:ascii="宋体" w:hAnsi="宋体" w:cs="宋体"/>
          <w:color w:val="auto"/>
          <w:szCs w:val="21"/>
          <w:highlight w:val="none"/>
        </w:rPr>
        <w:t>网上查询地址</w:t>
      </w:r>
    </w:p>
    <w:p w14:paraId="2C33E09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www.ccgp.gov.cn（中国政府采购网）、zfcg.gxzf.gov.cn（广西壮族自治区政府采购网）、http://117.141.250.58:10030/web/cgw/index.ptl（梧州市政府采购网）</w:t>
      </w:r>
    </w:p>
    <w:p w14:paraId="5D3B887F">
      <w:pPr>
        <w:spacing w:line="360" w:lineRule="auto"/>
        <w:ind w:firstLine="424"/>
        <w:rPr>
          <w:rFonts w:ascii="宋体" w:hAnsi="宋体" w:cs="宋体"/>
          <w:color w:val="auto"/>
          <w:szCs w:val="21"/>
          <w:highlight w:val="none"/>
        </w:rPr>
      </w:pPr>
      <w:bookmarkStart w:id="42" w:name="_Toc28359095"/>
      <w:bookmarkStart w:id="43" w:name="_Toc28359018"/>
      <w:bookmarkStart w:id="44" w:name="_Toc35393805"/>
      <w:bookmarkStart w:id="45" w:name="_Toc35393636"/>
      <w:bookmarkStart w:id="46" w:name="_Toc71366047"/>
      <w:bookmarkStart w:id="47" w:name="_Toc71365369"/>
      <w:bookmarkStart w:id="48" w:name="_Hlk37429674"/>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s="宋体"/>
          <w:color w:val="auto"/>
          <w:szCs w:val="21"/>
          <w:highlight w:val="none"/>
        </w:rPr>
        <w:t>本项目需要落实的政府采购政策</w:t>
      </w:r>
    </w:p>
    <w:p w14:paraId="4FF05E3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（1）政府采购促进中小企业发展。</w:t>
      </w:r>
    </w:p>
    <w:p w14:paraId="535AEA9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（2）政府采购支持采用本国产品的政策。</w:t>
      </w:r>
    </w:p>
    <w:p w14:paraId="61E5E2A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（3）强制采购节能产品；优先采购节能产品、环境标志产品。</w:t>
      </w:r>
    </w:p>
    <w:p w14:paraId="4B34943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（4）政府采购促进残疾人就业政策。</w:t>
      </w:r>
    </w:p>
    <w:p w14:paraId="3B276F6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（5）政府采购支持监狱企业发展。</w:t>
      </w:r>
    </w:p>
    <w:p w14:paraId="72EA9A30">
      <w:pPr>
        <w:widowControl/>
        <w:spacing w:line="360" w:lineRule="auto"/>
        <w:ind w:firstLine="420"/>
        <w:jc w:val="left"/>
        <w:rPr>
          <w:rFonts w:ascii="宋体" w:hAnsi="宋体"/>
          <w:color w:val="auto"/>
          <w:szCs w:val="21"/>
          <w:highlight w:val="none"/>
        </w:rPr>
      </w:pPr>
      <w:r>
        <w:rPr>
          <w:rFonts w:hint="eastAsia" w:ascii="宋体" w:hAnsi="宋体" w:cs="宋体"/>
          <w:color w:val="auto"/>
          <w:szCs w:val="21"/>
          <w:highlight w:val="none"/>
        </w:rPr>
        <w:t>3.供应商</w:t>
      </w:r>
      <w:r>
        <w:rPr>
          <w:rFonts w:hint="eastAsia" w:ascii="宋体" w:hAnsi="宋体"/>
          <w:color w:val="auto"/>
          <w:szCs w:val="21"/>
          <w:highlight w:val="none"/>
        </w:rPr>
        <w:t>竞标注意事项</w:t>
      </w:r>
    </w:p>
    <w:p w14:paraId="2D2A0B5D">
      <w:pPr>
        <w:widowControl/>
        <w:spacing w:line="360" w:lineRule="auto"/>
        <w:ind w:firstLine="420"/>
        <w:jc w:val="left"/>
        <w:rPr>
          <w:rFonts w:ascii="宋体" w:hAnsi="宋体"/>
          <w:color w:val="auto"/>
          <w:szCs w:val="21"/>
          <w:highlight w:val="none"/>
        </w:rPr>
      </w:pPr>
      <w:r>
        <w:rPr>
          <w:rFonts w:hint="eastAsia" w:ascii="宋体" w:hAnsi="宋体"/>
          <w:color w:val="auto"/>
          <w:szCs w:val="21"/>
          <w:highlight w:val="none"/>
        </w:rPr>
        <w:t>（1）本项目为全流程电子化采购项目，通过广西政府采购云平台（https://www.gcy.zfcg.gxzf.gov.cn/）实行在线电子竞标，供应商应按照本项目竞争性谈判文件和广西政府采购云平台的要求编制、加密后在提交响应文件截止时间前通过网络上传至 广西政府采购云平台（加密的电子响应文件是指</w:t>
      </w:r>
      <w:r>
        <w:rPr>
          <w:rFonts w:hint="eastAsia"/>
          <w:color w:val="auto"/>
          <w:highlight w:val="none"/>
        </w:rPr>
        <w:t>后缀名为“jm</w:t>
      </w:r>
      <w:r>
        <w:rPr>
          <w:color w:val="auto"/>
          <w:highlight w:val="none"/>
        </w:rPr>
        <w:t>bs</w:t>
      </w:r>
      <w:r>
        <w:rPr>
          <w:rFonts w:hint="eastAsia"/>
          <w:color w:val="auto"/>
          <w:highlight w:val="none"/>
        </w:rPr>
        <w:t>”的文件</w:t>
      </w:r>
      <w:r>
        <w:rPr>
          <w:rFonts w:hint="eastAsia" w:ascii="宋体" w:hAnsi="宋体"/>
          <w:color w:val="auto"/>
          <w:szCs w:val="21"/>
          <w:highlight w:val="none"/>
        </w:rPr>
        <w:t>），</w:t>
      </w:r>
      <w:r>
        <w:rPr>
          <w:rFonts w:hint="eastAsia" w:ascii="宋体" w:hAnsi="宋体"/>
          <w:b/>
          <w:color w:val="auto"/>
          <w:szCs w:val="21"/>
          <w:highlight w:val="none"/>
        </w:rPr>
        <w:t>供应商在广西政府采购云平台提交电子响应文件时，请填写参加远程采购活动经办人联系方式。</w:t>
      </w:r>
      <w:r>
        <w:rPr>
          <w:rFonts w:hint="eastAsia" w:ascii="宋体" w:hAnsi="宋体"/>
          <w:color w:val="auto"/>
          <w:szCs w:val="21"/>
          <w:highlight w:val="none"/>
        </w:rPr>
        <w:t>供应商登录广西政府采购云平台，依次进入“服务中心-项目采购-操作流程-电子招投标-</w:t>
      </w:r>
      <w:r>
        <w:rPr>
          <w:color w:val="auto"/>
          <w:highlight w:val="none"/>
        </w:rPr>
        <w:t>政府采购项目电子交易管理操作指南-供应商</w:t>
      </w:r>
      <w:r>
        <w:rPr>
          <w:rFonts w:hint="eastAsia" w:ascii="宋体" w:hAnsi="宋体"/>
          <w:color w:val="auto"/>
          <w:szCs w:val="21"/>
          <w:highlight w:val="none"/>
        </w:rPr>
        <w:t>”查看电子竞标具体操作流程。</w:t>
      </w:r>
    </w:p>
    <w:p w14:paraId="4102C63A">
      <w:pPr>
        <w:widowControl/>
        <w:spacing w:line="360" w:lineRule="auto"/>
        <w:ind w:firstLine="420"/>
        <w:jc w:val="left"/>
        <w:rPr>
          <w:rFonts w:ascii="宋体" w:hAnsi="宋体"/>
          <w:color w:val="auto"/>
          <w:szCs w:val="21"/>
          <w:highlight w:val="none"/>
        </w:rPr>
      </w:pPr>
      <w:r>
        <w:rPr>
          <w:rFonts w:hint="eastAsia" w:ascii="宋体" w:hAnsi="宋体"/>
          <w:color w:val="auto"/>
          <w:szCs w:val="21"/>
          <w:highlight w:val="none"/>
        </w:rPr>
        <w:t>（2）未进行网上注册并办理数字证书（CA认证）的供应商将无法参与本项目政府采购活动，供应商应当在提交响应文件截止时间前，完成电子交易平台上的CA数字证书办理及响应文件的提交（供应商可登录“广西政府采购网”，依次进入“办事服务-下载专区”或者登录</w:t>
      </w:r>
      <w:r>
        <w:rPr>
          <w:rFonts w:hint="eastAsia" w:ascii="宋体" w:hAnsi="宋体" w:cs="宋体"/>
          <w:color w:val="auto"/>
          <w:szCs w:val="21"/>
          <w:highlight w:val="none"/>
        </w:rPr>
        <w:t>广西政府采购云平台，</w:t>
      </w:r>
      <w:r>
        <w:rPr>
          <w:rFonts w:hint="eastAsia" w:ascii="宋体" w:hAnsi="宋体"/>
          <w:color w:val="auto"/>
          <w:szCs w:val="21"/>
          <w:highlight w:val="none"/>
        </w:rPr>
        <w:t>依次进入“服务中心-入驻与配置”中查看CA数字证书办理操作流程。</w:t>
      </w:r>
      <w:r>
        <w:rPr>
          <w:rFonts w:hint="eastAsia" w:ascii="宋体" w:hAnsi="宋体" w:cs="宋体"/>
          <w:bCs/>
          <w:color w:val="auto"/>
          <w:szCs w:val="21"/>
          <w:highlight w:val="none"/>
        </w:rPr>
        <w:t>如在操作过程中遇到问题或者需要技术支持，请致电客服热线：95763或者0771-3381253</w:t>
      </w:r>
      <w:r>
        <w:rPr>
          <w:rFonts w:hint="eastAsia" w:ascii="宋体" w:hAnsi="宋体"/>
          <w:color w:val="auto"/>
          <w:szCs w:val="21"/>
          <w:highlight w:val="none"/>
        </w:rPr>
        <w:t>）。</w:t>
      </w:r>
    </w:p>
    <w:p w14:paraId="227B77F0">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（3）CA证书在线解密：首次响应文件开启时，需携带制作响应文件时用来加密的有效数字证书（CA认证）登录广西政府采购云平台电子开标大厅现场按规定时间对加密的响应文件进行解密，否则后果自负。</w:t>
      </w:r>
    </w:p>
    <w:p w14:paraId="75B4F5FF">
      <w:pPr>
        <w:widowControl/>
        <w:spacing w:line="360" w:lineRule="auto"/>
        <w:ind w:firstLine="420"/>
        <w:jc w:val="left"/>
        <w:rPr>
          <w:rFonts w:ascii="宋体" w:hAnsi="宋体"/>
          <w:bCs/>
          <w:color w:val="auto"/>
          <w:szCs w:val="21"/>
          <w:highlight w:val="none"/>
        </w:rPr>
      </w:pPr>
      <w:r>
        <w:rPr>
          <w:rFonts w:hint="eastAsia" w:ascii="宋体" w:hAnsi="宋体"/>
          <w:color w:val="auto"/>
          <w:szCs w:val="21"/>
          <w:highlight w:val="none"/>
        </w:rPr>
        <w:t>注：1）为确保网上操作合法、有效和安全，请供应商确保在电子竞标过程中能够对相关数据电文进行加密和使用电子签章，妥善保管C</w:t>
      </w:r>
      <w:r>
        <w:rPr>
          <w:rFonts w:ascii="宋体" w:hAnsi="宋体"/>
          <w:color w:val="auto"/>
          <w:szCs w:val="21"/>
          <w:highlight w:val="none"/>
        </w:rPr>
        <w:t>A</w:t>
      </w:r>
      <w:r>
        <w:rPr>
          <w:rFonts w:hint="eastAsia" w:ascii="宋体" w:hAnsi="宋体"/>
          <w:color w:val="auto"/>
          <w:szCs w:val="21"/>
          <w:highlight w:val="none"/>
        </w:rPr>
        <w:t>数字证书并使用有效的CA数字证书参与整个采购活动。2）</w:t>
      </w:r>
      <w:r>
        <w:rPr>
          <w:rFonts w:hint="eastAsia" w:ascii="宋体" w:hAnsi="宋体"/>
          <w:bCs/>
          <w:color w:val="auto"/>
          <w:szCs w:val="21"/>
          <w:highlight w:val="none"/>
        </w:rPr>
        <w:t>供应商应当在提交响应文件截止时间前完成电子响应文件的提交（上传），提交响应文件截止时间前可以补充、修改或者撤回响应文件。补充或者修改响应文件的，应当先行撤回原响应文件，补充、修改后重新提交（上传），提交响应文件截止时间前未完成提交（上传）的，视为撤回响应文件。提交响应文件截止时间以后提交（上传）的响应文件，广西政府采购云平台将予以拒收。</w:t>
      </w:r>
    </w:p>
    <w:p w14:paraId="3A4E203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（4）供应商需要在具备有摄像头及语音功能且互联网网络状况良好的电脑登录广西政府采购云平台远程开标大厅参与本次谈判，否则后果自负。</w:t>
      </w:r>
      <w:bookmarkEnd w:id="41"/>
    </w:p>
    <w:p w14:paraId="62378D83">
      <w:pPr>
        <w:spacing w:line="360" w:lineRule="auto"/>
        <w:ind w:firstLine="360"/>
        <w:rPr>
          <w:rFonts w:ascii="黑体" w:hAnsi="黑体" w:eastAsia="黑体"/>
          <w:color w:val="auto"/>
          <w:sz w:val="24"/>
          <w:highlight w:val="none"/>
        </w:rPr>
      </w:pPr>
      <w:r>
        <w:rPr>
          <w:rFonts w:hint="eastAsia" w:ascii="黑体" w:hAnsi="黑体" w:eastAsia="黑体"/>
          <w:color w:val="auto"/>
          <w:sz w:val="24"/>
          <w:highlight w:val="none"/>
        </w:rPr>
        <w:t>八、凡对本次采购提出询问，请按</w:t>
      </w:r>
      <w:r>
        <w:rPr>
          <w:rFonts w:ascii="黑体" w:hAnsi="黑体" w:eastAsia="黑体"/>
          <w:color w:val="auto"/>
          <w:sz w:val="24"/>
          <w:highlight w:val="none"/>
        </w:rPr>
        <w:t>以下方式</w:t>
      </w:r>
      <w:r>
        <w:rPr>
          <w:rFonts w:hint="eastAsia" w:ascii="黑体" w:hAnsi="黑体" w:eastAsia="黑体"/>
          <w:color w:val="auto"/>
          <w:sz w:val="24"/>
          <w:highlight w:val="none"/>
        </w:rPr>
        <w:t>联系。</w:t>
      </w:r>
      <w:bookmarkEnd w:id="42"/>
      <w:bookmarkEnd w:id="43"/>
      <w:bookmarkEnd w:id="44"/>
      <w:bookmarkEnd w:id="45"/>
      <w:bookmarkEnd w:id="46"/>
      <w:bookmarkEnd w:id="47"/>
    </w:p>
    <w:p w14:paraId="083CD421">
      <w:pPr>
        <w:spacing w:line="360" w:lineRule="auto"/>
        <w:ind w:firstLine="420"/>
        <w:rPr>
          <w:rFonts w:ascii="宋体" w:hAnsi="宋体" w:cs="宋体"/>
          <w:color w:val="auto"/>
          <w:szCs w:val="21"/>
          <w:highlight w:val="none"/>
        </w:rPr>
      </w:pPr>
      <w:bookmarkStart w:id="49" w:name="_Toc28359019"/>
      <w:bookmarkStart w:id="50" w:name="_Toc28359096"/>
      <w:bookmarkStart w:id="51" w:name="_Toc35393637"/>
      <w:bookmarkStart w:id="52" w:name="_Toc35393806"/>
      <w:r>
        <w:rPr>
          <w:rFonts w:hint="eastAsia" w:ascii="宋体" w:hAnsi="宋体" w:cs="宋体"/>
          <w:color w:val="auto"/>
          <w:szCs w:val="21"/>
          <w:highlight w:val="none"/>
        </w:rPr>
        <w:t>1.采购人信息</w:t>
      </w:r>
      <w:bookmarkEnd w:id="48"/>
      <w:bookmarkEnd w:id="49"/>
      <w:bookmarkEnd w:id="50"/>
      <w:bookmarkEnd w:id="51"/>
    </w:p>
    <w:p w14:paraId="20A29AEE">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名    称：梧州市妇幼保健院  </w:t>
      </w:r>
    </w:p>
    <w:p w14:paraId="191E64FF">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地    址：梧州市蝶山一路28号   </w:t>
      </w:r>
    </w:p>
    <w:p w14:paraId="3E153785">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联系方式：陈荣艺，0774-3813873    </w:t>
      </w:r>
    </w:p>
    <w:p w14:paraId="4EFFBB96">
      <w:pPr>
        <w:spacing w:line="360" w:lineRule="auto"/>
        <w:ind w:firstLine="420"/>
        <w:rPr>
          <w:rFonts w:ascii="宋体" w:hAnsi="宋体" w:cs="宋体"/>
          <w:color w:val="auto"/>
          <w:szCs w:val="21"/>
          <w:highlight w:val="none"/>
        </w:rPr>
      </w:pPr>
      <w:bookmarkStart w:id="53" w:name="_Toc28359020"/>
      <w:bookmarkStart w:id="54" w:name="_Toc35393807"/>
      <w:bookmarkStart w:id="55" w:name="_Toc28359097"/>
      <w:bookmarkStart w:id="56" w:name="_Toc35393638"/>
      <w:r>
        <w:rPr>
          <w:rFonts w:hint="eastAsia" w:ascii="宋体" w:hAnsi="宋体" w:cs="宋体"/>
          <w:color w:val="auto"/>
          <w:szCs w:val="21"/>
          <w:highlight w:val="none"/>
        </w:rPr>
        <w:t>2.采购代理机构信息</w:t>
      </w:r>
      <w:bookmarkEnd w:id="52"/>
      <w:bookmarkEnd w:id="53"/>
      <w:bookmarkEnd w:id="54"/>
      <w:bookmarkEnd w:id="55"/>
    </w:p>
    <w:p w14:paraId="43CC5444">
      <w:pPr>
        <w:spacing w:line="360" w:lineRule="auto"/>
        <w:ind w:firstLine="420"/>
        <w:rPr>
          <w:rFonts w:ascii="宋体" w:hAnsi="宋体"/>
          <w:color w:val="auto"/>
          <w:szCs w:val="21"/>
          <w:highlight w:val="none"/>
        </w:rPr>
      </w:pPr>
      <w:r>
        <w:rPr>
          <w:rFonts w:hint="eastAsia" w:ascii="宋体" w:hAnsi="宋体"/>
          <w:color w:val="auto"/>
          <w:szCs w:val="21"/>
          <w:highlight w:val="none"/>
        </w:rPr>
        <w:t>名    称：云之龙咨询集团有限公司</w:t>
      </w:r>
    </w:p>
    <w:p w14:paraId="10C98854">
      <w:pPr>
        <w:spacing w:line="360" w:lineRule="auto"/>
        <w:ind w:firstLine="420"/>
        <w:rPr>
          <w:rFonts w:ascii="宋体" w:hAnsi="宋体"/>
          <w:color w:val="auto"/>
          <w:szCs w:val="21"/>
          <w:highlight w:val="none"/>
        </w:rPr>
      </w:pPr>
      <w:r>
        <w:rPr>
          <w:rFonts w:hint="eastAsia" w:ascii="宋体" w:hAnsi="宋体"/>
          <w:color w:val="auto"/>
          <w:szCs w:val="21"/>
          <w:highlight w:val="none"/>
        </w:rPr>
        <w:t>地　　址：梧州市新兴三路30号神冠豪都B栋1单元1008号房</w:t>
      </w:r>
    </w:p>
    <w:p w14:paraId="1E7FA6E8">
      <w:pPr>
        <w:spacing w:line="360" w:lineRule="auto"/>
        <w:ind w:firstLine="420"/>
        <w:rPr>
          <w:rFonts w:ascii="宋体" w:hAnsi="宋体"/>
          <w:color w:val="auto"/>
          <w:szCs w:val="21"/>
          <w:highlight w:val="none"/>
        </w:rPr>
      </w:pPr>
      <w:r>
        <w:rPr>
          <w:rFonts w:hint="eastAsia" w:ascii="宋体" w:hAnsi="宋体"/>
          <w:color w:val="auto"/>
          <w:szCs w:val="21"/>
          <w:highlight w:val="none"/>
        </w:rPr>
        <w:t>联系方式：周子然、陈丽莹，0774-3859935</w:t>
      </w:r>
    </w:p>
    <w:p w14:paraId="2232C216">
      <w:pPr>
        <w:spacing w:line="360" w:lineRule="auto"/>
        <w:ind w:firstLine="420"/>
        <w:rPr>
          <w:rFonts w:ascii="宋体" w:hAnsi="宋体" w:cs="宋体"/>
          <w:color w:val="auto"/>
          <w:szCs w:val="21"/>
          <w:highlight w:val="none"/>
        </w:rPr>
      </w:pPr>
      <w:bookmarkStart w:id="57" w:name="_Toc28359021"/>
      <w:bookmarkStart w:id="58" w:name="_Toc35393808"/>
      <w:bookmarkStart w:id="59" w:name="_Toc35393639"/>
      <w:bookmarkStart w:id="60" w:name="_Toc28359098"/>
      <w:r>
        <w:rPr>
          <w:rFonts w:hint="eastAsia" w:ascii="宋体" w:hAnsi="宋体" w:cs="宋体"/>
          <w:color w:val="auto"/>
          <w:szCs w:val="21"/>
          <w:highlight w:val="none"/>
        </w:rPr>
        <w:t>3.项目联系</w:t>
      </w:r>
      <w:r>
        <w:rPr>
          <w:rFonts w:ascii="宋体" w:hAnsi="宋体" w:cs="宋体"/>
          <w:color w:val="auto"/>
          <w:szCs w:val="21"/>
          <w:highlight w:val="none"/>
        </w:rPr>
        <w:t>方式</w:t>
      </w:r>
      <w:bookmarkEnd w:id="56"/>
      <w:bookmarkEnd w:id="57"/>
      <w:bookmarkEnd w:id="58"/>
      <w:bookmarkEnd w:id="59"/>
    </w:p>
    <w:p w14:paraId="104C9B7D">
      <w:pPr>
        <w:pStyle w:val="222"/>
        <w:spacing w:line="360" w:lineRule="auto"/>
        <w:ind w:firstLine="420"/>
        <w:rPr>
          <w:rFonts w:hAnsi="宋体"/>
          <w:color w:val="auto"/>
          <w:sz w:val="21"/>
          <w:highlight w:val="none"/>
        </w:rPr>
      </w:pPr>
      <w:r>
        <w:rPr>
          <w:rFonts w:hint="eastAsia" w:hAnsi="宋体"/>
          <w:color w:val="auto"/>
          <w:sz w:val="21"/>
          <w:highlight w:val="none"/>
        </w:rPr>
        <w:t>项目联系人：周子然、陈丽莹</w:t>
      </w:r>
    </w:p>
    <w:p w14:paraId="65F5C78D">
      <w:pPr>
        <w:spacing w:line="360" w:lineRule="auto"/>
        <w:ind w:firstLine="420"/>
        <w:rPr>
          <w:color w:val="auto"/>
          <w:highlight w:val="none"/>
        </w:rPr>
      </w:pPr>
      <w:r>
        <w:rPr>
          <w:rFonts w:hint="eastAsia" w:ascii="宋体" w:hAnsi="宋体"/>
          <w:color w:val="auto"/>
          <w:szCs w:val="21"/>
          <w:highlight w:val="none"/>
        </w:rPr>
        <w:t>电　　话：0774-3859935</w:t>
      </w:r>
      <w:bookmarkEnd w:id="60"/>
    </w:p>
    <w:p w14:paraId="20F54E75">
      <w:pPr>
        <w:rPr>
          <w:color w:val="auto"/>
          <w:highlight w:val="none"/>
        </w:rPr>
      </w:pPr>
    </w:p>
    <w:p w14:paraId="7DCF96FF">
      <w:pPr>
        <w:pStyle w:val="201"/>
        <w:jc w:val="center"/>
        <w:rPr>
          <w:color w:val="auto"/>
          <w:highlight w:val="none"/>
        </w:rPr>
      </w:pPr>
      <w:r>
        <w:rPr>
          <w:color w:val="auto"/>
          <w:highlight w:val="none"/>
        </w:rPr>
        <w:br w:type="page" w:clear="all"/>
      </w:r>
      <w:bookmarkStart w:id="61" w:name="_Toc1434"/>
      <w:r>
        <w:rPr>
          <w:rFonts w:hint="eastAsia"/>
          <w:color w:val="auto"/>
          <w:highlight w:val="none"/>
        </w:rPr>
        <w:t>第二章 供应商须知</w:t>
      </w:r>
      <w:bookmarkEnd w:id="61"/>
    </w:p>
    <w:p w14:paraId="1FE0B331">
      <w:pPr>
        <w:spacing w:line="400" w:lineRule="exact"/>
        <w:jc w:val="center"/>
        <w:rPr>
          <w:rFonts w:ascii="宋体" w:hAnsi="宋体"/>
          <w:b/>
          <w:color w:val="auto"/>
          <w:sz w:val="32"/>
          <w:szCs w:val="32"/>
          <w:highlight w:val="none"/>
        </w:rPr>
      </w:pPr>
      <w:r>
        <w:rPr>
          <w:rFonts w:hint="eastAsia" w:ascii="宋体" w:hAnsi="宋体"/>
          <w:b/>
          <w:color w:val="auto"/>
          <w:sz w:val="32"/>
          <w:szCs w:val="32"/>
          <w:highlight w:val="none"/>
        </w:rPr>
        <w:t>供应商须知前附表</w:t>
      </w:r>
    </w:p>
    <w:p w14:paraId="0A4730B3">
      <w:pPr>
        <w:spacing w:line="400" w:lineRule="exact"/>
        <w:jc w:val="center"/>
        <w:rPr>
          <w:rFonts w:ascii="宋体" w:hAnsi="宋体"/>
          <w:b/>
          <w:color w:val="auto"/>
          <w:sz w:val="32"/>
          <w:szCs w:val="32"/>
          <w:highlight w:val="none"/>
        </w:rPr>
      </w:pPr>
    </w:p>
    <w:tbl>
      <w:tblPr>
        <w:tblStyle w:val="38"/>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2"/>
        <w:gridCol w:w="7912"/>
      </w:tblGrid>
      <w:tr w14:paraId="2F644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tcPr>
          <w:p w14:paraId="68240AF5">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条款号</w:t>
            </w:r>
          </w:p>
        </w:tc>
        <w:tc>
          <w:tcPr>
            <w:tcW w:w="7912" w:type="dxa"/>
            <w:tcBorders>
              <w:top w:val="single" w:color="000000" w:sz="4" w:space="0"/>
              <w:left w:val="single" w:color="000000" w:sz="4" w:space="0"/>
              <w:bottom w:val="single" w:color="000000" w:sz="4" w:space="0"/>
              <w:right w:val="single" w:color="000000" w:sz="4" w:space="0"/>
            </w:tcBorders>
          </w:tcPr>
          <w:p w14:paraId="49C5413B">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内    容</w:t>
            </w:r>
          </w:p>
        </w:tc>
      </w:tr>
      <w:tr w14:paraId="118FB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342A5B7A">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7912" w:type="dxa"/>
            <w:tcBorders>
              <w:top w:val="single" w:color="000000" w:sz="4" w:space="0"/>
              <w:left w:val="single" w:color="000000" w:sz="4" w:space="0"/>
              <w:bottom w:val="single" w:color="000000" w:sz="4" w:space="0"/>
              <w:right w:val="single" w:color="000000" w:sz="4" w:space="0"/>
            </w:tcBorders>
            <w:vAlign w:val="center"/>
          </w:tcPr>
          <w:p w14:paraId="580420C0">
            <w:pPr>
              <w:spacing w:line="360" w:lineRule="auto"/>
              <w:rPr>
                <w:rFonts w:ascii="宋体" w:hAnsi="宋体" w:cs="宋体"/>
                <w:color w:val="auto"/>
                <w:szCs w:val="21"/>
                <w:highlight w:val="none"/>
              </w:rPr>
            </w:pPr>
            <w:r>
              <w:rPr>
                <w:rFonts w:hint="eastAsia" w:ascii="宋体" w:hAnsi="宋体" w:cs="宋体"/>
                <w:color w:val="auto"/>
                <w:szCs w:val="21"/>
                <w:highlight w:val="none"/>
              </w:rPr>
              <w:t>1.供应商的资格条件：详见竞争性谈判公告</w:t>
            </w:r>
          </w:p>
          <w:p w14:paraId="31693FE4">
            <w:pPr>
              <w:spacing w:line="360" w:lineRule="auto"/>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bCs/>
                <w:color w:val="auto"/>
                <w:szCs w:val="21"/>
                <w:highlight w:val="none"/>
              </w:rPr>
              <w:t>供应商</w:t>
            </w:r>
            <w:r>
              <w:rPr>
                <w:rFonts w:hint="eastAsia" w:ascii="宋体" w:hAnsi="宋体" w:cs="宋体"/>
                <w:color w:val="auto"/>
                <w:szCs w:val="21"/>
                <w:highlight w:val="none"/>
              </w:rPr>
              <w:t>出现下列情形之一的，不得参加政府采购活动：</w:t>
            </w:r>
          </w:p>
          <w:p w14:paraId="2DC4D503">
            <w:pPr>
              <w:spacing w:line="360" w:lineRule="auto"/>
              <w:rPr>
                <w:rFonts w:ascii="宋体" w:hAnsi="宋体" w:cs="宋体"/>
                <w:color w:val="auto"/>
                <w:szCs w:val="21"/>
                <w:highlight w:val="none"/>
              </w:rPr>
            </w:pPr>
            <w:r>
              <w:rPr>
                <w:rFonts w:hint="eastAsia" w:ascii="宋体" w:hAnsi="宋体" w:cs="宋体"/>
                <w:color w:val="auto"/>
                <w:szCs w:val="21"/>
                <w:highlight w:val="none"/>
              </w:rPr>
              <w:t>2.1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732C9CFE">
            <w:pPr>
              <w:spacing w:line="360" w:lineRule="auto"/>
              <w:rPr>
                <w:rFonts w:ascii="宋体" w:hAnsi="宋体" w:cs="宋体"/>
                <w:color w:val="auto"/>
                <w:szCs w:val="21"/>
                <w:highlight w:val="none"/>
              </w:rPr>
            </w:pPr>
            <w:r>
              <w:rPr>
                <w:rFonts w:hint="eastAsia" w:ascii="宋体" w:hAnsi="宋体" w:cs="宋体"/>
                <w:color w:val="auto"/>
                <w:szCs w:val="21"/>
                <w:highlight w:val="none"/>
              </w:rPr>
              <w:t>2.2对在“信用中国”网站（www.creditchina.gov.cn）、中国政府采购网（www.ccgp.gov.cn）被列入失信被执行人、重大税收违法失信主体、政府采购严重违法失信行为记录名单及其他不符合《中华人民共和国政府采购法》第二十二条规定条件的供应商，不得参与政府采购活动。</w:t>
            </w:r>
          </w:p>
        </w:tc>
      </w:tr>
      <w:tr w14:paraId="4C8AE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0BA5773">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5.1</w:t>
            </w:r>
          </w:p>
        </w:tc>
        <w:tc>
          <w:tcPr>
            <w:tcW w:w="7912" w:type="dxa"/>
            <w:tcBorders>
              <w:top w:val="single" w:color="000000" w:sz="4" w:space="0"/>
              <w:left w:val="single" w:color="000000" w:sz="4" w:space="0"/>
              <w:bottom w:val="single" w:color="000000" w:sz="4" w:space="0"/>
              <w:right w:val="single" w:color="000000" w:sz="4" w:space="0"/>
            </w:tcBorders>
            <w:vAlign w:val="center"/>
          </w:tcPr>
          <w:p w14:paraId="17B9C36D">
            <w:pPr>
              <w:spacing w:line="360" w:lineRule="auto"/>
              <w:rPr>
                <w:rFonts w:ascii="宋体" w:hAnsi="宋体" w:cs="宋体"/>
                <w:color w:val="auto"/>
                <w:szCs w:val="21"/>
                <w:highlight w:val="none"/>
              </w:rPr>
            </w:pPr>
            <w:r>
              <w:rPr>
                <w:rFonts w:hint="eastAsia" w:ascii="宋体" w:hAnsi="宋体" w:cs="宋体"/>
                <w:color w:val="auto"/>
                <w:szCs w:val="21"/>
                <w:highlight w:val="none"/>
              </w:rPr>
              <w:t>是否接受联合体竞标： 详见竞争性谈判公告</w:t>
            </w:r>
          </w:p>
        </w:tc>
      </w:tr>
      <w:tr w14:paraId="67703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08F0B17D">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r>
              <w:rPr>
                <w:rFonts w:ascii="宋体" w:hAnsi="宋体" w:cs="宋体"/>
                <w:color w:val="auto"/>
                <w:szCs w:val="21"/>
                <w:highlight w:val="none"/>
              </w:rPr>
              <w:t>.2</w:t>
            </w:r>
          </w:p>
        </w:tc>
        <w:tc>
          <w:tcPr>
            <w:tcW w:w="7912" w:type="dxa"/>
            <w:tcBorders>
              <w:top w:val="single" w:color="000000" w:sz="4" w:space="0"/>
              <w:left w:val="single" w:color="000000" w:sz="4" w:space="0"/>
              <w:bottom w:val="single" w:color="000000" w:sz="4" w:space="0"/>
              <w:right w:val="single" w:color="000000" w:sz="4" w:space="0"/>
            </w:tcBorders>
            <w:vAlign w:val="center"/>
          </w:tcPr>
          <w:p w14:paraId="14D5C195">
            <w:pPr>
              <w:spacing w:line="360" w:lineRule="auto"/>
              <w:rPr>
                <w:rFonts w:ascii="宋体" w:hAnsi="宋体" w:cs="宋体"/>
                <w:color w:val="auto"/>
                <w:szCs w:val="21"/>
                <w:highlight w:val="none"/>
              </w:rPr>
            </w:pPr>
            <w:r>
              <w:rPr>
                <w:rFonts w:hint="eastAsia" w:ascii="宋体" w:hAnsi="宋体"/>
                <w:color w:val="auto"/>
                <w:szCs w:val="21"/>
                <w:highlight w:val="none"/>
              </w:rPr>
              <w:t>如接受联合体竞标，联合体竞标要求如下：</w:t>
            </w:r>
            <w:r>
              <w:rPr>
                <w:rFonts w:hint="eastAsia" w:ascii="宋体" w:hAnsi="宋体" w:cs="宋体"/>
                <w:color w:val="auto"/>
                <w:szCs w:val="21"/>
                <w:highlight w:val="none"/>
              </w:rPr>
              <w:t>/</w:t>
            </w:r>
          </w:p>
        </w:tc>
      </w:tr>
      <w:tr w14:paraId="697F8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7A018CB">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6.2</w:t>
            </w:r>
          </w:p>
        </w:tc>
        <w:tc>
          <w:tcPr>
            <w:tcW w:w="7912" w:type="dxa"/>
            <w:tcBorders>
              <w:top w:val="single" w:color="000000" w:sz="4" w:space="0"/>
              <w:left w:val="single" w:color="000000" w:sz="4" w:space="0"/>
              <w:bottom w:val="single" w:color="000000" w:sz="4" w:space="0"/>
              <w:right w:val="single" w:color="000000" w:sz="4" w:space="0"/>
            </w:tcBorders>
            <w:vAlign w:val="center"/>
          </w:tcPr>
          <w:p w14:paraId="33E40E72">
            <w:pPr>
              <w:pStyle w:val="212"/>
              <w:spacing w:line="360" w:lineRule="auto"/>
              <w:rPr>
                <w:color w:val="auto"/>
                <w:highlight w:val="none"/>
              </w:rPr>
            </w:pPr>
            <w:r>
              <w:rPr>
                <w:rFonts w:hint="eastAsia"/>
                <w:color w:val="auto"/>
                <w:highlight w:val="none"/>
              </w:rPr>
              <w:t>☑不允许分包</w:t>
            </w:r>
          </w:p>
          <w:p w14:paraId="4F0AF811">
            <w:pPr>
              <w:pStyle w:val="212"/>
              <w:spacing w:line="360" w:lineRule="auto"/>
              <w:rPr>
                <w:color w:val="auto"/>
                <w:highlight w:val="none"/>
              </w:rPr>
            </w:pPr>
            <w:r>
              <w:rPr>
                <w:rFonts w:hint="eastAsia"/>
                <w:color w:val="auto"/>
                <w:highlight w:val="none"/>
              </w:rPr>
              <w:t>□允许分包</w:t>
            </w:r>
          </w:p>
          <w:p w14:paraId="72DB770B">
            <w:pPr>
              <w:pStyle w:val="212"/>
              <w:spacing w:line="360" w:lineRule="auto"/>
              <w:rPr>
                <w:color w:val="auto"/>
                <w:highlight w:val="none"/>
                <w:u w:val="single"/>
              </w:rPr>
            </w:pPr>
            <w:r>
              <w:rPr>
                <w:rFonts w:hint="eastAsia"/>
                <w:color w:val="auto"/>
                <w:highlight w:val="none"/>
              </w:rPr>
              <w:t>分包内容：</w:t>
            </w:r>
            <w:r>
              <w:rPr>
                <w:rFonts w:hint="eastAsia"/>
                <w:color w:val="auto"/>
                <w:highlight w:val="none"/>
                <w:u w:val="single"/>
              </w:rPr>
              <w:t xml:space="preserve"> / 。</w:t>
            </w:r>
          </w:p>
          <w:p w14:paraId="6872DD26">
            <w:pPr>
              <w:pStyle w:val="212"/>
              <w:spacing w:line="360" w:lineRule="auto"/>
              <w:rPr>
                <w:color w:val="auto"/>
                <w:highlight w:val="none"/>
                <w:u w:val="single"/>
              </w:rPr>
            </w:pPr>
            <w:r>
              <w:rPr>
                <w:rFonts w:hint="eastAsia"/>
                <w:color w:val="auto"/>
                <w:highlight w:val="none"/>
              </w:rPr>
              <w:t>分包金额或者比例：</w:t>
            </w:r>
            <w:r>
              <w:rPr>
                <w:rFonts w:hint="eastAsia"/>
                <w:color w:val="auto"/>
                <w:highlight w:val="none"/>
                <w:u w:val="single"/>
              </w:rPr>
              <w:t xml:space="preserve">  / 。</w:t>
            </w:r>
          </w:p>
          <w:p w14:paraId="199AFA43">
            <w:pPr>
              <w:pStyle w:val="212"/>
              <w:spacing w:line="360" w:lineRule="auto"/>
              <w:rPr>
                <w:color w:val="auto"/>
                <w:highlight w:val="none"/>
                <w:u w:val="single"/>
              </w:rPr>
            </w:pPr>
            <w:r>
              <w:rPr>
                <w:rFonts w:hint="eastAsia" w:ascii="宋体" w:hAnsi="宋体"/>
                <w:color w:val="auto"/>
                <w:szCs w:val="21"/>
                <w:highlight w:val="none"/>
              </w:rPr>
              <w:t>分包供应商必须具备的资质：</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 xml:space="preserve"> </w:t>
            </w:r>
            <w:r>
              <w:rPr>
                <w:rFonts w:hint="eastAsia" w:ascii="宋体" w:hAnsi="宋体"/>
                <w:color w:val="auto"/>
                <w:szCs w:val="21"/>
                <w:highlight w:val="none"/>
                <w:u w:val="single"/>
              </w:rPr>
              <w:t>。</w:t>
            </w:r>
          </w:p>
        </w:tc>
      </w:tr>
      <w:tr w14:paraId="4921A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D91F889">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7.1</w:t>
            </w:r>
          </w:p>
        </w:tc>
        <w:tc>
          <w:tcPr>
            <w:tcW w:w="7912" w:type="dxa"/>
            <w:tcBorders>
              <w:top w:val="single" w:color="000000" w:sz="4" w:space="0"/>
              <w:left w:val="single" w:color="000000" w:sz="4" w:space="0"/>
              <w:bottom w:val="single" w:color="000000" w:sz="4" w:space="0"/>
              <w:right w:val="single" w:color="000000" w:sz="4" w:space="0"/>
            </w:tcBorders>
            <w:vAlign w:val="center"/>
          </w:tcPr>
          <w:p w14:paraId="43F8909D">
            <w:pPr>
              <w:spacing w:line="360" w:lineRule="auto"/>
              <w:rPr>
                <w:rFonts w:ascii="宋体" w:hAnsi="宋体"/>
                <w:color w:val="auto"/>
                <w:szCs w:val="21"/>
                <w:highlight w:val="none"/>
              </w:rPr>
            </w:pPr>
            <w:r>
              <w:rPr>
                <w:rFonts w:hint="eastAsia" w:ascii="宋体" w:hAnsi="宋体"/>
                <w:color w:val="auto"/>
                <w:szCs w:val="21"/>
                <w:highlight w:val="none"/>
              </w:rPr>
              <w:t>提供相同品牌产品（非单一产品采购项目的，指核心产品）的不同供应商最后报价相同时，按照下列方式确定一个供应商获得成交人推荐资格：</w:t>
            </w:r>
          </w:p>
          <w:p w14:paraId="31D09FA4">
            <w:pPr>
              <w:spacing w:line="360" w:lineRule="auto"/>
              <w:rPr>
                <w:rFonts w:ascii="宋体" w:hAnsi="宋体"/>
                <w:color w:val="auto"/>
                <w:szCs w:val="21"/>
                <w:highlight w:val="none"/>
              </w:rPr>
            </w:pPr>
            <w:r>
              <w:rPr>
                <w:rFonts w:hint="eastAsia" w:ascii="宋体" w:hAnsi="宋体"/>
                <w:color w:val="auto"/>
                <w:szCs w:val="21"/>
                <w:highlight w:val="none"/>
              </w:rPr>
              <w:t>□随机抽取；</w:t>
            </w:r>
          </w:p>
          <w:p w14:paraId="2B8930CB">
            <w:pPr>
              <w:pStyle w:val="212"/>
              <w:spacing w:line="360" w:lineRule="auto"/>
              <w:rPr>
                <w:rFonts w:ascii="宋体" w:hAnsi="宋体"/>
                <w:color w:val="auto"/>
                <w:szCs w:val="21"/>
                <w:highlight w:val="none"/>
              </w:rPr>
            </w:pPr>
            <w:r>
              <w:rPr>
                <w:rFonts w:hint="eastAsia" w:ascii="宋体" w:hAnsi="宋体"/>
                <w:color w:val="auto"/>
                <w:szCs w:val="21"/>
                <w:highlight w:val="none"/>
              </w:rPr>
              <w:t>☑技术参数正偏离项数多的优先、均无正偏离或正偏离项数一致时负偏离项数少的优先、</w:t>
            </w:r>
            <w:r>
              <w:rPr>
                <w:rFonts w:hint="eastAsia" w:ascii="宋体" w:hAnsi="宋体"/>
                <w:color w:val="auto"/>
                <w:szCs w:val="21"/>
                <w:highlight w:val="none"/>
                <w:lang w:val="en-US" w:eastAsia="zh-CN"/>
              </w:rPr>
              <w:t>质保期</w:t>
            </w:r>
            <w:r>
              <w:rPr>
                <w:rFonts w:hint="eastAsia" w:ascii="宋体" w:hAnsi="宋体"/>
                <w:color w:val="auto"/>
                <w:szCs w:val="21"/>
                <w:highlight w:val="none"/>
              </w:rPr>
              <w:t>长优先、交付时间（交货期）短优先、响应时间短优先的顺序排列。</w:t>
            </w:r>
          </w:p>
        </w:tc>
      </w:tr>
      <w:tr w14:paraId="161C1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2B7FA157">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12.1</w:t>
            </w:r>
            <w:r>
              <w:rPr>
                <w:rFonts w:ascii="宋体" w:hAnsi="宋体" w:cs="宋体"/>
                <w:color w:val="auto"/>
                <w:szCs w:val="21"/>
                <w:highlight w:val="none"/>
              </w:rPr>
              <w:t>.1</w:t>
            </w:r>
          </w:p>
        </w:tc>
        <w:tc>
          <w:tcPr>
            <w:tcW w:w="7912" w:type="dxa"/>
            <w:tcBorders>
              <w:top w:val="single" w:color="000000" w:sz="4" w:space="0"/>
              <w:left w:val="single" w:color="000000" w:sz="4" w:space="0"/>
              <w:bottom w:val="single" w:color="000000" w:sz="4" w:space="0"/>
              <w:right w:val="single" w:color="000000" w:sz="4" w:space="0"/>
            </w:tcBorders>
            <w:vAlign w:val="center"/>
          </w:tcPr>
          <w:p w14:paraId="5A5D56B4">
            <w:pPr>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资格证明文件</w:t>
            </w:r>
          </w:p>
          <w:p w14:paraId="49D417E6">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1. 供应商为法人或者其他组织的提供其营业执照等证明文件（如营业执照或者事业单位法人证书或者执业许可证或者登记证书等），供应商为自然人的提供其身份证复印件；（</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68A5AA98">
            <w:pPr>
              <w:spacing w:line="360" w:lineRule="auto"/>
              <w:contextualSpacing/>
              <w:jc w:val="left"/>
              <w:rPr>
                <w:rFonts w:ascii="宋体" w:hAnsi="宋体" w:cs="宋体"/>
                <w:color w:val="auto"/>
                <w:szCs w:val="21"/>
                <w:highlight w:val="none"/>
              </w:rPr>
            </w:pPr>
            <w:r>
              <w:rPr>
                <w:rFonts w:hint="eastAsia" w:ascii="宋体" w:hAnsi="宋体" w:cs="宋体"/>
                <w:color w:val="auto"/>
                <w:szCs w:val="21"/>
                <w:highlight w:val="none"/>
              </w:rPr>
              <w:t>2. 供应商依法缴纳税收的相关材料（</w:t>
            </w:r>
            <w:r>
              <w:rPr>
                <w:color w:val="auto"/>
                <w:highlight w:val="none"/>
              </w:rPr>
              <w:t>202</w:t>
            </w:r>
            <w:r>
              <w:rPr>
                <w:rFonts w:hint="eastAsia"/>
                <w:color w:val="auto"/>
                <w:highlight w:val="none"/>
              </w:rPr>
              <w:t>6</w:t>
            </w:r>
            <w:r>
              <w:rPr>
                <w:color w:val="auto"/>
                <w:highlight w:val="none"/>
              </w:rPr>
              <w:t>年</w:t>
            </w:r>
            <w:r>
              <w:rPr>
                <w:rFonts w:hint="eastAsia"/>
                <w:color w:val="auto"/>
                <w:highlight w:val="none"/>
              </w:rPr>
              <w:t>1</w:t>
            </w:r>
            <w:r>
              <w:rPr>
                <w:color w:val="auto"/>
                <w:highlight w:val="none"/>
              </w:rPr>
              <w:t>月</w:t>
            </w:r>
            <w:r>
              <w:rPr>
                <w:rFonts w:hint="eastAsia" w:ascii="宋体" w:hAnsi="宋体" w:cs="宋体"/>
                <w:color w:val="auto"/>
                <w:szCs w:val="21"/>
                <w:highlight w:val="none"/>
              </w:rPr>
              <w:t>至</w:t>
            </w:r>
            <w:r>
              <w:rPr>
                <w:rFonts w:hint="eastAsia" w:ascii="宋体" w:hAnsi="宋体" w:cs="宋体"/>
                <w:color w:val="auto"/>
                <w:szCs w:val="21"/>
                <w:highlight w:val="none"/>
                <w:u w:val="single"/>
              </w:rPr>
              <w:t>响应文件提交截止时间</w:t>
            </w:r>
            <w:r>
              <w:rPr>
                <w:rFonts w:hint="eastAsia" w:ascii="宋体" w:hAnsi="宋体" w:cs="宋体"/>
                <w:color w:val="auto"/>
                <w:szCs w:val="21"/>
                <w:highlight w:val="none"/>
              </w:rPr>
              <w:t>内任意</w:t>
            </w:r>
            <w:r>
              <w:rPr>
                <w:rFonts w:hint="eastAsia" w:ascii="宋体" w:hAnsi="宋体" w:cs="宋体"/>
                <w:color w:val="auto"/>
                <w:szCs w:val="21"/>
                <w:highlight w:val="none"/>
                <w:u w:val="single"/>
              </w:rPr>
              <w:t>1</w:t>
            </w:r>
            <w:r>
              <w:rPr>
                <w:rFonts w:hint="eastAsia" w:ascii="宋体" w:hAnsi="宋体" w:cs="宋体"/>
                <w:color w:val="auto"/>
                <w:szCs w:val="21"/>
                <w:highlight w:val="none"/>
              </w:rPr>
              <w:t>个月的依法缴纳税收的凭据复印件；</w:t>
            </w:r>
            <w:r>
              <w:rPr>
                <w:rFonts w:hint="eastAsia"/>
                <w:color w:val="auto"/>
                <w:highlight w:val="none"/>
              </w:rPr>
              <w:t>依法免税的，必须提供相应文件证明其依法免税。</w:t>
            </w:r>
            <w:r>
              <w:rPr>
                <w:rFonts w:hint="eastAsia" w:ascii="宋体" w:hAnsi="宋体" w:cs="宋体"/>
                <w:color w:val="auto"/>
                <w:szCs w:val="21"/>
                <w:highlight w:val="none"/>
              </w:rPr>
              <w:t>从</w:t>
            </w:r>
            <w:r>
              <w:rPr>
                <w:color w:val="auto"/>
                <w:szCs w:val="21"/>
                <w:highlight w:val="none"/>
              </w:rPr>
              <w:t>成立</w:t>
            </w:r>
            <w:r>
              <w:rPr>
                <w:rFonts w:hint="eastAsia"/>
                <w:color w:val="auto"/>
                <w:szCs w:val="21"/>
                <w:highlight w:val="none"/>
              </w:rPr>
              <w:t>之日起</w:t>
            </w:r>
            <w:r>
              <w:rPr>
                <w:rFonts w:hint="eastAsia" w:ascii="宋体" w:hAnsi="宋体" w:cs="宋体"/>
                <w:color w:val="auto"/>
                <w:szCs w:val="21"/>
                <w:highlight w:val="none"/>
              </w:rPr>
              <w:t>到响应文件提交截止时间止不足要求月数的，则不须提供）；（</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368E7378">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3. 供应商依法缴纳社会保障资金的相关材料（2026年1月至</w:t>
            </w:r>
            <w:r>
              <w:rPr>
                <w:rFonts w:hint="eastAsia" w:ascii="宋体" w:hAnsi="宋体" w:cs="宋体"/>
                <w:color w:val="auto"/>
                <w:szCs w:val="21"/>
                <w:highlight w:val="none"/>
                <w:u w:val="single"/>
              </w:rPr>
              <w:t>响应文件提交截止时间</w:t>
            </w:r>
            <w:r>
              <w:rPr>
                <w:rFonts w:hint="eastAsia" w:ascii="宋体" w:hAnsi="宋体" w:cs="宋体"/>
                <w:color w:val="auto"/>
                <w:szCs w:val="21"/>
                <w:highlight w:val="none"/>
              </w:rPr>
              <w:t>内任意</w:t>
            </w:r>
            <w:r>
              <w:rPr>
                <w:rFonts w:hint="eastAsia" w:ascii="宋体" w:hAnsi="宋体" w:cs="宋体"/>
                <w:color w:val="auto"/>
                <w:szCs w:val="21"/>
                <w:highlight w:val="none"/>
                <w:u w:val="single"/>
              </w:rPr>
              <w:t xml:space="preserve"> 1 </w:t>
            </w:r>
            <w:r>
              <w:rPr>
                <w:rFonts w:hint="eastAsia" w:ascii="宋体" w:hAnsi="宋体" w:cs="宋体"/>
                <w:color w:val="auto"/>
                <w:szCs w:val="21"/>
                <w:highlight w:val="none"/>
              </w:rPr>
              <w:t>个月的依法缴纳社会保障资金的缴费凭证（</w:t>
            </w:r>
            <w:r>
              <w:rPr>
                <w:rFonts w:hint="eastAsia"/>
                <w:color w:val="auto"/>
                <w:highlight w:val="none"/>
              </w:rPr>
              <w:t>如：</w:t>
            </w:r>
            <w:r>
              <w:rPr>
                <w:rFonts w:hint="eastAsia" w:ascii="宋体" w:hAnsi="宋体" w:cs="宋体"/>
                <w:color w:val="auto"/>
                <w:szCs w:val="21"/>
                <w:highlight w:val="none"/>
              </w:rPr>
              <w:t>专用收据、社会保险缴纳清单或者社保部门的证明）复印件；</w:t>
            </w:r>
            <w:r>
              <w:rPr>
                <w:rFonts w:hint="eastAsia"/>
                <w:color w:val="auto"/>
                <w:highlight w:val="none"/>
              </w:rPr>
              <w:t>依法不需要缴纳社会保障资金的，必须提供相应文件证明不需要缴纳社会保障资金。</w:t>
            </w:r>
            <w:r>
              <w:rPr>
                <w:rFonts w:hint="eastAsia" w:ascii="宋体" w:hAnsi="宋体" w:cs="宋体"/>
                <w:color w:val="auto"/>
                <w:szCs w:val="21"/>
                <w:highlight w:val="none"/>
              </w:rPr>
              <w:t>从</w:t>
            </w:r>
            <w:r>
              <w:rPr>
                <w:rFonts w:hint="eastAsia"/>
                <w:color w:val="auto"/>
                <w:szCs w:val="21"/>
                <w:highlight w:val="none"/>
              </w:rPr>
              <w:t>成立之日起</w:t>
            </w:r>
            <w:r>
              <w:rPr>
                <w:rFonts w:hint="eastAsia" w:ascii="宋体" w:hAnsi="宋体" w:cs="宋体"/>
                <w:color w:val="auto"/>
                <w:szCs w:val="21"/>
                <w:highlight w:val="none"/>
              </w:rPr>
              <w:t>到响应文件提交截止时间止不足要求月数的则不须提供；（</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11F08BCD">
            <w:pPr>
              <w:spacing w:line="360" w:lineRule="auto"/>
              <w:contextualSpacing/>
              <w:jc w:val="left"/>
              <w:rPr>
                <w:rFonts w:ascii="宋体" w:hAnsi="宋体" w:cs="宋体"/>
                <w:b/>
                <w:color w:val="auto"/>
                <w:szCs w:val="21"/>
                <w:highlight w:val="none"/>
              </w:rPr>
            </w:pPr>
            <w:r>
              <w:rPr>
                <w:rFonts w:hint="eastAsia" w:ascii="宋体" w:hAnsi="宋体" w:cs="宋体"/>
                <w:color w:val="auto"/>
                <w:szCs w:val="21"/>
                <w:highlight w:val="none"/>
              </w:rPr>
              <w:t>4. 供应商</w:t>
            </w:r>
            <w:r>
              <w:rPr>
                <w:rFonts w:hint="eastAsia"/>
                <w:color w:val="auto"/>
                <w:szCs w:val="21"/>
                <w:highlight w:val="none"/>
              </w:rPr>
              <w:t>财务状况报告（2025年度财务报表复印件，或者银行出具的资信证明，或者中国人民银行征信中心出具的信用报告（企业竞标的提供企业信用报告，自然人竞标的提供个人信用报告）；供应商属于</w:t>
            </w:r>
            <w:r>
              <w:rPr>
                <w:rFonts w:hint="eastAsia"/>
                <w:color w:val="auto"/>
                <w:highlight w:val="none"/>
              </w:rPr>
              <w:t>成立</w:t>
            </w:r>
            <w:r>
              <w:rPr>
                <w:color w:val="auto"/>
                <w:highlight w:val="none"/>
              </w:rPr>
              <w:t>时间</w:t>
            </w:r>
            <w:r>
              <w:rPr>
                <w:rFonts w:hint="eastAsia"/>
                <w:color w:val="auto"/>
                <w:highlight w:val="none"/>
              </w:rPr>
              <w:t>在规定年度之后</w:t>
            </w:r>
            <w:r>
              <w:rPr>
                <w:color w:val="auto"/>
                <w:highlight w:val="none"/>
              </w:rPr>
              <w:t>的</w:t>
            </w:r>
            <w:r>
              <w:rPr>
                <w:rFonts w:hint="eastAsia"/>
                <w:color w:val="auto"/>
                <w:szCs w:val="21"/>
                <w:highlight w:val="none"/>
              </w:rPr>
              <w:t>法人或其他组织</w:t>
            </w:r>
            <w:r>
              <w:rPr>
                <w:color w:val="auto"/>
                <w:highlight w:val="none"/>
              </w:rPr>
              <w:t>，需提供成立</w:t>
            </w:r>
            <w:r>
              <w:rPr>
                <w:rFonts w:hint="eastAsia"/>
                <w:color w:val="auto"/>
                <w:highlight w:val="none"/>
              </w:rPr>
              <w:t>之日起至响应文件提交截止时间前</w:t>
            </w:r>
            <w:r>
              <w:rPr>
                <w:color w:val="auto"/>
                <w:highlight w:val="none"/>
              </w:rPr>
              <w:t>的月报表</w:t>
            </w:r>
            <w:r>
              <w:rPr>
                <w:rFonts w:hint="eastAsia"/>
                <w:color w:val="auto"/>
                <w:szCs w:val="21"/>
                <w:highlight w:val="none"/>
              </w:rPr>
              <w:t>或银行出具的资信证明或者中国人民银行征信中心出具的企业信用报告；资信证明应在有效期内，未注明有效期的，银行出具时间至响应文件提交截止时间不超过一年）</w:t>
            </w:r>
            <w:r>
              <w:rPr>
                <w:rFonts w:hint="eastAsia" w:ascii="宋体" w:hAnsi="宋体" w:cs="宋体"/>
                <w:color w:val="auto"/>
                <w:szCs w:val="21"/>
                <w:highlight w:val="none"/>
              </w:rPr>
              <w:t>；</w:t>
            </w:r>
            <w:r>
              <w:rPr>
                <w:rFonts w:hint="eastAsia" w:ascii="宋体" w:hAnsi="宋体" w:cs="宋体"/>
                <w:bCs/>
                <w:color w:val="auto"/>
                <w:szCs w:val="21"/>
                <w:highlight w:val="none"/>
              </w:rPr>
              <w:t>（</w:t>
            </w:r>
            <w:r>
              <w:rPr>
                <w:rFonts w:hint="eastAsia" w:ascii="宋体" w:hAnsi="宋体"/>
                <w:b/>
                <w:color w:val="auto"/>
                <w:szCs w:val="21"/>
                <w:highlight w:val="none"/>
              </w:rPr>
              <w:t>必须提供</w:t>
            </w:r>
            <w:r>
              <w:rPr>
                <w:rFonts w:hint="eastAsia" w:ascii="宋体" w:hAnsi="宋体" w:cs="宋体"/>
                <w:b/>
                <w:color w:val="auto"/>
                <w:szCs w:val="21"/>
                <w:highlight w:val="none"/>
              </w:rPr>
              <w:t>，否则响应文件按无效响应处理</w:t>
            </w:r>
            <w:r>
              <w:rPr>
                <w:rFonts w:hint="eastAsia" w:ascii="宋体" w:hAnsi="宋体" w:cs="宋体"/>
                <w:bCs/>
                <w:color w:val="auto"/>
                <w:szCs w:val="21"/>
                <w:highlight w:val="none"/>
              </w:rPr>
              <w:t>）</w:t>
            </w:r>
          </w:p>
          <w:p w14:paraId="542FFCB5">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5.供应商直接控股股东信息表（格式后附）；（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4FFE7F4C">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6.供应商直接管理关系信息表（格式后附）；（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716674C0">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7.竞标声明（格式后附）；（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65C2469C">
            <w:pPr>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.本项目特定资格：</w:t>
            </w:r>
            <w:r>
              <w:rPr>
                <w:rFonts w:hint="eastAsia" w:ascii="宋体" w:hAnsi="宋体"/>
                <w:color w:val="auto"/>
                <w:szCs w:val="21"/>
                <w:highlight w:val="none"/>
              </w:rPr>
              <w:t>供应商按《医疗器械监督管理条例》（国务院令第739号）医疗器械分类管理要求具备有效的医疗器械经营备案凭证或者经营许可证，且经营范围必须包含采购标的[符合《医疗器械监督管理条例》第四十一条第二款规定的除外]；或者供应商具有《医疗器械监督管理条例》第四十三条规定的注册凭证。</w:t>
            </w:r>
            <w:r>
              <w:rPr>
                <w:rFonts w:hint="eastAsia" w:ascii="宋体" w:hAnsi="宋体" w:cs="宋体"/>
                <w:color w:val="auto"/>
                <w:szCs w:val="21"/>
                <w:highlight w:val="none"/>
              </w:rPr>
              <w:t>（</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691BBCAB">
            <w:pPr>
              <w:spacing w:line="360" w:lineRule="auto"/>
              <w:jc w:val="left"/>
              <w:rPr>
                <w:rFonts w:ascii="宋体" w:hAnsi="宋体"/>
                <w:i/>
                <w:color w:val="auto"/>
                <w:szCs w:val="21"/>
                <w:highlight w:val="none"/>
              </w:rPr>
            </w:pPr>
            <w:r>
              <w:rPr>
                <w:rFonts w:hint="eastAsia" w:ascii="宋体" w:hAnsi="宋体"/>
                <w:color w:val="auto"/>
                <w:szCs w:val="21"/>
                <w:highlight w:val="none"/>
                <w:lang w:val="en-US" w:eastAsia="zh-CN"/>
              </w:rPr>
              <w:t>9</w:t>
            </w:r>
            <w:r>
              <w:rPr>
                <w:rFonts w:hint="eastAsia" w:ascii="宋体" w:hAnsi="宋体" w:cs="宋体"/>
                <w:color w:val="auto"/>
                <w:szCs w:val="21"/>
                <w:highlight w:val="none"/>
              </w:rPr>
              <w:t>.除谈判文件规定必须提供以外，供应商认为需要提供的其他证明材料；</w:t>
            </w:r>
          </w:p>
          <w:p w14:paraId="6821CF79">
            <w:pPr>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注：</w:t>
            </w:r>
          </w:p>
          <w:p w14:paraId="74214F9D">
            <w:pPr>
              <w:spacing w:line="360" w:lineRule="auto"/>
              <w:ind w:firstLine="413"/>
              <w:jc w:val="left"/>
              <w:rPr>
                <w:rFonts w:ascii="宋体" w:hAnsi="宋体" w:cs="宋体"/>
                <w:b/>
                <w:color w:val="auto"/>
                <w:szCs w:val="21"/>
                <w:highlight w:val="none"/>
              </w:rPr>
            </w:pPr>
            <w:r>
              <w:rPr>
                <w:rFonts w:hint="eastAsia" w:ascii="宋体" w:hAnsi="宋体" w:cs="宋体"/>
                <w:b/>
                <w:color w:val="auto"/>
                <w:szCs w:val="21"/>
                <w:highlight w:val="none"/>
              </w:rPr>
              <w:t>1.以上标明“必须提供”的材料属于复印件的，必须加盖供应商</w:t>
            </w:r>
            <w:r>
              <w:rPr>
                <w:rFonts w:hint="eastAsia"/>
                <w:b/>
                <w:color w:val="auto"/>
                <w:highlight w:val="none"/>
              </w:rPr>
              <w:t>电子签章</w:t>
            </w:r>
            <w:r>
              <w:rPr>
                <w:rFonts w:hint="eastAsia" w:ascii="宋体" w:hAnsi="宋体" w:cs="宋体"/>
                <w:b/>
                <w:color w:val="auto"/>
                <w:szCs w:val="21"/>
                <w:highlight w:val="none"/>
              </w:rPr>
              <w:t>，否则响应文件按无效响应处理。</w:t>
            </w:r>
          </w:p>
          <w:p w14:paraId="3CF82123">
            <w:pPr>
              <w:spacing w:line="360" w:lineRule="auto"/>
              <w:ind w:firstLine="422"/>
              <w:jc w:val="left"/>
              <w:rPr>
                <w:rFonts w:ascii="宋体" w:hAnsi="宋体" w:cs="宋体"/>
                <w:b/>
                <w:color w:val="auto"/>
                <w:szCs w:val="21"/>
                <w:highlight w:val="none"/>
              </w:rPr>
            </w:pPr>
            <w:r>
              <w:rPr>
                <w:rFonts w:hint="eastAsia" w:ascii="宋体" w:hAnsi="宋体" w:cs="宋体"/>
                <w:b/>
                <w:color w:val="auto"/>
                <w:szCs w:val="21"/>
                <w:highlight w:val="none"/>
              </w:rPr>
              <w:t>2.联合体竞标时，第1-6项资格证明文件联合体各方均必须分别提供，</w:t>
            </w:r>
            <w:r>
              <w:rPr>
                <w:rFonts w:hint="eastAsia"/>
                <w:b/>
                <w:color w:val="auto"/>
                <w:highlight w:val="none"/>
              </w:rPr>
              <w:t>并由</w:t>
            </w:r>
            <w:r>
              <w:rPr>
                <w:rFonts w:hint="eastAsia" w:ascii="宋体" w:hAnsi="宋体" w:cs="宋体"/>
                <w:b/>
                <w:color w:val="auto"/>
                <w:szCs w:val="21"/>
                <w:highlight w:val="none"/>
              </w:rPr>
              <w:t>联合体</w:t>
            </w:r>
            <w:r>
              <w:rPr>
                <w:rFonts w:hint="eastAsia"/>
                <w:b/>
                <w:color w:val="auto"/>
                <w:highlight w:val="none"/>
              </w:rPr>
              <w:t>牵头人加盖电子签章</w:t>
            </w:r>
            <w:r>
              <w:rPr>
                <w:rFonts w:hint="eastAsia" w:ascii="宋体" w:hAnsi="宋体" w:cs="宋体"/>
                <w:b/>
                <w:color w:val="auto"/>
                <w:szCs w:val="21"/>
                <w:highlight w:val="none"/>
              </w:rPr>
              <w:t>，</w:t>
            </w:r>
            <w:r>
              <w:rPr>
                <w:rFonts w:hint="eastAsia"/>
                <w:b/>
                <w:color w:val="auto"/>
                <w:highlight w:val="none"/>
              </w:rPr>
              <w:t>规定签字</w:t>
            </w:r>
            <w:r>
              <w:rPr>
                <w:rFonts w:hint="eastAsia" w:ascii="宋体" w:hAnsi="宋体" w:cs="宋体"/>
                <w:b/>
                <w:color w:val="auto"/>
                <w:szCs w:val="21"/>
                <w:highlight w:val="none"/>
              </w:rPr>
              <w:t>处签字</w:t>
            </w:r>
            <w:r>
              <w:rPr>
                <w:rFonts w:hint="eastAsia" w:ascii="宋体" w:hAnsi="宋体"/>
                <w:b/>
                <w:bCs/>
                <w:color w:val="auto"/>
                <w:szCs w:val="21"/>
                <w:highlight w:val="none"/>
              </w:rPr>
              <w:t>（或者电子签名）</w:t>
            </w:r>
            <w:r>
              <w:rPr>
                <w:rFonts w:hint="eastAsia" w:ascii="宋体" w:hAnsi="宋体" w:cs="宋体"/>
                <w:b/>
                <w:color w:val="auto"/>
                <w:szCs w:val="21"/>
                <w:highlight w:val="none"/>
              </w:rPr>
              <w:t>，否则响应文件按无效响应处理。</w:t>
            </w:r>
          </w:p>
        </w:tc>
      </w:tr>
      <w:tr w14:paraId="1E427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E17BE65">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12.1.2</w:t>
            </w:r>
          </w:p>
        </w:tc>
        <w:tc>
          <w:tcPr>
            <w:tcW w:w="7912" w:type="dxa"/>
            <w:tcBorders>
              <w:top w:val="single" w:color="000000" w:sz="4" w:space="0"/>
              <w:left w:val="single" w:color="000000" w:sz="4" w:space="0"/>
              <w:bottom w:val="single" w:color="000000" w:sz="4" w:space="0"/>
              <w:right w:val="single" w:color="000000" w:sz="4" w:space="0"/>
            </w:tcBorders>
            <w:vAlign w:val="center"/>
          </w:tcPr>
          <w:p w14:paraId="7FF012DC">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报价文件</w:t>
            </w:r>
          </w:p>
          <w:p w14:paraId="381090E3">
            <w:pPr>
              <w:spacing w:line="360" w:lineRule="auto"/>
              <w:rPr>
                <w:rFonts w:ascii="宋体" w:hAnsi="宋体" w:cs="宋体"/>
                <w:color w:val="auto"/>
                <w:szCs w:val="21"/>
                <w:highlight w:val="none"/>
              </w:rPr>
            </w:pPr>
            <w:r>
              <w:rPr>
                <w:rFonts w:hint="eastAsia" w:ascii="宋体" w:hAnsi="宋体" w:cs="宋体"/>
                <w:color w:val="auto"/>
                <w:szCs w:val="21"/>
                <w:highlight w:val="none"/>
              </w:rPr>
              <w:t>1.竞标报价表（格式后附）；（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6E931DD1">
            <w:pPr>
              <w:spacing w:line="360" w:lineRule="auto"/>
              <w:rPr>
                <w:rFonts w:hint="eastAsia" w:ascii="宋体" w:hAnsi="宋体"/>
                <w:color w:val="auto"/>
                <w:szCs w:val="21"/>
                <w:highlight w:val="none"/>
              </w:rPr>
            </w:pPr>
            <w:bookmarkStart w:id="62" w:name="OLE_LINK8"/>
            <w:bookmarkStart w:id="63" w:name="OLE_LINK7"/>
            <w:r>
              <w:rPr>
                <w:rFonts w:hint="eastAsia" w:ascii="宋体" w:hAnsi="宋体" w:cs="宋体"/>
                <w:color w:val="auto"/>
                <w:szCs w:val="21"/>
                <w:highlight w:val="none"/>
              </w:rPr>
              <w:t>2</w:t>
            </w:r>
            <w:r>
              <w:rPr>
                <w:rFonts w:ascii="宋体" w:hAnsi="宋体" w:cs="宋体"/>
                <w:color w:val="auto"/>
                <w:szCs w:val="21"/>
                <w:highlight w:val="none"/>
              </w:rPr>
              <w:t>.</w:t>
            </w:r>
            <w:r>
              <w:rPr>
                <w:rFonts w:hint="eastAsia" w:ascii="宋体" w:hAnsi="宋体"/>
                <w:color w:val="auto"/>
                <w:szCs w:val="21"/>
                <w:highlight w:val="none"/>
              </w:rPr>
              <w:t xml:space="preserve"> 《关于符合本国产品标准的声明函》或者财政部会同有关部门规定的有关证明文件；（供应商根据自身响应情况出具）</w:t>
            </w:r>
          </w:p>
          <w:p w14:paraId="3140B0E2">
            <w:pPr>
              <w:tabs>
                <w:tab w:val="left" w:pos="459"/>
              </w:tabs>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.供应商享受中小企业扶持政策的材料（供应商根据自身响应情况，提供以下任意一项材料以证明自身可享受中小企业扶持政策）：</w:t>
            </w:r>
          </w:p>
          <w:p w14:paraId="19CE9F7A">
            <w:pPr>
              <w:tabs>
                <w:tab w:val="left" w:pos="459"/>
              </w:tabs>
              <w:snapToGrid w:val="0"/>
              <w:spacing w:line="360" w:lineRule="auto"/>
              <w:jc w:val="left"/>
              <w:rPr>
                <w:rFonts w:hint="eastAsia" w:ascii="宋体" w:hAnsi="宋体"/>
                <w:color w:val="auto"/>
                <w:szCs w:val="21"/>
                <w:highlight w:val="none"/>
              </w:rPr>
            </w:pPr>
            <w:r>
              <w:rPr>
                <w:rFonts w:hint="eastAsia" w:ascii="宋体" w:hAnsi="宋体"/>
                <w:color w:val="auto"/>
                <w:szCs w:val="21"/>
                <w:highlight w:val="none"/>
              </w:rPr>
              <w:t>（1）《中小企业声明函》（格式后附）；</w:t>
            </w:r>
          </w:p>
          <w:p w14:paraId="26C8C8D7">
            <w:pPr>
              <w:tabs>
                <w:tab w:val="left" w:pos="459"/>
              </w:tabs>
              <w:snapToGrid w:val="0"/>
              <w:spacing w:line="360" w:lineRule="auto"/>
              <w:jc w:val="left"/>
              <w:rPr>
                <w:rFonts w:hint="eastAsia" w:ascii="宋体" w:hAnsi="宋体" w:eastAsia="宋体"/>
                <w:color w:val="auto"/>
                <w:szCs w:val="21"/>
                <w:highlight w:val="none"/>
                <w:lang w:eastAsia="zh-CN"/>
              </w:rPr>
            </w:pPr>
            <w:r>
              <w:rPr>
                <w:rFonts w:hint="eastAsia" w:ascii="宋体" w:hAnsi="宋体"/>
                <w:color w:val="auto"/>
                <w:szCs w:val="21"/>
                <w:highlight w:val="none"/>
              </w:rPr>
              <w:t>（2）《残疾人福利性单位声明函》（格式后附）</w:t>
            </w:r>
            <w:r>
              <w:rPr>
                <w:rFonts w:hint="eastAsia" w:ascii="宋体" w:hAnsi="宋体"/>
                <w:color w:val="auto"/>
                <w:szCs w:val="21"/>
                <w:highlight w:val="none"/>
                <w:lang w:eastAsia="zh-CN"/>
              </w:rPr>
              <w:t>；</w:t>
            </w:r>
          </w:p>
          <w:p w14:paraId="7FCD9873">
            <w:pPr>
              <w:tabs>
                <w:tab w:val="left" w:pos="459"/>
              </w:tabs>
              <w:snapToGrid w:val="0"/>
              <w:spacing w:line="360" w:lineRule="auto"/>
              <w:jc w:val="left"/>
              <w:rPr>
                <w:rFonts w:hint="eastAsia" w:eastAsia="宋体"/>
                <w:color w:val="auto"/>
                <w:highlight w:val="none"/>
                <w:lang w:eastAsia="zh-CN"/>
              </w:rPr>
            </w:pPr>
            <w:r>
              <w:rPr>
                <w:rFonts w:hint="eastAsia" w:ascii="宋体" w:hAnsi="宋体"/>
                <w:color w:val="auto"/>
                <w:szCs w:val="21"/>
                <w:highlight w:val="none"/>
              </w:rPr>
              <w:t>（3）省级以上监狱管理局、戒毒管理局(含新疆生产建设兵团)出具的属于监狱企业的证明文件</w:t>
            </w:r>
            <w:r>
              <w:rPr>
                <w:rFonts w:hint="eastAsia" w:ascii="宋体" w:hAnsi="宋体"/>
                <w:color w:val="auto"/>
                <w:szCs w:val="21"/>
                <w:highlight w:val="none"/>
                <w:lang w:eastAsia="zh-CN"/>
              </w:rPr>
              <w:t>。</w:t>
            </w:r>
          </w:p>
          <w:p w14:paraId="1CEBD476">
            <w:pPr>
              <w:spacing w:line="360" w:lineRule="auto"/>
              <w:rPr>
                <w:rFonts w:ascii="宋体" w:hAnsi="宋体" w:cs="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w:t>
            </w:r>
            <w:bookmarkEnd w:id="62"/>
            <w:r>
              <w:rPr>
                <w:rFonts w:hint="eastAsia" w:ascii="宋体" w:hAnsi="宋体" w:cs="宋体"/>
                <w:color w:val="auto"/>
                <w:szCs w:val="21"/>
                <w:highlight w:val="none"/>
              </w:rPr>
              <w:t>供应商认为需要提供的其他有关资料。</w:t>
            </w:r>
            <w:bookmarkEnd w:id="63"/>
          </w:p>
        </w:tc>
      </w:tr>
      <w:tr w14:paraId="04261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7F4E64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12.</w:t>
            </w:r>
            <w:r>
              <w:rPr>
                <w:rFonts w:ascii="宋体" w:hAnsi="宋体" w:cs="宋体"/>
                <w:color w:val="auto"/>
                <w:szCs w:val="21"/>
                <w:highlight w:val="none"/>
              </w:rPr>
              <w:t>1.</w:t>
            </w:r>
            <w:r>
              <w:rPr>
                <w:rFonts w:hint="eastAsia" w:ascii="宋体" w:hAnsi="宋体" w:cs="宋体"/>
                <w:color w:val="auto"/>
                <w:szCs w:val="21"/>
                <w:highlight w:val="none"/>
              </w:rPr>
              <w:t>3</w:t>
            </w:r>
          </w:p>
        </w:tc>
        <w:tc>
          <w:tcPr>
            <w:tcW w:w="7912" w:type="dxa"/>
            <w:tcBorders>
              <w:top w:val="single" w:color="000000" w:sz="4" w:space="0"/>
              <w:left w:val="single" w:color="000000" w:sz="4" w:space="0"/>
              <w:bottom w:val="single" w:color="000000" w:sz="4" w:space="0"/>
              <w:right w:val="single" w:color="000000" w:sz="4" w:space="0"/>
            </w:tcBorders>
            <w:vAlign w:val="center"/>
          </w:tcPr>
          <w:p w14:paraId="09323CFC">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商务技术文件</w:t>
            </w:r>
          </w:p>
          <w:p w14:paraId="675A3C47">
            <w:pPr>
              <w:spacing w:line="360" w:lineRule="auto"/>
              <w:rPr>
                <w:rFonts w:ascii="宋体" w:hAnsi="宋体" w:cs="宋体"/>
                <w:color w:val="auto"/>
                <w:szCs w:val="21"/>
                <w:highlight w:val="none"/>
              </w:rPr>
            </w:pPr>
            <w:r>
              <w:rPr>
                <w:rFonts w:hint="eastAsia" w:ascii="宋体" w:hAnsi="宋体" w:cs="宋体"/>
                <w:color w:val="auto"/>
                <w:szCs w:val="21"/>
                <w:highlight w:val="none"/>
              </w:rPr>
              <w:t>1.无串通竞标行为的承诺函（格式后附）；（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0BC75A7F">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2.法定代表人身份证明书及法定代表人有效身份证正反面复印件（格式后附）；（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79E7606C">
            <w:pPr>
              <w:spacing w:line="360" w:lineRule="auto"/>
              <w:rPr>
                <w:rFonts w:ascii="宋体" w:hAnsi="宋体" w:cs="宋体"/>
                <w:b/>
                <w:color w:val="auto"/>
                <w:szCs w:val="21"/>
                <w:highlight w:val="none"/>
              </w:rPr>
            </w:pPr>
            <w:r>
              <w:rPr>
                <w:rFonts w:hint="eastAsia" w:ascii="宋体" w:hAnsi="宋体" w:cs="宋体"/>
                <w:color w:val="auto"/>
                <w:szCs w:val="21"/>
                <w:highlight w:val="none"/>
              </w:rPr>
              <w:t>3.授权委托书及委托代理人有效身份证正反面复印件（格式后附）；（</w:t>
            </w:r>
            <w:r>
              <w:rPr>
                <w:rFonts w:hint="eastAsia" w:ascii="宋体" w:hAnsi="宋体" w:cs="宋体"/>
                <w:b/>
                <w:color w:val="auto"/>
                <w:szCs w:val="21"/>
                <w:highlight w:val="none"/>
              </w:rPr>
              <w:t>委托时必须提供，否则响应文件按无效响应处理</w:t>
            </w:r>
            <w:r>
              <w:rPr>
                <w:rFonts w:hint="eastAsia" w:ascii="宋体" w:hAnsi="宋体" w:cs="宋体"/>
                <w:color w:val="auto"/>
                <w:szCs w:val="21"/>
                <w:highlight w:val="none"/>
              </w:rPr>
              <w:t>）</w:t>
            </w:r>
          </w:p>
          <w:p w14:paraId="3C6B0878">
            <w:pPr>
              <w:spacing w:line="360" w:lineRule="auto"/>
              <w:rPr>
                <w:rFonts w:ascii="宋体" w:hAnsi="宋体" w:cs="宋体"/>
                <w:color w:val="auto"/>
                <w:szCs w:val="21"/>
                <w:highlight w:val="none"/>
              </w:rPr>
            </w:pPr>
            <w:r>
              <w:rPr>
                <w:rFonts w:hint="eastAsia" w:ascii="宋体" w:hAnsi="宋体" w:cs="宋体"/>
                <w:color w:val="auto"/>
                <w:szCs w:val="21"/>
                <w:highlight w:val="none"/>
              </w:rPr>
              <w:t>4.竞标保证金提交凭证；（</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7130B989">
            <w:pPr>
              <w:spacing w:line="360" w:lineRule="auto"/>
              <w:rPr>
                <w:rFonts w:ascii="宋体" w:hAnsi="宋体" w:cs="宋体"/>
                <w:color w:val="auto"/>
                <w:szCs w:val="21"/>
                <w:highlight w:val="none"/>
              </w:rPr>
            </w:pPr>
            <w:r>
              <w:rPr>
                <w:rFonts w:hint="eastAsia" w:ascii="宋体" w:hAnsi="宋体" w:cs="宋体"/>
                <w:color w:val="auto"/>
                <w:szCs w:val="21"/>
                <w:highlight w:val="none"/>
              </w:rPr>
              <w:t>5.商务要求偏离表（格式后附）；（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754AA3B8">
            <w:pPr>
              <w:spacing w:line="360" w:lineRule="auto"/>
              <w:rPr>
                <w:rFonts w:ascii="宋体" w:hAnsi="宋体" w:cs="宋体"/>
                <w:color w:val="auto"/>
                <w:szCs w:val="21"/>
                <w:highlight w:val="none"/>
              </w:rPr>
            </w:pPr>
            <w:r>
              <w:rPr>
                <w:rFonts w:hint="eastAsia" w:ascii="宋体" w:hAnsi="宋体" w:cs="宋体"/>
                <w:color w:val="auto"/>
                <w:szCs w:val="21"/>
                <w:highlight w:val="none"/>
              </w:rPr>
              <w:t>6.技术要求偏离表（格式后附）；（</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4B77B9DC">
            <w:pPr>
              <w:spacing w:line="360" w:lineRule="auto"/>
              <w:rPr>
                <w:rFonts w:ascii="宋体" w:hAnsi="宋体" w:cs="宋体"/>
                <w:color w:val="auto"/>
                <w:szCs w:val="21"/>
                <w:highlight w:val="none"/>
              </w:rPr>
            </w:pPr>
            <w:r>
              <w:rPr>
                <w:rFonts w:hint="eastAsia" w:ascii="宋体" w:hAnsi="宋体" w:cs="宋体"/>
                <w:color w:val="auto"/>
                <w:szCs w:val="21"/>
                <w:highlight w:val="none"/>
              </w:rPr>
              <w:t>7.售后服务承诺（格式自拟）；（</w:t>
            </w:r>
            <w:r>
              <w:rPr>
                <w:rFonts w:hint="eastAsia" w:ascii="宋体" w:hAnsi="宋体" w:cs="宋体"/>
                <w:b/>
                <w:color w:val="auto"/>
                <w:szCs w:val="21"/>
                <w:highlight w:val="none"/>
              </w:rPr>
              <w:t>必须提供，否则响应文件按无效响应处理</w:t>
            </w:r>
            <w:r>
              <w:rPr>
                <w:rFonts w:hint="eastAsia" w:ascii="宋体" w:hAnsi="宋体" w:cs="宋体"/>
                <w:color w:val="auto"/>
                <w:szCs w:val="21"/>
                <w:highlight w:val="none"/>
              </w:rPr>
              <w:t>）</w:t>
            </w:r>
          </w:p>
          <w:p w14:paraId="4B221C0A">
            <w:pPr>
              <w:spacing w:line="360" w:lineRule="auto"/>
              <w:rPr>
                <w:rFonts w:ascii="宋体" w:hAnsi="宋体" w:cs="宋体"/>
                <w:color w:val="auto"/>
                <w:szCs w:val="21"/>
                <w:highlight w:val="none"/>
              </w:rPr>
            </w:pPr>
            <w:r>
              <w:rPr>
                <w:rFonts w:hint="eastAsia" w:ascii="宋体" w:hAnsi="宋体" w:cs="宋体"/>
                <w:color w:val="auto"/>
                <w:szCs w:val="21"/>
                <w:highlight w:val="none"/>
              </w:rPr>
              <w:t>8.</w:t>
            </w:r>
            <w:r>
              <w:rPr>
                <w:rFonts w:hint="eastAsia" w:ascii="宋体" w:hAnsi="宋体" w:cs="宋体"/>
                <w:bCs/>
                <w:color w:val="auto"/>
                <w:szCs w:val="21"/>
                <w:highlight w:val="none"/>
              </w:rPr>
              <w:t>采购代理费承诺书</w:t>
            </w:r>
            <w:r>
              <w:rPr>
                <w:rFonts w:hint="eastAsia" w:ascii="宋体" w:hAnsi="宋体" w:cs="宋体"/>
                <w:color w:val="auto"/>
                <w:szCs w:val="21"/>
                <w:highlight w:val="none"/>
              </w:rPr>
              <w:t>（格式后附）；</w:t>
            </w:r>
          </w:p>
          <w:p w14:paraId="769A93C8">
            <w:pPr>
              <w:spacing w:line="360" w:lineRule="auto"/>
              <w:rPr>
                <w:rFonts w:ascii="宋体" w:hAnsi="宋体" w:cs="宋体"/>
                <w:bCs/>
                <w:color w:val="auto"/>
                <w:szCs w:val="21"/>
                <w:highlight w:val="none"/>
              </w:rPr>
            </w:pPr>
            <w:r>
              <w:rPr>
                <w:rFonts w:hint="eastAsia" w:ascii="宋体" w:hAnsi="宋体" w:cs="宋体"/>
                <w:color w:val="auto"/>
                <w:szCs w:val="21"/>
                <w:highlight w:val="none"/>
              </w:rPr>
              <w:t>9.对应采购需求的技术要求、商务要求提供的其他文件资料（格式自拟）；</w:t>
            </w:r>
          </w:p>
          <w:p w14:paraId="23244BEE">
            <w:pPr>
              <w:spacing w:line="360" w:lineRule="auto"/>
              <w:rPr>
                <w:rFonts w:ascii="宋体" w:hAnsi="宋体" w:cs="宋体"/>
                <w:color w:val="auto"/>
                <w:szCs w:val="21"/>
                <w:highlight w:val="none"/>
              </w:rPr>
            </w:pPr>
            <w:r>
              <w:rPr>
                <w:rFonts w:hint="eastAsia" w:ascii="宋体" w:hAnsi="宋体" w:cs="宋体"/>
                <w:color w:val="auto"/>
                <w:szCs w:val="21"/>
                <w:highlight w:val="none"/>
              </w:rPr>
              <w:t>10.供应商认为需要提供的其他有关资料。</w:t>
            </w:r>
          </w:p>
          <w:p w14:paraId="4281AF12">
            <w:pPr>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注：以上标明“必须提供”材料复印件的，必须加盖供应商</w:t>
            </w:r>
            <w:r>
              <w:rPr>
                <w:rFonts w:hint="eastAsia" w:ascii="宋体" w:hAnsi="宋体"/>
                <w:b/>
                <w:bCs/>
                <w:color w:val="auto"/>
                <w:szCs w:val="21"/>
                <w:highlight w:val="none"/>
              </w:rPr>
              <w:t>电子签章</w:t>
            </w:r>
            <w:r>
              <w:rPr>
                <w:rFonts w:hint="eastAsia" w:ascii="宋体" w:hAnsi="宋体" w:cs="宋体"/>
                <w:b/>
                <w:color w:val="auto"/>
                <w:szCs w:val="21"/>
                <w:highlight w:val="none"/>
              </w:rPr>
              <w:t>，否则响应文件按无效响应处理。</w:t>
            </w:r>
          </w:p>
        </w:tc>
      </w:tr>
      <w:tr w14:paraId="2A65B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4160EDA">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15.2</w:t>
            </w:r>
          </w:p>
        </w:tc>
        <w:tc>
          <w:tcPr>
            <w:tcW w:w="7912" w:type="dxa"/>
            <w:tcBorders>
              <w:top w:val="single" w:color="000000" w:sz="4" w:space="0"/>
              <w:left w:val="single" w:color="000000" w:sz="4" w:space="0"/>
              <w:bottom w:val="single" w:color="000000" w:sz="4" w:space="0"/>
              <w:right w:val="single" w:color="000000" w:sz="4" w:space="0"/>
            </w:tcBorders>
            <w:vAlign w:val="center"/>
          </w:tcPr>
          <w:p w14:paraId="1D449D5C">
            <w:pPr>
              <w:spacing w:line="360" w:lineRule="auto"/>
              <w:jc w:val="left"/>
              <w:rPr>
                <w:color w:val="auto"/>
                <w:highlight w:val="none"/>
              </w:rPr>
            </w:pPr>
            <w:r>
              <w:rPr>
                <w:rFonts w:hint="eastAsia"/>
                <w:color w:val="auto"/>
                <w:highlight w:val="none"/>
              </w:rPr>
              <w:t>竞标报价须为人民币报价，包括但不限于竞标货物及其配件（附件）价款，包装费、运费、装卸费、保险费、搬运费、安装费、调试费、检验及检定验收费、售后服务费、培训费（如有）、税金等采购文件和响应文件规定及合同包含的所有风险、责任等应有的全部费用。</w:t>
            </w:r>
          </w:p>
          <w:p w14:paraId="6C5595EE">
            <w:pPr>
              <w:spacing w:line="360" w:lineRule="auto"/>
              <w:jc w:val="left"/>
              <w:rPr>
                <w:color w:val="auto"/>
                <w:highlight w:val="none"/>
              </w:rPr>
            </w:pPr>
            <w:r>
              <w:rPr>
                <w:rFonts w:hint="eastAsia"/>
                <w:color w:val="auto"/>
                <w:highlight w:val="none"/>
              </w:rPr>
              <w:t>对于本文件中明确列明必须报价的货物或服务，供应商应分别报价。对于本文件中未列明，而供应商认为必需的费用也需列入总报价。在合同实施时，采购人将不予支付成交供应商没有列入的项目费用，并认为此项目的费用已包括在响应总报价中。</w:t>
            </w:r>
          </w:p>
        </w:tc>
      </w:tr>
      <w:tr w14:paraId="453A3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C4C0110">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16.</w:t>
            </w:r>
            <w:r>
              <w:rPr>
                <w:rFonts w:ascii="宋体" w:hAnsi="宋体" w:cs="宋体"/>
                <w:color w:val="auto"/>
                <w:szCs w:val="21"/>
                <w:highlight w:val="none"/>
              </w:rPr>
              <w:t>2</w:t>
            </w:r>
          </w:p>
        </w:tc>
        <w:tc>
          <w:tcPr>
            <w:tcW w:w="7912" w:type="dxa"/>
            <w:tcBorders>
              <w:top w:val="single" w:color="000000" w:sz="4" w:space="0"/>
              <w:left w:val="single" w:color="000000" w:sz="4" w:space="0"/>
              <w:bottom w:val="single" w:color="000000" w:sz="4" w:space="0"/>
              <w:right w:val="single" w:color="000000" w:sz="4" w:space="0"/>
            </w:tcBorders>
            <w:vAlign w:val="center"/>
          </w:tcPr>
          <w:p w14:paraId="2AD1947C">
            <w:pPr>
              <w:pStyle w:val="211"/>
              <w:widowControl w:val="0"/>
              <w:spacing w:line="360" w:lineRule="auto"/>
              <w:ind w:left="283" w:hanging="283"/>
              <w:rPr>
                <w:rFonts w:ascii="宋体" w:hAnsi="宋体" w:cs="宋体"/>
                <w:color w:val="auto"/>
                <w:sz w:val="21"/>
                <w:szCs w:val="21"/>
                <w:highlight w:val="none"/>
              </w:rPr>
            </w:pPr>
            <w:r>
              <w:rPr>
                <w:rFonts w:hint="eastAsia" w:ascii="宋体" w:hAnsi="宋体" w:cs="宋体"/>
                <w:color w:val="auto"/>
                <w:sz w:val="21"/>
                <w:szCs w:val="21"/>
                <w:highlight w:val="none"/>
              </w:rPr>
              <w:t>竞标有效期：自首次响应文件提交截止之日起</w:t>
            </w:r>
            <w:r>
              <w:rPr>
                <w:rFonts w:hint="eastAsia" w:ascii="宋体" w:hAnsi="宋体" w:cs="宋体"/>
                <w:color w:val="auto"/>
                <w:sz w:val="21"/>
                <w:szCs w:val="21"/>
                <w:highlight w:val="none"/>
                <w:u w:val="single"/>
              </w:rPr>
              <w:t>90</w:t>
            </w:r>
            <w:r>
              <w:rPr>
                <w:rFonts w:hint="eastAsia" w:ascii="宋体" w:hAnsi="宋体" w:cs="宋体"/>
                <w:color w:val="auto"/>
                <w:sz w:val="21"/>
                <w:szCs w:val="21"/>
                <w:highlight w:val="none"/>
              </w:rPr>
              <w:t>日。</w:t>
            </w:r>
          </w:p>
        </w:tc>
      </w:tr>
      <w:tr w14:paraId="23740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4ADC0E9">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17.1</w:t>
            </w:r>
          </w:p>
        </w:tc>
        <w:tc>
          <w:tcPr>
            <w:tcW w:w="7912" w:type="dxa"/>
            <w:tcBorders>
              <w:top w:val="single" w:color="000000" w:sz="4" w:space="0"/>
              <w:left w:val="single" w:color="000000" w:sz="4" w:space="0"/>
              <w:bottom w:val="single" w:color="000000" w:sz="4" w:space="0"/>
              <w:right w:val="single" w:color="000000" w:sz="4" w:space="0"/>
            </w:tcBorders>
            <w:vAlign w:val="center"/>
          </w:tcPr>
          <w:p w14:paraId="78CE9CC2">
            <w:pPr>
              <w:spacing w:line="360" w:lineRule="auto"/>
              <w:rPr>
                <w:rFonts w:ascii="宋体" w:hAnsi="宋体"/>
                <w:color w:val="auto"/>
                <w:szCs w:val="21"/>
                <w:highlight w:val="none"/>
              </w:rPr>
            </w:pPr>
            <w:r>
              <w:rPr>
                <w:rFonts w:hint="eastAsia" w:ascii="宋体" w:hAnsi="宋体"/>
                <w:color w:val="auto"/>
                <w:szCs w:val="21"/>
                <w:highlight w:val="none"/>
              </w:rPr>
              <w:t>□本项目不收取竞标保证金。</w:t>
            </w:r>
          </w:p>
          <w:p w14:paraId="2960B0D2">
            <w:pPr>
              <w:spacing w:line="360" w:lineRule="auto"/>
              <w:rPr>
                <w:rFonts w:ascii="宋体" w:hAnsi="宋体"/>
                <w:color w:val="auto"/>
                <w:szCs w:val="21"/>
                <w:highlight w:val="none"/>
              </w:rPr>
            </w:pPr>
            <w:r>
              <w:rPr>
                <w:rFonts w:hint="eastAsia" w:ascii="宋体" w:hAnsi="宋体"/>
                <w:color w:val="auto"/>
                <w:szCs w:val="21"/>
                <w:highlight w:val="none"/>
              </w:rPr>
              <w:t>☑本项目收取竞标保证金，具体规定如下：</w:t>
            </w:r>
          </w:p>
          <w:p w14:paraId="7D6C22F4">
            <w:pPr>
              <w:spacing w:line="360" w:lineRule="auto"/>
              <w:rPr>
                <w:rFonts w:ascii="宋体" w:hAnsi="宋体" w:cs="宋体"/>
                <w:color w:val="auto"/>
                <w:szCs w:val="21"/>
                <w:highlight w:val="none"/>
              </w:rPr>
            </w:pPr>
            <w:r>
              <w:rPr>
                <w:rFonts w:hint="eastAsia" w:ascii="宋体" w:hAnsi="宋体" w:cs="宋体"/>
                <w:color w:val="auto"/>
                <w:szCs w:val="21"/>
                <w:highlight w:val="none"/>
              </w:rPr>
              <w:t>竞标保证金人民币</w:t>
            </w:r>
            <w:r>
              <w:rPr>
                <w:rFonts w:hint="eastAsia" w:ascii="宋体" w:hAnsi="宋体" w:cs="宋体"/>
                <w:color w:val="auto"/>
                <w:szCs w:val="21"/>
                <w:highlight w:val="none"/>
                <w:u w:val="single"/>
              </w:rPr>
              <w:t>6400</w:t>
            </w:r>
            <w:r>
              <w:rPr>
                <w:rFonts w:hint="eastAsia" w:ascii="宋体" w:hAnsi="宋体" w:cs="宋体"/>
                <w:color w:val="auto"/>
                <w:szCs w:val="21"/>
                <w:highlight w:val="none"/>
              </w:rPr>
              <w:t>元。</w:t>
            </w:r>
          </w:p>
          <w:p w14:paraId="3885F376">
            <w:pPr>
              <w:spacing w:line="360" w:lineRule="auto"/>
              <w:rPr>
                <w:rFonts w:ascii="宋体" w:hAnsi="宋体" w:cs="宋体"/>
                <w:color w:val="auto"/>
                <w:szCs w:val="21"/>
                <w:highlight w:val="none"/>
              </w:rPr>
            </w:pPr>
            <w:r>
              <w:rPr>
                <w:rFonts w:hint="eastAsia" w:ascii="宋体" w:hAnsi="宋体" w:cs="宋体"/>
                <w:color w:val="auto"/>
                <w:szCs w:val="21"/>
                <w:highlight w:val="none"/>
              </w:rPr>
              <w:t>竞标保证金的交纳方式：银行转账、支票、汇票、本票或者银行、保险机构出具的保函，禁止采用现钞方式。采用银行转账方式的，在响应文件提交截止时间前交至指定账户并且到账（开户银行：</w:t>
            </w:r>
            <w:r>
              <w:rPr>
                <w:rFonts w:hint="eastAsia" w:ascii="宋体" w:hAnsi="宋体" w:cs="宋体"/>
                <w:color w:val="auto"/>
                <w:szCs w:val="21"/>
                <w:highlight w:val="none"/>
                <w:u w:val="single"/>
              </w:rPr>
              <w:t>中信银行股份有限公司南宁园湖支行</w:t>
            </w:r>
            <w:r>
              <w:rPr>
                <w:rFonts w:hint="eastAsia" w:ascii="宋体" w:hAnsi="宋体" w:cs="宋体"/>
                <w:color w:val="auto"/>
                <w:szCs w:val="21"/>
                <w:highlight w:val="none"/>
              </w:rPr>
              <w:t>，开户名称：</w:t>
            </w:r>
            <w:r>
              <w:rPr>
                <w:rFonts w:hint="eastAsia" w:ascii="宋体" w:hAnsi="宋体" w:cs="宋体"/>
                <w:color w:val="auto"/>
                <w:szCs w:val="21"/>
                <w:highlight w:val="none"/>
                <w:u w:val="single"/>
              </w:rPr>
              <w:t>云之龙咨询集团有限公司梧州分公司</w:t>
            </w:r>
            <w:r>
              <w:rPr>
                <w:rFonts w:hint="eastAsia" w:ascii="宋体" w:hAnsi="宋体" w:cs="宋体"/>
                <w:color w:val="auto"/>
                <w:szCs w:val="21"/>
                <w:highlight w:val="none"/>
              </w:rPr>
              <w:t>，银行账号：</w:t>
            </w:r>
            <w:r>
              <w:rPr>
                <w:rFonts w:hint="eastAsia" w:ascii="宋体" w:hAnsi="宋体" w:cs="宋体"/>
                <w:color w:val="auto"/>
                <w:szCs w:val="21"/>
                <w:highlight w:val="none"/>
                <w:u w:val="single"/>
              </w:rPr>
              <w:t>8113001013700074625</w:t>
            </w:r>
            <w:r>
              <w:rPr>
                <w:rFonts w:hint="eastAsia" w:ascii="宋体" w:hAnsi="宋体" w:cs="宋体"/>
                <w:color w:val="auto"/>
                <w:szCs w:val="21"/>
                <w:highlight w:val="none"/>
              </w:rPr>
              <w:t>）；采用支票、汇票、本票或者保函等方式的，在响应文件提交截止时间前，供应商必须提交单独密封的支票、汇票、本票或者保函原件（电子保函提供复印件并加盖供应商公章）。否则视为无效竞标保证金。</w:t>
            </w:r>
          </w:p>
          <w:p w14:paraId="05D9C36C">
            <w:pPr>
              <w:spacing w:line="360" w:lineRule="auto"/>
              <w:rPr>
                <w:rFonts w:ascii="宋体" w:hAnsi="宋体" w:cs="宋体"/>
                <w:color w:val="auto"/>
                <w:szCs w:val="21"/>
                <w:highlight w:val="none"/>
              </w:rPr>
            </w:pPr>
            <w:r>
              <w:rPr>
                <w:rFonts w:hint="eastAsia" w:ascii="宋体" w:hAnsi="宋体" w:cs="宋体"/>
                <w:color w:val="auto"/>
                <w:szCs w:val="21"/>
                <w:highlight w:val="none"/>
              </w:rPr>
              <w:t>相关要求：</w:t>
            </w:r>
          </w:p>
          <w:p w14:paraId="0E2AB9A3">
            <w:pPr>
              <w:spacing w:line="360" w:lineRule="auto"/>
              <w:rPr>
                <w:rFonts w:ascii="宋体" w:hAnsi="宋体" w:cs="宋体"/>
                <w:color w:val="auto"/>
                <w:szCs w:val="21"/>
                <w:highlight w:val="none"/>
              </w:rPr>
            </w:pPr>
            <w:r>
              <w:rPr>
                <w:rFonts w:hint="eastAsia" w:ascii="宋体" w:hAnsi="宋体" w:cs="宋体"/>
                <w:color w:val="auto"/>
                <w:szCs w:val="21"/>
                <w:highlight w:val="none"/>
              </w:rPr>
              <w:t>1.竞标保证金采用银行转账交纳方式的，在响应文件提交截止时间前交至指定账户并且到账，供应商应将银行转账底单的复印件作为竞标保证金提交凭证，放置于商务技术文件中，</w:t>
            </w:r>
            <w:r>
              <w:rPr>
                <w:rFonts w:hint="eastAsia" w:ascii="宋体" w:hAnsi="宋体" w:cs="宋体"/>
                <w:b/>
                <w:color w:val="auto"/>
                <w:szCs w:val="21"/>
                <w:highlight w:val="none"/>
              </w:rPr>
              <w:t>否则响应文件按无效响应处理</w:t>
            </w:r>
            <w:r>
              <w:rPr>
                <w:rFonts w:hint="eastAsia" w:ascii="宋体" w:hAnsi="宋体" w:cs="宋体"/>
                <w:color w:val="auto"/>
                <w:szCs w:val="21"/>
                <w:highlight w:val="none"/>
              </w:rPr>
              <w:t>。</w:t>
            </w:r>
          </w:p>
          <w:p w14:paraId="18206CEC">
            <w:pPr>
              <w:spacing w:line="360" w:lineRule="auto"/>
              <w:rPr>
                <w:rFonts w:ascii="宋体" w:hAnsi="宋体"/>
                <w:color w:val="auto"/>
                <w:szCs w:val="21"/>
                <w:highlight w:val="none"/>
              </w:rPr>
            </w:pPr>
            <w:r>
              <w:rPr>
                <w:rFonts w:hint="eastAsia" w:ascii="宋体" w:hAnsi="宋体"/>
                <w:color w:val="auto"/>
                <w:szCs w:val="21"/>
                <w:highlight w:val="none"/>
              </w:rPr>
              <w:t>2.竞标保证金采用支票、汇票、本票或者银行、保险机构出具的保函</w:t>
            </w:r>
            <w:r>
              <w:rPr>
                <w:rFonts w:hint="eastAsia"/>
                <w:color w:val="auto"/>
                <w:highlight w:val="none"/>
              </w:rPr>
              <w:t>（包含电子保函）</w:t>
            </w:r>
            <w:r>
              <w:rPr>
                <w:rFonts w:hint="eastAsia" w:ascii="宋体" w:hAnsi="宋体"/>
                <w:color w:val="auto"/>
                <w:szCs w:val="21"/>
                <w:highlight w:val="none"/>
              </w:rPr>
              <w:t>交纳方式的，供应商应将支票、汇票、本票或者银行、保险机构出具的保函</w:t>
            </w:r>
            <w:r>
              <w:rPr>
                <w:rFonts w:hint="eastAsia"/>
                <w:color w:val="auto"/>
                <w:highlight w:val="none"/>
              </w:rPr>
              <w:t>（包含电子保函）</w:t>
            </w:r>
            <w:r>
              <w:rPr>
                <w:rFonts w:hint="eastAsia" w:ascii="宋体" w:hAnsi="宋体"/>
                <w:color w:val="auto"/>
                <w:szCs w:val="21"/>
                <w:highlight w:val="none"/>
              </w:rPr>
              <w:t>的复印件作为竞标保证金提交凭证，放置于</w:t>
            </w:r>
            <w:r>
              <w:rPr>
                <w:rFonts w:hint="eastAsia" w:ascii="宋体" w:hAnsi="宋体" w:cs="宋体"/>
                <w:color w:val="auto"/>
                <w:szCs w:val="21"/>
                <w:highlight w:val="none"/>
              </w:rPr>
              <w:t>商务技术文件</w:t>
            </w:r>
            <w:r>
              <w:rPr>
                <w:rFonts w:hint="eastAsia" w:ascii="宋体" w:hAnsi="宋体"/>
                <w:color w:val="auto"/>
                <w:szCs w:val="21"/>
                <w:highlight w:val="none"/>
              </w:rPr>
              <w:t>中，</w:t>
            </w:r>
            <w:r>
              <w:rPr>
                <w:rFonts w:hint="eastAsia" w:ascii="宋体" w:hAnsi="宋体" w:cs="宋体"/>
                <w:b/>
                <w:color w:val="auto"/>
                <w:szCs w:val="21"/>
                <w:highlight w:val="none"/>
              </w:rPr>
              <w:t>否则响应文件按无效响应处理</w:t>
            </w:r>
            <w:r>
              <w:rPr>
                <w:rFonts w:hint="eastAsia" w:ascii="宋体" w:hAnsi="宋体"/>
                <w:color w:val="auto"/>
                <w:szCs w:val="21"/>
                <w:highlight w:val="none"/>
              </w:rPr>
              <w:t>。供应商必须</w:t>
            </w:r>
            <w:r>
              <w:rPr>
                <w:rFonts w:hint="eastAsia"/>
                <w:color w:val="auto"/>
                <w:highlight w:val="none"/>
              </w:rPr>
              <w:t>在响应文件提交截止时间前采用现场或邮寄方式（现场提交地址：</w:t>
            </w:r>
            <w:r>
              <w:rPr>
                <w:rFonts w:hint="eastAsia"/>
                <w:color w:val="auto"/>
                <w:highlight w:val="none"/>
                <w:u w:val="single"/>
              </w:rPr>
              <w:t>梧州市新兴三路30号神冠豪都B栋1单元1008号房</w:t>
            </w:r>
            <w:r>
              <w:rPr>
                <w:rFonts w:hint="eastAsia"/>
                <w:color w:val="auto"/>
                <w:highlight w:val="none"/>
              </w:rPr>
              <w:t>；邮寄地址：</w:t>
            </w:r>
            <w:r>
              <w:rPr>
                <w:rFonts w:hint="eastAsia"/>
                <w:color w:val="auto"/>
                <w:highlight w:val="none"/>
                <w:u w:val="single"/>
              </w:rPr>
              <w:t>梧州市新兴三路30号神冠豪都B栋1单元1008号房</w:t>
            </w:r>
            <w:r>
              <w:rPr>
                <w:rFonts w:hint="eastAsia"/>
                <w:color w:val="auto"/>
                <w:highlight w:val="none"/>
              </w:rPr>
              <w:t>，收件人：</w:t>
            </w:r>
            <w:r>
              <w:rPr>
                <w:rFonts w:hint="eastAsia"/>
                <w:color w:val="auto"/>
                <w:highlight w:val="none"/>
                <w:u w:val="single"/>
              </w:rPr>
              <w:t>周子然</w:t>
            </w:r>
            <w:r>
              <w:rPr>
                <w:rFonts w:hint="eastAsia"/>
                <w:color w:val="auto"/>
                <w:highlight w:val="none"/>
              </w:rPr>
              <w:t>，联系方式：</w:t>
            </w:r>
            <w:r>
              <w:rPr>
                <w:rFonts w:hint="eastAsia"/>
                <w:color w:val="auto"/>
                <w:highlight w:val="none"/>
                <w:u w:val="single"/>
              </w:rPr>
              <w:t>0774-3859935</w:t>
            </w:r>
            <w:r>
              <w:rPr>
                <w:rFonts w:hint="eastAsia"/>
                <w:color w:val="auto"/>
                <w:highlight w:val="none"/>
              </w:rPr>
              <w:t>）</w:t>
            </w:r>
            <w:r>
              <w:rPr>
                <w:rFonts w:hint="eastAsia" w:ascii="宋体" w:hAnsi="宋体"/>
                <w:color w:val="auto"/>
                <w:szCs w:val="21"/>
                <w:highlight w:val="none"/>
              </w:rPr>
              <w:t>将</w:t>
            </w:r>
            <w:r>
              <w:rPr>
                <w:rFonts w:hint="eastAsia" w:ascii="宋体" w:hAnsi="宋体" w:cs="宋体"/>
                <w:color w:val="auto"/>
                <w:szCs w:val="21"/>
                <w:highlight w:val="none"/>
              </w:rPr>
              <w:t>单独密封的</w:t>
            </w:r>
            <w:r>
              <w:rPr>
                <w:rFonts w:hint="eastAsia" w:ascii="宋体" w:hAnsi="宋体"/>
                <w:color w:val="auto"/>
                <w:szCs w:val="21"/>
                <w:highlight w:val="none"/>
              </w:rPr>
              <w:t>支票、汇票、本票或者银行、保险机构出具的保函原件（电子保函提供复印件并加盖供应商公章）提交给采购人或者采购代理机构，由采购人或者采购代理机构向供应商出具回执（邮寄方式的除外），并妥善保管。</w:t>
            </w:r>
          </w:p>
          <w:p w14:paraId="2EFF50E2">
            <w:pPr>
              <w:spacing w:line="360" w:lineRule="auto"/>
              <w:rPr>
                <w:rFonts w:ascii="宋体" w:hAnsi="宋体" w:cs="宋体"/>
                <w:b/>
                <w:color w:val="auto"/>
                <w:szCs w:val="21"/>
                <w:highlight w:val="none"/>
              </w:rPr>
            </w:pPr>
            <w:r>
              <w:rPr>
                <w:rFonts w:hint="eastAsia" w:ascii="宋体" w:hAnsi="宋体" w:cs="宋体"/>
                <w:color w:val="auto"/>
                <w:szCs w:val="21"/>
                <w:highlight w:val="none"/>
              </w:rPr>
              <w:t>3.供应商为联合体的，可以由联合体中的一方或者多方共同交纳竞标保证金，其交纳的保证金对联合体各方均具有约束力。</w:t>
            </w:r>
          </w:p>
          <w:p w14:paraId="13CEBBF5">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备注： </w:t>
            </w:r>
          </w:p>
          <w:p w14:paraId="7D0D4EE9">
            <w:pPr>
              <w:spacing w:line="360" w:lineRule="auto"/>
              <w:rPr>
                <w:rFonts w:ascii="宋体" w:hAnsi="宋体" w:cs="宋体"/>
                <w:b/>
                <w:color w:val="auto"/>
                <w:szCs w:val="21"/>
                <w:highlight w:val="none"/>
              </w:rPr>
            </w:pPr>
            <w:r>
              <w:rPr>
                <w:rFonts w:hint="eastAsia" w:ascii="宋体" w:hAnsi="宋体" w:cs="宋体"/>
                <w:b/>
                <w:color w:val="auto"/>
                <w:szCs w:val="21"/>
                <w:highlight w:val="none"/>
              </w:rPr>
              <w:t>1.竞标保证金在响应文件提交截止时间后提交的，或者不按规定交纳方式交纳的，或者未足额交纳的（包含保函额度不足的），视为无效竞标保证金。</w:t>
            </w:r>
          </w:p>
          <w:p w14:paraId="02994798">
            <w:pPr>
              <w:spacing w:line="360" w:lineRule="auto"/>
              <w:rPr>
                <w:rFonts w:ascii="宋体" w:hAnsi="宋体" w:cs="宋体"/>
                <w:b/>
                <w:color w:val="auto"/>
                <w:szCs w:val="21"/>
                <w:highlight w:val="none"/>
              </w:rPr>
            </w:pPr>
            <w:r>
              <w:rPr>
                <w:rFonts w:hint="eastAsia" w:ascii="宋体" w:hAnsi="宋体" w:cs="宋体"/>
                <w:b/>
                <w:color w:val="auto"/>
                <w:szCs w:val="21"/>
                <w:highlight w:val="none"/>
              </w:rPr>
              <w:t>2.供应商采用现钞方式或者从个人账户（自然人竞标除外）转出的竞标保证金，视为无效竞标保证金。</w:t>
            </w:r>
          </w:p>
          <w:p w14:paraId="4D5C4AF0">
            <w:pPr>
              <w:spacing w:line="360" w:lineRule="auto"/>
              <w:rPr>
                <w:rFonts w:ascii="宋体" w:hAnsi="宋体" w:cs="宋体"/>
                <w:b/>
                <w:color w:val="auto"/>
                <w:szCs w:val="21"/>
                <w:highlight w:val="none"/>
              </w:rPr>
            </w:pPr>
            <w:r>
              <w:rPr>
                <w:rFonts w:hint="eastAsia" w:ascii="宋体" w:hAnsi="宋体" w:cs="宋体"/>
                <w:b/>
                <w:color w:val="auto"/>
                <w:szCs w:val="21"/>
                <w:highlight w:val="none"/>
              </w:rPr>
              <w:t>3.支票、汇票或者本票出现无效或者背书情形的，视为无效竞标保证金。</w:t>
            </w:r>
          </w:p>
          <w:p w14:paraId="68B3C649">
            <w:pPr>
              <w:spacing w:line="360" w:lineRule="auto"/>
              <w:rPr>
                <w:rFonts w:ascii="宋体" w:hAnsi="宋体" w:cs="宋体"/>
                <w:b/>
                <w:color w:val="auto"/>
                <w:szCs w:val="21"/>
                <w:highlight w:val="none"/>
              </w:rPr>
            </w:pPr>
            <w:r>
              <w:rPr>
                <w:rFonts w:hint="eastAsia" w:ascii="宋体" w:hAnsi="宋体" w:cs="宋体"/>
                <w:b/>
                <w:color w:val="auto"/>
                <w:szCs w:val="21"/>
                <w:highlight w:val="none"/>
              </w:rPr>
              <w:t>4.保函有效期低于竞标有效期的，视为无效竞标保证金。</w:t>
            </w:r>
          </w:p>
          <w:p w14:paraId="53CABAFB">
            <w:pPr>
              <w:spacing w:line="360" w:lineRule="auto"/>
              <w:rPr>
                <w:rFonts w:ascii="宋体" w:hAnsi="宋体" w:cs="宋体"/>
                <w:b/>
                <w:color w:val="auto"/>
                <w:szCs w:val="21"/>
                <w:highlight w:val="none"/>
              </w:rPr>
            </w:pPr>
            <w:r>
              <w:rPr>
                <w:rFonts w:hint="eastAsia" w:ascii="宋体" w:hAnsi="宋体" w:cs="宋体"/>
                <w:b/>
                <w:color w:val="auto"/>
                <w:szCs w:val="21"/>
                <w:highlight w:val="none"/>
              </w:rPr>
              <w:t>5.竞标保证金采用银行、保险机构出具的保函（包含电子保函）为有条件保函的，视为无效竞标保证金。</w:t>
            </w:r>
          </w:p>
        </w:tc>
      </w:tr>
      <w:tr w14:paraId="5A7F4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365FB348">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19</w:t>
            </w:r>
          </w:p>
        </w:tc>
        <w:tc>
          <w:tcPr>
            <w:tcW w:w="7912" w:type="dxa"/>
            <w:tcBorders>
              <w:top w:val="single" w:color="000000" w:sz="4" w:space="0"/>
              <w:left w:val="single" w:color="000000" w:sz="4" w:space="0"/>
              <w:bottom w:val="single" w:color="000000" w:sz="4" w:space="0"/>
              <w:right w:val="single" w:color="000000" w:sz="4" w:space="0"/>
            </w:tcBorders>
            <w:vAlign w:val="center"/>
          </w:tcPr>
          <w:p w14:paraId="106DAC7F">
            <w:pPr>
              <w:spacing w:line="360" w:lineRule="auto"/>
              <w:rPr>
                <w:rFonts w:ascii="宋体" w:hAnsi="宋体"/>
                <w:color w:val="auto"/>
                <w:szCs w:val="21"/>
                <w:highlight w:val="none"/>
              </w:rPr>
            </w:pPr>
            <w:r>
              <w:rPr>
                <w:rFonts w:hint="eastAsia" w:ascii="宋体" w:hAnsi="宋体"/>
                <w:color w:val="auto"/>
                <w:szCs w:val="21"/>
                <w:highlight w:val="none"/>
              </w:rPr>
              <w:t>☑本项目不接受</w:t>
            </w:r>
            <w:r>
              <w:rPr>
                <w:rFonts w:hint="eastAsia"/>
                <w:color w:val="auto"/>
                <w:highlight w:val="none"/>
              </w:rPr>
              <w:t>电子</w:t>
            </w:r>
            <w:r>
              <w:rPr>
                <w:rFonts w:hint="eastAsia" w:ascii="宋体" w:hAnsi="宋体"/>
                <w:color w:val="auto"/>
                <w:szCs w:val="21"/>
                <w:highlight w:val="none"/>
              </w:rPr>
              <w:t>备份响应文件；</w:t>
            </w:r>
          </w:p>
        </w:tc>
      </w:tr>
      <w:tr w14:paraId="3CC5C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FEF57E6">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20.1</w:t>
            </w:r>
          </w:p>
        </w:tc>
        <w:tc>
          <w:tcPr>
            <w:tcW w:w="7912" w:type="dxa"/>
            <w:tcBorders>
              <w:top w:val="single" w:color="000000" w:sz="4" w:space="0"/>
              <w:left w:val="single" w:color="000000" w:sz="4" w:space="0"/>
              <w:bottom w:val="single" w:color="000000" w:sz="4" w:space="0"/>
              <w:right w:val="single" w:color="000000" w:sz="4" w:space="0"/>
            </w:tcBorders>
            <w:vAlign w:val="center"/>
          </w:tcPr>
          <w:p w14:paraId="7C0C0EA2">
            <w:pPr>
              <w:spacing w:line="360" w:lineRule="auto"/>
              <w:contextualSpacing/>
              <w:jc w:val="left"/>
              <w:rPr>
                <w:rFonts w:ascii="宋体" w:hAnsi="宋体" w:cs="宋体"/>
                <w:color w:val="auto"/>
                <w:szCs w:val="21"/>
                <w:highlight w:val="none"/>
                <w:u w:val="single"/>
              </w:rPr>
            </w:pPr>
            <w:r>
              <w:rPr>
                <w:rFonts w:hint="eastAsia" w:ascii="宋体" w:hAnsi="宋体" w:cs="宋体"/>
                <w:color w:val="auto"/>
                <w:szCs w:val="21"/>
                <w:highlight w:val="none"/>
              </w:rPr>
              <w:t>响应文件提交截止时间：详见竞争性谈判公告。</w:t>
            </w:r>
          </w:p>
          <w:p w14:paraId="759A5542">
            <w:pPr>
              <w:spacing w:line="360" w:lineRule="auto"/>
              <w:contextualSpacing/>
              <w:jc w:val="left"/>
              <w:rPr>
                <w:rFonts w:ascii="宋体" w:hAnsi="宋体" w:cs="宋体"/>
                <w:color w:val="auto"/>
                <w:szCs w:val="21"/>
                <w:highlight w:val="none"/>
              </w:rPr>
            </w:pPr>
            <w:r>
              <w:rPr>
                <w:rFonts w:hint="eastAsia" w:ascii="宋体" w:hAnsi="宋体" w:cs="宋体"/>
                <w:color w:val="auto"/>
                <w:szCs w:val="21"/>
                <w:highlight w:val="none"/>
              </w:rPr>
              <w:t>响应文件提交地点：详见竞争性谈判公告。</w:t>
            </w:r>
          </w:p>
        </w:tc>
      </w:tr>
      <w:tr w14:paraId="77C62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0994CE30">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24.1</w:t>
            </w:r>
          </w:p>
        </w:tc>
        <w:tc>
          <w:tcPr>
            <w:tcW w:w="7912" w:type="dxa"/>
            <w:tcBorders>
              <w:top w:val="single" w:color="000000" w:sz="4" w:space="0"/>
              <w:left w:val="single" w:color="000000" w:sz="4" w:space="0"/>
              <w:bottom w:val="single" w:color="000000" w:sz="4" w:space="0"/>
              <w:right w:val="single" w:color="000000" w:sz="4" w:space="0"/>
            </w:tcBorders>
            <w:vAlign w:val="center"/>
          </w:tcPr>
          <w:p w14:paraId="2CB6B18C">
            <w:pPr>
              <w:spacing w:line="360" w:lineRule="auto"/>
              <w:jc w:val="left"/>
              <w:rPr>
                <w:rFonts w:ascii="宋体" w:hAnsi="宋体" w:cs="宋体"/>
                <w:color w:val="auto"/>
                <w:szCs w:val="21"/>
                <w:highlight w:val="none"/>
                <w:u w:val="single"/>
              </w:rPr>
            </w:pPr>
            <w:r>
              <w:rPr>
                <w:rFonts w:hint="eastAsia" w:ascii="宋体" w:hAnsi="宋体" w:cs="宋体"/>
                <w:color w:val="auto"/>
                <w:szCs w:val="21"/>
                <w:highlight w:val="none"/>
              </w:rPr>
              <w:t>谈判小组的人数：</w:t>
            </w:r>
            <w:r>
              <w:rPr>
                <w:rFonts w:hint="eastAsia" w:ascii="宋体" w:hAnsi="宋体" w:cs="宋体"/>
                <w:color w:val="auto"/>
                <w:szCs w:val="21"/>
                <w:highlight w:val="none"/>
                <w:u w:val="single"/>
              </w:rPr>
              <w:t>3</w:t>
            </w:r>
            <w:r>
              <w:rPr>
                <w:rFonts w:hint="eastAsia" w:ascii="宋体" w:hAnsi="宋体" w:cs="宋体"/>
                <w:color w:val="auto"/>
                <w:szCs w:val="21"/>
                <w:highlight w:val="none"/>
              </w:rPr>
              <w:t>人。</w:t>
            </w:r>
          </w:p>
        </w:tc>
      </w:tr>
      <w:tr w14:paraId="0EE82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07805C45">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5</w:t>
            </w:r>
          </w:p>
        </w:tc>
        <w:tc>
          <w:tcPr>
            <w:tcW w:w="7912" w:type="dxa"/>
            <w:tcBorders>
              <w:top w:val="single" w:color="000000" w:sz="4" w:space="0"/>
              <w:left w:val="single" w:color="000000" w:sz="4" w:space="0"/>
              <w:bottom w:val="single" w:color="000000" w:sz="4" w:space="0"/>
              <w:right w:val="single" w:color="000000" w:sz="4" w:space="0"/>
            </w:tcBorders>
            <w:vAlign w:val="center"/>
          </w:tcPr>
          <w:p w14:paraId="626088D3">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首次响应文件开启时间详见“竞争性谈判公告”</w:t>
            </w:r>
          </w:p>
          <w:p w14:paraId="2C6DE49D">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首次响应文件解密时间：</w:t>
            </w:r>
            <w:r>
              <w:rPr>
                <w:rFonts w:hAnsi="宋体"/>
                <w:color w:val="auto"/>
                <w:highlight w:val="none"/>
                <w:u w:val="single"/>
              </w:rPr>
              <w:t xml:space="preserve"> </w:t>
            </w:r>
            <w:r>
              <w:rPr>
                <w:rFonts w:hint="eastAsia" w:hAnsi="宋体"/>
                <w:color w:val="auto"/>
                <w:highlight w:val="none"/>
                <w:u w:val="single"/>
              </w:rPr>
              <w:t xml:space="preserve">30 </w:t>
            </w:r>
            <w:r>
              <w:rPr>
                <w:rFonts w:hint="eastAsia" w:hAnsi="宋体"/>
                <w:color w:val="auto"/>
                <w:highlight w:val="none"/>
              </w:rPr>
              <w:t>分钟</w:t>
            </w:r>
          </w:p>
        </w:tc>
      </w:tr>
      <w:tr w14:paraId="32260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jc w:val="center"/>
        </w:trPr>
        <w:tc>
          <w:tcPr>
            <w:tcW w:w="992" w:type="dxa"/>
            <w:vMerge w:val="restart"/>
            <w:tcBorders>
              <w:top w:val="single" w:color="000000" w:sz="4" w:space="0"/>
              <w:left w:val="single" w:color="000000" w:sz="4" w:space="0"/>
              <w:bottom w:val="single" w:color="000000" w:sz="4" w:space="0"/>
              <w:right w:val="single" w:color="000000" w:sz="4" w:space="0"/>
            </w:tcBorders>
            <w:vAlign w:val="center"/>
          </w:tcPr>
          <w:p w14:paraId="7BF995C9">
            <w:pPr>
              <w:spacing w:line="360" w:lineRule="auto"/>
              <w:jc w:val="center"/>
              <w:rPr>
                <w:rFonts w:ascii="宋体" w:hAnsi="宋体" w:cs="宋体"/>
                <w:color w:val="auto"/>
                <w:szCs w:val="21"/>
                <w:highlight w:val="none"/>
              </w:rPr>
            </w:pPr>
            <w:r>
              <w:rPr>
                <w:rFonts w:ascii="宋体" w:hAnsi="宋体" w:cs="宋体"/>
                <w:color w:val="auto"/>
                <w:szCs w:val="21"/>
                <w:highlight w:val="none"/>
              </w:rPr>
              <w:t>26</w:t>
            </w:r>
          </w:p>
        </w:tc>
        <w:tc>
          <w:tcPr>
            <w:tcW w:w="7912" w:type="dxa"/>
            <w:tcBorders>
              <w:top w:val="single" w:color="000000" w:sz="4" w:space="0"/>
              <w:left w:val="single" w:color="000000" w:sz="4" w:space="0"/>
              <w:bottom w:val="single" w:color="000000" w:sz="4" w:space="0"/>
              <w:right w:val="single" w:color="000000" w:sz="4" w:space="0"/>
            </w:tcBorders>
            <w:vAlign w:val="center"/>
          </w:tcPr>
          <w:p w14:paraId="30F44937">
            <w:pPr>
              <w:spacing w:line="360" w:lineRule="auto"/>
              <w:contextualSpacing/>
              <w:rPr>
                <w:rFonts w:ascii="宋体" w:hAnsi="宋体" w:cs="宋体"/>
                <w:color w:val="auto"/>
                <w:szCs w:val="21"/>
                <w:highlight w:val="none"/>
              </w:rPr>
            </w:pPr>
            <w:r>
              <w:rPr>
                <w:rFonts w:hint="eastAsia" w:ascii="宋体" w:hAnsi="宋体" w:cs="宋体"/>
                <w:color w:val="auto"/>
                <w:szCs w:val="21"/>
                <w:highlight w:val="none"/>
              </w:rPr>
              <w:t>评审价相同时，按照最后报价由低到高顺序依次推荐；最后报价相同时，按节能、环保产品累计金额由高到低顺序依次推荐；节能、环保产品累计金额也相同时，按以下原则确定成交候选人的顺序：</w:t>
            </w:r>
          </w:p>
          <w:p w14:paraId="26A98CF0">
            <w:pPr>
              <w:spacing w:line="360" w:lineRule="auto"/>
              <w:contextualSpacing/>
              <w:rPr>
                <w:rFonts w:ascii="宋体" w:hAnsi="宋体" w:cs="宋体"/>
                <w:iCs/>
                <w:color w:val="auto"/>
                <w:szCs w:val="21"/>
                <w:highlight w:val="none"/>
              </w:rPr>
            </w:pPr>
            <w:r>
              <w:rPr>
                <w:rFonts w:hint="eastAsia" w:ascii="宋体" w:hAnsi="宋体" w:cs="宋体"/>
                <w:iCs/>
                <w:color w:val="auto"/>
                <w:szCs w:val="21"/>
                <w:highlight w:val="none"/>
              </w:rPr>
              <w:t>☑带“▲”的实质性要求正偏离项数多的优先、均无正偏离或者正偏离项数一致时</w:t>
            </w:r>
            <w:r>
              <w:rPr>
                <w:rFonts w:hint="eastAsia" w:ascii="宋体" w:hAnsi="宋体" w:cs="宋体"/>
                <w:iCs/>
                <w:color w:val="auto"/>
                <w:szCs w:val="21"/>
                <w:highlight w:val="none"/>
                <w:lang w:eastAsia="zh-CN"/>
              </w:rPr>
              <w:t>不</w:t>
            </w:r>
            <w:r>
              <w:rPr>
                <w:rFonts w:hint="eastAsia" w:ascii="宋体" w:hAnsi="宋体" w:cs="宋体"/>
                <w:iCs/>
                <w:color w:val="auto"/>
                <w:szCs w:val="21"/>
                <w:highlight w:val="none"/>
              </w:rPr>
              <w:t>带“▲”</w:t>
            </w:r>
            <w:r>
              <w:rPr>
                <w:rFonts w:hint="eastAsia" w:ascii="宋体" w:hAnsi="宋体" w:cs="宋体"/>
                <w:iCs/>
                <w:color w:val="auto"/>
                <w:szCs w:val="21"/>
                <w:highlight w:val="none"/>
                <w:lang w:eastAsia="zh-CN"/>
              </w:rPr>
              <w:t>的非实质性要求</w:t>
            </w:r>
            <w:r>
              <w:rPr>
                <w:rFonts w:hint="eastAsia" w:ascii="宋体" w:hAnsi="宋体" w:cs="宋体"/>
                <w:iCs/>
                <w:color w:val="auto"/>
                <w:szCs w:val="21"/>
                <w:highlight w:val="none"/>
              </w:rPr>
              <w:t>负偏离项数少的优先、</w:t>
            </w:r>
            <w:r>
              <w:rPr>
                <w:rFonts w:hint="eastAsia" w:ascii="宋体" w:hAnsi="宋体" w:cs="宋体"/>
                <w:iCs/>
                <w:color w:val="auto"/>
                <w:szCs w:val="21"/>
                <w:highlight w:val="none"/>
                <w:lang w:val="en-US" w:eastAsia="zh-CN"/>
              </w:rPr>
              <w:t>质保期</w:t>
            </w:r>
            <w:r>
              <w:rPr>
                <w:rFonts w:hint="eastAsia" w:ascii="宋体" w:hAnsi="宋体" w:cs="宋体"/>
                <w:iCs/>
                <w:color w:val="auto"/>
                <w:szCs w:val="21"/>
                <w:highlight w:val="none"/>
              </w:rPr>
              <w:t>长优先、交货期短优先、故障响应时间短优先的顺序推荐。</w:t>
            </w:r>
          </w:p>
          <w:p w14:paraId="51909161">
            <w:pPr>
              <w:spacing w:line="360" w:lineRule="auto"/>
              <w:rPr>
                <w:rFonts w:ascii="宋体" w:hAnsi="宋体" w:cs="宋体"/>
                <w:color w:val="auto"/>
                <w:szCs w:val="21"/>
                <w:highlight w:val="none"/>
              </w:rPr>
            </w:pPr>
            <w:r>
              <w:rPr>
                <w:rFonts w:hint="eastAsia" w:ascii="宋体" w:hAnsi="宋体" w:cs="宋体"/>
                <w:iCs/>
                <w:color w:val="auto"/>
                <w:szCs w:val="21"/>
                <w:highlight w:val="none"/>
              </w:rPr>
              <w:t>□由谈判小组推荐代表随机抽取。</w:t>
            </w:r>
          </w:p>
        </w:tc>
      </w:tr>
      <w:tr w14:paraId="25BBB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Merge w:val="continue"/>
            <w:tcBorders>
              <w:top w:val="single" w:color="000000" w:sz="4" w:space="0"/>
              <w:left w:val="single" w:color="000000" w:sz="4" w:space="0"/>
              <w:bottom w:val="single" w:color="000000" w:sz="4" w:space="0"/>
              <w:right w:val="single" w:color="000000" w:sz="4" w:space="0"/>
            </w:tcBorders>
            <w:vAlign w:val="center"/>
          </w:tcPr>
          <w:p w14:paraId="77E4F0B6">
            <w:pPr>
              <w:spacing w:line="360" w:lineRule="auto"/>
              <w:jc w:val="center"/>
              <w:rPr>
                <w:rFonts w:ascii="宋体" w:hAnsi="宋体" w:cs="宋体"/>
                <w:color w:val="auto"/>
                <w:szCs w:val="21"/>
                <w:highlight w:val="none"/>
              </w:rPr>
            </w:pPr>
          </w:p>
        </w:tc>
        <w:tc>
          <w:tcPr>
            <w:tcW w:w="7912" w:type="dxa"/>
            <w:tcBorders>
              <w:top w:val="single" w:color="000000" w:sz="4" w:space="0"/>
              <w:left w:val="single" w:color="000000" w:sz="4" w:space="0"/>
              <w:bottom w:val="single" w:color="000000" w:sz="4" w:space="0"/>
              <w:right w:val="single" w:color="000000" w:sz="4" w:space="0"/>
            </w:tcBorders>
            <w:vAlign w:val="center"/>
          </w:tcPr>
          <w:p w14:paraId="24F379EB">
            <w:pPr>
              <w:spacing w:line="360" w:lineRule="auto"/>
              <w:rPr>
                <w:rFonts w:ascii="宋体" w:hAnsi="宋体" w:cs="宋体"/>
                <w:color w:val="auto"/>
                <w:szCs w:val="21"/>
                <w:highlight w:val="none"/>
              </w:rPr>
            </w:pPr>
            <w:r>
              <w:rPr>
                <w:rFonts w:hint="eastAsia" w:ascii="宋体" w:hAnsi="宋体" w:cs="宋体"/>
                <w:color w:val="auto"/>
                <w:szCs w:val="21"/>
                <w:highlight w:val="none"/>
              </w:rPr>
              <w:t>商务要求评审中允许负偏离的条款数为</w:t>
            </w:r>
            <w:r>
              <w:rPr>
                <w:rFonts w:hint="eastAsia" w:ascii="宋体" w:hAnsi="宋体" w:cs="宋体"/>
                <w:color w:val="auto"/>
                <w:szCs w:val="21"/>
                <w:highlight w:val="none"/>
                <w:u w:val="single"/>
              </w:rPr>
              <w:t xml:space="preserve"> 0 </w:t>
            </w:r>
            <w:r>
              <w:rPr>
                <w:rFonts w:hint="eastAsia" w:ascii="宋体" w:hAnsi="宋体" w:cs="宋体"/>
                <w:color w:val="auto"/>
                <w:szCs w:val="21"/>
                <w:highlight w:val="none"/>
              </w:rPr>
              <w:t>项。</w:t>
            </w:r>
          </w:p>
          <w:p w14:paraId="2B98F354">
            <w:pPr>
              <w:spacing w:line="360" w:lineRule="auto"/>
              <w:rPr>
                <w:rFonts w:ascii="宋体" w:hAnsi="宋体" w:cs="宋体"/>
                <w:color w:val="auto"/>
                <w:szCs w:val="21"/>
                <w:highlight w:val="none"/>
              </w:rPr>
            </w:pPr>
            <w:r>
              <w:rPr>
                <w:rFonts w:hint="eastAsia" w:ascii="宋体" w:hAnsi="宋体" w:cs="宋体"/>
                <w:color w:val="auto"/>
                <w:szCs w:val="21"/>
                <w:highlight w:val="none"/>
              </w:rPr>
              <w:t>技术要求评审中允许负偏离的条款数为</w:t>
            </w:r>
            <w:r>
              <w:rPr>
                <w:rFonts w:hint="eastAsia" w:ascii="宋体" w:hAnsi="宋体" w:cs="宋体"/>
                <w:color w:val="auto"/>
                <w:szCs w:val="21"/>
                <w:highlight w:val="none"/>
                <w:u w:val="single"/>
              </w:rPr>
              <w:t xml:space="preserve"> 1 </w:t>
            </w:r>
            <w:r>
              <w:rPr>
                <w:rFonts w:hint="eastAsia" w:ascii="宋体" w:hAnsi="宋体" w:cs="宋体"/>
                <w:color w:val="auto"/>
                <w:szCs w:val="21"/>
                <w:highlight w:val="none"/>
              </w:rPr>
              <w:t>项。</w:t>
            </w:r>
          </w:p>
        </w:tc>
      </w:tr>
      <w:tr w14:paraId="61F78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2D8A0ED4">
            <w:pPr>
              <w:spacing w:line="360" w:lineRule="auto"/>
              <w:jc w:val="center"/>
              <w:rPr>
                <w:rFonts w:ascii="宋体" w:hAnsi="宋体" w:cs="宋体"/>
                <w:color w:val="auto"/>
                <w:szCs w:val="21"/>
                <w:highlight w:val="none"/>
              </w:rPr>
            </w:pPr>
            <w:r>
              <w:rPr>
                <w:rFonts w:ascii="宋体" w:hAnsi="宋体" w:cs="宋体"/>
                <w:color w:val="auto"/>
                <w:szCs w:val="21"/>
                <w:highlight w:val="none"/>
              </w:rPr>
              <w:t>28.1</w:t>
            </w:r>
          </w:p>
        </w:tc>
        <w:tc>
          <w:tcPr>
            <w:tcW w:w="7912" w:type="dxa"/>
            <w:tcBorders>
              <w:top w:val="single" w:color="000000" w:sz="4" w:space="0"/>
              <w:left w:val="single" w:color="000000" w:sz="4" w:space="0"/>
              <w:bottom w:val="single" w:color="000000" w:sz="4" w:space="0"/>
              <w:right w:val="single" w:color="000000" w:sz="4" w:space="0"/>
            </w:tcBorders>
            <w:vAlign w:val="center"/>
          </w:tcPr>
          <w:p w14:paraId="2467978F">
            <w:pPr>
              <w:spacing w:line="360" w:lineRule="auto"/>
              <w:rPr>
                <w:rFonts w:ascii="宋体" w:hAnsi="宋体"/>
                <w:color w:val="auto"/>
                <w:szCs w:val="21"/>
                <w:highlight w:val="none"/>
              </w:rPr>
            </w:pPr>
            <w:r>
              <w:rPr>
                <w:rFonts w:hint="eastAsia" w:ascii="宋体" w:hAnsi="宋体"/>
                <w:color w:val="auto"/>
                <w:szCs w:val="21"/>
                <w:highlight w:val="none"/>
              </w:rPr>
              <w:t>☑本项目不收取履约保证金。</w:t>
            </w:r>
          </w:p>
          <w:p w14:paraId="352E19CC">
            <w:pPr>
              <w:spacing w:line="360" w:lineRule="auto"/>
              <w:rPr>
                <w:rFonts w:ascii="宋体" w:hAnsi="宋体"/>
                <w:color w:val="auto"/>
                <w:szCs w:val="21"/>
                <w:highlight w:val="none"/>
              </w:rPr>
            </w:pPr>
            <w:r>
              <w:rPr>
                <w:rFonts w:hint="eastAsia" w:ascii="宋体" w:hAnsi="宋体"/>
                <w:color w:val="auto"/>
                <w:szCs w:val="21"/>
                <w:highlight w:val="none"/>
              </w:rPr>
              <w:t>□本项目收取履约保证金，具体规定如下：</w:t>
            </w:r>
          </w:p>
          <w:p w14:paraId="44A08093">
            <w:pPr>
              <w:spacing w:line="360" w:lineRule="auto"/>
              <w:contextualSpacing/>
              <w:rPr>
                <w:rFonts w:ascii="宋体" w:hAnsi="宋体"/>
                <w:color w:val="auto"/>
                <w:szCs w:val="21"/>
                <w:highlight w:val="none"/>
              </w:rPr>
            </w:pPr>
            <w:r>
              <w:rPr>
                <w:rFonts w:hint="eastAsia" w:ascii="宋体" w:hAnsi="宋体" w:cs="宋体"/>
                <w:color w:val="auto"/>
                <w:szCs w:val="21"/>
                <w:highlight w:val="none"/>
              </w:rPr>
              <w:t>履约保证金金额：按成交金额的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iCs/>
                <w:color w:val="auto"/>
                <w:szCs w:val="21"/>
                <w:highlight w:val="none"/>
              </w:rPr>
              <w:t>（履约保证金不超过</w:t>
            </w:r>
            <w:r>
              <w:rPr>
                <w:rFonts w:hint="eastAsia"/>
                <w:iCs/>
                <w:color w:val="auto"/>
                <w:highlight w:val="none"/>
              </w:rPr>
              <w:t>政府采购合同金额的</w:t>
            </w:r>
            <w:r>
              <w:rPr>
                <w:rFonts w:hint="eastAsia" w:ascii="宋体" w:hAnsi="宋体"/>
                <w:iCs/>
                <w:color w:val="auto"/>
                <w:szCs w:val="21"/>
                <w:highlight w:val="none"/>
              </w:rPr>
              <w:t>5%，对中小企业收取的履约保证金数额不得超过政府采购合同金额的2%）</w:t>
            </w:r>
            <w:r>
              <w:rPr>
                <w:rFonts w:hint="eastAsia" w:ascii="宋体" w:hAnsi="宋体"/>
                <w:color w:val="auto"/>
                <w:szCs w:val="21"/>
                <w:highlight w:val="none"/>
              </w:rPr>
              <w:t>。</w:t>
            </w:r>
          </w:p>
          <w:p w14:paraId="5C715C98">
            <w:pPr>
              <w:spacing w:line="360" w:lineRule="auto"/>
              <w:contextualSpacing/>
              <w:rPr>
                <w:rFonts w:ascii="宋体" w:hAnsi="宋体" w:cs="宋体"/>
                <w:color w:val="auto"/>
                <w:szCs w:val="21"/>
                <w:highlight w:val="none"/>
              </w:rPr>
            </w:pPr>
            <w:r>
              <w:rPr>
                <w:rFonts w:hint="eastAsia" w:ascii="宋体" w:hAnsi="宋体" w:cs="宋体"/>
                <w:color w:val="auto"/>
                <w:szCs w:val="21"/>
                <w:highlight w:val="none"/>
              </w:rPr>
              <w:t>履约保证金提交方式：银行转账、支票、汇票、本票或者银行、保险机构出具的保函等非现金方式（参照竞标保证金）。</w:t>
            </w:r>
          </w:p>
          <w:p w14:paraId="03FA2138">
            <w:pPr>
              <w:spacing w:line="360" w:lineRule="auto"/>
              <w:rPr>
                <w:rFonts w:ascii="宋体" w:hAnsi="宋体"/>
                <w:color w:val="auto"/>
                <w:szCs w:val="21"/>
                <w:highlight w:val="none"/>
              </w:rPr>
            </w:pPr>
            <w:r>
              <w:rPr>
                <w:rFonts w:hint="eastAsia" w:ascii="宋体" w:hAnsi="宋体"/>
                <w:color w:val="auto"/>
                <w:szCs w:val="21"/>
                <w:highlight w:val="none"/>
              </w:rPr>
              <w:t>履约保证金缴纳期限：</w:t>
            </w:r>
            <w:r>
              <w:rPr>
                <w:rFonts w:hint="eastAsia" w:ascii="宋体" w:hAnsi="宋体"/>
                <w:color w:val="auto"/>
                <w:szCs w:val="21"/>
                <w:highlight w:val="none"/>
                <w:u w:val="single"/>
              </w:rPr>
              <w:t>自成交通知书发出之日起5日内</w:t>
            </w:r>
            <w:r>
              <w:rPr>
                <w:rFonts w:hint="eastAsia" w:ascii="宋体" w:hAnsi="宋体"/>
                <w:color w:val="auto"/>
                <w:szCs w:val="21"/>
                <w:highlight w:val="none"/>
              </w:rPr>
              <w:t>。</w:t>
            </w:r>
          </w:p>
          <w:p w14:paraId="2DD90755">
            <w:pPr>
              <w:spacing w:line="360" w:lineRule="auto"/>
              <w:contextualSpacing/>
              <w:rPr>
                <w:rFonts w:ascii="宋体" w:hAnsi="宋体" w:cs="宋体"/>
                <w:color w:val="auto"/>
                <w:szCs w:val="21"/>
                <w:highlight w:val="none"/>
                <w:u w:val="single"/>
              </w:rPr>
            </w:pPr>
            <w:r>
              <w:rPr>
                <w:rFonts w:hint="eastAsia" w:ascii="宋体" w:hAnsi="宋体" w:cs="宋体"/>
                <w:color w:val="auto"/>
                <w:szCs w:val="21"/>
                <w:highlight w:val="none"/>
              </w:rPr>
              <w:t>履约保证金退付方式、时间及条件：</w:t>
            </w:r>
            <w:r>
              <w:rPr>
                <w:rFonts w:hint="eastAsia" w:ascii="宋体" w:hAnsi="宋体"/>
                <w:color w:val="auto"/>
                <w:szCs w:val="21"/>
                <w:highlight w:val="none"/>
                <w:u w:val="single"/>
              </w:rPr>
              <w:t xml:space="preserve"> 由成交供应商向履约保证金收取单位提供《广西壮族自治区政府采购项目合同验收书》（详见桂财采〔2015〕22号），保证金收取单位在收到合格材料后5个工作日内办理退还手续（不计利息）</w:t>
            </w:r>
            <w:r>
              <w:rPr>
                <w:rFonts w:hint="eastAsia" w:ascii="宋体" w:hAnsi="宋体" w:cs="宋体"/>
                <w:color w:val="auto"/>
                <w:szCs w:val="21"/>
                <w:highlight w:val="none"/>
                <w:u w:val="single"/>
              </w:rPr>
              <w:t>。</w:t>
            </w:r>
          </w:p>
          <w:p w14:paraId="79FB253D">
            <w:pPr>
              <w:spacing w:line="360" w:lineRule="auto"/>
              <w:contextualSpacing/>
              <w:rPr>
                <w:rFonts w:ascii="宋体" w:hAnsi="宋体" w:cs="宋体"/>
                <w:color w:val="auto"/>
                <w:szCs w:val="21"/>
                <w:highlight w:val="none"/>
              </w:rPr>
            </w:pPr>
            <w:r>
              <w:rPr>
                <w:rFonts w:hint="eastAsia" w:ascii="宋体" w:hAnsi="宋体" w:cs="宋体"/>
                <w:color w:val="auto"/>
                <w:szCs w:val="21"/>
                <w:highlight w:val="none"/>
              </w:rPr>
              <w:t>履约保证金指定账户：</w:t>
            </w:r>
          </w:p>
          <w:p w14:paraId="32D07B70">
            <w:pPr>
              <w:spacing w:line="360" w:lineRule="auto"/>
              <w:contextualSpacing/>
              <w:rPr>
                <w:rFonts w:ascii="宋体" w:hAnsi="宋体" w:cs="宋体"/>
                <w:color w:val="auto"/>
                <w:szCs w:val="21"/>
                <w:highlight w:val="none"/>
                <w:u w:val="single"/>
              </w:rPr>
            </w:pPr>
            <w:r>
              <w:rPr>
                <w:rFonts w:hint="eastAsia" w:ascii="宋体" w:hAnsi="宋体" w:cs="宋体"/>
                <w:color w:val="auto"/>
                <w:szCs w:val="21"/>
                <w:highlight w:val="none"/>
              </w:rPr>
              <w:t>开户名称：</w:t>
            </w:r>
            <w:r>
              <w:rPr>
                <w:rFonts w:hint="eastAsia" w:ascii="宋体" w:hAnsi="宋体" w:cs="宋体"/>
                <w:color w:val="auto"/>
                <w:szCs w:val="21"/>
                <w:highlight w:val="none"/>
                <w:u w:val="single"/>
              </w:rPr>
              <w:t xml:space="preserve">            </w:t>
            </w:r>
          </w:p>
          <w:p w14:paraId="031C4F48">
            <w:pPr>
              <w:spacing w:line="360" w:lineRule="auto"/>
              <w:contextualSpacing/>
              <w:rPr>
                <w:rFonts w:ascii="宋体" w:hAnsi="宋体" w:cs="宋体"/>
                <w:color w:val="auto"/>
                <w:szCs w:val="21"/>
                <w:highlight w:val="none"/>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rPr>
              <w:t xml:space="preserve">              </w:t>
            </w:r>
          </w:p>
          <w:p w14:paraId="701A3D98">
            <w:pPr>
              <w:spacing w:line="360" w:lineRule="auto"/>
              <w:contextualSpacing/>
              <w:rPr>
                <w:rFonts w:ascii="宋体" w:hAnsi="宋体" w:cs="宋体"/>
                <w:color w:val="auto"/>
                <w:szCs w:val="21"/>
                <w:highlight w:val="none"/>
                <w:u w:val="single"/>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rPr>
              <w:t xml:space="preserve">                  </w:t>
            </w:r>
          </w:p>
          <w:p w14:paraId="39B9D227">
            <w:pPr>
              <w:spacing w:line="360" w:lineRule="auto"/>
              <w:contextualSpacing/>
              <w:rPr>
                <w:rFonts w:ascii="宋体" w:hAnsi="宋体" w:cs="宋体"/>
                <w:color w:val="auto"/>
                <w:szCs w:val="21"/>
                <w:highlight w:val="none"/>
              </w:rPr>
            </w:pPr>
            <w:r>
              <w:rPr>
                <w:rFonts w:hint="eastAsia" w:ascii="宋体" w:hAnsi="宋体" w:cs="宋体"/>
                <w:color w:val="auto"/>
                <w:szCs w:val="21"/>
                <w:highlight w:val="none"/>
              </w:rPr>
              <w:t>备注：</w:t>
            </w:r>
          </w:p>
          <w:p w14:paraId="28BFFC29">
            <w:pPr>
              <w:spacing w:line="360" w:lineRule="auto"/>
              <w:contextualSpacing/>
              <w:rPr>
                <w:rFonts w:ascii="宋体" w:hAnsi="宋体" w:cs="宋体"/>
                <w:b/>
                <w:color w:val="auto"/>
                <w:sz w:val="24"/>
                <w:highlight w:val="none"/>
              </w:rPr>
            </w:pPr>
            <w:r>
              <w:rPr>
                <w:rFonts w:hint="eastAsia" w:ascii="宋体" w:hAnsi="宋体" w:cs="宋体"/>
                <w:b/>
                <w:color w:val="auto"/>
                <w:szCs w:val="21"/>
                <w:highlight w:val="none"/>
              </w:rPr>
              <w:t>1</w:t>
            </w:r>
            <w:r>
              <w:rPr>
                <w:rFonts w:ascii="宋体" w:hAnsi="宋体" w:cs="宋体"/>
                <w:b/>
                <w:color w:val="auto"/>
                <w:szCs w:val="21"/>
                <w:highlight w:val="none"/>
              </w:rPr>
              <w:t>.</w:t>
            </w:r>
            <w:r>
              <w:rPr>
                <w:rFonts w:hint="eastAsia" w:ascii="宋体" w:hAnsi="宋体"/>
                <w:b/>
                <w:color w:val="auto"/>
                <w:szCs w:val="21"/>
                <w:highlight w:val="none"/>
              </w:rPr>
              <w:t xml:space="preserve"> </w:t>
            </w:r>
            <w:bookmarkStart w:id="64" w:name="_Hlk54170335"/>
            <w:r>
              <w:rPr>
                <w:rFonts w:hint="eastAsia" w:ascii="宋体" w:hAnsi="宋体"/>
                <w:b/>
                <w:color w:val="auto"/>
                <w:szCs w:val="21"/>
                <w:highlight w:val="none"/>
              </w:rPr>
              <w:t>根据《广西壮族自治区财政厅关于持续优化政府采购营商环境推动高质量发展的通知》（桂财采〔2024〕55号）的规定，履约保证金数额不得超过政府采购合同金额的5%；对中小企业收取的履约保证金数额不得超过政府采购合同金额的2%</w:t>
            </w:r>
            <w:r>
              <w:rPr>
                <w:rFonts w:hint="eastAsia" w:ascii="宋体" w:hAnsi="宋体" w:cs="宋体"/>
                <w:b/>
                <w:color w:val="auto"/>
                <w:sz w:val="24"/>
                <w:highlight w:val="none"/>
              </w:rPr>
              <w:t>。</w:t>
            </w:r>
            <w:bookmarkEnd w:id="64"/>
          </w:p>
          <w:p w14:paraId="68396A23">
            <w:pPr>
              <w:spacing w:line="360" w:lineRule="auto"/>
              <w:contextualSpacing/>
              <w:rPr>
                <w:rFonts w:ascii="宋体" w:hAnsi="宋体"/>
                <w:b/>
                <w:color w:val="auto"/>
                <w:szCs w:val="21"/>
                <w:highlight w:val="none"/>
              </w:rPr>
            </w:pPr>
            <w:r>
              <w:rPr>
                <w:rFonts w:hint="eastAsia" w:ascii="宋体" w:hAnsi="宋体" w:cs="宋体"/>
                <w:b/>
                <w:color w:val="auto"/>
                <w:szCs w:val="21"/>
                <w:highlight w:val="none"/>
              </w:rPr>
              <w:t>2</w:t>
            </w:r>
            <w:r>
              <w:rPr>
                <w:rFonts w:ascii="宋体" w:hAnsi="宋体" w:cs="宋体"/>
                <w:b/>
                <w:color w:val="auto"/>
                <w:szCs w:val="21"/>
                <w:highlight w:val="none"/>
              </w:rPr>
              <w:t>.</w:t>
            </w:r>
            <w:r>
              <w:rPr>
                <w:rFonts w:hint="eastAsia" w:ascii="宋体" w:hAnsi="宋体"/>
                <w:b/>
                <w:color w:val="auto"/>
                <w:szCs w:val="21"/>
                <w:highlight w:val="none"/>
              </w:rPr>
              <w:t xml:space="preserve"> 履约保证金不足额缴纳的（包含保函额度不足的），或者不按规定提交方式提交的，或者保函有效期低于合同履行期限（即合同中规定的当事人履行自己的义务，如交付标的物、价款或者报酬，履行劳务、完成工作的时间界限）的，不予签订合同。</w:t>
            </w:r>
          </w:p>
          <w:p w14:paraId="7DA9B839">
            <w:pPr>
              <w:spacing w:line="360" w:lineRule="auto"/>
              <w:contextualSpacing/>
              <w:rPr>
                <w:rFonts w:ascii="宋体" w:hAnsi="宋体" w:cs="宋体"/>
                <w:b/>
                <w:color w:val="auto"/>
                <w:szCs w:val="21"/>
                <w:highlight w:val="none"/>
              </w:rPr>
            </w:pPr>
            <w:r>
              <w:rPr>
                <w:rFonts w:ascii="宋体" w:hAnsi="宋体" w:cs="宋体"/>
                <w:b/>
                <w:color w:val="auto"/>
                <w:szCs w:val="21"/>
                <w:highlight w:val="none"/>
              </w:rPr>
              <w:t>3.</w:t>
            </w:r>
            <w:r>
              <w:rPr>
                <w:rFonts w:hint="eastAsia" w:ascii="宋体" w:hAnsi="宋体" w:cs="宋体"/>
                <w:b/>
                <w:color w:val="auto"/>
                <w:szCs w:val="21"/>
                <w:highlight w:val="none"/>
              </w:rPr>
              <w:t>采用银行、保险机构出具的保函的，必须为无条件保函，否则不予签订合同。</w:t>
            </w:r>
          </w:p>
          <w:p w14:paraId="730D580B">
            <w:pPr>
              <w:spacing w:line="360" w:lineRule="auto"/>
              <w:rPr>
                <w:rFonts w:ascii="宋体" w:hAnsi="宋体" w:cs="宋体"/>
                <w:color w:val="auto"/>
                <w:szCs w:val="21"/>
                <w:highlight w:val="none"/>
              </w:rPr>
            </w:pPr>
            <w:r>
              <w:rPr>
                <w:rFonts w:ascii="宋体" w:hAnsi="宋体" w:cs="宋体"/>
                <w:b/>
                <w:color w:val="auto"/>
                <w:szCs w:val="21"/>
                <w:highlight w:val="none"/>
              </w:rPr>
              <w:t>4.</w:t>
            </w:r>
            <w:r>
              <w:rPr>
                <w:rFonts w:hint="eastAsia" w:ascii="宋体" w:hAnsi="宋体" w:cs="宋体"/>
                <w:b/>
                <w:color w:val="auto"/>
                <w:szCs w:val="21"/>
                <w:highlight w:val="none"/>
              </w:rPr>
              <w:t>供应商为联合体的，由联合体任意一方按规定提交的履约保证金，视为有效履约保证金。</w:t>
            </w:r>
          </w:p>
        </w:tc>
      </w:tr>
      <w:tr w14:paraId="14C83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058007C">
            <w:pPr>
              <w:spacing w:line="360" w:lineRule="auto"/>
              <w:jc w:val="center"/>
              <w:rPr>
                <w:rFonts w:ascii="宋体" w:hAnsi="宋体" w:cs="宋体"/>
                <w:color w:val="auto"/>
                <w:szCs w:val="21"/>
                <w:highlight w:val="none"/>
              </w:rPr>
            </w:pPr>
            <w:r>
              <w:rPr>
                <w:rFonts w:ascii="宋体" w:hAnsi="宋体" w:cs="宋体"/>
                <w:color w:val="auto"/>
                <w:szCs w:val="21"/>
                <w:highlight w:val="none"/>
              </w:rPr>
              <w:t>29</w:t>
            </w:r>
            <w:r>
              <w:rPr>
                <w:rFonts w:hint="eastAsia" w:ascii="宋体" w:hAnsi="宋体" w:cs="宋体"/>
                <w:color w:val="auto"/>
                <w:szCs w:val="21"/>
                <w:highlight w:val="none"/>
              </w:rPr>
              <w:t>.1</w:t>
            </w:r>
          </w:p>
        </w:tc>
        <w:tc>
          <w:tcPr>
            <w:tcW w:w="7912" w:type="dxa"/>
            <w:tcBorders>
              <w:top w:val="single" w:color="000000" w:sz="4" w:space="0"/>
              <w:left w:val="single" w:color="000000" w:sz="4" w:space="0"/>
              <w:bottom w:val="single" w:color="000000" w:sz="4" w:space="0"/>
              <w:right w:val="single" w:color="000000" w:sz="4" w:space="0"/>
            </w:tcBorders>
            <w:vAlign w:val="center"/>
          </w:tcPr>
          <w:p w14:paraId="7B177866">
            <w:pPr>
              <w:spacing w:line="360" w:lineRule="auto"/>
              <w:rPr>
                <w:rFonts w:ascii="宋体" w:hAnsi="宋体"/>
                <w:color w:val="auto"/>
                <w:szCs w:val="21"/>
                <w:highlight w:val="none"/>
              </w:rPr>
            </w:pPr>
            <w:r>
              <w:rPr>
                <w:rFonts w:hint="eastAsia" w:ascii="宋体" w:hAnsi="宋体"/>
                <w:color w:val="auto"/>
                <w:szCs w:val="21"/>
                <w:highlight w:val="none"/>
              </w:rPr>
              <w:t xml:space="preserve">签订合同携带的证明材料： </w:t>
            </w:r>
          </w:p>
          <w:p w14:paraId="4E72DBDD">
            <w:pPr>
              <w:spacing w:line="360" w:lineRule="auto"/>
              <w:rPr>
                <w:rFonts w:ascii="宋体" w:hAnsi="宋体"/>
                <w:color w:val="auto"/>
                <w:szCs w:val="21"/>
                <w:highlight w:val="none"/>
              </w:rPr>
            </w:pPr>
            <w:r>
              <w:rPr>
                <w:rFonts w:hint="eastAsia" w:ascii="宋体" w:hAnsi="宋体"/>
                <w:color w:val="auto"/>
                <w:szCs w:val="21"/>
                <w:highlight w:val="none"/>
              </w:rPr>
              <w:t>委托代理人负责签订合同的，须携带授权委托书及委托代理人身份证原件等其他资格证件。</w:t>
            </w:r>
          </w:p>
          <w:p w14:paraId="27697C09">
            <w:pPr>
              <w:spacing w:line="360" w:lineRule="auto"/>
              <w:rPr>
                <w:rFonts w:ascii="宋体" w:hAnsi="宋体" w:cs="宋体"/>
                <w:color w:val="auto"/>
                <w:szCs w:val="21"/>
                <w:highlight w:val="none"/>
              </w:rPr>
            </w:pPr>
            <w:r>
              <w:rPr>
                <w:rFonts w:hint="eastAsia" w:ascii="宋体" w:hAnsi="宋体"/>
                <w:color w:val="auto"/>
                <w:szCs w:val="21"/>
                <w:highlight w:val="none"/>
              </w:rPr>
              <w:t>法定代表人负责签订合同的，须携带法定代表人</w:t>
            </w:r>
            <w:r>
              <w:rPr>
                <w:rFonts w:ascii="宋体" w:hAnsi="宋体"/>
                <w:color w:val="auto"/>
                <w:szCs w:val="21"/>
                <w:highlight w:val="none"/>
              </w:rPr>
              <w:t>身份证明原件</w:t>
            </w:r>
            <w:r>
              <w:rPr>
                <w:rFonts w:hint="eastAsia" w:ascii="宋体" w:hAnsi="宋体"/>
                <w:color w:val="auto"/>
                <w:szCs w:val="21"/>
                <w:highlight w:val="none"/>
              </w:rPr>
              <w:t>及</w:t>
            </w:r>
            <w:r>
              <w:rPr>
                <w:rFonts w:ascii="宋体" w:hAnsi="宋体"/>
                <w:color w:val="auto"/>
                <w:szCs w:val="21"/>
                <w:highlight w:val="none"/>
              </w:rPr>
              <w:t>身份证原件</w:t>
            </w:r>
            <w:r>
              <w:rPr>
                <w:rFonts w:hint="eastAsia" w:ascii="宋体" w:hAnsi="宋体"/>
                <w:color w:val="auto"/>
                <w:szCs w:val="21"/>
                <w:highlight w:val="none"/>
              </w:rPr>
              <w:t>等其他证明材料。</w:t>
            </w:r>
          </w:p>
        </w:tc>
      </w:tr>
      <w:tr w14:paraId="4E8C2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09D0D2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1.2</w:t>
            </w:r>
          </w:p>
        </w:tc>
        <w:tc>
          <w:tcPr>
            <w:tcW w:w="7912" w:type="dxa"/>
            <w:tcBorders>
              <w:top w:val="single" w:color="000000" w:sz="4" w:space="0"/>
              <w:left w:val="single" w:color="000000" w:sz="4" w:space="0"/>
              <w:bottom w:val="single" w:color="000000" w:sz="4" w:space="0"/>
              <w:right w:val="single" w:color="000000" w:sz="4" w:space="0"/>
            </w:tcBorders>
            <w:vAlign w:val="center"/>
          </w:tcPr>
          <w:p w14:paraId="040F8138">
            <w:pPr>
              <w:spacing w:line="360" w:lineRule="auto"/>
              <w:rPr>
                <w:rFonts w:ascii="宋体" w:hAnsi="宋体" w:cs="宋体"/>
                <w:color w:val="auto"/>
                <w:szCs w:val="21"/>
                <w:highlight w:val="none"/>
              </w:rPr>
            </w:pPr>
            <w:r>
              <w:rPr>
                <w:rFonts w:hint="eastAsia" w:ascii="宋体" w:hAnsi="宋体" w:cs="宋体"/>
                <w:color w:val="auto"/>
                <w:szCs w:val="21"/>
                <w:highlight w:val="none"/>
              </w:rPr>
              <w:t>接收质疑函方式：以书面形式。</w:t>
            </w:r>
          </w:p>
          <w:p w14:paraId="61DCFD36">
            <w:pPr>
              <w:pStyle w:val="222"/>
              <w:spacing w:line="360" w:lineRule="auto"/>
              <w:rPr>
                <w:rFonts w:hAnsi="宋体" w:cs="宋体"/>
                <w:color w:val="auto"/>
                <w:sz w:val="21"/>
                <w:highlight w:val="none"/>
              </w:rPr>
            </w:pPr>
            <w:r>
              <w:rPr>
                <w:rFonts w:hint="eastAsia" w:hAnsi="宋体" w:cs="宋体"/>
                <w:color w:val="auto"/>
                <w:sz w:val="21"/>
                <w:highlight w:val="none"/>
              </w:rPr>
              <w:t>质疑联系部门及联系方式：</w:t>
            </w:r>
            <w:r>
              <w:rPr>
                <w:rFonts w:hint="eastAsia" w:hAnsi="宋体" w:cs="宋体"/>
                <w:color w:val="auto"/>
                <w:sz w:val="21"/>
                <w:highlight w:val="none"/>
                <w:u w:val="single"/>
              </w:rPr>
              <w:t>云之龙咨询集团有限公司</w:t>
            </w:r>
            <w:r>
              <w:rPr>
                <w:rFonts w:hint="eastAsia" w:hAnsi="宋体" w:cs="宋体"/>
                <w:color w:val="auto"/>
                <w:sz w:val="21"/>
                <w:highlight w:val="none"/>
                <w:u w:val="single"/>
                <w:lang w:val="en-US" w:eastAsia="zh-CN"/>
              </w:rPr>
              <w:t>梧州分公司招标部</w:t>
            </w:r>
            <w:r>
              <w:rPr>
                <w:rFonts w:hint="eastAsia" w:hAnsi="宋体" w:cs="宋体"/>
                <w:color w:val="auto"/>
                <w:sz w:val="21"/>
                <w:highlight w:val="none"/>
              </w:rPr>
              <w:t>，联系电话：</w:t>
            </w:r>
            <w:r>
              <w:rPr>
                <w:rFonts w:hint="eastAsia" w:hAnsi="宋体" w:cs="宋体"/>
                <w:color w:val="auto"/>
                <w:sz w:val="21"/>
                <w:highlight w:val="none"/>
                <w:u w:val="single"/>
              </w:rPr>
              <w:t>0774-3859935</w:t>
            </w:r>
            <w:r>
              <w:rPr>
                <w:rFonts w:hint="eastAsia" w:hAnsi="宋体" w:cs="宋体"/>
                <w:color w:val="auto"/>
                <w:sz w:val="21"/>
                <w:highlight w:val="none"/>
              </w:rPr>
              <w:t>，通讯地址：</w:t>
            </w:r>
            <w:r>
              <w:rPr>
                <w:rFonts w:hint="eastAsia" w:hAnsi="宋体" w:cs="宋体"/>
                <w:color w:val="auto"/>
                <w:sz w:val="21"/>
                <w:highlight w:val="none"/>
                <w:u w:val="single"/>
              </w:rPr>
              <w:t>梧州市新兴三路30号神冠豪都B栋1单元1008号房</w:t>
            </w:r>
          </w:p>
          <w:p w14:paraId="75EADF79">
            <w:pPr>
              <w:pStyle w:val="222"/>
              <w:spacing w:line="360" w:lineRule="auto"/>
              <w:rPr>
                <w:rFonts w:hAnsi="宋体" w:cs="宋体"/>
                <w:color w:val="auto"/>
                <w:sz w:val="21"/>
                <w:highlight w:val="none"/>
              </w:rPr>
            </w:pPr>
            <w:r>
              <w:rPr>
                <w:rFonts w:hint="eastAsia" w:hAnsi="宋体" w:cs="宋体"/>
                <w:color w:val="auto"/>
                <w:sz w:val="21"/>
                <w:highlight w:val="none"/>
              </w:rPr>
              <w:t>业务时间：工作日每天上午8时00分到12时00分，下午3时00分到6时00分。</w:t>
            </w:r>
          </w:p>
        </w:tc>
      </w:tr>
      <w:tr w14:paraId="7F5E3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13B2A7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2</w:t>
            </w:r>
            <w:r>
              <w:rPr>
                <w:rFonts w:hint="eastAsia" w:ascii="宋体" w:hAnsi="宋体" w:cs="宋体"/>
                <w:color w:val="auto"/>
                <w:szCs w:val="21"/>
                <w:highlight w:val="none"/>
              </w:rPr>
              <w:t>.1</w:t>
            </w:r>
          </w:p>
        </w:tc>
        <w:tc>
          <w:tcPr>
            <w:tcW w:w="7912" w:type="dxa"/>
            <w:tcBorders>
              <w:top w:val="single" w:color="000000" w:sz="4" w:space="0"/>
              <w:left w:val="single" w:color="000000" w:sz="4" w:space="0"/>
              <w:bottom w:val="single" w:color="000000" w:sz="4" w:space="0"/>
              <w:right w:val="single" w:color="000000" w:sz="4" w:space="0"/>
            </w:tcBorders>
            <w:vAlign w:val="center"/>
          </w:tcPr>
          <w:p w14:paraId="05D9C558">
            <w:pPr>
              <w:pStyle w:val="222"/>
              <w:spacing w:line="360" w:lineRule="auto"/>
              <w:rPr>
                <w:rFonts w:hAnsi="宋体" w:cs="宋体"/>
                <w:color w:val="auto"/>
                <w:sz w:val="21"/>
                <w:highlight w:val="none"/>
              </w:rPr>
            </w:pPr>
            <w:r>
              <w:rPr>
                <w:rFonts w:hint="eastAsia" w:hAnsi="宋体" w:cs="宋体"/>
                <w:color w:val="auto"/>
                <w:sz w:val="21"/>
                <w:highlight w:val="none"/>
              </w:rPr>
              <w:t>1.采购代理费支付方式：</w:t>
            </w:r>
          </w:p>
          <w:p w14:paraId="0E7482D6">
            <w:pPr>
              <w:pStyle w:val="222"/>
              <w:spacing w:line="360" w:lineRule="auto"/>
              <w:rPr>
                <w:rFonts w:hAnsi="宋体" w:cs="宋体"/>
                <w:color w:val="auto"/>
                <w:sz w:val="21"/>
                <w:highlight w:val="none"/>
              </w:rPr>
            </w:pPr>
            <w:r>
              <w:rPr>
                <w:rFonts w:hint="eastAsia" w:hAnsi="宋体" w:cs="宋体"/>
                <w:color w:val="auto"/>
                <w:sz w:val="21"/>
                <w:highlight w:val="none"/>
              </w:rPr>
              <w:t>☑本项目采购代理费在发布成交结果公告后5日内，由成交供应商一次性向采购代理机构支付。</w:t>
            </w:r>
          </w:p>
          <w:p w14:paraId="26CBF242">
            <w:pPr>
              <w:pStyle w:val="222"/>
              <w:spacing w:line="360" w:lineRule="auto"/>
              <w:rPr>
                <w:rFonts w:hAnsi="宋体" w:cs="宋体"/>
                <w:color w:val="auto"/>
                <w:sz w:val="21"/>
                <w:highlight w:val="none"/>
              </w:rPr>
            </w:pPr>
            <w:r>
              <w:rPr>
                <w:rFonts w:hint="eastAsia" w:hAnsi="宋体" w:cs="宋体"/>
                <w:color w:val="auto"/>
                <w:sz w:val="21"/>
                <w:highlight w:val="none"/>
              </w:rPr>
              <w:t>□采购人支付。</w:t>
            </w:r>
          </w:p>
          <w:p w14:paraId="79198F63">
            <w:pPr>
              <w:pStyle w:val="222"/>
              <w:spacing w:line="360" w:lineRule="auto"/>
              <w:rPr>
                <w:rFonts w:hAnsi="宋体" w:cs="宋体"/>
                <w:color w:val="auto"/>
                <w:sz w:val="21"/>
                <w:highlight w:val="none"/>
              </w:rPr>
            </w:pPr>
            <w:r>
              <w:rPr>
                <w:rFonts w:hint="eastAsia" w:hAnsi="宋体" w:cs="宋体"/>
                <w:color w:val="auto"/>
                <w:sz w:val="21"/>
                <w:highlight w:val="none"/>
              </w:rPr>
              <w:t>2.采购代理费收取标准：</w:t>
            </w:r>
          </w:p>
          <w:p w14:paraId="649EB8C2">
            <w:pPr>
              <w:pStyle w:val="222"/>
              <w:spacing w:line="360" w:lineRule="auto"/>
              <w:rPr>
                <w:rFonts w:hAnsi="宋体" w:cs="宋体"/>
                <w:color w:val="auto"/>
                <w:sz w:val="21"/>
                <w:highlight w:val="none"/>
              </w:rPr>
            </w:pPr>
            <w:r>
              <w:rPr>
                <w:rFonts w:hint="eastAsia" w:hAnsi="宋体" w:cs="宋体"/>
                <w:color w:val="auto"/>
                <w:sz w:val="21"/>
                <w:highlight w:val="none"/>
              </w:rPr>
              <w:t>□以分标成交金额为计费额，按本须知正文第32.1条规定的货物类标准采用差额定率累进法计算出收费基准价格，采购代理收费以收费基准价格收取。</w:t>
            </w:r>
          </w:p>
          <w:p w14:paraId="3822C49E">
            <w:pPr>
              <w:pStyle w:val="222"/>
              <w:spacing w:line="360" w:lineRule="auto"/>
              <w:rPr>
                <w:rFonts w:hAnsi="宋体" w:cs="宋体"/>
                <w:color w:val="auto"/>
                <w:sz w:val="21"/>
                <w:highlight w:val="none"/>
                <w:u w:val="single"/>
              </w:rPr>
            </w:pPr>
            <w:r>
              <w:rPr>
                <w:rFonts w:hint="eastAsia" w:hAnsi="宋体" w:cs="宋体"/>
                <w:color w:val="auto"/>
                <w:sz w:val="21"/>
                <w:highlight w:val="none"/>
              </w:rPr>
              <w:t>☑固定采购代理收费</w:t>
            </w:r>
            <w:r>
              <w:rPr>
                <w:rFonts w:hint="eastAsia" w:hAnsi="宋体" w:cs="宋体"/>
                <w:color w:val="auto"/>
                <w:sz w:val="21"/>
                <w:highlight w:val="none"/>
                <w:u w:val="single"/>
              </w:rPr>
              <w:t xml:space="preserve"> 玖仟柒佰元整（</w:t>
            </w:r>
            <w:r>
              <w:rPr>
                <w:rFonts w:ascii="Arial" w:hAnsi="Arial" w:cs="Arial"/>
                <w:color w:val="auto"/>
                <w:sz w:val="21"/>
                <w:highlight w:val="none"/>
                <w:u w:val="single"/>
              </w:rPr>
              <w:t>¥</w:t>
            </w:r>
            <w:r>
              <w:rPr>
                <w:rFonts w:hint="eastAsia" w:hAnsi="宋体" w:cs="宋体"/>
                <w:color w:val="auto"/>
                <w:sz w:val="21"/>
                <w:highlight w:val="none"/>
                <w:u w:val="single"/>
              </w:rPr>
              <w:t>9700.00）。</w:t>
            </w:r>
          </w:p>
          <w:p w14:paraId="28DDA895">
            <w:pPr>
              <w:pStyle w:val="222"/>
              <w:spacing w:line="360" w:lineRule="auto"/>
              <w:rPr>
                <w:rFonts w:hAnsi="宋体" w:cs="宋体"/>
                <w:color w:val="auto"/>
                <w:sz w:val="21"/>
                <w:highlight w:val="none"/>
              </w:rPr>
            </w:pPr>
            <w:r>
              <w:rPr>
                <w:rFonts w:hint="eastAsia" w:hAnsi="宋体" w:cs="宋体"/>
                <w:color w:val="auto"/>
                <w:sz w:val="21"/>
                <w:highlight w:val="none"/>
              </w:rPr>
              <w:t>3.采购代理费收取银行账户</w:t>
            </w:r>
          </w:p>
          <w:p w14:paraId="5A992508">
            <w:pPr>
              <w:pStyle w:val="222"/>
              <w:spacing w:line="360" w:lineRule="auto"/>
              <w:rPr>
                <w:rFonts w:hAnsi="宋体" w:cs="宋体"/>
                <w:color w:val="auto"/>
                <w:sz w:val="21"/>
                <w:highlight w:val="none"/>
              </w:rPr>
            </w:pPr>
            <w:r>
              <w:rPr>
                <w:rFonts w:hint="eastAsia" w:hAnsi="宋体" w:cs="宋体"/>
                <w:color w:val="auto"/>
                <w:sz w:val="21"/>
                <w:highlight w:val="none"/>
              </w:rPr>
              <w:t>开户名称：云之龙咨询集团有限公司梧州分公司</w:t>
            </w:r>
          </w:p>
          <w:p w14:paraId="402E99FE">
            <w:pPr>
              <w:pStyle w:val="222"/>
              <w:spacing w:line="360" w:lineRule="auto"/>
              <w:rPr>
                <w:rFonts w:hAnsi="宋体" w:cs="宋体"/>
                <w:color w:val="auto"/>
                <w:sz w:val="21"/>
                <w:highlight w:val="none"/>
              </w:rPr>
            </w:pPr>
            <w:r>
              <w:rPr>
                <w:rFonts w:hint="eastAsia" w:hAnsi="宋体" w:cs="宋体"/>
                <w:color w:val="auto"/>
                <w:sz w:val="21"/>
                <w:highlight w:val="none"/>
              </w:rPr>
              <w:t>开户银行：中信银行股份有限公司南宁园湖支行</w:t>
            </w:r>
          </w:p>
          <w:p w14:paraId="56D6894D">
            <w:pPr>
              <w:pStyle w:val="222"/>
              <w:spacing w:line="360" w:lineRule="auto"/>
              <w:rPr>
                <w:rFonts w:hAnsi="宋体" w:cs="宋体"/>
                <w:color w:val="auto"/>
                <w:sz w:val="21"/>
                <w:highlight w:val="none"/>
                <w:u w:val="single"/>
              </w:rPr>
            </w:pPr>
            <w:r>
              <w:rPr>
                <w:rFonts w:hint="eastAsia" w:hAnsi="宋体" w:cs="宋体"/>
                <w:color w:val="auto"/>
                <w:sz w:val="21"/>
                <w:highlight w:val="none"/>
              </w:rPr>
              <w:t>银行账号：8113001014500158361</w:t>
            </w:r>
          </w:p>
        </w:tc>
      </w:tr>
      <w:tr w14:paraId="022C0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D2204C6">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3.1</w:t>
            </w:r>
          </w:p>
        </w:tc>
        <w:tc>
          <w:tcPr>
            <w:tcW w:w="7912" w:type="dxa"/>
            <w:tcBorders>
              <w:top w:val="single" w:color="000000" w:sz="4" w:space="0"/>
              <w:left w:val="single" w:color="000000" w:sz="4" w:space="0"/>
              <w:bottom w:val="single" w:color="000000" w:sz="4" w:space="0"/>
              <w:right w:val="single" w:color="000000" w:sz="4" w:space="0"/>
            </w:tcBorders>
            <w:vAlign w:val="center"/>
          </w:tcPr>
          <w:p w14:paraId="7D1DFAD0">
            <w:pPr>
              <w:pStyle w:val="222"/>
              <w:spacing w:line="360" w:lineRule="auto"/>
              <w:rPr>
                <w:rFonts w:hAnsi="宋体" w:cs="宋体"/>
                <w:color w:val="auto"/>
                <w:sz w:val="21"/>
                <w:highlight w:val="none"/>
              </w:rPr>
            </w:pPr>
            <w:r>
              <w:rPr>
                <w:rFonts w:hint="eastAsia" w:hAnsi="宋体" w:cs="宋体"/>
                <w:color w:val="auto"/>
                <w:sz w:val="21"/>
                <w:highlight w:val="none"/>
              </w:rPr>
              <w:t>解释：</w:t>
            </w:r>
            <w:r>
              <w:rPr>
                <w:rFonts w:hAnsi="宋体" w:cs="宋体"/>
                <w:color w:val="auto"/>
                <w:sz w:val="21"/>
                <w:highlight w:val="none"/>
              </w:rPr>
              <w:t>构成本</w:t>
            </w:r>
            <w:r>
              <w:rPr>
                <w:rFonts w:hint="eastAsia" w:hAnsi="宋体" w:cs="宋体"/>
                <w:color w:val="auto"/>
                <w:sz w:val="21"/>
                <w:highlight w:val="none"/>
              </w:rPr>
              <w:t>谈判文件</w:t>
            </w:r>
            <w:r>
              <w:rPr>
                <w:rFonts w:hAnsi="宋体" w:cs="宋体"/>
                <w:color w:val="auto"/>
                <w:sz w:val="21"/>
                <w:highlight w:val="none"/>
              </w:rPr>
              <w:t>的各个组成文件应互为解释，互为说明；除</w:t>
            </w:r>
            <w:r>
              <w:rPr>
                <w:rFonts w:hint="eastAsia" w:hAnsi="宋体" w:cs="宋体"/>
                <w:color w:val="auto"/>
                <w:sz w:val="21"/>
                <w:highlight w:val="none"/>
              </w:rPr>
              <w:t>谈判文件</w:t>
            </w:r>
            <w:r>
              <w:rPr>
                <w:rFonts w:hAnsi="宋体" w:cs="宋体"/>
                <w:color w:val="auto"/>
                <w:sz w:val="21"/>
                <w:highlight w:val="none"/>
              </w:rPr>
              <w:t>中有特别规定外，仅适用于</w:t>
            </w:r>
            <w:r>
              <w:rPr>
                <w:rFonts w:hint="eastAsia" w:hAnsi="宋体" w:cs="宋体"/>
                <w:color w:val="auto"/>
                <w:sz w:val="21"/>
                <w:highlight w:val="none"/>
              </w:rPr>
              <w:t>竞标</w:t>
            </w:r>
            <w:r>
              <w:rPr>
                <w:rFonts w:hAnsi="宋体" w:cs="宋体"/>
                <w:color w:val="auto"/>
                <w:sz w:val="21"/>
                <w:highlight w:val="none"/>
              </w:rPr>
              <w:t>阶段的规定，按</w:t>
            </w:r>
            <w:r>
              <w:rPr>
                <w:rFonts w:hint="eastAsia" w:hAnsi="宋体" w:cs="宋体"/>
                <w:color w:val="auto"/>
                <w:sz w:val="21"/>
                <w:highlight w:val="none"/>
              </w:rPr>
              <w:t>更正公告（澄清公告）</w:t>
            </w:r>
            <w:r>
              <w:rPr>
                <w:rFonts w:hAnsi="宋体" w:cs="宋体"/>
                <w:color w:val="auto"/>
                <w:sz w:val="21"/>
                <w:highlight w:val="none"/>
              </w:rPr>
              <w:t>、</w:t>
            </w:r>
            <w:r>
              <w:rPr>
                <w:rFonts w:hint="eastAsia" w:hAnsi="宋体" w:cs="宋体"/>
                <w:color w:val="auto"/>
                <w:sz w:val="21"/>
                <w:highlight w:val="none"/>
              </w:rPr>
              <w:t>竞争性谈判</w:t>
            </w:r>
            <w:r>
              <w:rPr>
                <w:rFonts w:hAnsi="宋体" w:cs="宋体"/>
                <w:color w:val="auto"/>
                <w:sz w:val="21"/>
                <w:highlight w:val="none"/>
              </w:rPr>
              <w:t>公告、</w:t>
            </w:r>
            <w:r>
              <w:rPr>
                <w:rFonts w:hint="eastAsia" w:hAnsi="宋体" w:cs="宋体"/>
                <w:color w:val="auto"/>
                <w:sz w:val="21"/>
                <w:highlight w:val="none"/>
              </w:rPr>
              <w:t>供应商</w:t>
            </w:r>
            <w:r>
              <w:rPr>
                <w:rFonts w:hAnsi="宋体" w:cs="宋体"/>
                <w:color w:val="auto"/>
                <w:sz w:val="21"/>
                <w:highlight w:val="none"/>
              </w:rPr>
              <w:t>须知</w:t>
            </w:r>
            <w:r>
              <w:rPr>
                <w:rFonts w:hint="eastAsia" w:hAnsi="宋体" w:cs="宋体"/>
                <w:color w:val="auto"/>
                <w:sz w:val="21"/>
                <w:highlight w:val="none"/>
              </w:rPr>
              <w:t>、采购需求</w:t>
            </w:r>
            <w:r>
              <w:rPr>
                <w:rFonts w:hAnsi="宋体" w:cs="宋体"/>
                <w:color w:val="auto"/>
                <w:sz w:val="21"/>
                <w:highlight w:val="none"/>
              </w:rPr>
              <w:t>、</w:t>
            </w:r>
            <w:r>
              <w:rPr>
                <w:rFonts w:hint="eastAsia" w:hAnsi="宋体" w:cs="宋体"/>
                <w:color w:val="auto"/>
                <w:sz w:val="21"/>
                <w:highlight w:val="none"/>
              </w:rPr>
              <w:t>评审程序和评定成交的标准</w:t>
            </w:r>
            <w:r>
              <w:rPr>
                <w:rFonts w:hAnsi="宋体" w:cs="宋体"/>
                <w:color w:val="auto"/>
                <w:sz w:val="21"/>
                <w:highlight w:val="none"/>
              </w:rPr>
              <w:t>、</w:t>
            </w:r>
            <w:r>
              <w:rPr>
                <w:rFonts w:hint="eastAsia" w:hAnsi="宋体" w:cs="宋体"/>
                <w:color w:val="auto"/>
                <w:sz w:val="21"/>
                <w:highlight w:val="none"/>
              </w:rPr>
              <w:t>响应</w:t>
            </w:r>
            <w:r>
              <w:rPr>
                <w:rFonts w:hAnsi="宋体" w:cs="宋体"/>
                <w:color w:val="auto"/>
                <w:sz w:val="21"/>
                <w:highlight w:val="none"/>
              </w:rPr>
              <w:t>文件格式</w:t>
            </w:r>
            <w:r>
              <w:rPr>
                <w:rFonts w:hint="eastAsia" w:hAnsi="宋体" w:cs="宋体"/>
                <w:color w:val="auto"/>
                <w:sz w:val="21"/>
                <w:highlight w:val="none"/>
              </w:rPr>
              <w:t>、合同文本</w:t>
            </w:r>
            <w:r>
              <w:rPr>
                <w:rFonts w:hAnsi="宋体" w:cs="宋体"/>
                <w:color w:val="auto"/>
                <w:sz w:val="21"/>
                <w:highlight w:val="none"/>
              </w:rPr>
              <w:t>的先后顺序解释；同一组成文件中就同一事项的规定或约定不一致的，以编排顺序在后者为准；同一组成文件不同版本之间有不一致的，以形成时间在后者为准；</w:t>
            </w:r>
            <w:r>
              <w:rPr>
                <w:rFonts w:hint="eastAsia" w:hAnsi="宋体" w:cs="宋体"/>
                <w:color w:val="auto"/>
                <w:sz w:val="21"/>
                <w:highlight w:val="none"/>
              </w:rPr>
              <w:t>更正公告（澄清公告）</w:t>
            </w:r>
            <w:r>
              <w:rPr>
                <w:rFonts w:hAnsi="宋体" w:cs="宋体"/>
                <w:color w:val="auto"/>
                <w:sz w:val="21"/>
                <w:highlight w:val="none"/>
              </w:rPr>
              <w:t>与同步更新的</w:t>
            </w:r>
            <w:r>
              <w:rPr>
                <w:rFonts w:hint="eastAsia" w:hAnsi="宋体" w:cs="宋体"/>
                <w:color w:val="auto"/>
                <w:sz w:val="21"/>
                <w:highlight w:val="none"/>
              </w:rPr>
              <w:t>谈判文件</w:t>
            </w:r>
            <w:r>
              <w:rPr>
                <w:rFonts w:hAnsi="宋体" w:cs="宋体"/>
                <w:color w:val="auto"/>
                <w:sz w:val="21"/>
                <w:highlight w:val="none"/>
              </w:rPr>
              <w:t>不一致时以</w:t>
            </w:r>
            <w:r>
              <w:rPr>
                <w:rFonts w:hint="eastAsia" w:hAnsi="宋体" w:cs="宋体"/>
                <w:color w:val="auto"/>
                <w:sz w:val="21"/>
                <w:highlight w:val="none"/>
              </w:rPr>
              <w:t>更正公告（澄清公告）</w:t>
            </w:r>
            <w:r>
              <w:rPr>
                <w:rFonts w:hAnsi="宋体" w:cs="宋体"/>
                <w:color w:val="auto"/>
                <w:sz w:val="21"/>
                <w:highlight w:val="none"/>
              </w:rPr>
              <w:t>为准。按本款前述规定仍不能形成结论的，由</w:t>
            </w:r>
            <w:r>
              <w:rPr>
                <w:rFonts w:hint="eastAsia" w:hAnsi="宋体" w:cs="宋体"/>
                <w:color w:val="auto"/>
                <w:sz w:val="21"/>
                <w:highlight w:val="none"/>
              </w:rPr>
              <w:t>采购</w:t>
            </w:r>
            <w:r>
              <w:rPr>
                <w:rFonts w:hAnsi="宋体" w:cs="宋体"/>
                <w:color w:val="auto"/>
                <w:sz w:val="21"/>
                <w:highlight w:val="none"/>
              </w:rPr>
              <w:t>人</w:t>
            </w:r>
            <w:r>
              <w:rPr>
                <w:rFonts w:hint="eastAsia" w:hAnsi="宋体" w:cs="宋体"/>
                <w:color w:val="auto"/>
                <w:sz w:val="21"/>
                <w:highlight w:val="none"/>
              </w:rPr>
              <w:t>或者采购代理机构</w:t>
            </w:r>
            <w:r>
              <w:rPr>
                <w:rFonts w:hAnsi="宋体" w:cs="宋体"/>
                <w:color w:val="auto"/>
                <w:sz w:val="21"/>
                <w:highlight w:val="none"/>
              </w:rPr>
              <w:t>负责解释。</w:t>
            </w:r>
          </w:p>
        </w:tc>
      </w:tr>
      <w:tr w14:paraId="6B041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E98E404">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3.2</w:t>
            </w:r>
          </w:p>
        </w:tc>
        <w:tc>
          <w:tcPr>
            <w:tcW w:w="7912" w:type="dxa"/>
            <w:tcBorders>
              <w:top w:val="single" w:color="000000" w:sz="4" w:space="0"/>
              <w:left w:val="single" w:color="000000" w:sz="4" w:space="0"/>
              <w:bottom w:val="single" w:color="000000" w:sz="4" w:space="0"/>
              <w:right w:val="single" w:color="000000" w:sz="4" w:space="0"/>
            </w:tcBorders>
            <w:vAlign w:val="center"/>
          </w:tcPr>
          <w:p w14:paraId="7A706749">
            <w:pPr>
              <w:pStyle w:val="222"/>
              <w:spacing w:line="360" w:lineRule="auto"/>
              <w:rPr>
                <w:rFonts w:hAnsi="宋体" w:cs="宋体"/>
                <w:color w:val="auto"/>
                <w:sz w:val="21"/>
                <w:highlight w:val="none"/>
              </w:rPr>
            </w:pPr>
            <w:r>
              <w:rPr>
                <w:rFonts w:hint="eastAsia" w:hAnsi="宋体" w:cs="宋体"/>
                <w:color w:val="auto"/>
                <w:sz w:val="21"/>
                <w:highlight w:val="none"/>
              </w:rPr>
              <w:t>1.本谈判文件中描述供应商的“公章”是指根据我国对公章的管理规定，用供应商法定主体行为名称制作的印章，除本谈判文件有特殊规定外，供应商的财务章、部门章、分公司章、工会章、合同章、竞标专用章、业务专用章及银行的转账章、现金收讫章、现金付讫章等其他形式印章均不能代替公章。</w:t>
            </w:r>
          </w:p>
          <w:p w14:paraId="453759C6">
            <w:pPr>
              <w:pStyle w:val="222"/>
              <w:spacing w:line="360" w:lineRule="auto"/>
              <w:rPr>
                <w:rFonts w:hAnsi="宋体" w:cs="宋体"/>
                <w:bCs/>
                <w:color w:val="auto"/>
                <w:sz w:val="21"/>
                <w:highlight w:val="none"/>
              </w:rPr>
            </w:pPr>
            <w:r>
              <w:rPr>
                <w:rFonts w:hint="eastAsia" w:hAnsi="宋体" w:cs="宋体"/>
                <w:bCs/>
                <w:color w:val="auto"/>
                <w:sz w:val="21"/>
                <w:highlight w:val="none"/>
              </w:rPr>
              <w:t>2.本谈判文件所称的“</w:t>
            </w:r>
            <w:r>
              <w:rPr>
                <w:rFonts w:hint="eastAsia" w:hAnsi="宋体"/>
                <w:color w:val="auto"/>
                <w:sz w:val="21"/>
                <w:highlight w:val="none"/>
              </w:rPr>
              <w:t>电子签章”“</w:t>
            </w:r>
            <w:r>
              <w:rPr>
                <w:rFonts w:hint="eastAsia" w:hAnsi="宋体" w:cs="宋体"/>
                <w:bCs/>
                <w:color w:val="auto"/>
                <w:sz w:val="21"/>
                <w:highlight w:val="none"/>
              </w:rPr>
              <w:t>电子签名”</w:t>
            </w:r>
            <w:r>
              <w:rPr>
                <w:rFonts w:hint="eastAsia" w:hAnsi="宋体"/>
                <w:color w:val="auto"/>
                <w:sz w:val="21"/>
                <w:highlight w:val="none"/>
              </w:rPr>
              <w:t>，是指经广西政府采购云平台认可的CA认证的电子签名数据为表现形式的印章，可用于签署电子响应文件，电子印章与实物印章具有同等法律效力，不因其采用电子化表现形式而否定其法律效力。</w:t>
            </w:r>
          </w:p>
          <w:p w14:paraId="777BDD50">
            <w:pPr>
              <w:pStyle w:val="222"/>
              <w:spacing w:line="360" w:lineRule="auto"/>
              <w:rPr>
                <w:rFonts w:hAnsi="宋体" w:cs="宋体"/>
                <w:bCs/>
                <w:color w:val="auto"/>
                <w:sz w:val="21"/>
                <w:highlight w:val="none"/>
              </w:rPr>
            </w:pPr>
            <w:r>
              <w:rPr>
                <w:rFonts w:hint="eastAsia" w:hAnsi="宋体" w:cs="宋体"/>
                <w:color w:val="auto"/>
                <w:sz w:val="21"/>
                <w:highlight w:val="none"/>
              </w:rPr>
              <w:t>3.供应商为其他组织或者自然人时，本谈判文件规定的法定代表人指负责人或者自然人。本谈判文件所称负责人是指参加竞标的其他组织</w:t>
            </w:r>
            <w:r>
              <w:rPr>
                <w:rFonts w:hint="eastAsia" w:hAnsi="宋体" w:cs="宋体"/>
                <w:bCs/>
                <w:color w:val="auto"/>
                <w:sz w:val="21"/>
                <w:highlight w:val="none"/>
              </w:rPr>
              <w:t>营业执照或者执业许可证等证照上</w:t>
            </w:r>
            <w:r>
              <w:rPr>
                <w:rFonts w:hint="eastAsia" w:hAnsi="宋体" w:cs="宋体"/>
                <w:color w:val="auto"/>
                <w:sz w:val="21"/>
                <w:highlight w:val="none"/>
              </w:rPr>
              <w:t>的负责人，本谈判文件所称自然人指参与竞标的自然人本人，</w:t>
            </w:r>
            <w:r>
              <w:rPr>
                <w:rFonts w:hint="eastAsia" w:hAnsi="宋体" w:cs="宋体"/>
                <w:bCs/>
                <w:color w:val="auto"/>
                <w:sz w:val="21"/>
                <w:highlight w:val="none"/>
              </w:rPr>
              <w:t>且应具备独立承担民事责任能力，自然人应当为年满18岁以上成年人（十六周岁以上的未成年人，以自己的劳动收入为主要生活来源的，视为完全民事行为能力人）。</w:t>
            </w:r>
          </w:p>
          <w:p w14:paraId="65E644D7">
            <w:pPr>
              <w:pStyle w:val="222"/>
              <w:spacing w:line="360" w:lineRule="auto"/>
              <w:rPr>
                <w:rFonts w:hAnsi="宋体" w:cs="宋体"/>
                <w:color w:val="auto"/>
                <w:sz w:val="21"/>
                <w:highlight w:val="none"/>
              </w:rPr>
            </w:pPr>
            <w:r>
              <w:rPr>
                <w:rFonts w:hint="eastAsia" w:hAnsi="宋体" w:cs="宋体"/>
                <w:color w:val="auto"/>
                <w:sz w:val="21"/>
                <w:highlight w:val="none"/>
              </w:rPr>
              <w:t>4.本谈判文件中描述供应商的“签字”是指供应商的法定代表人或者委托代理人亲自在文件规定签署处亲笔写上个人的名字的行为，私章、签字章、印鉴、影印等其他形式均不能代替亲笔签字。</w:t>
            </w:r>
          </w:p>
          <w:p w14:paraId="4DEBD2D5">
            <w:pPr>
              <w:pStyle w:val="222"/>
              <w:spacing w:line="360" w:lineRule="auto"/>
              <w:rPr>
                <w:rFonts w:hAnsi="宋体" w:cs="宋体"/>
                <w:color w:val="auto"/>
                <w:sz w:val="21"/>
                <w:highlight w:val="none"/>
              </w:rPr>
            </w:pPr>
            <w:r>
              <w:rPr>
                <w:rFonts w:hAnsi="宋体" w:cs="宋体"/>
                <w:color w:val="auto"/>
                <w:sz w:val="21"/>
                <w:highlight w:val="none"/>
              </w:rPr>
              <w:t>5.</w:t>
            </w:r>
            <w:r>
              <w:rPr>
                <w:rFonts w:hint="eastAsia" w:hAnsi="宋体" w:cs="宋体"/>
                <w:color w:val="auto"/>
                <w:sz w:val="21"/>
                <w:highlight w:val="none"/>
              </w:rPr>
              <w:t>本谈判文件所称的“以上”“以下”“以内”“届满”，包括本数；所称的“不满”“超过”“以外”，不包括本数。</w:t>
            </w:r>
          </w:p>
        </w:tc>
      </w:tr>
    </w:tbl>
    <w:p w14:paraId="15F3C714">
      <w:pPr>
        <w:spacing w:line="400" w:lineRule="exact"/>
        <w:jc w:val="center"/>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供应商须知正文</w:t>
      </w:r>
    </w:p>
    <w:p w14:paraId="44290C47">
      <w:pPr>
        <w:spacing w:line="400" w:lineRule="exact"/>
        <w:jc w:val="center"/>
        <w:rPr>
          <w:rFonts w:ascii="宋体" w:hAnsi="宋体"/>
          <w:b/>
          <w:color w:val="auto"/>
          <w:sz w:val="32"/>
          <w:szCs w:val="32"/>
          <w:highlight w:val="none"/>
        </w:rPr>
      </w:pPr>
    </w:p>
    <w:p w14:paraId="75C8DA9A">
      <w:pPr>
        <w:spacing w:line="400" w:lineRule="exact"/>
        <w:jc w:val="center"/>
        <w:rPr>
          <w:rFonts w:ascii="宋体" w:hAnsi="宋体"/>
          <w:b/>
          <w:color w:val="auto"/>
          <w:sz w:val="32"/>
          <w:szCs w:val="32"/>
          <w:highlight w:val="none"/>
        </w:rPr>
      </w:pPr>
      <w:r>
        <w:rPr>
          <w:rFonts w:hint="eastAsia" w:ascii="宋体" w:hAnsi="宋体"/>
          <w:b/>
          <w:color w:val="auto"/>
          <w:sz w:val="32"/>
          <w:szCs w:val="32"/>
          <w:highlight w:val="none"/>
        </w:rPr>
        <w:t>一、总则</w:t>
      </w:r>
    </w:p>
    <w:p w14:paraId="35774BD8">
      <w:pPr>
        <w:spacing w:line="400" w:lineRule="exact"/>
        <w:rPr>
          <w:rFonts w:ascii="宋体" w:hAnsi="宋体"/>
          <w:color w:val="auto"/>
          <w:szCs w:val="21"/>
          <w:highlight w:val="none"/>
        </w:rPr>
      </w:pPr>
    </w:p>
    <w:p w14:paraId="3CA567B9">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 适用范围</w:t>
      </w:r>
    </w:p>
    <w:p w14:paraId="3088FE4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1.1适用法律：本项目采购人、采购代理机构、供应商、谈判小组的相关行为均受《中华人民共和国政府采购法》《中华人民共和国政府采购法实施条例》《政府采购非招标采购方式管理办法》及本项目本级和上级财政部门政府采购有关规定的约束和保护。</w:t>
      </w:r>
    </w:p>
    <w:p w14:paraId="128F83A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s="宋体"/>
          <w:color w:val="auto"/>
          <w:spacing w:val="-6"/>
          <w:szCs w:val="21"/>
          <w:highlight w:val="none"/>
        </w:rPr>
        <w:t>本竞争性谈判文件（以下简称谈判文件）适用于本项目的所有采购程序和环节（法律、法规另有规定的，从其规定）。</w:t>
      </w:r>
    </w:p>
    <w:p w14:paraId="26BA1DF8">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2. 定义</w:t>
      </w:r>
    </w:p>
    <w:p w14:paraId="4D1C827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2.1“采购人”是指依法进行采购的国家机关、事业单位、团体组织。</w:t>
      </w:r>
    </w:p>
    <w:p w14:paraId="59C5109A">
      <w:pPr>
        <w:spacing w:line="360" w:lineRule="auto"/>
        <w:ind w:firstLine="420"/>
        <w:rPr>
          <w:rFonts w:ascii="宋体" w:hAnsi="宋体"/>
          <w:b/>
          <w:color w:val="auto"/>
          <w:szCs w:val="21"/>
          <w:highlight w:val="none"/>
        </w:rPr>
      </w:pPr>
      <w:r>
        <w:rPr>
          <w:rFonts w:hint="eastAsia" w:ascii="宋体" w:hAnsi="宋体" w:cs="宋体"/>
          <w:color w:val="auto"/>
          <w:szCs w:val="21"/>
          <w:highlight w:val="none"/>
        </w:rPr>
        <w:t>2.2“采购代理机构”</w:t>
      </w:r>
      <w:r>
        <w:rPr>
          <w:rFonts w:hint="eastAsia" w:ascii="宋体" w:hAnsi="宋体"/>
          <w:b/>
          <w:color w:val="auto"/>
          <w:szCs w:val="21"/>
          <w:highlight w:val="none"/>
        </w:rPr>
        <w:t>是指政府采购集中采购机构和集中采购机构以外的采购代理机构。</w:t>
      </w:r>
    </w:p>
    <w:p w14:paraId="781ABED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2.3“供应商”是指向采购人提供货物、工程或者服务的法人、其他组织或者自然人。</w:t>
      </w:r>
    </w:p>
    <w:p w14:paraId="3517D7E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2.4“货物”是指各种形态和种类的物品，包括原材料、燃料、设备、产品等。</w:t>
      </w:r>
    </w:p>
    <w:p w14:paraId="6EC1BF2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2.5“竞标”是指按照本项目竞争性谈判公告或者邀请函规定的方式供应商获取谈判文件、提交响应文件并希望获得成交资格的行为。</w:t>
      </w:r>
    </w:p>
    <w:p w14:paraId="19CF5B5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2.6“售后服务” 是指包含但不限于供应商须承担的备品备件、包装、运输、装卸、保险、货到就位以及安装、调试、培训、保修和其他类似的义务。</w:t>
      </w:r>
    </w:p>
    <w:p w14:paraId="42F0E61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2.7“书面形式”是指合同书、信件和数据电文（包括电报、电传、传真、电子数据交换和电子邮件）等可以有形地表现所载内容的形式。</w:t>
      </w:r>
    </w:p>
    <w:p w14:paraId="2EB8AC8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2.8“响应文件”</w:t>
      </w:r>
      <w:r>
        <w:rPr>
          <w:rFonts w:hint="eastAsia" w:ascii="宋体" w:hAnsi="宋体" w:cs="宋体"/>
          <w:color w:val="auto"/>
          <w:spacing w:val="-6"/>
          <w:szCs w:val="21"/>
          <w:highlight w:val="none"/>
        </w:rPr>
        <w:t>是指：供应商根据本谈判文件要求，编制包含资格证明、报价、商务技术等所有内容的文件。</w:t>
      </w:r>
    </w:p>
    <w:p w14:paraId="7DBF36D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2.9 “实质性要求”是指采购需求中带“▲”的条款或者不能负偏离的条款或者已经指明不满足响应文件按无效处理的条款。</w:t>
      </w:r>
    </w:p>
    <w:p w14:paraId="2BA6DB3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2.10“正偏离”，是指响应文件对谈判文件“采购需求”中有关条款作出优于条款要求并有利于采购人的响应情形；</w:t>
      </w:r>
    </w:p>
    <w:p w14:paraId="3B34F7B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2.11“负偏离”，是指响应文件对谈判文件“采购需求”中有关条款作出的响应不满足条款要求，导致采购人要求不能得到满足的情形。</w:t>
      </w:r>
    </w:p>
    <w:p w14:paraId="7A110C4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2.12“允许负偏离的条款”是指采购需求中的不属于“实质性要求”的条款。</w:t>
      </w:r>
    </w:p>
    <w:p w14:paraId="7B114BA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2.13“首次报价”是指供应商提交的首次响应文件中的竞标报价。</w:t>
      </w:r>
    </w:p>
    <w:p w14:paraId="6190E8C3">
      <w:pPr>
        <w:spacing w:line="360" w:lineRule="auto"/>
        <w:ind w:firstLine="482"/>
        <w:contextualSpacing/>
        <w:rPr>
          <w:rFonts w:ascii="黑体" w:hAnsi="黑体" w:eastAsia="黑体" w:cs="宋体"/>
          <w:b/>
          <w:bCs/>
          <w:color w:val="auto"/>
          <w:sz w:val="24"/>
          <w:highlight w:val="none"/>
        </w:rPr>
      </w:pPr>
      <w:r>
        <w:rPr>
          <w:rFonts w:hint="eastAsia" w:ascii="黑体" w:hAnsi="黑体" w:eastAsia="黑体" w:cs="宋体"/>
          <w:b/>
          <w:bCs/>
          <w:color w:val="auto"/>
          <w:sz w:val="24"/>
          <w:highlight w:val="none"/>
        </w:rPr>
        <w:t>3. 供应商的资格条件</w:t>
      </w:r>
    </w:p>
    <w:p w14:paraId="0F3E749B">
      <w:pPr>
        <w:spacing w:line="360" w:lineRule="auto"/>
        <w:ind w:firstLine="420"/>
        <w:contextualSpacing/>
        <w:rPr>
          <w:rFonts w:ascii="宋体" w:hAnsi="宋体" w:cs="宋体"/>
          <w:color w:val="auto"/>
          <w:szCs w:val="21"/>
          <w:highlight w:val="none"/>
        </w:rPr>
      </w:pPr>
      <w:r>
        <w:rPr>
          <w:rFonts w:hint="eastAsia" w:ascii="宋体" w:hAnsi="宋体" w:cs="宋体"/>
          <w:color w:val="auto"/>
          <w:szCs w:val="21"/>
          <w:highlight w:val="none"/>
        </w:rPr>
        <w:t>供应商的资格条件详见“供应商须知前附表”。</w:t>
      </w:r>
    </w:p>
    <w:p w14:paraId="6A0C2A22">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4. 竞标费用</w:t>
      </w:r>
    </w:p>
    <w:p w14:paraId="6FB953A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竞标费用：供应商应承担参与本次采购活动有关的所有费用，包括但不限于获取谈判文件、勘查现场、编制和提交响应文件、参加谈判与应答、签订合同等，不论竞标结果如何，均应自行承担。</w:t>
      </w:r>
    </w:p>
    <w:p w14:paraId="33CB5728">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5.联合体竞标</w:t>
      </w:r>
    </w:p>
    <w:p w14:paraId="1ADB6E9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5.1本项目是否接受联合体竞标，详见“供应商须知前附表”。</w:t>
      </w:r>
    </w:p>
    <w:p w14:paraId="6F2DDD7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5.2</w:t>
      </w:r>
      <w:r>
        <w:rPr>
          <w:rFonts w:hint="eastAsia" w:ascii="宋体" w:hAnsi="宋体"/>
          <w:bCs/>
          <w:color w:val="auto"/>
          <w:szCs w:val="21"/>
          <w:highlight w:val="none"/>
        </w:rPr>
        <w:t>如接受联合体竞标，</w:t>
      </w:r>
      <w:r>
        <w:rPr>
          <w:rFonts w:hint="eastAsia" w:ascii="宋体" w:hAnsi="宋体" w:cs="宋体"/>
          <w:color w:val="auto"/>
          <w:szCs w:val="21"/>
          <w:highlight w:val="none"/>
        </w:rPr>
        <w:t>联合体竞标要求详见“供应商须知前附表”。</w:t>
      </w:r>
    </w:p>
    <w:p w14:paraId="4D95CC76">
      <w:pPr>
        <w:spacing w:line="360" w:lineRule="auto"/>
        <w:ind w:firstLine="420"/>
        <w:rPr>
          <w:rFonts w:ascii="宋体" w:hAnsi="宋体"/>
          <w:bCs/>
          <w:color w:val="auto"/>
          <w:szCs w:val="21"/>
          <w:highlight w:val="none"/>
        </w:rPr>
      </w:pPr>
      <w:bookmarkStart w:id="65" w:name="_Hlk66782192"/>
      <w:r>
        <w:rPr>
          <w:rFonts w:hint="eastAsia" w:ascii="宋体" w:hAnsi="宋体"/>
          <w:bCs/>
          <w:color w:val="auto"/>
          <w:szCs w:val="21"/>
          <w:highlight w:val="none"/>
        </w:rPr>
        <w:t>5.3根据《政府采购促进中小企业发展管理办法》（财库〔2020〕46号）及《广西壮族自治区财政厅关于持续优化政府采购营商环境推动高质量发展的通知》（桂财采〔2024〕55号）的规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的扣除，用扣除后的价格参加评审。</w:t>
      </w:r>
      <w:bookmarkEnd w:id="65"/>
    </w:p>
    <w:p w14:paraId="06D1A78F">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 xml:space="preserve">6.转包与分包             </w:t>
      </w:r>
    </w:p>
    <w:p w14:paraId="3415C083">
      <w:pPr>
        <w:pStyle w:val="204"/>
        <w:keepNext w:val="0"/>
        <w:keepLines w:val="0"/>
        <w:spacing w:before="0" w:after="0" w:line="360" w:lineRule="auto"/>
        <w:ind w:left="420"/>
        <w:rPr>
          <w:rFonts w:ascii="宋体" w:hAnsi="宋体"/>
          <w:b w:val="0"/>
          <w:color w:val="auto"/>
          <w:sz w:val="21"/>
          <w:szCs w:val="21"/>
          <w:highlight w:val="none"/>
        </w:rPr>
      </w:pPr>
      <w:bookmarkStart w:id="66" w:name="_Toc254970673"/>
      <w:bookmarkStart w:id="67" w:name="_Toc254970532"/>
      <w:r>
        <w:rPr>
          <w:rFonts w:hint="eastAsia" w:ascii="宋体" w:hAnsi="宋体"/>
          <w:b w:val="0"/>
          <w:color w:val="auto"/>
          <w:sz w:val="21"/>
          <w:szCs w:val="21"/>
          <w:highlight w:val="none"/>
        </w:rPr>
        <w:t>6.1本项目不允许转包。</w:t>
      </w:r>
    </w:p>
    <w:p w14:paraId="418737D5">
      <w:pPr>
        <w:pStyle w:val="204"/>
        <w:keepNext w:val="0"/>
        <w:keepLines w:val="0"/>
        <w:spacing w:before="0" w:after="0" w:line="360" w:lineRule="auto"/>
        <w:ind w:firstLine="315"/>
        <w:rPr>
          <w:rFonts w:ascii="宋体" w:hAnsi="宋体"/>
          <w:b w:val="0"/>
          <w:color w:val="auto"/>
          <w:sz w:val="21"/>
          <w:szCs w:val="21"/>
          <w:highlight w:val="none"/>
        </w:rPr>
      </w:pPr>
      <w:r>
        <w:rPr>
          <w:rFonts w:hint="eastAsia" w:ascii="宋体" w:hAnsi="宋体"/>
          <w:b w:val="0"/>
          <w:color w:val="auto"/>
          <w:sz w:val="21"/>
          <w:szCs w:val="21"/>
          <w:highlight w:val="none"/>
        </w:rPr>
        <w:t xml:space="preserve"> 6.2本项目是否允许分包详见“供应商须知前附表”，本项目不允许违法分包。允许分包的非主体、非关键性工作，根据法律法规规定承担该工作需要行政许可的，如该工作由供应商自行承担，供应商应具备相应的行政许可，如供应商不具备相应的行政许可必须采用分包的方式，但分包供应商应具备相应行政许可。</w:t>
      </w:r>
    </w:p>
    <w:p w14:paraId="7B75C2D6">
      <w:pPr>
        <w:pStyle w:val="204"/>
        <w:keepNext w:val="0"/>
        <w:keepLines w:val="0"/>
        <w:spacing w:before="0" w:after="0" w:line="360" w:lineRule="auto"/>
        <w:ind w:firstLine="315"/>
        <w:rPr>
          <w:rFonts w:ascii="宋体" w:hAnsi="宋体"/>
          <w:b w:val="0"/>
          <w:color w:val="auto"/>
          <w:sz w:val="21"/>
          <w:szCs w:val="21"/>
          <w:highlight w:val="none"/>
        </w:rPr>
      </w:pPr>
      <w:r>
        <w:rPr>
          <w:rFonts w:hint="eastAsia" w:ascii="宋体" w:hAnsi="宋体"/>
          <w:b w:val="0"/>
          <w:color w:val="auto"/>
          <w:sz w:val="21"/>
          <w:szCs w:val="21"/>
          <w:highlight w:val="none"/>
        </w:rPr>
        <w:t xml:space="preserve"> 6.3供应商根据谈判文件的规定和采购项目的实际情况，拟在成交后将成交项目的非主体、非关键性工作分包的，应当在响应文件中载明分包承担主体，分包承担主体应当具备相应资质条件且不得再次分包。</w:t>
      </w:r>
    </w:p>
    <w:p w14:paraId="6FC0917D">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7.特别说明</w:t>
      </w:r>
      <w:bookmarkEnd w:id="66"/>
      <w:bookmarkEnd w:id="67"/>
    </w:p>
    <w:p w14:paraId="499A4B17">
      <w:pPr>
        <w:spacing w:line="360" w:lineRule="auto"/>
        <w:ind w:firstLine="420"/>
        <w:rPr>
          <w:rFonts w:ascii="宋体" w:hAnsi="宋体" w:cs="宋体"/>
          <w:color w:val="auto"/>
          <w:szCs w:val="21"/>
          <w:highlight w:val="none"/>
        </w:rPr>
      </w:pPr>
      <w:bookmarkStart w:id="68" w:name="_8.1提供相同品牌产品且通过资格审查、符合性审查的不同投标人参加同一合"/>
      <w:bookmarkEnd w:id="68"/>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\l "_8.1"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7.1</w:t>
      </w:r>
      <w:r>
        <w:rPr>
          <w:rFonts w:hint="eastAsia" w:ascii="宋体" w:hAnsi="宋体" w:cs="宋体"/>
          <w:color w:val="auto"/>
          <w:szCs w:val="21"/>
          <w:highlight w:val="none"/>
        </w:rPr>
        <w:fldChar w:fldCharType="end"/>
      </w:r>
      <w:r>
        <w:rPr>
          <w:rFonts w:hint="eastAsia" w:ascii="宋体" w:hAnsi="宋体" w:cs="宋体"/>
          <w:color w:val="auto"/>
          <w:szCs w:val="21"/>
          <w:highlight w:val="none"/>
        </w:rPr>
        <w:t>提供相同品牌产品的不同供应商参加同一合同项下竞标的，以其中通过资格审查、符合性审查、谈判且最后报价最低的参加报价评审；最后报价相同的，由采购人或者采购人委托谈判小组按照“供应商须知前附表”规定的方式确定一个供应商获得成交人推荐资格，其他响应文件按无效处理。</w:t>
      </w:r>
    </w:p>
    <w:p w14:paraId="3F3F93B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非单一产品采购项目，多家供应商提供的核心产品品牌相同的，按前款规定处理。</w:t>
      </w:r>
    </w:p>
    <w:p w14:paraId="0513801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7.2</w:t>
      </w:r>
      <w:r>
        <w:rPr>
          <w:rFonts w:hint="eastAsia" w:ascii="宋体" w:hAnsi="宋体"/>
          <w:color w:val="auto"/>
          <w:szCs w:val="21"/>
          <w:highlight w:val="none"/>
        </w:rPr>
        <w:t xml:space="preserve">如果本谈判文件要求提供供应商或制造商的资格、信誉、荣誉、业绩与企业认证等材料的，资格、信誉、荣誉、业绩与企业认证等必须为供应商或者制造商所拥有或自身获得 </w:t>
      </w:r>
      <w:r>
        <w:rPr>
          <w:rFonts w:hint="eastAsia" w:ascii="宋体" w:hAnsi="宋体" w:cs="宋体"/>
          <w:color w:val="auto"/>
          <w:szCs w:val="21"/>
          <w:highlight w:val="none"/>
        </w:rPr>
        <w:t>。</w:t>
      </w:r>
    </w:p>
    <w:p w14:paraId="5825E8A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7.3供应商应仔细阅读谈判文件的所有内容，按照谈判文件的要求提交响应文件，并对所提供的全部资料的真实性承担法律责任。</w:t>
      </w:r>
    </w:p>
    <w:p w14:paraId="415BBAB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7.4供应商在竞标活动中提供任何虚假材料，其响应文件按无效处理，并报监管部门查处；签订合同后发现的，成交供应商须</w:t>
      </w:r>
      <w:r>
        <w:rPr>
          <w:color w:val="auto"/>
          <w:highlight w:val="none"/>
        </w:rPr>
        <w:t>依照《中华人民共和国民法典》及相关法律法规</w:t>
      </w:r>
      <w:r>
        <w:rPr>
          <w:rFonts w:hint="eastAsia" w:ascii="宋体" w:hAnsi="宋体" w:cs="宋体"/>
          <w:color w:val="auto"/>
          <w:szCs w:val="21"/>
          <w:highlight w:val="none"/>
        </w:rPr>
        <w:t>规定赔偿采购人，且民事赔偿并不免除违法供应商的行政与刑事责任。</w:t>
      </w:r>
    </w:p>
    <w:p w14:paraId="7715F89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7.5在政府采购活动中，采购人员及相关人员与供应商有下列利害关系之一的，应当回避：</w:t>
      </w:r>
    </w:p>
    <w:p w14:paraId="20EE55A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（1）参加采购活动前3年内与供应商存在劳动关系；</w:t>
      </w:r>
    </w:p>
    <w:p w14:paraId="7257D1B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（2）参加采购活动前3年内担任供应商的董事、监事；</w:t>
      </w:r>
    </w:p>
    <w:p w14:paraId="2E1607B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（3）参加采购活动前3年内是供应商的控股股东或者实际控制人；</w:t>
      </w:r>
    </w:p>
    <w:p w14:paraId="1E33D3F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（4）与供应商的法定代表人或者负责人有夫妻、直系血亲、三代以内旁系血亲或者近姻亲关系；</w:t>
      </w:r>
    </w:p>
    <w:p w14:paraId="4557CA07">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（5）与供应商有其他可能影响政府采购活动公平、公正进行的关系。</w:t>
      </w:r>
    </w:p>
    <w:p w14:paraId="53EE4ED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7852DE2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7.6有下列情形之一的视为供应商相互串通竞标，响应文件将被视为无效：</w:t>
      </w:r>
    </w:p>
    <w:p w14:paraId="1E214E6B">
      <w:pPr>
        <w:spacing w:line="360" w:lineRule="auto"/>
        <w:ind w:firstLine="420"/>
        <w:contextualSpacing/>
        <w:rPr>
          <w:rFonts w:ascii="宋体" w:hAnsi="宋体" w:cs="宋体"/>
          <w:color w:val="auto"/>
          <w:szCs w:val="21"/>
          <w:highlight w:val="none"/>
        </w:rPr>
      </w:pPr>
      <w:r>
        <w:rPr>
          <w:rFonts w:hint="eastAsia" w:ascii="宋体" w:hAnsi="宋体" w:cs="宋体"/>
          <w:color w:val="auto"/>
          <w:szCs w:val="21"/>
          <w:highlight w:val="none"/>
        </w:rPr>
        <w:t>（1）不同供应商的响应文件由同一单位或者个人编制；或不同供应商报名的IP地址一致的；或不同供应商竞标设备信息（包括但不限于：IP地址、MAC地址、硬盘号、CPU号、主板号）一致的；</w:t>
      </w:r>
    </w:p>
    <w:p w14:paraId="7ECA270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（2）不同供应商委托同一单位或者个人办理竞标事宜；</w:t>
      </w:r>
    </w:p>
    <w:p w14:paraId="2C480E50">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（3）不同的供应商的响应文件载明的项目管理员为同一个人；</w:t>
      </w:r>
    </w:p>
    <w:p w14:paraId="6359D3B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（4）不同供应商的响应文件异常一致或者报价呈规律性差异；</w:t>
      </w:r>
    </w:p>
    <w:p w14:paraId="081C570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（5）不同供应商的响应文件相互混装；</w:t>
      </w:r>
    </w:p>
    <w:p w14:paraId="42441DF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（6）不同供应商的竞标保证金从同一单位或者个人账户转出。</w:t>
      </w:r>
    </w:p>
    <w:p w14:paraId="4A3F0FF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7.7供应商有下列情形之一的，属于恶意串通行为</w:t>
      </w:r>
      <w:bookmarkStart w:id="69" w:name="_Hlk54682620"/>
      <w:r>
        <w:rPr>
          <w:rFonts w:hint="eastAsia" w:ascii="宋体" w:hAnsi="宋体" w:cs="宋体"/>
          <w:color w:val="auto"/>
          <w:szCs w:val="21"/>
          <w:highlight w:val="none"/>
        </w:rPr>
        <w:t>，将报同级监督管理部门</w:t>
      </w:r>
      <w:bookmarkEnd w:id="69"/>
      <w:r>
        <w:rPr>
          <w:rFonts w:hint="eastAsia" w:ascii="宋体" w:hAnsi="宋体" w:cs="宋体"/>
          <w:color w:val="auto"/>
          <w:szCs w:val="21"/>
          <w:highlight w:val="none"/>
        </w:rPr>
        <w:t>：</w:t>
      </w:r>
    </w:p>
    <w:p w14:paraId="7054FC4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（1）供应商直接或者间接从采购人或者采购代理机构处获得其他供应商的相关信息并修改其响应文件；</w:t>
      </w:r>
    </w:p>
    <w:p w14:paraId="07601A4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（2）供应商按照采购人或者采购代理机构的授意撤换、修改响应文件；</w:t>
      </w:r>
    </w:p>
    <w:p w14:paraId="0CDDA70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（3）供应商之间协商报价、技术方案等响应文件或者响应文件的实质性内容；</w:t>
      </w:r>
    </w:p>
    <w:p w14:paraId="2E5EAEE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（4）属于同一集团、协会、商会等组织成员的供应商按照该组织要求协同参加政府采购活动；</w:t>
      </w:r>
    </w:p>
    <w:p w14:paraId="0169E16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（5）供应商之间事先约定一致抬高或者压低报价，或者在政府采购活动中事先约定轮流以高价位或者低价位成交，或者事先约定由某一特定供应商成交，然后再参加竞标；</w:t>
      </w:r>
    </w:p>
    <w:p w14:paraId="55F96A2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（6）供应商之间商定部分供应商放弃参加政府采购活动或者放弃成交；</w:t>
      </w:r>
    </w:p>
    <w:p w14:paraId="5C69974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（7）供应商与采购人或者采购代理机构之间、供应商相互之间，为谋求特定供应商成交或者排斥其他供应商的其他串通行为。</w:t>
      </w:r>
    </w:p>
    <w:p w14:paraId="59DC9C69">
      <w:pPr>
        <w:pStyle w:val="205"/>
        <w:spacing w:line="360" w:lineRule="auto"/>
        <w:rPr>
          <w:rFonts w:ascii="宋体" w:hAnsi="宋体"/>
          <w:color w:val="auto"/>
          <w:highlight w:val="none"/>
        </w:rPr>
      </w:pPr>
      <w:r>
        <w:rPr>
          <w:rFonts w:ascii="宋体" w:hAnsi="宋体"/>
          <w:color w:val="auto"/>
          <w:highlight w:val="none"/>
        </w:rPr>
        <w:t>7.</w:t>
      </w:r>
      <w:r>
        <w:rPr>
          <w:rFonts w:hint="eastAsia" w:ascii="宋体" w:hAnsi="宋体"/>
          <w:color w:val="auto"/>
          <w:highlight w:val="none"/>
        </w:rPr>
        <w:t>8根据《国务院办公厅关于在政府采购中实施本国产品标准及相关政策的通知》（国办发〔2025〕34号）的规定，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F695563">
      <w:pPr>
        <w:pStyle w:val="205"/>
        <w:spacing w:line="360" w:lineRule="auto"/>
        <w:rPr>
          <w:rFonts w:ascii="宋体" w:hAnsi="宋体"/>
          <w:color w:val="auto"/>
          <w:highlight w:val="none"/>
        </w:rPr>
      </w:pPr>
      <w:r>
        <w:rPr>
          <w:rFonts w:hint="eastAsia" w:ascii="宋体" w:hAnsi="宋体"/>
          <w:color w:val="auto"/>
          <w:highlight w:val="none"/>
        </w:rPr>
        <w:t>产品在中国境内生产的组件成本占比应当达到规定比例，计算公式为：</w:t>
      </w:r>
    </w:p>
    <w:p w14:paraId="06FDB0BA">
      <w:pPr>
        <w:widowControl/>
        <w:shd w:val="clear" w:color="auto" w:fill="FFFFFF"/>
        <w:spacing w:before="30" w:after="30" w:line="360" w:lineRule="auto"/>
        <w:jc w:val="center"/>
        <w:rPr>
          <w:rFonts w:ascii="宋体" w:hAnsi="宋体" w:cs="宋体"/>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INCLUDEPICTURE "https://www.gov.cn/zhengce/content/202509/W020250930645245947614.png" \* MERGEFORMATINET </w:instrText>
      </w:r>
      <w:r>
        <w:rPr>
          <w:rFonts w:ascii="宋体" w:hAnsi="宋体" w:cs="宋体"/>
          <w:color w:val="auto"/>
          <w:sz w:val="24"/>
          <w:highlight w:val="none"/>
        </w:rPr>
        <w:fldChar w:fldCharType="separate"/>
      </w:r>
      <w:r>
        <w:rPr>
          <w:rFonts w:ascii="宋体" w:hAnsi="宋体" w:cs="宋体"/>
          <w:color w:val="auto"/>
          <w:sz w:val="24"/>
          <w:highlight w:val="none"/>
        </w:rPr>
        <w:drawing>
          <wp:inline distT="0" distB="0" distL="0" distR="0">
            <wp:extent cx="4827905" cy="762635"/>
            <wp:effectExtent l="0" t="0" r="0" b="0"/>
            <wp:docPr id="2" name="_x0000_i1025"/>
            <wp:cNvGraphicFramePr/>
            <a:graphic xmlns:a="http://schemas.openxmlformats.org/drawingml/2006/main">
              <a:graphicData uri="http://schemas.openxmlformats.org/drawingml/2006/picture">
                <pic:pic xmlns:pic="http://schemas.openxmlformats.org/drawingml/2006/picture">
                  <pic:nvPicPr>
                    <pic:cNvPr id="2" name="_x0000_i1025"/>
                    <pic:cNvPicPr/>
                  </pic:nvPicPr>
                  <pic:blipFill>
                    <a:blip r:embed="rId7"/>
                    <a:stretch>
                      <a:fillRect/>
                    </a:stretch>
                  </pic:blipFill>
                  <pic:spPr>
                    <a:xfrm>
                      <a:off x="0" y="0"/>
                      <a:ext cx="4827905" cy="762635"/>
                    </a:xfrm>
                    <a:prstGeom prst="rect">
                      <a:avLst/>
                    </a:prstGeom>
                    <a:noFill/>
                  </pic:spPr>
                </pic:pic>
              </a:graphicData>
            </a:graphic>
          </wp:inline>
        </w:drawing>
      </w:r>
      <w:r>
        <w:rPr>
          <w:rFonts w:ascii="宋体" w:hAnsi="宋体" w:cs="宋体"/>
          <w:color w:val="auto"/>
          <w:sz w:val="24"/>
          <w:highlight w:val="none"/>
        </w:rPr>
        <w:fldChar w:fldCharType="end"/>
      </w:r>
    </w:p>
    <w:p w14:paraId="4D71897D">
      <w:pPr>
        <w:pStyle w:val="205"/>
        <w:spacing w:line="360" w:lineRule="auto"/>
        <w:rPr>
          <w:rFonts w:ascii="宋体" w:hAnsi="宋体"/>
          <w:color w:val="auto"/>
          <w:highlight w:val="none"/>
        </w:rPr>
      </w:pPr>
      <w:r>
        <w:rPr>
          <w:rFonts w:hint="eastAsia" w:ascii="宋体" w:hAnsi="宋体"/>
          <w:color w:val="auto"/>
          <w:highlight w:val="none"/>
        </w:rPr>
        <w:t>财政部会同有关行业主管部门，分产品确定在中国境内生产的组件成本占比应当达到的规定比例。在分产品的中国境内生产的组件成本占比相关要求实施前，符合《国务院办公厅关于在政府采购中实施本国产品标准及相关政策的通知》第一条第（一）项条件的产品在政府采购活动中视同本国产品。</w:t>
      </w:r>
    </w:p>
    <w:p w14:paraId="17B469E9">
      <w:pPr>
        <w:pStyle w:val="205"/>
        <w:spacing w:line="360" w:lineRule="auto"/>
        <w:rPr>
          <w:rFonts w:ascii="宋体" w:hAnsi="宋体"/>
          <w:color w:val="auto"/>
          <w:highlight w:val="none"/>
        </w:rPr>
      </w:pPr>
      <w:r>
        <w:rPr>
          <w:rFonts w:hint="eastAsia" w:ascii="宋体" w:hAnsi="宋体"/>
          <w:color w:val="auto"/>
          <w:highlight w:val="none"/>
        </w:rPr>
        <w:t>政府采购活动中既有本国产品又有非本国产品参与竞争的，依法对本国产品给予价格评审优惠，对本国产品的报价给予20%的价格扣除，用扣除后的价格参与评审。</w:t>
      </w:r>
    </w:p>
    <w:p w14:paraId="7F4FDFE4">
      <w:pPr>
        <w:pStyle w:val="205"/>
        <w:spacing w:line="360" w:lineRule="auto"/>
        <w:rPr>
          <w:rFonts w:ascii="宋体" w:hAnsi="宋体"/>
          <w:color w:val="auto"/>
          <w:highlight w:val="none"/>
        </w:rPr>
      </w:pPr>
      <w:r>
        <w:rPr>
          <w:rFonts w:hint="eastAsia" w:ascii="宋体" w:hAnsi="宋体"/>
          <w:color w:val="auto"/>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64D1C46">
      <w:pPr>
        <w:spacing w:line="360" w:lineRule="auto"/>
        <w:ind w:firstLine="420"/>
        <w:rPr>
          <w:rFonts w:ascii="宋体" w:hAnsi="宋体" w:cs="宋体"/>
          <w:color w:val="auto"/>
          <w:szCs w:val="21"/>
          <w:highlight w:val="none"/>
        </w:rPr>
      </w:pPr>
    </w:p>
    <w:p w14:paraId="47427961">
      <w:pPr>
        <w:spacing w:line="360" w:lineRule="auto"/>
        <w:ind w:left="1" w:firstLine="417"/>
        <w:jc w:val="center"/>
        <w:rPr>
          <w:rFonts w:ascii="宋体" w:hAnsi="宋体"/>
          <w:color w:val="auto"/>
          <w:highlight w:val="none"/>
        </w:rPr>
      </w:pPr>
    </w:p>
    <w:p w14:paraId="5C3750CF">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二、谈判文件</w:t>
      </w:r>
    </w:p>
    <w:p w14:paraId="5123F57B">
      <w:pPr>
        <w:spacing w:line="360" w:lineRule="auto"/>
        <w:jc w:val="center"/>
        <w:rPr>
          <w:rFonts w:ascii="宋体" w:hAnsi="宋体"/>
          <w:color w:val="auto"/>
          <w:szCs w:val="21"/>
          <w:highlight w:val="none"/>
        </w:rPr>
      </w:pPr>
    </w:p>
    <w:p w14:paraId="6B8D592E">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8.谈判文件的构成</w:t>
      </w:r>
    </w:p>
    <w:p w14:paraId="28A33053">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（1）竞争性谈判公告；</w:t>
      </w:r>
    </w:p>
    <w:p w14:paraId="1781A850">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 xml:space="preserve">（2）供应商须知； </w:t>
      </w:r>
    </w:p>
    <w:p w14:paraId="6422B577">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（3）采购需求；</w:t>
      </w:r>
    </w:p>
    <w:p w14:paraId="22987D1C">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（4）响应文件格式</w:t>
      </w:r>
    </w:p>
    <w:p w14:paraId="4F045DB5">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（5）合同文本；</w:t>
      </w:r>
    </w:p>
    <w:p w14:paraId="758BCDFB">
      <w:pPr>
        <w:spacing w:line="360" w:lineRule="auto"/>
        <w:ind w:firstLine="420"/>
        <w:jc w:val="left"/>
        <w:rPr>
          <w:rFonts w:ascii="宋体" w:hAnsi="宋体"/>
          <w:color w:val="auto"/>
          <w:szCs w:val="21"/>
          <w:highlight w:val="none"/>
        </w:rPr>
      </w:pPr>
      <w:r>
        <w:rPr>
          <w:rFonts w:hint="eastAsia" w:ascii="宋体" w:hAnsi="宋体"/>
          <w:color w:val="auto"/>
          <w:szCs w:val="21"/>
          <w:highlight w:val="none"/>
        </w:rPr>
        <w:t>（6）评审程序和评定成交的标准；</w:t>
      </w:r>
    </w:p>
    <w:p w14:paraId="0F69FF3D">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9.供应商的询问</w:t>
      </w:r>
    </w:p>
    <w:p w14:paraId="70716DBF">
      <w:pPr>
        <w:spacing w:line="360" w:lineRule="auto"/>
        <w:ind w:firstLine="420"/>
        <w:rPr>
          <w:rFonts w:ascii="宋体" w:hAnsi="宋体"/>
          <w:color w:val="auto"/>
          <w:szCs w:val="21"/>
          <w:highlight w:val="none"/>
        </w:rPr>
      </w:pPr>
      <w:r>
        <w:rPr>
          <w:rFonts w:hint="eastAsia" w:ascii="宋体" w:hAnsi="宋体"/>
          <w:color w:val="auto"/>
          <w:szCs w:val="21"/>
          <w:highlight w:val="none"/>
        </w:rPr>
        <w:t>供应商应认真阅读谈判文件的采购需求，如供应商对谈判文件有疑问的，如要求采购人作出澄清或者修改的，供应商尽可能在</w:t>
      </w:r>
      <w:r>
        <w:rPr>
          <w:rFonts w:ascii="宋体" w:hAnsi="宋体"/>
          <w:color w:val="auto"/>
          <w:szCs w:val="21"/>
          <w:highlight w:val="none"/>
        </w:rPr>
        <w:t>提交首次响应文件截止之日前</w:t>
      </w:r>
      <w:r>
        <w:rPr>
          <w:rFonts w:hint="eastAsia" w:ascii="宋体" w:hAnsi="宋体"/>
          <w:color w:val="auto"/>
          <w:szCs w:val="21"/>
          <w:highlight w:val="none"/>
        </w:rPr>
        <w:t>，以书面形式向</w:t>
      </w:r>
      <w:r>
        <w:rPr>
          <w:rFonts w:ascii="宋体" w:hAnsi="宋体"/>
          <w:color w:val="auto"/>
          <w:szCs w:val="21"/>
          <w:highlight w:val="none"/>
        </w:rPr>
        <w:t>采购人、采购代理机构</w:t>
      </w:r>
      <w:r>
        <w:rPr>
          <w:rFonts w:hint="eastAsia" w:ascii="宋体" w:hAnsi="宋体"/>
          <w:color w:val="auto"/>
          <w:szCs w:val="21"/>
          <w:highlight w:val="none"/>
        </w:rPr>
        <w:t>提出。</w:t>
      </w:r>
    </w:p>
    <w:p w14:paraId="4A8C2721">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10.谈判文件的澄清和修改</w:t>
      </w:r>
    </w:p>
    <w:p w14:paraId="7DC608CF">
      <w:pPr>
        <w:spacing w:line="360" w:lineRule="auto"/>
        <w:ind w:firstLine="420"/>
        <w:rPr>
          <w:rFonts w:ascii="宋体" w:hAnsi="宋体"/>
          <w:color w:val="auto"/>
          <w:szCs w:val="21"/>
          <w:highlight w:val="none"/>
        </w:rPr>
      </w:pPr>
      <w:r>
        <w:rPr>
          <w:rFonts w:ascii="宋体" w:hAnsi="宋体"/>
          <w:color w:val="auto"/>
          <w:szCs w:val="21"/>
          <w:highlight w:val="none"/>
        </w:rPr>
        <w:t>提交首次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p>
    <w:p w14:paraId="314CD5A7">
      <w:pPr>
        <w:spacing w:line="360" w:lineRule="auto"/>
        <w:rPr>
          <w:rFonts w:ascii="宋体" w:hAnsi="宋体"/>
          <w:color w:val="auto"/>
          <w:szCs w:val="21"/>
          <w:highlight w:val="none"/>
        </w:rPr>
      </w:pPr>
    </w:p>
    <w:p w14:paraId="6BAD233C">
      <w:pPr>
        <w:spacing w:line="360" w:lineRule="auto"/>
        <w:jc w:val="center"/>
        <w:rPr>
          <w:rFonts w:ascii="宋体" w:hAnsi="宋体"/>
          <w:b/>
          <w:color w:val="auto"/>
          <w:szCs w:val="21"/>
          <w:highlight w:val="none"/>
        </w:rPr>
      </w:pPr>
      <w:r>
        <w:rPr>
          <w:rFonts w:hint="eastAsia" w:ascii="宋体" w:hAnsi="宋体"/>
          <w:b/>
          <w:color w:val="auto"/>
          <w:sz w:val="32"/>
          <w:szCs w:val="32"/>
          <w:highlight w:val="none"/>
        </w:rPr>
        <w:t>三、响应文件的编制</w:t>
      </w:r>
    </w:p>
    <w:p w14:paraId="6C2D9E25">
      <w:pPr>
        <w:spacing w:line="360" w:lineRule="auto"/>
        <w:rPr>
          <w:rFonts w:ascii="宋体" w:hAnsi="宋体"/>
          <w:color w:val="auto"/>
          <w:szCs w:val="21"/>
          <w:highlight w:val="none"/>
        </w:rPr>
      </w:pPr>
    </w:p>
    <w:p w14:paraId="2D18DA44">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11.响应文件的编制原则</w:t>
      </w:r>
    </w:p>
    <w:p w14:paraId="2D7A410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供应商必须按照谈判文件的要求编制响应文件，并对其提交的响应文件的真实性、合法性承担法律责任。响应文件必须对谈判文件作出实质性响应。</w:t>
      </w:r>
    </w:p>
    <w:p w14:paraId="461DEA69">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12.响应文件的组成</w:t>
      </w:r>
    </w:p>
    <w:p w14:paraId="04B6867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2.1</w:t>
      </w:r>
      <w:r>
        <w:rPr>
          <w:rFonts w:hint="eastAsia" w:ascii="宋体" w:hAnsi="宋体" w:cs="宋体"/>
          <w:color w:val="auto"/>
          <w:szCs w:val="21"/>
          <w:highlight w:val="none"/>
        </w:rPr>
        <w:t>响应文件由资格证明文件、报价文件、商务技术文件三部分组成。</w:t>
      </w:r>
    </w:p>
    <w:p w14:paraId="6950CE7B">
      <w:pPr>
        <w:spacing w:line="360" w:lineRule="auto"/>
        <w:ind w:left="840" w:hanging="420"/>
        <w:rPr>
          <w:rFonts w:ascii="宋体" w:hAnsi="宋体" w:cs="宋体"/>
          <w:color w:val="auto"/>
          <w:szCs w:val="21"/>
          <w:highlight w:val="none"/>
        </w:rPr>
      </w:pPr>
      <w:r>
        <w:rPr>
          <w:rFonts w:hint="eastAsia" w:ascii="宋体" w:hAnsi="宋体" w:cs="宋体"/>
          <w:color w:val="auto"/>
          <w:szCs w:val="21"/>
          <w:highlight w:val="none"/>
        </w:rPr>
        <w:t>12.1</w:t>
      </w:r>
      <w:r>
        <w:rPr>
          <w:rFonts w:ascii="宋体" w:hAnsi="宋体" w:cs="宋体"/>
          <w:color w:val="auto"/>
          <w:szCs w:val="21"/>
          <w:highlight w:val="none"/>
        </w:rPr>
        <w:t>.1</w:t>
      </w:r>
      <w:r>
        <w:rPr>
          <w:rFonts w:hint="eastAsia" w:ascii="宋体" w:hAnsi="宋体" w:cs="宋体"/>
          <w:color w:val="auto"/>
          <w:szCs w:val="21"/>
          <w:highlight w:val="none"/>
        </w:rPr>
        <w:t>资格证明文件：详见“供应商须知前附表”</w:t>
      </w:r>
    </w:p>
    <w:p w14:paraId="5C0E2351">
      <w:pPr>
        <w:spacing w:line="360" w:lineRule="auto"/>
        <w:ind w:left="840" w:hanging="420"/>
        <w:rPr>
          <w:rFonts w:ascii="宋体" w:hAnsi="宋体" w:cs="宋体"/>
          <w:color w:val="auto"/>
          <w:szCs w:val="21"/>
          <w:highlight w:val="none"/>
        </w:rPr>
      </w:pPr>
      <w:r>
        <w:rPr>
          <w:rFonts w:hint="eastAsia" w:ascii="宋体" w:hAnsi="宋体" w:cs="宋体"/>
          <w:color w:val="auto"/>
          <w:szCs w:val="21"/>
          <w:highlight w:val="none"/>
        </w:rPr>
        <w:t>12.</w:t>
      </w:r>
      <w:r>
        <w:rPr>
          <w:rFonts w:ascii="宋体" w:hAnsi="宋体" w:cs="宋体"/>
          <w:color w:val="auto"/>
          <w:szCs w:val="21"/>
          <w:highlight w:val="none"/>
        </w:rPr>
        <w:t>1.</w:t>
      </w:r>
      <w:r>
        <w:rPr>
          <w:rFonts w:hint="eastAsia" w:ascii="宋体" w:hAnsi="宋体" w:cs="宋体"/>
          <w:color w:val="auto"/>
          <w:szCs w:val="21"/>
          <w:highlight w:val="none"/>
        </w:rPr>
        <w:t>2报价文件：详见“供应商须知前附表”</w:t>
      </w:r>
    </w:p>
    <w:p w14:paraId="256DC414">
      <w:pPr>
        <w:spacing w:line="360" w:lineRule="auto"/>
        <w:ind w:left="840" w:hanging="420"/>
        <w:rPr>
          <w:rFonts w:ascii="宋体" w:hAnsi="宋体" w:cs="宋体"/>
          <w:color w:val="auto"/>
          <w:szCs w:val="21"/>
          <w:highlight w:val="none"/>
        </w:rPr>
      </w:pPr>
      <w:r>
        <w:rPr>
          <w:rFonts w:hint="eastAsia" w:ascii="宋体" w:hAnsi="宋体" w:cs="宋体"/>
          <w:color w:val="auto"/>
          <w:szCs w:val="21"/>
          <w:highlight w:val="none"/>
        </w:rPr>
        <w:t>12.1.3商务技术文件：详见“供应商须知前附表”</w:t>
      </w:r>
    </w:p>
    <w:p w14:paraId="7F07EB15">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13.计量单位</w:t>
      </w:r>
    </w:p>
    <w:p w14:paraId="6DD2913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谈判文件已有明确规定的，使用谈判文件规定的计量单位；谈判文件没有规定的，应采用中华人民共和国法定计量单位，货币种类为人民币，否则视同未响应。</w:t>
      </w:r>
    </w:p>
    <w:p w14:paraId="4218FBB6">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14.竞标的风险</w:t>
      </w:r>
    </w:p>
    <w:p w14:paraId="537D592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供应商没有按照谈判文件要求提供全部资料，或者供应商没有对谈判文件在各方面作出实质性响应可能导致其响应文件按无效处理，是供应商应当考虑的风险。</w:t>
      </w:r>
    </w:p>
    <w:p w14:paraId="0AD1CD17">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15.竞标报价</w:t>
      </w:r>
    </w:p>
    <w:p w14:paraId="2DB5AD5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15.1竞标报价应按谈判文件中“竞标报价表”格式填写。</w:t>
      </w:r>
    </w:p>
    <w:p w14:paraId="2DC8C9F7">
      <w:pPr>
        <w:tabs>
          <w:tab w:val="left" w:pos="2492"/>
        </w:tabs>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15.2竞标报价的内容详见“供应商须知前附表”。</w:t>
      </w:r>
    </w:p>
    <w:p w14:paraId="0AF8C1E8">
      <w:pPr>
        <w:spacing w:line="360" w:lineRule="auto"/>
        <w:ind w:left="426"/>
        <w:rPr>
          <w:rFonts w:ascii="宋体" w:hAnsi="宋体" w:cs="宋体"/>
          <w:color w:val="auto"/>
          <w:szCs w:val="21"/>
          <w:highlight w:val="none"/>
        </w:rPr>
      </w:pPr>
      <w:r>
        <w:rPr>
          <w:rFonts w:hint="eastAsia" w:ascii="宋体" w:hAnsi="宋体" w:cs="宋体"/>
          <w:color w:val="auto"/>
          <w:szCs w:val="21"/>
          <w:highlight w:val="none"/>
        </w:rPr>
        <w:t>15.3竞标报价要求</w:t>
      </w:r>
    </w:p>
    <w:p w14:paraId="0433851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5.3.1</w:t>
      </w:r>
      <w:r>
        <w:rPr>
          <w:rFonts w:hint="eastAsia" w:ascii="宋体" w:hAnsi="宋体" w:cs="宋体"/>
          <w:color w:val="auto"/>
          <w:szCs w:val="21"/>
          <w:highlight w:val="none"/>
        </w:rPr>
        <w:t>供应商的竞标报价应符合以下要求，否则响应文件按无效响应处理：</w:t>
      </w:r>
    </w:p>
    <w:p w14:paraId="4785E32D">
      <w:pPr>
        <w:spacing w:line="360" w:lineRule="auto"/>
        <w:ind w:left="420"/>
        <w:rPr>
          <w:rFonts w:ascii="宋体" w:hAnsi="宋体" w:cs="宋体"/>
          <w:color w:val="auto"/>
          <w:szCs w:val="21"/>
          <w:highlight w:val="none"/>
        </w:rPr>
      </w:pPr>
      <w:r>
        <w:rPr>
          <w:rFonts w:hint="eastAsia" w:ascii="宋体" w:hAnsi="宋体" w:cs="宋体"/>
          <w:color w:val="auto"/>
          <w:szCs w:val="21"/>
          <w:highlight w:val="none"/>
        </w:rPr>
        <w:t>（1）供应商必须就“采购需求”中所竞标的每个分标的全部内容分别作完整唯一总价报价，</w:t>
      </w:r>
    </w:p>
    <w:p w14:paraId="7669200B">
      <w:pPr>
        <w:spacing w:line="360" w:lineRule="auto"/>
        <w:rPr>
          <w:rFonts w:ascii="宋体" w:hAnsi="宋体" w:cs="宋体"/>
          <w:color w:val="auto"/>
          <w:szCs w:val="21"/>
          <w:highlight w:val="none"/>
        </w:rPr>
      </w:pPr>
      <w:r>
        <w:rPr>
          <w:rFonts w:hint="eastAsia" w:ascii="宋体" w:hAnsi="宋体" w:cs="宋体"/>
          <w:color w:val="auto"/>
          <w:szCs w:val="21"/>
          <w:highlight w:val="none"/>
        </w:rPr>
        <w:t>不得存在漏项报价；</w:t>
      </w:r>
    </w:p>
    <w:p w14:paraId="39FF390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）供应商必须就所竞标的分标的单项内容作唯一报价。</w:t>
      </w:r>
    </w:p>
    <w:p w14:paraId="0F3AFB0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15.3.</w:t>
      </w:r>
      <w:r>
        <w:rPr>
          <w:rFonts w:ascii="宋体" w:hAnsi="宋体" w:cs="宋体"/>
          <w:color w:val="auto"/>
          <w:szCs w:val="21"/>
          <w:highlight w:val="none"/>
        </w:rPr>
        <w:t>2</w:t>
      </w:r>
      <w:r>
        <w:rPr>
          <w:rFonts w:hint="eastAsia" w:ascii="宋体" w:hAnsi="宋体" w:cs="宋体"/>
          <w:color w:val="auto"/>
          <w:szCs w:val="21"/>
          <w:highlight w:val="none"/>
        </w:rPr>
        <w:t>竞标报价（包含首次报价、最后报价）超过所竞标分标规定的采购预算金额或者最高限价的，其响应文件将按无效处理。</w:t>
      </w:r>
    </w:p>
    <w:p w14:paraId="64BD6507">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15.3.</w:t>
      </w:r>
      <w:r>
        <w:rPr>
          <w:rFonts w:ascii="宋体" w:hAnsi="宋体" w:cs="宋体"/>
          <w:color w:val="auto"/>
          <w:szCs w:val="21"/>
          <w:highlight w:val="none"/>
        </w:rPr>
        <w:t>3</w:t>
      </w:r>
      <w:r>
        <w:rPr>
          <w:rFonts w:hint="eastAsia" w:ascii="宋体" w:hAnsi="宋体" w:cs="宋体"/>
          <w:color w:val="auto"/>
          <w:szCs w:val="21"/>
          <w:highlight w:val="none"/>
        </w:rPr>
        <w:t>竞标报价（包含首次报价、最后报价）超过分项采购预算金额或者最高限价的，其响应文件将按无效处理。</w:t>
      </w:r>
    </w:p>
    <w:p w14:paraId="50D9B8CD">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16.竞标有效期</w:t>
      </w:r>
    </w:p>
    <w:p w14:paraId="4B93629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16.1竞标有效期是指为保证采购人有足够的时间在提交响应文件后完成评审、确定成交供应商、合同签订等工作而要求供应商提交的响应文件在一定时间内保持有效的期限。</w:t>
      </w:r>
    </w:p>
    <w:p w14:paraId="703A3E0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16.2 竞标有效期应由供应商按“供应商须知前附表”规定的期限作出响应。</w:t>
      </w:r>
      <w:r>
        <w:rPr>
          <w:rFonts w:hint="eastAsia" w:ascii="宋体" w:hAnsi="宋体"/>
          <w:color w:val="auto"/>
          <w:szCs w:val="21"/>
          <w:highlight w:val="none"/>
        </w:rPr>
        <w:t>承诺的竞标有效期低于采购文件规定期限的，供应商的响应文件作无效处理。</w:t>
      </w:r>
    </w:p>
    <w:p w14:paraId="056B7AF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16.3供应商的响应文件在竞标有效期内均保持有效。</w:t>
      </w:r>
    </w:p>
    <w:p w14:paraId="07588A6E">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17.竞标保证金</w:t>
      </w:r>
    </w:p>
    <w:p w14:paraId="6AC362BE">
      <w:pPr>
        <w:spacing w:line="360" w:lineRule="auto"/>
        <w:ind w:left="420"/>
        <w:rPr>
          <w:rFonts w:ascii="宋体" w:hAnsi="宋体" w:cs="宋体"/>
          <w:color w:val="auto"/>
          <w:szCs w:val="21"/>
          <w:highlight w:val="none"/>
        </w:rPr>
      </w:pPr>
      <w:r>
        <w:rPr>
          <w:rFonts w:hint="eastAsia" w:ascii="宋体" w:hAnsi="宋体" w:cs="宋体"/>
          <w:color w:val="auto"/>
          <w:szCs w:val="21"/>
          <w:highlight w:val="none"/>
        </w:rPr>
        <w:t>17.1供应商须按“供应商须知前附表”的规定提交竞标保证金。</w:t>
      </w:r>
    </w:p>
    <w:p w14:paraId="64B0097C">
      <w:pPr>
        <w:spacing w:line="360" w:lineRule="auto"/>
        <w:ind w:left="420"/>
        <w:rPr>
          <w:rFonts w:ascii="宋体" w:hAnsi="宋体" w:cs="宋体"/>
          <w:color w:val="auto"/>
          <w:szCs w:val="21"/>
          <w:highlight w:val="none"/>
        </w:rPr>
      </w:pPr>
      <w:r>
        <w:rPr>
          <w:rFonts w:hint="eastAsia" w:ascii="宋体" w:hAnsi="宋体" w:cs="宋体"/>
          <w:color w:val="auto"/>
          <w:szCs w:val="21"/>
          <w:highlight w:val="none"/>
        </w:rPr>
        <w:t>17.2竞标保证金的退还</w:t>
      </w:r>
    </w:p>
    <w:p w14:paraId="5068BA8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未</w:t>
      </w:r>
      <w:r>
        <w:rPr>
          <w:rFonts w:hint="eastAsia" w:ascii="宋体" w:hAnsi="宋体" w:cs="宋体"/>
          <w:color w:val="auto"/>
          <w:spacing w:val="-6"/>
          <w:szCs w:val="21"/>
          <w:highlight w:val="none"/>
        </w:rPr>
        <w:t>成交供应商的竞标保证金自成交通知书发出之日起5个工作日内退还</w:t>
      </w:r>
      <w:r>
        <w:rPr>
          <w:rFonts w:hint="eastAsia" w:ascii="宋体" w:hAnsi="宋体"/>
          <w:color w:val="auto"/>
          <w:szCs w:val="21"/>
          <w:highlight w:val="none"/>
        </w:rPr>
        <w:t>；</w:t>
      </w:r>
      <w:r>
        <w:rPr>
          <w:rFonts w:hint="eastAsia" w:ascii="宋体" w:hAnsi="宋体" w:cs="宋体"/>
          <w:color w:val="auto"/>
          <w:szCs w:val="21"/>
          <w:highlight w:val="none"/>
        </w:rPr>
        <w:t xml:space="preserve">成交供应商的竞标保证金自签订合同之日起5个工作日内退还。 </w:t>
      </w:r>
    </w:p>
    <w:p w14:paraId="5CC9B1A0">
      <w:pPr>
        <w:spacing w:line="360" w:lineRule="auto"/>
        <w:ind w:left="420"/>
        <w:rPr>
          <w:rFonts w:ascii="宋体" w:hAnsi="宋体" w:cs="宋体"/>
          <w:color w:val="auto"/>
          <w:szCs w:val="21"/>
          <w:highlight w:val="none"/>
        </w:rPr>
      </w:pPr>
      <w:r>
        <w:rPr>
          <w:rFonts w:hint="eastAsia" w:ascii="宋体" w:hAnsi="宋体" w:cs="宋体"/>
          <w:color w:val="auto"/>
          <w:szCs w:val="21"/>
          <w:highlight w:val="none"/>
        </w:rPr>
        <w:t>17.3竞标保证金不计息。</w:t>
      </w:r>
    </w:p>
    <w:p w14:paraId="40B03160">
      <w:pPr>
        <w:spacing w:line="360" w:lineRule="auto"/>
        <w:ind w:left="420"/>
        <w:rPr>
          <w:rFonts w:ascii="宋体" w:hAnsi="宋体" w:cs="宋体"/>
          <w:color w:val="auto"/>
          <w:szCs w:val="21"/>
          <w:highlight w:val="none"/>
        </w:rPr>
      </w:pPr>
      <w:r>
        <w:rPr>
          <w:rFonts w:hint="eastAsia" w:ascii="宋体" w:hAnsi="宋体" w:cs="宋体"/>
          <w:color w:val="auto"/>
          <w:szCs w:val="21"/>
          <w:highlight w:val="none"/>
        </w:rPr>
        <w:t xml:space="preserve">17.4供应商有下列情形之一的，竞标保证金将不予退还： </w:t>
      </w:r>
    </w:p>
    <w:p w14:paraId="4262F915">
      <w:pPr>
        <w:spacing w:line="360" w:lineRule="auto"/>
        <w:ind w:left="420"/>
        <w:rPr>
          <w:rFonts w:ascii="宋体" w:hAnsi="宋体" w:cs="宋体"/>
          <w:color w:val="auto"/>
          <w:szCs w:val="21"/>
          <w:highlight w:val="none"/>
        </w:rPr>
      </w:pPr>
      <w:r>
        <w:rPr>
          <w:rFonts w:hint="eastAsia" w:ascii="宋体" w:hAnsi="宋体" w:cs="宋体"/>
          <w:color w:val="auto"/>
          <w:szCs w:val="21"/>
          <w:highlight w:val="none"/>
        </w:rPr>
        <w:t>（1）供应商在提交响应文件截止时间后撤回响应文件的；</w:t>
      </w:r>
    </w:p>
    <w:p w14:paraId="69FA5FDC">
      <w:pPr>
        <w:spacing w:line="360" w:lineRule="auto"/>
        <w:ind w:left="420"/>
        <w:rPr>
          <w:rFonts w:ascii="宋体" w:hAnsi="宋体" w:cs="宋体"/>
          <w:color w:val="auto"/>
          <w:szCs w:val="21"/>
          <w:highlight w:val="none"/>
        </w:rPr>
      </w:pPr>
      <w:r>
        <w:rPr>
          <w:rFonts w:hint="eastAsia" w:ascii="宋体" w:hAnsi="宋体"/>
          <w:color w:val="auto"/>
          <w:szCs w:val="21"/>
          <w:highlight w:val="none"/>
        </w:rPr>
        <w:t>（2）未按规定提交履约保证金的；</w:t>
      </w:r>
    </w:p>
    <w:p w14:paraId="453C74D5">
      <w:pPr>
        <w:spacing w:line="360" w:lineRule="auto"/>
        <w:ind w:left="420"/>
        <w:rPr>
          <w:rFonts w:ascii="宋体" w:hAnsi="宋体" w:cs="宋体"/>
          <w:color w:val="auto"/>
          <w:szCs w:val="21"/>
          <w:highlight w:val="none"/>
        </w:rPr>
      </w:pPr>
      <w:r>
        <w:rPr>
          <w:rFonts w:hint="eastAsia" w:ascii="宋体" w:hAnsi="宋体" w:cs="宋体"/>
          <w:color w:val="auto"/>
          <w:szCs w:val="21"/>
          <w:highlight w:val="none"/>
        </w:rPr>
        <w:t>（3）供应商在响应文件中提供虚假材料的；</w:t>
      </w:r>
    </w:p>
    <w:p w14:paraId="3B5AD72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（4）除因不可抗力或者谈判文件认可的情形以外，成交供应商不与采购人签订合同的；</w:t>
      </w:r>
    </w:p>
    <w:p w14:paraId="26FD1A2F">
      <w:pPr>
        <w:spacing w:line="360" w:lineRule="auto"/>
        <w:ind w:left="420"/>
        <w:rPr>
          <w:rFonts w:ascii="宋体" w:hAnsi="宋体" w:cs="宋体"/>
          <w:color w:val="auto"/>
          <w:szCs w:val="21"/>
          <w:highlight w:val="none"/>
        </w:rPr>
      </w:pPr>
      <w:r>
        <w:rPr>
          <w:rFonts w:hint="eastAsia" w:ascii="宋体" w:hAnsi="宋体" w:cs="宋体"/>
          <w:color w:val="auto"/>
          <w:szCs w:val="21"/>
          <w:highlight w:val="none"/>
        </w:rPr>
        <w:t>（5）供应商与采购人、其他供应商或者采购代理机构恶意串通的；</w:t>
      </w:r>
    </w:p>
    <w:p w14:paraId="56E25231">
      <w:pPr>
        <w:spacing w:line="360" w:lineRule="auto"/>
        <w:ind w:left="420"/>
        <w:rPr>
          <w:rFonts w:ascii="宋体" w:hAnsi="宋体" w:cs="宋体"/>
          <w:color w:val="auto"/>
          <w:szCs w:val="21"/>
          <w:highlight w:val="none"/>
        </w:rPr>
      </w:pPr>
      <w:r>
        <w:rPr>
          <w:rFonts w:hint="eastAsia" w:ascii="宋体" w:hAnsi="宋体" w:cs="宋体"/>
          <w:color w:val="auto"/>
          <w:szCs w:val="21"/>
          <w:highlight w:val="none"/>
        </w:rPr>
        <w:t>（6）法律法规规定的其他情形。</w:t>
      </w:r>
    </w:p>
    <w:p w14:paraId="437808D4">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18. 响应文件编制的要求</w:t>
      </w:r>
    </w:p>
    <w:p w14:paraId="6EF77D7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18.1供应商应按照本项目谈判文件规定的格式和顺序和广西政府采购云平台的要求编制并加密。响应文件内容不完整、编排混乱导致响应文件被误读、漏读或者查找不到相关内容的，由此引发的后果由供应商承担。</w:t>
      </w:r>
    </w:p>
    <w:p w14:paraId="2796016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18.2为确保网上操作合法、有效和安全，供应商应当在提交响应文件截止时间前完成在广西政府采购云平台的身份认证，确保在电子竞标过程中能够对相关数据电文进行加密和使用电子签章。</w:t>
      </w:r>
    </w:p>
    <w:p w14:paraId="40C0699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18.3响应文件须由供应商在规定位置签字、盖章（具体以供应商须知前附表或响应文件格式规定为准），否则按无效响应处理。</w:t>
      </w:r>
    </w:p>
    <w:p w14:paraId="309EAC67">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18.4响应文件中标注的供应商名称应与主体资格证明（如营业执照或者事业单位法人证书或者执业许可证或者登记证书等）及公章一致，供应商为自然人的，标注的供应商名称应与身份证姓名及签名一致，否则其响应文件按无效响应处理。</w:t>
      </w:r>
    </w:p>
    <w:p w14:paraId="5248C54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18.5响应文件应尽量避免涂改、行间插字或者删除。如果出现上述情况，改动之处应由供应商的法定代表人或者其委托代理人签字（或者电子签名）或者加盖公章或者加盖电子签章。响应文件因涂改、行间插字或者删除导致字迹潦草或者表达不清所引起的后果由供应商承担。</w:t>
      </w:r>
    </w:p>
    <w:p w14:paraId="4CC446A6">
      <w:pPr>
        <w:spacing w:line="360" w:lineRule="auto"/>
        <w:ind w:firstLine="482"/>
        <w:rPr>
          <w:rFonts w:ascii="黑体" w:hAnsi="黑体" w:eastAsia="黑体"/>
          <w:color w:val="auto"/>
          <w:sz w:val="24"/>
          <w:highlight w:val="none"/>
        </w:rPr>
      </w:pPr>
      <w:r>
        <w:rPr>
          <w:rFonts w:hint="eastAsia" w:ascii="黑体" w:hAnsi="黑体" w:eastAsia="黑体" w:cs="宋体"/>
          <w:b/>
          <w:bCs/>
          <w:color w:val="auto"/>
          <w:sz w:val="24"/>
          <w:highlight w:val="none"/>
        </w:rPr>
        <w:t>19.电子</w:t>
      </w:r>
      <w:r>
        <w:rPr>
          <w:rFonts w:hint="eastAsia" w:ascii="黑体" w:hAnsi="黑体" w:eastAsia="黑体"/>
          <w:b/>
          <w:color w:val="auto"/>
          <w:sz w:val="24"/>
          <w:highlight w:val="none"/>
        </w:rPr>
        <w:t>备份响应文件</w:t>
      </w:r>
    </w:p>
    <w:p w14:paraId="20D727B2">
      <w:pPr>
        <w:spacing w:line="360" w:lineRule="auto"/>
        <w:ind w:firstLine="420"/>
        <w:rPr>
          <w:rFonts w:ascii="黑体" w:hAnsi="黑体" w:eastAsia="黑体"/>
          <w:color w:val="auto"/>
          <w:sz w:val="24"/>
          <w:highlight w:val="none"/>
        </w:rPr>
      </w:pPr>
      <w:r>
        <w:rPr>
          <w:rFonts w:hint="eastAsia"/>
          <w:color w:val="auto"/>
          <w:highlight w:val="none"/>
        </w:rPr>
        <w:t>电子备份响应文件是指通过在线编制生成且后缀名为“</w:t>
      </w:r>
      <w:r>
        <w:rPr>
          <w:color w:val="auto"/>
          <w:highlight w:val="none"/>
        </w:rPr>
        <w:t>bfbs</w:t>
      </w:r>
      <w:r>
        <w:rPr>
          <w:rFonts w:hint="eastAsia"/>
          <w:color w:val="auto"/>
          <w:highlight w:val="none"/>
        </w:rPr>
        <w:t>”的文件，是否接受电子备份响应文件详见</w:t>
      </w:r>
      <w:r>
        <w:rPr>
          <w:rFonts w:hint="eastAsia" w:hAnsi="宋体"/>
          <w:bCs/>
          <w:color w:val="auto"/>
          <w:szCs w:val="21"/>
          <w:highlight w:val="none"/>
        </w:rPr>
        <w:t>“供应商须知前附表”。</w:t>
      </w:r>
    </w:p>
    <w:p w14:paraId="791AA5E3">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20.响应文件的提交</w:t>
      </w:r>
    </w:p>
    <w:p w14:paraId="0E5AE796">
      <w:pPr>
        <w:spacing w:line="360" w:lineRule="auto"/>
        <w:ind w:firstLine="420"/>
        <w:rPr>
          <w:rFonts w:hAnsi="宋体"/>
          <w:b/>
          <w:color w:val="auto"/>
          <w:highlight w:val="none"/>
        </w:rPr>
      </w:pPr>
      <w:r>
        <w:rPr>
          <w:rFonts w:hint="eastAsia" w:hAnsi="宋体"/>
          <w:bCs/>
          <w:color w:val="auto"/>
          <w:szCs w:val="21"/>
          <w:highlight w:val="none"/>
        </w:rPr>
        <w:t>20.1供应商必须按“供应商须知前附表”规定的</w:t>
      </w:r>
      <w:r>
        <w:rPr>
          <w:rFonts w:hint="eastAsia" w:ascii="宋体" w:hAnsi="宋体" w:cs="宋体"/>
          <w:color w:val="auto"/>
          <w:szCs w:val="21"/>
          <w:highlight w:val="none"/>
        </w:rPr>
        <w:t>时间</w:t>
      </w:r>
      <w:r>
        <w:rPr>
          <w:rFonts w:hint="eastAsia" w:ascii="宋体" w:hAnsi="宋体"/>
          <w:color w:val="auto"/>
          <w:szCs w:val="21"/>
          <w:highlight w:val="none"/>
        </w:rPr>
        <w:t>及</w:t>
      </w:r>
      <w:r>
        <w:rPr>
          <w:rFonts w:hint="eastAsia" w:hAnsi="宋体"/>
          <w:bCs/>
          <w:color w:val="auto"/>
          <w:szCs w:val="21"/>
          <w:highlight w:val="none"/>
        </w:rPr>
        <w:t>地点提交响应文件。电子响应文件应在制作完成后，</w:t>
      </w:r>
      <w:r>
        <w:rPr>
          <w:rFonts w:hAnsi="宋体"/>
          <w:bCs/>
          <w:color w:val="auto"/>
          <w:szCs w:val="21"/>
          <w:highlight w:val="none"/>
        </w:rPr>
        <w:t>在</w:t>
      </w:r>
      <w:r>
        <w:rPr>
          <w:rFonts w:hint="eastAsia" w:hAnsi="宋体"/>
          <w:bCs/>
          <w:color w:val="auto"/>
          <w:szCs w:val="21"/>
          <w:highlight w:val="none"/>
        </w:rPr>
        <w:t>提交响应文件截止</w:t>
      </w:r>
      <w:r>
        <w:rPr>
          <w:rFonts w:hAnsi="宋体"/>
          <w:bCs/>
          <w:color w:val="auto"/>
          <w:szCs w:val="21"/>
          <w:highlight w:val="none"/>
        </w:rPr>
        <w:t>时间前</w:t>
      </w:r>
      <w:r>
        <w:rPr>
          <w:rFonts w:hint="eastAsia" w:hAnsi="宋体"/>
          <w:bCs/>
          <w:color w:val="auto"/>
          <w:szCs w:val="21"/>
          <w:highlight w:val="none"/>
        </w:rPr>
        <w:t>通过有效数字证书（CA认证锁）进行电子签章、加密，然后通过网络将加密的电子响应文件提交至</w:t>
      </w:r>
      <w:r>
        <w:rPr>
          <w:rFonts w:hint="eastAsia" w:ascii="宋体" w:hAnsi="宋体"/>
          <w:color w:val="auto"/>
          <w:szCs w:val="21"/>
          <w:highlight w:val="none"/>
        </w:rPr>
        <w:t>广西政府采购云平台</w:t>
      </w:r>
      <w:r>
        <w:rPr>
          <w:rFonts w:hint="eastAsia" w:hAnsi="宋体"/>
          <w:bCs/>
          <w:color w:val="auto"/>
          <w:szCs w:val="21"/>
          <w:highlight w:val="none"/>
        </w:rPr>
        <w:t xml:space="preserve">。 </w:t>
      </w:r>
      <w:r>
        <w:rPr>
          <w:rFonts w:hint="eastAsia" w:hAnsi="宋体"/>
          <w:b/>
          <w:color w:val="auto"/>
          <w:highlight w:val="none"/>
        </w:rPr>
        <w:t xml:space="preserve"> </w:t>
      </w:r>
    </w:p>
    <w:p w14:paraId="50730B2E">
      <w:pPr>
        <w:spacing w:line="360" w:lineRule="auto"/>
        <w:ind w:firstLine="422"/>
        <w:rPr>
          <w:rFonts w:ascii="宋体" w:hAnsi="宋体"/>
          <w:b/>
          <w:color w:val="auto"/>
          <w:szCs w:val="20"/>
          <w:highlight w:val="none"/>
        </w:rPr>
      </w:pPr>
      <w:r>
        <w:rPr>
          <w:rFonts w:hint="eastAsia" w:ascii="宋体" w:hAnsi="宋体"/>
          <w:b/>
          <w:color w:val="auto"/>
          <w:szCs w:val="21"/>
          <w:highlight w:val="none"/>
        </w:rPr>
        <w:t>20.</w:t>
      </w:r>
      <w:r>
        <w:rPr>
          <w:rFonts w:ascii="宋体" w:hAnsi="宋体"/>
          <w:b/>
          <w:color w:val="auto"/>
          <w:szCs w:val="21"/>
          <w:highlight w:val="none"/>
        </w:rPr>
        <w:t>2</w:t>
      </w:r>
      <w:r>
        <w:rPr>
          <w:rFonts w:hint="eastAsia" w:ascii="宋体" w:hAnsi="宋体"/>
          <w:b/>
          <w:color w:val="auto"/>
          <w:szCs w:val="21"/>
          <w:highlight w:val="none"/>
        </w:rPr>
        <w:t>未在规定时间内提交或者未按照谈判文件要求加密的电子响应文件，广西政府采购云平台将拒收。</w:t>
      </w:r>
    </w:p>
    <w:p w14:paraId="6880CB8F">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21.首次响应文件的补充、修改与撤回</w:t>
      </w:r>
    </w:p>
    <w:p w14:paraId="300E23B6">
      <w:pPr>
        <w:spacing w:line="360" w:lineRule="auto"/>
        <w:ind w:firstLine="420"/>
        <w:jc w:val="left"/>
        <w:rPr>
          <w:rFonts w:ascii="宋体" w:hAnsi="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1.1</w:t>
      </w:r>
      <w:r>
        <w:rPr>
          <w:rFonts w:hint="eastAsia" w:ascii="宋体" w:hAnsi="宋体"/>
          <w:bCs/>
          <w:color w:val="auto"/>
          <w:szCs w:val="21"/>
          <w:highlight w:val="none"/>
        </w:rPr>
        <w:t>供应商应当在</w:t>
      </w:r>
      <w:r>
        <w:rPr>
          <w:rFonts w:hint="eastAsia" w:hAnsi="宋体"/>
          <w:bCs/>
          <w:color w:val="auto"/>
          <w:szCs w:val="21"/>
          <w:highlight w:val="none"/>
        </w:rPr>
        <w:t>提交响应文件截止</w:t>
      </w:r>
      <w:r>
        <w:rPr>
          <w:rFonts w:hAnsi="宋体"/>
          <w:bCs/>
          <w:color w:val="auto"/>
          <w:szCs w:val="21"/>
          <w:highlight w:val="none"/>
        </w:rPr>
        <w:t>时间</w:t>
      </w:r>
      <w:r>
        <w:rPr>
          <w:rFonts w:hint="eastAsia" w:ascii="宋体" w:hAnsi="宋体"/>
          <w:bCs/>
          <w:color w:val="auto"/>
          <w:szCs w:val="21"/>
          <w:highlight w:val="none"/>
        </w:rPr>
        <w:t>前完成电子响应文件的提交（上传），</w:t>
      </w:r>
      <w:r>
        <w:rPr>
          <w:rFonts w:hint="eastAsia" w:hAnsi="宋体"/>
          <w:bCs/>
          <w:color w:val="auto"/>
          <w:szCs w:val="21"/>
          <w:highlight w:val="none"/>
        </w:rPr>
        <w:t>提交响应文件截止</w:t>
      </w:r>
      <w:r>
        <w:rPr>
          <w:rFonts w:hAnsi="宋体"/>
          <w:bCs/>
          <w:color w:val="auto"/>
          <w:szCs w:val="21"/>
          <w:highlight w:val="none"/>
        </w:rPr>
        <w:t>时间</w:t>
      </w:r>
      <w:r>
        <w:rPr>
          <w:rFonts w:hint="eastAsia" w:hAnsi="宋体"/>
          <w:bCs/>
          <w:color w:val="auto"/>
          <w:szCs w:val="21"/>
          <w:highlight w:val="none"/>
        </w:rPr>
        <w:t>前</w:t>
      </w:r>
      <w:r>
        <w:rPr>
          <w:rFonts w:hint="eastAsia" w:ascii="宋体" w:hAnsi="宋体"/>
          <w:bCs/>
          <w:color w:val="auto"/>
          <w:szCs w:val="21"/>
          <w:highlight w:val="none"/>
        </w:rPr>
        <w:t>可以补充、修改或者撤回响应文件。补充或者修改响应文件的，应当先行撤回原响应文件，补充、修改后重新提交（上传），</w:t>
      </w:r>
      <w:r>
        <w:rPr>
          <w:rFonts w:hint="eastAsia" w:hAnsi="宋体"/>
          <w:bCs/>
          <w:color w:val="auto"/>
          <w:szCs w:val="21"/>
          <w:highlight w:val="none"/>
        </w:rPr>
        <w:t>提交响应文件截止</w:t>
      </w:r>
      <w:r>
        <w:rPr>
          <w:rFonts w:hAnsi="宋体"/>
          <w:bCs/>
          <w:color w:val="auto"/>
          <w:szCs w:val="21"/>
          <w:highlight w:val="none"/>
        </w:rPr>
        <w:t>时间</w:t>
      </w:r>
      <w:r>
        <w:rPr>
          <w:rFonts w:hint="eastAsia" w:hAnsi="宋体"/>
          <w:bCs/>
          <w:color w:val="auto"/>
          <w:szCs w:val="21"/>
          <w:highlight w:val="none"/>
        </w:rPr>
        <w:t>前</w:t>
      </w:r>
      <w:r>
        <w:rPr>
          <w:rFonts w:hint="eastAsia" w:ascii="宋体" w:hAnsi="宋体"/>
          <w:bCs/>
          <w:color w:val="auto"/>
          <w:szCs w:val="21"/>
          <w:highlight w:val="none"/>
        </w:rPr>
        <w:t>未完成提交（上传）的，视为撤回响应文件。</w:t>
      </w:r>
      <w:r>
        <w:rPr>
          <w:rFonts w:hint="eastAsia" w:hAnsi="宋体"/>
          <w:bCs/>
          <w:color w:val="auto"/>
          <w:szCs w:val="21"/>
          <w:highlight w:val="none"/>
        </w:rPr>
        <w:t>提交响应文件截止</w:t>
      </w:r>
      <w:r>
        <w:rPr>
          <w:rFonts w:hAnsi="宋体"/>
          <w:bCs/>
          <w:color w:val="auto"/>
          <w:szCs w:val="21"/>
          <w:highlight w:val="none"/>
        </w:rPr>
        <w:t>时间</w:t>
      </w:r>
      <w:r>
        <w:rPr>
          <w:rFonts w:hint="eastAsia" w:ascii="宋体" w:hAnsi="宋体"/>
          <w:bCs/>
          <w:color w:val="auto"/>
          <w:szCs w:val="21"/>
          <w:highlight w:val="none"/>
        </w:rPr>
        <w:t>以后提交（上传）的响应文件，广西政府采购云平台将予以拒收。</w:t>
      </w:r>
      <w:r>
        <w:rPr>
          <w:rFonts w:hint="eastAsia" w:ascii="宋体" w:hAnsi="宋体" w:cs="宋体"/>
          <w:color w:val="auto"/>
          <w:szCs w:val="21"/>
          <w:highlight w:val="none"/>
        </w:rPr>
        <w:t>（补充、修改或者撤回方式可</w:t>
      </w:r>
      <w:r>
        <w:rPr>
          <w:rFonts w:hint="eastAsia" w:ascii="宋体" w:hAnsi="宋体"/>
          <w:color w:val="auto"/>
          <w:szCs w:val="21"/>
          <w:highlight w:val="none"/>
        </w:rPr>
        <w:t>登录</w:t>
      </w:r>
      <w:r>
        <w:rPr>
          <w:rFonts w:hint="eastAsia" w:ascii="宋体" w:hAnsi="宋体" w:cs="宋体"/>
          <w:color w:val="auto"/>
          <w:szCs w:val="21"/>
          <w:highlight w:val="none"/>
        </w:rPr>
        <w:t>广西政府采购云平台，</w:t>
      </w:r>
      <w:r>
        <w:rPr>
          <w:rFonts w:hint="eastAsia" w:ascii="宋体" w:hAnsi="宋体"/>
          <w:color w:val="auto"/>
          <w:szCs w:val="21"/>
          <w:highlight w:val="none"/>
        </w:rPr>
        <w:t>进入“服务中心”中查看</w:t>
      </w:r>
      <w:r>
        <w:rPr>
          <w:rFonts w:hint="eastAsia" w:ascii="宋体" w:hAnsi="宋体" w:cs="宋体"/>
          <w:color w:val="auto"/>
          <w:szCs w:val="21"/>
          <w:highlight w:val="none"/>
        </w:rPr>
        <w:t xml:space="preserve"> “电子响应文件制作与投送教程”）</w:t>
      </w:r>
    </w:p>
    <w:p w14:paraId="297CD323">
      <w:pPr>
        <w:pStyle w:val="242"/>
        <w:spacing w:before="0"/>
        <w:ind w:firstLine="420"/>
        <w:rPr>
          <w:rFonts w:ascii="宋体" w:hAnsi="宋体" w:cs="宋体"/>
          <w:color w:val="auto"/>
          <w:sz w:val="21"/>
          <w:szCs w:val="21"/>
          <w:highlight w:val="none"/>
        </w:rPr>
      </w:pPr>
      <w:r>
        <w:rPr>
          <w:rFonts w:ascii="宋体" w:hAnsi="宋体" w:cs="宋体"/>
          <w:color w:val="auto"/>
          <w:sz w:val="21"/>
          <w:szCs w:val="21"/>
          <w:highlight w:val="none"/>
        </w:rPr>
        <w:t>2</w:t>
      </w:r>
      <w:r>
        <w:rPr>
          <w:rFonts w:hint="eastAsia" w:ascii="宋体" w:hAnsi="宋体" w:cs="宋体"/>
          <w:color w:val="auto"/>
          <w:sz w:val="21"/>
          <w:szCs w:val="21"/>
          <w:highlight w:val="none"/>
        </w:rPr>
        <w:t>1</w:t>
      </w:r>
      <w:r>
        <w:rPr>
          <w:rFonts w:ascii="宋体" w:hAnsi="宋体" w:cs="宋体"/>
          <w:color w:val="auto"/>
          <w:sz w:val="21"/>
          <w:szCs w:val="21"/>
          <w:highlight w:val="none"/>
        </w:rPr>
        <w:t>.</w:t>
      </w:r>
      <w:r>
        <w:rPr>
          <w:rFonts w:hint="eastAsia" w:ascii="宋体" w:hAnsi="宋体" w:cs="宋体"/>
          <w:color w:val="auto"/>
          <w:sz w:val="21"/>
          <w:szCs w:val="21"/>
          <w:highlight w:val="none"/>
        </w:rPr>
        <w:t>2在提交响应文件截止时间前，除供应商补充、修改或者撤回响应文件外，任何单位和个人不得解密或提取响应文件。</w:t>
      </w:r>
    </w:p>
    <w:p w14:paraId="34BCAD46">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22.响应文件的退回</w:t>
      </w:r>
    </w:p>
    <w:p w14:paraId="45501BD0">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采购人和采购代理机构对已提交的响应文件概不退回。</w:t>
      </w:r>
    </w:p>
    <w:p w14:paraId="2D47DC0C">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23.截止时间后的撤回</w:t>
      </w:r>
    </w:p>
    <w:p w14:paraId="38D177E6">
      <w:pPr>
        <w:spacing w:line="360" w:lineRule="auto"/>
        <w:ind w:firstLine="420"/>
        <w:rPr>
          <w:rFonts w:ascii="宋体" w:hAnsi="宋体"/>
          <w:color w:val="auto"/>
          <w:szCs w:val="21"/>
          <w:highlight w:val="none"/>
        </w:rPr>
      </w:pPr>
      <w:r>
        <w:rPr>
          <w:rFonts w:hint="eastAsia" w:ascii="宋体" w:hAnsi="宋体" w:cs="宋体"/>
          <w:color w:val="auto"/>
          <w:szCs w:val="21"/>
          <w:highlight w:val="none"/>
        </w:rPr>
        <w:t>供应商在响应文件提交截止时间后向采购人、采购代理机构书面申请撤回响应文件的，将根据本须知正文第17.4条的规定不予退还其竞标保证金。</w:t>
      </w:r>
    </w:p>
    <w:p w14:paraId="56F18D97">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四、评审及谈判</w:t>
      </w:r>
    </w:p>
    <w:p w14:paraId="0BD1CE4C">
      <w:pPr>
        <w:spacing w:line="360" w:lineRule="auto"/>
        <w:ind w:left="420" w:firstLine="420"/>
        <w:rPr>
          <w:rFonts w:ascii="宋体" w:hAnsi="宋体"/>
          <w:color w:val="auto"/>
          <w:szCs w:val="21"/>
          <w:highlight w:val="none"/>
        </w:rPr>
      </w:pPr>
    </w:p>
    <w:p w14:paraId="0AE3F76E">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24.谈判小组成立</w:t>
      </w:r>
    </w:p>
    <w:p w14:paraId="6697E4D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24.1谈判小组由采购人代表和评审专家共3人以上单数组成，具体人数详见“供应商须知前附表”，其中评审专家人数不得少于竞争性谈判小组成员总数的2/3。采购人不得以评审专家身份参加本部门或者本单位采购项目的评审。采购代理机构人员不得参加本机构代理的采购项目的评审。达到公开招标数额标准的货物或者服务采购项目，或者达到招标规模标准的政府采购工程，竞争性谈判小组应当由5人以上单数组成。</w:t>
      </w:r>
    </w:p>
    <w:p w14:paraId="6C32060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24.2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p>
    <w:p w14:paraId="561F4903">
      <w:pPr>
        <w:spacing w:line="360" w:lineRule="auto"/>
        <w:ind w:firstLine="420"/>
        <w:rPr>
          <w:rFonts w:hAnsi="宋体"/>
          <w:bCs/>
          <w:color w:val="auto"/>
          <w:szCs w:val="21"/>
          <w:highlight w:val="none"/>
        </w:rPr>
      </w:pPr>
      <w:r>
        <w:rPr>
          <w:rFonts w:hint="eastAsia" w:ascii="宋体" w:hAnsi="宋体" w:cs="宋体"/>
          <w:color w:val="auto"/>
          <w:szCs w:val="21"/>
          <w:highlight w:val="none"/>
        </w:rPr>
        <w:t>24.3</w:t>
      </w:r>
      <w:r>
        <w:rPr>
          <w:rFonts w:hint="eastAsia" w:hAnsi="宋体"/>
          <w:bCs/>
          <w:color w:val="auto"/>
          <w:szCs w:val="21"/>
          <w:highlight w:val="none"/>
        </w:rPr>
        <w:t>采购代理机构</w:t>
      </w:r>
      <w:r>
        <w:rPr>
          <w:rFonts w:hint="eastAsia" w:hAnsi="宋体"/>
          <w:bCs/>
          <w:color w:val="auto"/>
          <w:highlight w:val="none"/>
        </w:rPr>
        <w:t>应当</w:t>
      </w:r>
      <w:r>
        <w:rPr>
          <w:rFonts w:hint="eastAsia" w:hAnsi="宋体"/>
          <w:bCs/>
          <w:color w:val="auto"/>
          <w:szCs w:val="21"/>
          <w:highlight w:val="none"/>
        </w:rPr>
        <w:t>基于广西政府采购云平台</w:t>
      </w:r>
      <w:r>
        <w:rPr>
          <w:rFonts w:hint="eastAsia" w:hAnsi="宋体"/>
          <w:bCs/>
          <w:color w:val="auto"/>
          <w:highlight w:val="none"/>
        </w:rPr>
        <w:t>抽（选）取</w:t>
      </w:r>
      <w:r>
        <w:rPr>
          <w:rFonts w:hint="eastAsia" w:hAnsi="宋体"/>
          <w:bCs/>
          <w:color w:val="auto"/>
          <w:szCs w:val="21"/>
          <w:highlight w:val="none"/>
        </w:rPr>
        <w:t>评审专家。</w:t>
      </w:r>
    </w:p>
    <w:p w14:paraId="0940D0B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24.4参加过采购项目前期咨询论证的专家，不得参加该采购项目的评审活动。</w:t>
      </w:r>
    </w:p>
    <w:p w14:paraId="16946B34">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25.</w:t>
      </w:r>
      <w:r>
        <w:rPr>
          <w:rFonts w:hint="eastAsia" w:ascii="黑体" w:hAnsi="黑体" w:eastAsia="黑体" w:cs="宋体"/>
          <w:b/>
          <w:bCs/>
          <w:color w:val="auto"/>
          <w:sz w:val="24"/>
          <w:highlight w:val="none"/>
        </w:rPr>
        <w:t xml:space="preserve"> 首次响应文件的开启和解密</w:t>
      </w:r>
    </w:p>
    <w:p w14:paraId="56E1787D">
      <w:pPr>
        <w:spacing w:line="360" w:lineRule="auto"/>
        <w:ind w:firstLine="420"/>
        <w:rPr>
          <w:rFonts w:ascii="黑体" w:hAnsi="黑体" w:eastAsia="黑体" w:cs="宋体"/>
          <w:b/>
          <w:bCs/>
          <w:color w:val="auto"/>
          <w:sz w:val="24"/>
          <w:highlight w:val="none"/>
        </w:rPr>
      </w:pPr>
      <w:r>
        <w:rPr>
          <w:rFonts w:hint="eastAsia" w:hAnsi="宋体"/>
          <w:bCs/>
          <w:color w:val="auto"/>
          <w:highlight w:val="none"/>
        </w:rPr>
        <w:t>采购代理机构将在“供应商须知前附表”规定的时</w:t>
      </w:r>
      <w:r>
        <w:rPr>
          <w:rFonts w:hint="eastAsia" w:hAnsi="宋体"/>
          <w:color w:val="auto"/>
          <w:highlight w:val="none"/>
        </w:rPr>
        <w:t>间通过电子交易平台组织响应文件开启，供应商的法定代表人或其委托代理人须携带加密时所用的CA锁，按平台提示和谈判文件的规定登录到广西政府采购云平台电子开标大厅签到，</w:t>
      </w:r>
      <w:r>
        <w:rPr>
          <w:rFonts w:hint="eastAsia"/>
          <w:color w:val="auto"/>
          <w:highlight w:val="none"/>
        </w:rPr>
        <w:t>采购代理机构依托广西政府采购云平台向各供应商发出电子加密响应文件【开始解密】通知，由供应商按</w:t>
      </w:r>
      <w:r>
        <w:rPr>
          <w:rFonts w:hint="eastAsia" w:hAnsi="宋体"/>
          <w:bCs/>
          <w:color w:val="auto"/>
          <w:szCs w:val="21"/>
          <w:highlight w:val="none"/>
        </w:rPr>
        <w:t>“供应商须知前附表”</w:t>
      </w:r>
      <w:r>
        <w:rPr>
          <w:rFonts w:hint="eastAsia"/>
          <w:color w:val="auto"/>
          <w:highlight w:val="none"/>
        </w:rPr>
        <w:t>规定的时间内自行进行响应文件解密</w:t>
      </w:r>
      <w:r>
        <w:rPr>
          <w:rFonts w:hint="eastAsia" w:hAnsi="宋体"/>
          <w:color w:val="auto"/>
          <w:highlight w:val="none"/>
        </w:rPr>
        <w:t>。</w:t>
      </w:r>
      <w:r>
        <w:rPr>
          <w:rFonts w:hint="eastAsia"/>
          <w:b/>
          <w:color w:val="auto"/>
          <w:highlight w:val="none"/>
        </w:rPr>
        <w:t>供应商未在</w:t>
      </w:r>
      <w:r>
        <w:rPr>
          <w:b/>
          <w:color w:val="auto"/>
          <w:highlight w:val="none"/>
        </w:rPr>
        <w:t>规定的时间内解密</w:t>
      </w:r>
      <w:r>
        <w:rPr>
          <w:rFonts w:hint="eastAsia"/>
          <w:b/>
          <w:color w:val="auto"/>
          <w:highlight w:val="none"/>
        </w:rPr>
        <w:t>响应文件</w:t>
      </w:r>
      <w:r>
        <w:rPr>
          <w:b/>
          <w:color w:val="auto"/>
          <w:highlight w:val="none"/>
        </w:rPr>
        <w:t>或</w:t>
      </w:r>
      <w:r>
        <w:rPr>
          <w:rFonts w:hint="eastAsia"/>
          <w:b/>
          <w:color w:val="auto"/>
          <w:highlight w:val="none"/>
        </w:rPr>
        <w:t>者</w:t>
      </w:r>
      <w:r>
        <w:rPr>
          <w:b/>
          <w:color w:val="auto"/>
          <w:highlight w:val="none"/>
        </w:rPr>
        <w:t>解密失败的</w:t>
      </w:r>
      <w:r>
        <w:rPr>
          <w:rFonts w:hint="eastAsia"/>
          <w:b/>
          <w:color w:val="auto"/>
          <w:highlight w:val="none"/>
        </w:rPr>
        <w:t>，供应商</w:t>
      </w:r>
      <w:r>
        <w:rPr>
          <w:rFonts w:hint="eastAsia" w:ascii="宋体" w:hAnsi="宋体"/>
          <w:b/>
          <w:color w:val="auto"/>
          <w:szCs w:val="21"/>
          <w:highlight w:val="none"/>
        </w:rPr>
        <w:t>的响应文件作无效处理</w:t>
      </w:r>
      <w:r>
        <w:rPr>
          <w:b/>
          <w:color w:val="auto"/>
          <w:highlight w:val="none"/>
        </w:rPr>
        <w:t>。</w:t>
      </w:r>
    </w:p>
    <w:p w14:paraId="22D84202">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26</w:t>
      </w:r>
      <w:r>
        <w:rPr>
          <w:rFonts w:hint="eastAsia" w:ascii="黑体" w:hAnsi="黑体" w:eastAsia="黑体" w:cs="宋体"/>
          <w:b/>
          <w:bCs/>
          <w:color w:val="auto"/>
          <w:sz w:val="24"/>
          <w:highlight w:val="none"/>
        </w:rPr>
        <w:t>. 评审程序和评定成交的标准</w:t>
      </w:r>
    </w:p>
    <w:p w14:paraId="5D68FE19">
      <w:pPr>
        <w:spacing w:line="360" w:lineRule="auto"/>
        <w:ind w:firstLine="420"/>
        <w:rPr>
          <w:color w:val="auto"/>
          <w:highlight w:val="none"/>
        </w:rPr>
      </w:pPr>
      <w:r>
        <w:rPr>
          <w:rFonts w:hint="eastAsia"/>
          <w:color w:val="auto"/>
          <w:highlight w:val="none"/>
        </w:rPr>
        <w:t>26.1谈判小组按照“第四章  评审程序和评定成交的标准”规定的评审程序对响应文件进行评审，并按照评定成交的标准推荐成交候选供应商。评审价相同时，成交候选供应商推荐顺序见</w:t>
      </w:r>
      <w:r>
        <w:rPr>
          <w:rFonts w:hint="eastAsia" w:ascii="宋体" w:hAnsi="宋体"/>
          <w:color w:val="auto"/>
          <w:szCs w:val="21"/>
          <w:highlight w:val="none"/>
        </w:rPr>
        <w:t>“供应商须知前附表”。</w:t>
      </w:r>
    </w:p>
    <w:p w14:paraId="1FE8E7D7">
      <w:pPr>
        <w:spacing w:line="360" w:lineRule="auto"/>
        <w:ind w:firstLine="420"/>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 xml:space="preserve">6.2 </w:t>
      </w:r>
      <w:r>
        <w:rPr>
          <w:rFonts w:hint="eastAsia" w:ascii="宋体" w:hAnsi="宋体"/>
          <w:color w:val="auto"/>
          <w:szCs w:val="21"/>
          <w:highlight w:val="none"/>
        </w:rPr>
        <w:t>商务/技术要求允许负偏离的条款数详见“供应商须知前附表”。</w:t>
      </w:r>
    </w:p>
    <w:p w14:paraId="4512E604">
      <w:pPr>
        <w:spacing w:line="360" w:lineRule="auto"/>
        <w:ind w:firstLine="420"/>
        <w:rPr>
          <w:rFonts w:ascii="宋体" w:hAnsi="宋体"/>
          <w:color w:val="auto"/>
          <w:szCs w:val="21"/>
          <w:highlight w:val="none"/>
        </w:rPr>
      </w:pPr>
      <w:r>
        <w:rPr>
          <w:rFonts w:hint="eastAsia" w:ascii="宋体" w:hAnsi="宋体" w:cs="宋体"/>
          <w:color w:val="auto"/>
          <w:highlight w:val="none"/>
        </w:rPr>
        <w:t>26.3谈判小组成员要依法独立评审，并对评审意见承担个人责任。谈判小组成员对需要共同认定的事项存在争议的，按照少数服从多数的原则做出结论。持不同意见的谈判小组成员应当在评审报告上签署不同意见并说明理由，否则视为同意。</w:t>
      </w:r>
    </w:p>
    <w:p w14:paraId="010F092A">
      <w:pPr>
        <w:spacing w:line="360" w:lineRule="auto"/>
        <w:ind w:firstLine="420"/>
        <w:rPr>
          <w:rFonts w:hAnsi="宋体"/>
          <w:color w:val="auto"/>
          <w:highlight w:val="none"/>
        </w:rPr>
      </w:pPr>
      <w:r>
        <w:rPr>
          <w:rFonts w:hint="eastAsia" w:ascii="宋体" w:hAnsi="宋体"/>
          <w:color w:val="auto"/>
          <w:highlight w:val="none"/>
        </w:rPr>
        <w:t>2</w:t>
      </w:r>
      <w:r>
        <w:rPr>
          <w:rFonts w:ascii="宋体" w:hAnsi="宋体"/>
          <w:color w:val="auto"/>
          <w:highlight w:val="none"/>
        </w:rPr>
        <w:t>6.</w:t>
      </w:r>
      <w:r>
        <w:rPr>
          <w:rFonts w:hint="eastAsia" w:ascii="宋体" w:hAnsi="宋体"/>
          <w:color w:val="auto"/>
          <w:highlight w:val="none"/>
        </w:rPr>
        <w:t>4</w:t>
      </w:r>
      <w:r>
        <w:rPr>
          <w:rFonts w:hint="eastAsia" w:hAnsi="宋体"/>
          <w:color w:val="auto"/>
          <w:highlight w:val="none"/>
        </w:rPr>
        <w:t>电子交易活动的中止。采购过程中出现以下情形，导致电子交易平台无法正常运行，或者无法保证电子交易的公平、公正和安全时，采购机构可中止电子交易活动：</w:t>
      </w:r>
    </w:p>
    <w:p w14:paraId="38DF3E57">
      <w:pPr>
        <w:spacing w:line="360" w:lineRule="auto"/>
        <w:ind w:firstLine="420"/>
        <w:rPr>
          <w:rFonts w:hAnsi="宋体"/>
          <w:color w:val="auto"/>
          <w:highlight w:val="none"/>
        </w:rPr>
      </w:pPr>
      <w:r>
        <w:rPr>
          <w:rFonts w:hint="eastAsia" w:hAnsi="宋体"/>
          <w:color w:val="auto"/>
          <w:highlight w:val="none"/>
        </w:rPr>
        <w:t xml:space="preserve">（1）电子交易平台发生故障而无法登录访问的； </w:t>
      </w:r>
    </w:p>
    <w:p w14:paraId="67675E47">
      <w:pPr>
        <w:spacing w:line="360" w:lineRule="auto"/>
        <w:ind w:firstLine="420"/>
        <w:rPr>
          <w:rFonts w:hAnsi="宋体"/>
          <w:color w:val="auto"/>
          <w:highlight w:val="none"/>
        </w:rPr>
      </w:pPr>
      <w:r>
        <w:rPr>
          <w:rFonts w:hint="eastAsia" w:hAnsi="宋体"/>
          <w:color w:val="auto"/>
          <w:highlight w:val="none"/>
        </w:rPr>
        <w:t>（2）电子交易平台应用或数据库出现错误，不能进行正常操作的；</w:t>
      </w:r>
    </w:p>
    <w:p w14:paraId="0398CAD3">
      <w:pPr>
        <w:spacing w:line="360" w:lineRule="auto"/>
        <w:ind w:firstLine="420"/>
        <w:rPr>
          <w:rFonts w:hAnsi="宋体"/>
          <w:color w:val="auto"/>
          <w:highlight w:val="none"/>
        </w:rPr>
      </w:pPr>
      <w:r>
        <w:rPr>
          <w:rFonts w:hint="eastAsia" w:hAnsi="宋体"/>
          <w:color w:val="auto"/>
          <w:highlight w:val="none"/>
        </w:rPr>
        <w:t>（3）电子交易平台发现严重安全漏洞，有潜在泄密危险的；</w:t>
      </w:r>
    </w:p>
    <w:p w14:paraId="17A9ABE4">
      <w:pPr>
        <w:spacing w:line="360" w:lineRule="auto"/>
        <w:ind w:firstLine="420"/>
        <w:rPr>
          <w:rFonts w:hAnsi="宋体"/>
          <w:color w:val="auto"/>
          <w:highlight w:val="none"/>
        </w:rPr>
      </w:pPr>
      <w:r>
        <w:rPr>
          <w:rFonts w:hint="eastAsia" w:hAnsi="宋体"/>
          <w:color w:val="auto"/>
          <w:highlight w:val="none"/>
        </w:rPr>
        <w:t xml:space="preserve">（4）病毒发作导致不能进行正常操作的； </w:t>
      </w:r>
    </w:p>
    <w:p w14:paraId="6333F5E2">
      <w:pPr>
        <w:spacing w:line="360" w:lineRule="auto"/>
        <w:ind w:firstLine="420"/>
        <w:rPr>
          <w:rFonts w:hAnsi="宋体"/>
          <w:color w:val="auto"/>
          <w:highlight w:val="none"/>
        </w:rPr>
      </w:pPr>
      <w:r>
        <w:rPr>
          <w:rFonts w:hint="eastAsia" w:hAnsi="宋体"/>
          <w:color w:val="auto"/>
          <w:highlight w:val="none"/>
        </w:rPr>
        <w:t>（5）其他无法保证电子交易的公平、公正和安全的情况。</w:t>
      </w:r>
    </w:p>
    <w:p w14:paraId="5B6CD7CF">
      <w:pPr>
        <w:spacing w:line="360" w:lineRule="auto"/>
        <w:ind w:firstLine="420"/>
        <w:rPr>
          <w:rFonts w:hAnsi="宋体"/>
          <w:color w:val="auto"/>
          <w:highlight w:val="none"/>
        </w:rPr>
      </w:pPr>
      <w:r>
        <w:rPr>
          <w:rFonts w:hint="eastAsia" w:ascii="宋体" w:hAnsi="宋体"/>
          <w:color w:val="auto"/>
          <w:highlight w:val="none"/>
        </w:rPr>
        <w:t>26.</w:t>
      </w:r>
      <w:r>
        <w:rPr>
          <w:rFonts w:ascii="宋体" w:hAnsi="宋体"/>
          <w:color w:val="auto"/>
          <w:highlight w:val="none"/>
        </w:rPr>
        <w:t>5</w:t>
      </w:r>
      <w:r>
        <w:rPr>
          <w:rFonts w:hint="eastAsia" w:hAnsi="宋体"/>
          <w:color w:val="auto"/>
          <w:highlight w:val="none"/>
        </w:rPr>
        <w:t>出现以上情形，不影响采购公平、公正性的，采购组织机构可以待上述情形消除后继续组织电子交易活动；影响或可能影响采购公平、公正性的，经采购代理机构确认，报采购人同意后，应当重新采购。采购代理机构必须对原有的资料及信息作出妥善保密处理，并报财政部门备案。</w:t>
      </w:r>
    </w:p>
    <w:p w14:paraId="79A011F0">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27</w:t>
      </w:r>
      <w:r>
        <w:rPr>
          <w:rFonts w:hint="eastAsia" w:ascii="黑体" w:hAnsi="黑体" w:eastAsia="黑体" w:cs="宋体"/>
          <w:b/>
          <w:bCs/>
          <w:color w:val="auto"/>
          <w:sz w:val="24"/>
          <w:highlight w:val="none"/>
        </w:rPr>
        <w:t>.确定成交供应商及结果公告</w:t>
      </w:r>
    </w:p>
    <w:p w14:paraId="0CDD1A0E">
      <w:pPr>
        <w:spacing w:line="360" w:lineRule="auto"/>
        <w:ind w:firstLine="420"/>
        <w:rPr>
          <w:rFonts w:ascii="宋体" w:hAnsi="宋体" w:cs="宋体"/>
          <w:color w:val="auto"/>
          <w:szCs w:val="21"/>
          <w:highlight w:val="none"/>
        </w:rPr>
      </w:pPr>
      <w:r>
        <w:rPr>
          <w:rFonts w:ascii="宋体" w:hAnsi="宋体" w:cs="宋体"/>
          <w:color w:val="auto"/>
          <w:szCs w:val="21"/>
          <w:highlight w:val="none"/>
        </w:rPr>
        <w:t>27</w:t>
      </w:r>
      <w:r>
        <w:rPr>
          <w:rFonts w:hint="eastAsia" w:ascii="宋体" w:hAnsi="宋体" w:cs="宋体"/>
          <w:color w:val="auto"/>
          <w:szCs w:val="21"/>
          <w:highlight w:val="none"/>
        </w:rPr>
        <w:t>.1 采购代理机构应当在评审结束后2个工作日内将评审报告送采购人确认。采购人应当在收到评审报告后5个工作日内，将评审报告提出的排名第一的成交候选人确定为成交供应商，也可以书面授权谈判小组直接确定成交供应商。采购人逾期未确定成交供应商且不提出异议的，视为确定评审报告提出的排名第一的成交候选人为成交供应商。</w:t>
      </w:r>
    </w:p>
    <w:p w14:paraId="193D33ED">
      <w:pPr>
        <w:spacing w:line="360" w:lineRule="auto"/>
        <w:ind w:firstLine="420"/>
        <w:contextualSpacing/>
        <w:rPr>
          <w:rFonts w:ascii="宋体" w:hAnsi="宋体" w:cs="Courier New"/>
          <w:color w:val="auto"/>
          <w:szCs w:val="21"/>
          <w:highlight w:val="none"/>
        </w:rPr>
      </w:pPr>
      <w:r>
        <w:rPr>
          <w:rFonts w:ascii="宋体" w:hAnsi="宋体" w:cs="宋体"/>
          <w:color w:val="auto"/>
          <w:szCs w:val="21"/>
          <w:highlight w:val="none"/>
        </w:rPr>
        <w:t>27</w:t>
      </w:r>
      <w:r>
        <w:rPr>
          <w:rFonts w:hint="eastAsia" w:ascii="宋体" w:hAnsi="宋体" w:cs="宋体"/>
          <w:color w:val="auto"/>
          <w:szCs w:val="21"/>
          <w:highlight w:val="none"/>
        </w:rPr>
        <w:t>.2采购代理机构应当在成交供应商确定后2个工作日内，在省级以上财政部门指定的媒体上公告成交结果，同时向成交供应商发出成交通知书。采购人或者采购代理机构发出成交通知书前，应当对成交供应商信用进行查询，对列入失信被执行人、重大税收违法失信主体、政府采购严重违法失信行为记录名单及其他不符合《中华人民共和国政府采购法》第二十二条规定条件的供应商，取消其成交资格，并确定排名第二的成交候选人为成交供应商。排名第二的成交候选人因上述规定的同样原因被取消成交资格的，采购人可以确定排名第三的成交候选人为成交供应商。以上信息查询记录及相关证据与谈判文件一并保存。</w:t>
      </w:r>
      <w:r>
        <w:rPr>
          <w:rFonts w:hint="eastAsia" w:ascii="宋体" w:hAnsi="宋体" w:cs="Courier New"/>
          <w:color w:val="auto"/>
          <w:szCs w:val="21"/>
          <w:highlight w:val="none"/>
        </w:rPr>
        <w:t xml:space="preserve">成交供应商享受《政府采购促进中小企业发展管理办法》（财库〔2020〕46号）规定的中小企业扶持政策的，采购人、采购代理机构应当随成交结果公开成交供应商的《中小企业声明函》。 </w:t>
      </w:r>
      <w:r>
        <w:rPr>
          <w:rFonts w:ascii="宋体" w:hAnsi="宋体" w:cs="Courier New"/>
          <w:color w:val="auto"/>
          <w:szCs w:val="21"/>
          <w:highlight w:val="none"/>
        </w:rPr>
        <w:t xml:space="preserve"> </w:t>
      </w:r>
    </w:p>
    <w:p w14:paraId="5BFDBE59">
      <w:pPr>
        <w:spacing w:line="360" w:lineRule="auto"/>
        <w:ind w:firstLine="420"/>
        <w:contextualSpacing/>
        <w:rPr>
          <w:rFonts w:ascii="宋体" w:hAnsi="宋体" w:cs="Courier New"/>
          <w:color w:val="auto"/>
          <w:szCs w:val="21"/>
          <w:highlight w:val="none"/>
        </w:rPr>
      </w:pPr>
      <w:r>
        <w:rPr>
          <w:rFonts w:ascii="宋体" w:hAnsi="宋体" w:cs="Courier New"/>
          <w:color w:val="auto"/>
          <w:szCs w:val="21"/>
          <w:highlight w:val="none"/>
        </w:rPr>
        <w:t>27</w:t>
      </w:r>
      <w:r>
        <w:rPr>
          <w:rFonts w:hint="eastAsia" w:ascii="宋体" w:hAnsi="宋体" w:cs="Courier New"/>
          <w:color w:val="auto"/>
          <w:szCs w:val="21"/>
          <w:highlight w:val="none"/>
        </w:rPr>
        <w:t>.3 采购人、采购代理机构应当随成交结果公开成交供应商的《关于符合本国产品标准的声明函》或有关证明文件。</w:t>
      </w:r>
    </w:p>
    <w:p w14:paraId="307C3F77">
      <w:pPr>
        <w:pStyle w:val="212"/>
        <w:spacing w:line="360" w:lineRule="auto"/>
        <w:ind w:firstLine="420"/>
        <w:rPr>
          <w:rFonts w:ascii="宋体" w:hAnsi="宋体"/>
          <w:bCs/>
          <w:color w:val="auto"/>
          <w:szCs w:val="21"/>
          <w:highlight w:val="none"/>
        </w:rPr>
      </w:pPr>
      <w:r>
        <w:rPr>
          <w:rFonts w:ascii="宋体" w:hAnsi="宋体" w:cs="Courier New"/>
          <w:color w:val="auto"/>
          <w:szCs w:val="21"/>
          <w:highlight w:val="none"/>
        </w:rPr>
        <w:t>27</w:t>
      </w:r>
      <w:r>
        <w:rPr>
          <w:rFonts w:hint="eastAsia" w:ascii="宋体" w:hAnsi="宋体" w:cs="Courier New"/>
          <w:color w:val="auto"/>
          <w:szCs w:val="21"/>
          <w:highlight w:val="none"/>
        </w:rPr>
        <w:t xml:space="preserve">.4 </w:t>
      </w:r>
      <w:r>
        <w:rPr>
          <w:rFonts w:hint="eastAsia" w:ascii="宋体" w:hAnsi="宋体"/>
          <w:bCs/>
          <w:color w:val="auto"/>
          <w:szCs w:val="21"/>
          <w:highlight w:val="none"/>
        </w:rPr>
        <w:t>出现下列情形之一的，采购人或者采购代理机构应当终止竞争性谈判采购活动，发布项目终止公告并说明原因，重新开展采购活动：</w:t>
      </w:r>
    </w:p>
    <w:p w14:paraId="299B779F">
      <w:pPr>
        <w:pStyle w:val="212"/>
        <w:spacing w:line="360" w:lineRule="auto"/>
        <w:ind w:firstLine="420"/>
        <w:rPr>
          <w:rFonts w:ascii="宋体" w:hAnsi="宋体"/>
          <w:bCs/>
          <w:color w:val="auto"/>
          <w:szCs w:val="21"/>
          <w:highlight w:val="none"/>
        </w:rPr>
      </w:pPr>
      <w:r>
        <w:rPr>
          <w:rFonts w:hint="eastAsia" w:ascii="宋体" w:hAnsi="宋体"/>
          <w:bCs/>
          <w:color w:val="auto"/>
          <w:szCs w:val="21"/>
          <w:highlight w:val="none"/>
        </w:rPr>
        <w:t>（1）因情况变化，不再符合规定的竞争性谈判采购方式适用情形的；</w:t>
      </w:r>
    </w:p>
    <w:p w14:paraId="4C48DBDD">
      <w:pPr>
        <w:pStyle w:val="212"/>
        <w:spacing w:line="360" w:lineRule="auto"/>
        <w:ind w:firstLine="420"/>
        <w:rPr>
          <w:rFonts w:ascii="宋体" w:hAnsi="宋体"/>
          <w:bCs/>
          <w:color w:val="auto"/>
          <w:szCs w:val="21"/>
          <w:highlight w:val="none"/>
        </w:rPr>
      </w:pPr>
      <w:r>
        <w:rPr>
          <w:rFonts w:hint="eastAsia" w:ascii="宋体" w:hAnsi="宋体"/>
          <w:bCs/>
          <w:color w:val="auto"/>
          <w:szCs w:val="21"/>
          <w:highlight w:val="none"/>
        </w:rPr>
        <w:t>（2）出现影响采购公正的违法、违规行为的；</w:t>
      </w:r>
    </w:p>
    <w:p w14:paraId="2227839B">
      <w:pPr>
        <w:pStyle w:val="212"/>
        <w:spacing w:line="360" w:lineRule="auto"/>
        <w:ind w:firstLine="420"/>
        <w:rPr>
          <w:rFonts w:ascii="宋体" w:hAnsi="宋体"/>
          <w:bCs/>
          <w:color w:val="auto"/>
          <w:szCs w:val="21"/>
          <w:highlight w:val="none"/>
        </w:rPr>
      </w:pPr>
      <w:r>
        <w:rPr>
          <w:rFonts w:hint="eastAsia" w:ascii="宋体" w:hAnsi="宋体"/>
          <w:bCs/>
          <w:color w:val="auto"/>
          <w:szCs w:val="21"/>
          <w:highlight w:val="none"/>
        </w:rPr>
        <w:t>（3）在采购过程中符合竞争要求的供应商或者报价未超过采购预算的供应商不足3家的，但“第四章 评审程序和评定成交的标准”第3.7条规定的情形除外。</w:t>
      </w:r>
    </w:p>
    <w:p w14:paraId="60F08E60">
      <w:pPr>
        <w:pStyle w:val="212"/>
        <w:spacing w:line="360" w:lineRule="auto"/>
        <w:ind w:firstLine="420"/>
        <w:rPr>
          <w:rFonts w:ascii="宋体" w:hAnsi="宋体"/>
          <w:bCs/>
          <w:color w:val="auto"/>
          <w:szCs w:val="21"/>
          <w:highlight w:val="none"/>
        </w:rPr>
      </w:pPr>
      <w:r>
        <w:rPr>
          <w:rFonts w:hint="eastAsia" w:ascii="宋体" w:hAnsi="宋体"/>
          <w:bCs/>
          <w:color w:val="auto"/>
          <w:szCs w:val="21"/>
          <w:highlight w:val="none"/>
        </w:rPr>
        <w:t>27.5在采购活动中因重大变故，采购任务取消的，采购人或者采购代理机构应当终止采购活动，通知所有参加采购活动的供应商，并将项目实施情况和采购任务取消原因报送本级财政部门。</w:t>
      </w:r>
    </w:p>
    <w:p w14:paraId="0792D424">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28</w:t>
      </w:r>
      <w:r>
        <w:rPr>
          <w:rFonts w:hint="eastAsia" w:ascii="黑体" w:hAnsi="黑体" w:eastAsia="黑体" w:cs="宋体"/>
          <w:b/>
          <w:bCs/>
          <w:color w:val="auto"/>
          <w:sz w:val="24"/>
          <w:highlight w:val="none"/>
        </w:rPr>
        <w:t>.履约保证金</w:t>
      </w:r>
    </w:p>
    <w:p w14:paraId="26E125B2">
      <w:pPr>
        <w:pStyle w:val="212"/>
        <w:spacing w:line="360" w:lineRule="auto"/>
        <w:ind w:firstLine="420"/>
        <w:rPr>
          <w:color w:val="auto"/>
          <w:highlight w:val="none"/>
        </w:rPr>
      </w:pPr>
      <w:r>
        <w:rPr>
          <w:rFonts w:ascii="宋体" w:hAnsi="宋体" w:cs="宋体"/>
          <w:color w:val="auto"/>
          <w:szCs w:val="21"/>
          <w:highlight w:val="none"/>
        </w:rPr>
        <w:t>28</w:t>
      </w:r>
      <w:r>
        <w:rPr>
          <w:rFonts w:hint="eastAsia" w:ascii="宋体" w:hAnsi="宋体" w:cs="宋体"/>
          <w:color w:val="auto"/>
          <w:szCs w:val="21"/>
          <w:highlight w:val="none"/>
        </w:rPr>
        <w:t>.1履约保证金的金额、提交方式、退付的时间和条件详见 “供应商须知前附表”。成交供应商未按规定提交履约保证金的，视为拒绝</w:t>
      </w:r>
      <w:r>
        <w:rPr>
          <w:rFonts w:ascii="宋体" w:hAnsi="宋体" w:cs="宋体"/>
          <w:color w:val="auto"/>
          <w:szCs w:val="21"/>
          <w:highlight w:val="none"/>
        </w:rPr>
        <w:t>与采购人</w:t>
      </w:r>
      <w:r>
        <w:rPr>
          <w:rFonts w:hint="eastAsia" w:ascii="宋体" w:hAnsi="宋体" w:cs="宋体"/>
          <w:color w:val="auto"/>
          <w:szCs w:val="21"/>
          <w:highlight w:val="none"/>
        </w:rPr>
        <w:t>签订合同。</w:t>
      </w:r>
    </w:p>
    <w:p w14:paraId="266FF57B">
      <w:pPr>
        <w:spacing w:line="360" w:lineRule="auto"/>
        <w:ind w:firstLine="424"/>
        <w:rPr>
          <w:rFonts w:ascii="宋体" w:hAnsi="宋体" w:cs="宋体"/>
          <w:color w:val="auto"/>
          <w:szCs w:val="21"/>
          <w:highlight w:val="none"/>
        </w:rPr>
      </w:pPr>
      <w:r>
        <w:rPr>
          <w:rFonts w:ascii="宋体" w:hAnsi="宋体" w:cs="宋体"/>
          <w:color w:val="auto"/>
          <w:szCs w:val="21"/>
          <w:highlight w:val="none"/>
        </w:rPr>
        <w:t>28</w:t>
      </w:r>
      <w:r>
        <w:rPr>
          <w:rFonts w:hint="eastAsia" w:ascii="宋体" w:hAnsi="宋体" w:cs="宋体"/>
          <w:color w:val="auto"/>
          <w:szCs w:val="21"/>
          <w:highlight w:val="none"/>
        </w:rPr>
        <w:t>.2在履约保证金退还日期前，若成交供应商的开户名称、开户银行、账号有变动的，请以书面形式通知履约保证金收取单位，否则由此产生的后果由成交供应商自负。</w:t>
      </w:r>
    </w:p>
    <w:p w14:paraId="30294507">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29</w:t>
      </w:r>
      <w:r>
        <w:rPr>
          <w:rFonts w:hint="eastAsia" w:ascii="黑体" w:hAnsi="黑体" w:eastAsia="黑体" w:cs="宋体"/>
          <w:b/>
          <w:bCs/>
          <w:color w:val="auto"/>
          <w:sz w:val="24"/>
          <w:highlight w:val="none"/>
        </w:rPr>
        <w:t>.签订合同</w:t>
      </w:r>
    </w:p>
    <w:p w14:paraId="3A49F31D">
      <w:pPr>
        <w:spacing w:line="360" w:lineRule="auto"/>
        <w:ind w:firstLine="424"/>
        <w:rPr>
          <w:rFonts w:ascii="宋体" w:hAnsi="宋体" w:cs="宋体"/>
          <w:color w:val="auto"/>
          <w:szCs w:val="21"/>
          <w:highlight w:val="none"/>
        </w:rPr>
      </w:pPr>
      <w:r>
        <w:rPr>
          <w:rFonts w:hint="eastAsia" w:ascii="宋体" w:hAnsi="宋体" w:cs="宋体"/>
          <w:color w:val="auto"/>
          <w:szCs w:val="21"/>
          <w:highlight w:val="none"/>
        </w:rPr>
        <w:t>29.1签订电子采购合同：成交供应商领取电子成交通知书后，在</w:t>
      </w:r>
      <w:r>
        <w:rPr>
          <w:rFonts w:hint="eastAsia" w:ascii="宋体" w:hAnsi="宋体" w:cs="宋体"/>
          <w:color w:val="auto"/>
          <w:szCs w:val="21"/>
          <w:highlight w:val="none"/>
          <w:lang w:val="zh-CN"/>
        </w:rPr>
        <w:t>规定的日期、时间、地点，由法定代表人或其授权代表与采购人代表签订电子采购合同。如成交供应商为联合体的，由联合体成员各方法定代表人或其授权代表与采购人代表签订合同。</w:t>
      </w:r>
    </w:p>
    <w:p w14:paraId="420063A5">
      <w:pPr>
        <w:spacing w:line="360" w:lineRule="auto"/>
        <w:ind w:firstLine="424"/>
        <w:rPr>
          <w:rFonts w:ascii="宋体" w:hAnsi="宋体" w:cs="宋体"/>
          <w:color w:val="auto"/>
          <w:szCs w:val="21"/>
          <w:highlight w:val="none"/>
        </w:rPr>
      </w:pPr>
      <w:r>
        <w:rPr>
          <w:rFonts w:hint="eastAsia" w:ascii="宋体" w:hAnsi="宋体" w:cs="宋体"/>
          <w:color w:val="auto"/>
          <w:szCs w:val="21"/>
          <w:highlight w:val="none"/>
        </w:rPr>
        <w:t>线下签订纸质合同：供应商领取成交通知书后，按“供应商须知前附表”规定向采购人出示相关证明材料，经采购人核验合格后方可签订合同。</w:t>
      </w:r>
    </w:p>
    <w:p w14:paraId="23FB8F0E">
      <w:pPr>
        <w:spacing w:line="360" w:lineRule="auto"/>
        <w:ind w:firstLine="424"/>
        <w:rPr>
          <w:rFonts w:ascii="宋体" w:hAnsi="宋体" w:cs="宋体"/>
          <w:color w:val="auto"/>
          <w:szCs w:val="21"/>
          <w:highlight w:val="none"/>
        </w:rPr>
      </w:pPr>
      <w:r>
        <w:rPr>
          <w:rFonts w:hint="eastAsia" w:ascii="宋体" w:hAnsi="宋体" w:cs="宋体"/>
          <w:color w:val="auto"/>
          <w:szCs w:val="21"/>
          <w:highlight w:val="none"/>
        </w:rPr>
        <w:t>29.2签订合同时间：按成交通知书规定的时间与采购人签订合同。</w:t>
      </w:r>
    </w:p>
    <w:p w14:paraId="04ABC4F6">
      <w:pPr>
        <w:spacing w:line="360" w:lineRule="auto"/>
        <w:ind w:firstLine="424"/>
        <w:rPr>
          <w:rFonts w:ascii="宋体" w:hAnsi="宋体" w:cs="宋体"/>
          <w:color w:val="auto"/>
          <w:szCs w:val="21"/>
          <w:highlight w:val="none"/>
        </w:rPr>
      </w:pPr>
      <w:r>
        <w:rPr>
          <w:rFonts w:hint="eastAsia" w:ascii="宋体" w:hAnsi="宋体" w:cs="宋体"/>
          <w:color w:val="auto"/>
          <w:szCs w:val="21"/>
          <w:highlight w:val="none"/>
        </w:rPr>
        <w:t>29.</w:t>
      </w:r>
      <w:r>
        <w:rPr>
          <w:rFonts w:ascii="宋体" w:hAnsi="宋体" w:cs="宋体"/>
          <w:color w:val="auto"/>
          <w:szCs w:val="21"/>
          <w:highlight w:val="none"/>
        </w:rPr>
        <w:t>3</w:t>
      </w:r>
      <w:r>
        <w:rPr>
          <w:rFonts w:hint="eastAsia" w:ascii="宋体" w:hAnsi="宋体" w:cs="宋体"/>
          <w:color w:val="auto"/>
          <w:szCs w:val="21"/>
          <w:highlight w:val="none"/>
        </w:rPr>
        <w:t>成交供应商拒绝签订政府采购合同（包括但不限于放弃成交、因不可抗力不能履行合同而放弃签订合同），采购人可以按照评审报告推荐的成交候选人名单排序，确定下一候选人为成交供应商，也可以重新开展政府采购活动。如采购人无正当理由拒签合同的，给成交供应商造成损失的，成交供应商可追究采购人承担相应的法律责任。</w:t>
      </w:r>
    </w:p>
    <w:p w14:paraId="4CAFBFAC">
      <w:pPr>
        <w:spacing w:line="360" w:lineRule="auto"/>
        <w:ind w:firstLine="424"/>
        <w:rPr>
          <w:rFonts w:ascii="宋体" w:hAnsi="宋体" w:cs="宋体"/>
          <w:color w:val="auto"/>
          <w:szCs w:val="21"/>
          <w:highlight w:val="none"/>
        </w:rPr>
      </w:pPr>
      <w:r>
        <w:rPr>
          <w:rFonts w:hint="eastAsia" w:ascii="宋体" w:hAnsi="宋体" w:cs="宋体"/>
          <w:color w:val="auto"/>
          <w:szCs w:val="21"/>
          <w:highlight w:val="none"/>
        </w:rPr>
        <w:t>29.4政府采购合同是政府采购项目验收的依据，成交供应商和采购人应当按照采购合同约定的各自的权利和义务全面履行合同。任何一方当事人在履行合同过程中均不得擅自变更、中止或终止合同。政府采购合同继续履行将损害国家利益和社会公共利益的，双方当事人应当变更、中止或终止合同。有过错的一方应当承担赔偿责任，双方都有过错的，各自承担相应的责任。</w:t>
      </w:r>
    </w:p>
    <w:p w14:paraId="0D590D11">
      <w:pPr>
        <w:spacing w:line="360" w:lineRule="auto"/>
        <w:ind w:firstLine="424"/>
        <w:rPr>
          <w:rFonts w:ascii="宋体" w:hAnsi="宋体" w:cs="宋体"/>
          <w:color w:val="auto"/>
          <w:szCs w:val="21"/>
          <w:highlight w:val="none"/>
        </w:rPr>
      </w:pPr>
      <w:r>
        <w:rPr>
          <w:rFonts w:hint="eastAsia" w:ascii="宋体" w:hAnsi="宋体" w:cs="宋体"/>
          <w:color w:val="auto"/>
          <w:szCs w:val="21"/>
          <w:highlight w:val="none"/>
        </w:rPr>
        <w:t>29.5采购人或成交供应商不得单方面向合同另一方提出任何谈判文件没有约定的条件或不合理的要求，作为签订合同的条件；也不得协商另行订立背离谈判文件和合同实质性内容的协议。</w:t>
      </w:r>
    </w:p>
    <w:p w14:paraId="2C570803">
      <w:pPr>
        <w:spacing w:line="360" w:lineRule="auto"/>
        <w:ind w:firstLine="424"/>
        <w:rPr>
          <w:rFonts w:ascii="宋体" w:hAnsi="宋体" w:cs="宋体"/>
          <w:color w:val="auto"/>
          <w:szCs w:val="21"/>
          <w:highlight w:val="none"/>
        </w:rPr>
      </w:pPr>
      <w:r>
        <w:rPr>
          <w:rFonts w:hint="eastAsia" w:ascii="宋体" w:hAnsi="宋体" w:cs="宋体"/>
          <w:color w:val="auto"/>
          <w:szCs w:val="21"/>
          <w:highlight w:val="none"/>
        </w:rPr>
        <w:t>29.6如签订合同并生效后，供应商无故拒绝或延期，除按照合同条款处理外，将承担相应的法律责任。</w:t>
      </w:r>
    </w:p>
    <w:p w14:paraId="21DB35D5">
      <w:pPr>
        <w:spacing w:line="360" w:lineRule="auto"/>
        <w:ind w:firstLine="424"/>
        <w:rPr>
          <w:rFonts w:ascii="宋体" w:hAnsi="宋体" w:cs="宋体"/>
          <w:color w:val="auto"/>
          <w:szCs w:val="21"/>
          <w:highlight w:val="none"/>
        </w:rPr>
      </w:pPr>
      <w:r>
        <w:rPr>
          <w:rFonts w:hint="eastAsia" w:ascii="宋体" w:hAnsi="宋体" w:cs="宋体"/>
          <w:color w:val="auto"/>
          <w:szCs w:val="21"/>
          <w:highlight w:val="none"/>
        </w:rPr>
        <w:t>29.7政府采购合同履行中，采购人需追加与合同标的相同的货物、工程或者服务的，在不改变合同其他条款的前提下，可以与供应商协商签订补充合同，但所有补充合同的采购金额不得超过原合同采购金额的10%。</w:t>
      </w:r>
    </w:p>
    <w:p w14:paraId="71ACDE94">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30</w:t>
      </w:r>
      <w:r>
        <w:rPr>
          <w:rFonts w:hint="eastAsia" w:ascii="黑体" w:hAnsi="黑体" w:eastAsia="黑体" w:cs="宋体"/>
          <w:b/>
          <w:bCs/>
          <w:color w:val="auto"/>
          <w:sz w:val="24"/>
          <w:highlight w:val="none"/>
        </w:rPr>
        <w:t>.政府采购合同公告</w:t>
      </w:r>
    </w:p>
    <w:p w14:paraId="0FE3C86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根据《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w:t>
      </w:r>
    </w:p>
    <w:p w14:paraId="308CF6C2">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31</w:t>
      </w:r>
      <w:r>
        <w:rPr>
          <w:rFonts w:hint="eastAsia" w:ascii="黑体" w:hAnsi="黑体" w:eastAsia="黑体" w:cs="宋体"/>
          <w:b/>
          <w:bCs/>
          <w:color w:val="auto"/>
          <w:sz w:val="24"/>
          <w:highlight w:val="none"/>
        </w:rPr>
        <w:t>. 询问、质疑和投诉</w:t>
      </w:r>
    </w:p>
    <w:p w14:paraId="2AE33F4E">
      <w:pPr>
        <w:pStyle w:val="205"/>
        <w:spacing w:after="120" w:line="360" w:lineRule="auto"/>
        <w:rPr>
          <w:rFonts w:ascii="宋体" w:hAnsi="宋体"/>
          <w:color w:val="auto"/>
          <w:szCs w:val="21"/>
          <w:highlight w:val="none"/>
        </w:rPr>
      </w:pPr>
      <w:r>
        <w:rPr>
          <w:rFonts w:ascii="宋体" w:hAnsi="宋体" w:cs="宋体"/>
          <w:color w:val="auto"/>
          <w:highlight w:val="none"/>
        </w:rPr>
        <w:t>31</w:t>
      </w:r>
      <w:r>
        <w:rPr>
          <w:rFonts w:hint="eastAsia" w:ascii="宋体" w:hAnsi="宋体" w:cs="宋体"/>
          <w:color w:val="auto"/>
          <w:highlight w:val="none"/>
        </w:rPr>
        <w:t>.1供应商对政府采购活动事项有疑问的，可以向采购人、采购代理机构提出询问，采购人或者采购代理机构应当在3个工作日内对供应商依法提出的询问作出答复，</w:t>
      </w:r>
      <w:r>
        <w:rPr>
          <w:rFonts w:hint="eastAsia" w:ascii="宋体" w:hAnsi="宋体"/>
          <w:color w:val="auto"/>
          <w:szCs w:val="21"/>
          <w:highlight w:val="none"/>
        </w:rPr>
        <w:t>但答复的内容不得涉及商业秘密。</w:t>
      </w:r>
    </w:p>
    <w:p w14:paraId="6B004A1B">
      <w:pPr>
        <w:spacing w:line="360" w:lineRule="auto"/>
        <w:ind w:firstLine="420"/>
        <w:rPr>
          <w:rFonts w:ascii="宋体" w:hAnsi="宋体" w:cs="宋体"/>
          <w:color w:val="auto"/>
          <w:highlight w:val="none"/>
        </w:rPr>
      </w:pPr>
      <w:r>
        <w:rPr>
          <w:rFonts w:ascii="宋体" w:hAnsi="宋体" w:cs="宋体"/>
          <w:color w:val="auto"/>
          <w:highlight w:val="none"/>
        </w:rPr>
        <w:t>31</w:t>
      </w:r>
      <w:r>
        <w:rPr>
          <w:rFonts w:hint="eastAsia" w:ascii="宋体" w:hAnsi="宋体" w:cs="宋体"/>
          <w:color w:val="auto"/>
          <w:highlight w:val="none"/>
        </w:rPr>
        <w:t>.2供应商认为谈判文件、采购过程或者成交结果使自己的合法权益受到损害的，应当在知道或者应知其权益受到损害之日起7个工作日内，以书面形式向采购人、采购代理机构提出质疑，</w:t>
      </w:r>
      <w:r>
        <w:rPr>
          <w:rFonts w:ascii="Arial" w:hAnsi="Arial" w:cs="Arial"/>
          <w:color w:val="auto"/>
          <w:highlight w:val="none"/>
          <w:shd w:val="clear" w:color="auto" w:fill="FFFFFF"/>
        </w:rPr>
        <w:t>接收质疑函的方式、联系部门、联系电话和通讯地址等信息</w:t>
      </w:r>
      <w:r>
        <w:rPr>
          <w:rFonts w:hint="eastAsia" w:ascii="宋体" w:hAnsi="宋体" w:cs="宋体"/>
          <w:color w:val="auto"/>
          <w:szCs w:val="21"/>
          <w:highlight w:val="none"/>
        </w:rPr>
        <w:t>详见“供应商须知前附表”</w:t>
      </w:r>
      <w:r>
        <w:rPr>
          <w:rFonts w:hint="eastAsia" w:ascii="宋体" w:hAnsi="宋体" w:cs="宋体"/>
          <w:color w:val="auto"/>
          <w:highlight w:val="none"/>
        </w:rPr>
        <w:t>。具体质疑起算时间如下：</w:t>
      </w:r>
    </w:p>
    <w:p w14:paraId="0527E58C">
      <w:pPr>
        <w:spacing w:line="360" w:lineRule="auto"/>
        <w:ind w:firstLine="420"/>
        <w:rPr>
          <w:rFonts w:ascii="宋体" w:hAnsi="宋体" w:cs="宋体"/>
          <w:color w:val="auto"/>
          <w:highlight w:val="none"/>
        </w:rPr>
      </w:pPr>
      <w:r>
        <w:rPr>
          <w:rFonts w:hint="eastAsia" w:ascii="宋体" w:hAnsi="宋体" w:cs="宋体"/>
          <w:color w:val="auto"/>
          <w:highlight w:val="none"/>
        </w:rPr>
        <w:t>（1）对可以质疑的谈判文件提出质疑的，为获取谈判文件之日；</w:t>
      </w:r>
    </w:p>
    <w:p w14:paraId="669DE986">
      <w:pPr>
        <w:spacing w:line="360" w:lineRule="auto"/>
        <w:ind w:firstLine="420"/>
        <w:rPr>
          <w:rFonts w:ascii="宋体" w:hAnsi="宋体" w:cs="宋体"/>
          <w:color w:val="auto"/>
          <w:highlight w:val="none"/>
        </w:rPr>
      </w:pPr>
      <w:r>
        <w:rPr>
          <w:rFonts w:hint="eastAsia" w:ascii="宋体" w:hAnsi="宋体" w:cs="宋体"/>
          <w:color w:val="auto"/>
          <w:highlight w:val="none"/>
        </w:rPr>
        <w:t>（2）对采购过程提出质疑的，为各采购程序环节结束之日；</w:t>
      </w:r>
    </w:p>
    <w:p w14:paraId="5314A653">
      <w:pPr>
        <w:spacing w:line="360" w:lineRule="auto"/>
        <w:ind w:firstLine="420"/>
        <w:rPr>
          <w:rFonts w:ascii="宋体" w:hAnsi="宋体" w:cs="宋体"/>
          <w:color w:val="auto"/>
          <w:highlight w:val="none"/>
        </w:rPr>
      </w:pPr>
      <w:r>
        <w:rPr>
          <w:rFonts w:hint="eastAsia" w:ascii="宋体" w:hAnsi="宋体" w:cs="宋体"/>
          <w:color w:val="auto"/>
          <w:highlight w:val="none"/>
        </w:rPr>
        <w:t>（3）对成交结果提出质疑的，为成交结果公告期限届满之日。</w:t>
      </w:r>
    </w:p>
    <w:p w14:paraId="5A3DA687">
      <w:pPr>
        <w:spacing w:line="360" w:lineRule="auto"/>
        <w:ind w:firstLine="420"/>
        <w:rPr>
          <w:rFonts w:ascii="宋体" w:hAnsi="宋体" w:cs="宋体"/>
          <w:color w:val="auto"/>
          <w:highlight w:val="none"/>
        </w:rPr>
      </w:pPr>
      <w:r>
        <w:rPr>
          <w:rFonts w:ascii="宋体" w:hAnsi="宋体" w:cs="宋体"/>
          <w:color w:val="auto"/>
          <w:highlight w:val="none"/>
        </w:rPr>
        <w:t>31</w:t>
      </w:r>
      <w:r>
        <w:rPr>
          <w:rFonts w:hint="eastAsia" w:ascii="宋体" w:hAnsi="宋体" w:cs="宋体"/>
          <w:color w:val="auto"/>
          <w:highlight w:val="none"/>
        </w:rPr>
        <w:t>.3供应商提出的询问或者质疑超出采购人对采购代理机构委托授权范围的，采购代理机构应当告知供应商向采购人提出。政府采购评审专家应当配合采购人或者采购代理机构答复供应商的询问和质疑。</w:t>
      </w:r>
    </w:p>
    <w:p w14:paraId="0A2A63DC">
      <w:pPr>
        <w:spacing w:line="360" w:lineRule="auto"/>
        <w:ind w:firstLine="420"/>
        <w:rPr>
          <w:rFonts w:ascii="宋体" w:hAnsi="宋体" w:cs="宋体"/>
          <w:color w:val="auto"/>
          <w:highlight w:val="none"/>
        </w:rPr>
      </w:pPr>
      <w:r>
        <w:rPr>
          <w:rFonts w:ascii="宋体" w:hAnsi="宋体" w:cs="宋体"/>
          <w:color w:val="auto"/>
          <w:highlight w:val="none"/>
        </w:rPr>
        <w:t>31</w:t>
      </w:r>
      <w:r>
        <w:rPr>
          <w:rFonts w:hint="eastAsia" w:ascii="宋体" w:hAnsi="宋体" w:cs="宋体"/>
          <w:color w:val="auto"/>
          <w:highlight w:val="none"/>
        </w:rPr>
        <w:t>.4供应商提出质疑应当提交质疑函和必要的证明材料，针对同一采购程序环节的质疑必须在法定质疑期内一次性提出。质疑函应当包括下列内容</w:t>
      </w:r>
      <w:r>
        <w:rPr>
          <w:rFonts w:hint="eastAsia" w:hAnsi="宋体"/>
          <w:bCs/>
          <w:color w:val="auto"/>
          <w:highlight w:val="none"/>
        </w:rPr>
        <w:t>（质疑函格式后附）</w:t>
      </w:r>
      <w:r>
        <w:rPr>
          <w:rFonts w:hint="eastAsia" w:ascii="宋体" w:hAnsi="宋体" w:cs="宋体"/>
          <w:color w:val="auto"/>
          <w:highlight w:val="none"/>
        </w:rPr>
        <w:t>：</w:t>
      </w:r>
    </w:p>
    <w:p w14:paraId="1745A818">
      <w:pPr>
        <w:spacing w:line="360" w:lineRule="auto"/>
        <w:ind w:firstLine="420"/>
        <w:rPr>
          <w:rFonts w:ascii="宋体" w:hAnsi="宋体" w:cs="宋体"/>
          <w:color w:val="auto"/>
          <w:highlight w:val="none"/>
        </w:rPr>
      </w:pPr>
      <w:r>
        <w:rPr>
          <w:rFonts w:hint="eastAsia" w:ascii="宋体" w:hAnsi="宋体" w:cs="宋体"/>
          <w:color w:val="auto"/>
          <w:highlight w:val="none"/>
        </w:rPr>
        <w:t>（1）供应商的姓名或者名称、地址、邮编、联系人及联系电话；</w:t>
      </w:r>
    </w:p>
    <w:p w14:paraId="664E6AE5">
      <w:pPr>
        <w:spacing w:line="360" w:lineRule="auto"/>
        <w:ind w:firstLine="420"/>
        <w:rPr>
          <w:rFonts w:ascii="宋体" w:hAnsi="宋体" w:cs="宋体"/>
          <w:color w:val="auto"/>
          <w:highlight w:val="none"/>
        </w:rPr>
      </w:pPr>
      <w:r>
        <w:rPr>
          <w:rFonts w:hint="eastAsia" w:ascii="宋体" w:hAnsi="宋体" w:cs="宋体"/>
          <w:color w:val="auto"/>
          <w:highlight w:val="none"/>
        </w:rPr>
        <w:t>（2）质疑项目的名称、编号；</w:t>
      </w:r>
    </w:p>
    <w:p w14:paraId="6967CCA6">
      <w:pPr>
        <w:spacing w:line="360" w:lineRule="auto"/>
        <w:ind w:firstLine="420"/>
        <w:rPr>
          <w:rFonts w:ascii="宋体" w:hAnsi="宋体" w:cs="宋体"/>
          <w:color w:val="auto"/>
          <w:highlight w:val="none"/>
        </w:rPr>
      </w:pPr>
      <w:r>
        <w:rPr>
          <w:rFonts w:hint="eastAsia" w:ascii="宋体" w:hAnsi="宋体" w:cs="宋体"/>
          <w:color w:val="auto"/>
          <w:highlight w:val="none"/>
        </w:rPr>
        <w:t>（3）具体、明确的质疑事项和与质疑事项相关的请求；</w:t>
      </w:r>
    </w:p>
    <w:p w14:paraId="4E22E701">
      <w:pPr>
        <w:spacing w:line="360" w:lineRule="auto"/>
        <w:ind w:firstLine="420"/>
        <w:rPr>
          <w:rFonts w:ascii="宋体" w:hAnsi="宋体" w:cs="宋体"/>
          <w:color w:val="auto"/>
          <w:highlight w:val="none"/>
        </w:rPr>
      </w:pPr>
      <w:r>
        <w:rPr>
          <w:rFonts w:hint="eastAsia" w:ascii="宋体" w:hAnsi="宋体" w:cs="宋体"/>
          <w:color w:val="auto"/>
          <w:highlight w:val="none"/>
        </w:rPr>
        <w:t>（4）事实依据；</w:t>
      </w:r>
    </w:p>
    <w:p w14:paraId="2C04DE04">
      <w:pPr>
        <w:spacing w:line="360" w:lineRule="auto"/>
        <w:ind w:firstLine="420"/>
        <w:rPr>
          <w:rFonts w:ascii="宋体" w:hAnsi="宋体" w:cs="宋体"/>
          <w:color w:val="auto"/>
          <w:highlight w:val="none"/>
        </w:rPr>
      </w:pPr>
      <w:r>
        <w:rPr>
          <w:rFonts w:hint="eastAsia" w:ascii="宋体" w:hAnsi="宋体" w:cs="宋体"/>
          <w:color w:val="auto"/>
          <w:highlight w:val="none"/>
        </w:rPr>
        <w:t>（5）必要的法律依据；</w:t>
      </w:r>
    </w:p>
    <w:p w14:paraId="51C61253">
      <w:pPr>
        <w:spacing w:line="360" w:lineRule="auto"/>
        <w:ind w:firstLine="420"/>
        <w:rPr>
          <w:rFonts w:ascii="宋体" w:hAnsi="宋体" w:cs="宋体"/>
          <w:color w:val="auto"/>
          <w:highlight w:val="none"/>
        </w:rPr>
      </w:pPr>
      <w:r>
        <w:rPr>
          <w:rFonts w:hint="eastAsia" w:ascii="宋体" w:hAnsi="宋体" w:cs="宋体"/>
          <w:color w:val="auto"/>
          <w:highlight w:val="none"/>
        </w:rPr>
        <w:t>（6）提出质疑的日期。</w:t>
      </w:r>
    </w:p>
    <w:p w14:paraId="36B9CFF2">
      <w:pPr>
        <w:spacing w:line="360" w:lineRule="auto"/>
        <w:ind w:firstLine="420"/>
        <w:rPr>
          <w:rFonts w:ascii="宋体" w:hAnsi="宋体" w:cs="宋体"/>
          <w:color w:val="auto"/>
          <w:highlight w:val="none"/>
        </w:rPr>
      </w:pPr>
      <w:r>
        <w:rPr>
          <w:rFonts w:hint="eastAsia" w:ascii="宋体" w:hAnsi="宋体" w:cs="宋体"/>
          <w:color w:val="auto"/>
          <w:highlight w:val="none"/>
        </w:rPr>
        <w:t>供应商为自然人的，应当由本人签字；供应商为法人或者其他组织的，应当由法定代表人、主要负责人，或者其委托代理人签字或者盖章，并加盖公章。</w:t>
      </w:r>
    </w:p>
    <w:p w14:paraId="116B4FEF">
      <w:pPr>
        <w:spacing w:line="360" w:lineRule="auto"/>
        <w:ind w:firstLine="420"/>
        <w:rPr>
          <w:rFonts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1.5</w:t>
      </w:r>
      <w:r>
        <w:rPr>
          <w:rFonts w:hint="eastAsia" w:ascii="宋体" w:hAnsi="宋体" w:cs="宋体"/>
          <w:color w:val="auto"/>
          <w:highlight w:val="none"/>
        </w:rPr>
        <w:t>采购人、采购代理机构认为供应商质疑不成立，或者成立但未对成交结果构成影响的，继续开展采购活动；认为供应商质疑成立且影响或者可能影响成交结果的，按照下列情况处理：</w:t>
      </w:r>
    </w:p>
    <w:p w14:paraId="5CE62F35">
      <w:pPr>
        <w:spacing w:line="360" w:lineRule="auto"/>
        <w:ind w:firstLine="420"/>
        <w:rPr>
          <w:rFonts w:ascii="宋体" w:hAnsi="宋体" w:cs="宋体"/>
          <w:color w:val="auto"/>
          <w:highlight w:val="none"/>
        </w:rPr>
      </w:pPr>
      <w:r>
        <w:rPr>
          <w:rFonts w:hint="eastAsia" w:ascii="宋体" w:hAnsi="宋体" w:cs="宋体"/>
          <w:color w:val="auto"/>
          <w:highlight w:val="none"/>
        </w:rPr>
        <w:t>（一）对采购文件提出的质疑，依法通过澄清或者修改可以继续开展采购活动的，澄清或者修改采购文件后继续开展采购活动；否则应当修改采购文件后重新开展采购活动。</w:t>
      </w:r>
    </w:p>
    <w:p w14:paraId="05ADE49E">
      <w:pPr>
        <w:spacing w:line="360" w:lineRule="auto"/>
        <w:ind w:firstLine="420"/>
        <w:rPr>
          <w:rFonts w:ascii="宋体" w:hAnsi="宋体" w:cs="宋体"/>
          <w:color w:val="auto"/>
          <w:highlight w:val="none"/>
        </w:rPr>
      </w:pPr>
      <w:r>
        <w:rPr>
          <w:rFonts w:hint="eastAsia" w:ascii="宋体" w:hAnsi="宋体" w:cs="宋体"/>
          <w:color w:val="auto"/>
          <w:highlight w:val="none"/>
        </w:rPr>
        <w:t>（二）对采购过程或者成交结果提出的质疑，合格供应商符合法定数量时，可以从合格的成交候选人中另行确定成交供应商的，应当依法另行确定成交供应商；否则应当重新开展采购活动。</w:t>
      </w:r>
    </w:p>
    <w:p w14:paraId="7B282523">
      <w:pPr>
        <w:spacing w:line="360" w:lineRule="auto"/>
        <w:ind w:firstLine="420"/>
        <w:rPr>
          <w:rFonts w:ascii="宋体" w:hAnsi="宋体" w:cs="宋体"/>
          <w:color w:val="auto"/>
          <w:highlight w:val="none"/>
        </w:rPr>
      </w:pPr>
      <w:r>
        <w:rPr>
          <w:rFonts w:hint="eastAsia" w:ascii="宋体" w:hAnsi="宋体" w:cs="宋体"/>
          <w:color w:val="auto"/>
          <w:highlight w:val="none"/>
        </w:rPr>
        <w:t>质疑答复导致成交结果改变的，采购人或者采购代理机构应当将有关情况书面报告本级财政部门。</w:t>
      </w:r>
    </w:p>
    <w:p w14:paraId="4E25A234">
      <w:pPr>
        <w:spacing w:line="360" w:lineRule="auto"/>
        <w:ind w:firstLine="420"/>
        <w:rPr>
          <w:rFonts w:ascii="宋体" w:hAnsi="宋体" w:cs="宋体"/>
          <w:b/>
          <w:bCs/>
          <w:color w:val="auto"/>
          <w:szCs w:val="21"/>
          <w:highlight w:val="none"/>
        </w:rPr>
      </w:pPr>
      <w:r>
        <w:rPr>
          <w:rFonts w:ascii="宋体" w:hAnsi="宋体" w:cs="宋体"/>
          <w:color w:val="auto"/>
          <w:highlight w:val="none"/>
        </w:rPr>
        <w:t>31</w:t>
      </w:r>
      <w:r>
        <w:rPr>
          <w:rFonts w:hint="eastAsia" w:ascii="宋体" w:hAnsi="宋体" w:cs="宋体"/>
          <w:color w:val="auto"/>
          <w:highlight w:val="none"/>
        </w:rPr>
        <w:t>.</w:t>
      </w:r>
      <w:r>
        <w:rPr>
          <w:rFonts w:ascii="宋体" w:hAnsi="宋体" w:cs="宋体"/>
          <w:color w:val="auto"/>
          <w:highlight w:val="none"/>
        </w:rPr>
        <w:t>6</w:t>
      </w:r>
      <w:r>
        <w:rPr>
          <w:rFonts w:hint="eastAsia" w:ascii="宋体" w:hAnsi="宋体" w:cs="宋体"/>
          <w:color w:val="auto"/>
          <w:highlight w:val="none"/>
        </w:rPr>
        <w:t>质疑供应商对采购人、采购代理机构的答复不满意，或者采购人、采购代理机构未在规定时间内作出答复的，可以在答复期满后15个工作日内向《政府采购质疑和投诉办法》（财政部令第94号）第六条规定的财政部门提起投诉（投诉书格式后附）。</w:t>
      </w:r>
    </w:p>
    <w:p w14:paraId="14CC93B6">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3</w:t>
      </w:r>
      <w:r>
        <w:rPr>
          <w:rFonts w:ascii="黑体" w:hAnsi="黑体" w:eastAsia="黑体" w:cs="宋体"/>
          <w:b/>
          <w:bCs/>
          <w:color w:val="auto"/>
          <w:sz w:val="24"/>
          <w:highlight w:val="none"/>
        </w:rPr>
        <w:t>2.</w:t>
      </w:r>
      <w:r>
        <w:rPr>
          <w:rFonts w:hint="eastAsia" w:ascii="黑体" w:hAnsi="黑体" w:eastAsia="黑体" w:cs="宋体"/>
          <w:b/>
          <w:bCs/>
          <w:color w:val="auto"/>
          <w:sz w:val="24"/>
          <w:highlight w:val="none"/>
        </w:rPr>
        <w:t>其他内容</w:t>
      </w:r>
    </w:p>
    <w:p w14:paraId="074B7966">
      <w:pPr>
        <w:tabs>
          <w:tab w:val="left" w:pos="2835"/>
        </w:tabs>
        <w:spacing w:line="360" w:lineRule="auto"/>
        <w:ind w:firstLine="420"/>
        <w:rPr>
          <w:rFonts w:ascii="宋体" w:hAnsi="宋体" w:cs="宋体"/>
          <w:color w:val="auto"/>
          <w:szCs w:val="21"/>
          <w:highlight w:val="none"/>
        </w:rPr>
      </w:pPr>
      <w:r>
        <w:rPr>
          <w:rFonts w:ascii="宋体" w:hAnsi="宋体" w:cs="宋体"/>
          <w:color w:val="auto"/>
          <w:szCs w:val="21"/>
          <w:highlight w:val="none"/>
        </w:rPr>
        <w:t>32</w:t>
      </w:r>
      <w:r>
        <w:rPr>
          <w:rFonts w:hint="eastAsia" w:ascii="宋体" w:hAnsi="宋体" w:cs="宋体"/>
          <w:color w:val="auto"/>
          <w:szCs w:val="21"/>
          <w:highlight w:val="none"/>
        </w:rPr>
        <w:t>.1采购代理费收取标准详见“供应商须知前附表”，供应商为联合体的，可以由联合体中的一方或者多方共同交纳采购代理费：</w:t>
      </w:r>
    </w:p>
    <w:tbl>
      <w:tblPr>
        <w:tblStyle w:val="38"/>
        <w:tblW w:w="8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1659"/>
        <w:gridCol w:w="1532"/>
        <w:gridCol w:w="1546"/>
      </w:tblGrid>
      <w:tr w14:paraId="13776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op w:val="single" w:color="auto" w:sz="4" w:space="0"/>
              <w:left w:val="single" w:color="auto" w:sz="4" w:space="0"/>
              <w:bottom w:val="single" w:color="auto" w:sz="4" w:space="0"/>
              <w:right w:val="single" w:color="auto" w:sz="4" w:space="0"/>
            </w:tcBorders>
          </w:tcPr>
          <w:p w14:paraId="757CEE15">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费率</w:t>
            </w:r>
          </w:p>
          <w:p w14:paraId="54C68607">
            <w:pPr>
              <w:spacing w:line="360" w:lineRule="auto"/>
              <w:rPr>
                <w:rFonts w:ascii="宋体" w:hAnsi="宋体" w:cs="宋体"/>
                <w:color w:val="auto"/>
                <w:szCs w:val="21"/>
                <w:highlight w:val="none"/>
              </w:rPr>
            </w:pPr>
            <w:r>
              <w:rPr>
                <w:rFonts w:hint="eastAsia" w:ascii="宋体" w:hAnsi="宋体" w:cs="宋体"/>
                <w:color w:val="auto"/>
                <w:szCs w:val="21"/>
                <w:highlight w:val="none"/>
              </w:rPr>
              <w:t>金额</w:t>
            </w:r>
          </w:p>
        </w:tc>
        <w:tc>
          <w:tcPr>
            <w:tcW w:w="1659" w:type="dxa"/>
            <w:tcBorders>
              <w:top w:val="single" w:color="auto" w:sz="4" w:space="0"/>
              <w:left w:val="single" w:color="auto" w:sz="4" w:space="0"/>
              <w:bottom w:val="single" w:color="auto" w:sz="4" w:space="0"/>
              <w:right w:val="single" w:color="auto" w:sz="4" w:space="0"/>
            </w:tcBorders>
            <w:vAlign w:val="center"/>
          </w:tcPr>
          <w:p w14:paraId="5F1091AF">
            <w:pPr>
              <w:spacing w:line="360" w:lineRule="auto"/>
              <w:ind w:firstLine="105"/>
              <w:jc w:val="center"/>
              <w:rPr>
                <w:rFonts w:ascii="宋体" w:hAnsi="宋体" w:cs="宋体"/>
                <w:color w:val="auto"/>
                <w:szCs w:val="21"/>
                <w:highlight w:val="none"/>
              </w:rPr>
            </w:pPr>
            <w:r>
              <w:rPr>
                <w:rFonts w:hint="eastAsia" w:ascii="宋体" w:hAnsi="宋体" w:cs="宋体"/>
                <w:color w:val="auto"/>
                <w:szCs w:val="21"/>
                <w:highlight w:val="none"/>
              </w:rPr>
              <w:t>货物类</w:t>
            </w:r>
          </w:p>
        </w:tc>
        <w:tc>
          <w:tcPr>
            <w:tcW w:w="1532" w:type="dxa"/>
            <w:tcBorders>
              <w:top w:val="single" w:color="auto" w:sz="4" w:space="0"/>
              <w:left w:val="single" w:color="auto" w:sz="4" w:space="0"/>
              <w:bottom w:val="single" w:color="auto" w:sz="4" w:space="0"/>
              <w:right w:val="single" w:color="auto" w:sz="4" w:space="0"/>
            </w:tcBorders>
            <w:vAlign w:val="center"/>
          </w:tcPr>
          <w:p w14:paraId="19B1C9EF">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服务类</w:t>
            </w:r>
          </w:p>
        </w:tc>
        <w:tc>
          <w:tcPr>
            <w:tcW w:w="1546" w:type="dxa"/>
            <w:tcBorders>
              <w:top w:val="single" w:color="auto" w:sz="4" w:space="0"/>
              <w:left w:val="single" w:color="auto" w:sz="4" w:space="0"/>
              <w:bottom w:val="single" w:color="auto" w:sz="4" w:space="0"/>
              <w:right w:val="single" w:color="auto" w:sz="4" w:space="0"/>
            </w:tcBorders>
            <w:vAlign w:val="center"/>
          </w:tcPr>
          <w:p w14:paraId="549C83C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工程类</w:t>
            </w:r>
          </w:p>
        </w:tc>
      </w:tr>
      <w:tr w14:paraId="3BAC7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op w:val="single" w:color="auto" w:sz="4" w:space="0"/>
              <w:left w:val="single" w:color="auto" w:sz="4" w:space="0"/>
              <w:bottom w:val="single" w:color="auto" w:sz="4" w:space="0"/>
              <w:right w:val="single" w:color="auto" w:sz="4" w:space="0"/>
            </w:tcBorders>
          </w:tcPr>
          <w:p w14:paraId="6732976B">
            <w:pPr>
              <w:spacing w:line="360" w:lineRule="auto"/>
              <w:rPr>
                <w:rFonts w:ascii="宋体" w:hAnsi="宋体" w:cs="宋体"/>
                <w:color w:val="auto"/>
                <w:szCs w:val="21"/>
                <w:highlight w:val="none"/>
              </w:rPr>
            </w:pPr>
            <w:r>
              <w:rPr>
                <w:rFonts w:hint="eastAsia" w:ascii="宋体" w:hAnsi="宋体" w:cs="宋体"/>
                <w:color w:val="auto"/>
                <w:szCs w:val="21"/>
                <w:highlight w:val="none"/>
              </w:rPr>
              <w:t>100万元以下</w:t>
            </w:r>
          </w:p>
        </w:tc>
        <w:tc>
          <w:tcPr>
            <w:tcW w:w="1659" w:type="dxa"/>
            <w:tcBorders>
              <w:top w:val="single" w:color="auto" w:sz="4" w:space="0"/>
              <w:left w:val="single" w:color="auto" w:sz="4" w:space="0"/>
              <w:bottom w:val="single" w:color="auto" w:sz="4" w:space="0"/>
              <w:right w:val="single" w:color="auto" w:sz="4" w:space="0"/>
            </w:tcBorders>
          </w:tcPr>
          <w:p w14:paraId="1AE7E31A">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1.5%                </w:t>
            </w:r>
          </w:p>
        </w:tc>
        <w:tc>
          <w:tcPr>
            <w:tcW w:w="1532" w:type="dxa"/>
            <w:tcBorders>
              <w:top w:val="single" w:color="auto" w:sz="4" w:space="0"/>
              <w:left w:val="single" w:color="auto" w:sz="4" w:space="0"/>
              <w:bottom w:val="single" w:color="auto" w:sz="4" w:space="0"/>
              <w:right w:val="single" w:color="auto" w:sz="4" w:space="0"/>
            </w:tcBorders>
          </w:tcPr>
          <w:p w14:paraId="4D002041">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1.5%</w:t>
            </w:r>
          </w:p>
        </w:tc>
        <w:tc>
          <w:tcPr>
            <w:tcW w:w="1546" w:type="dxa"/>
            <w:tcBorders>
              <w:top w:val="single" w:color="auto" w:sz="4" w:space="0"/>
              <w:left w:val="single" w:color="auto" w:sz="4" w:space="0"/>
              <w:bottom w:val="single" w:color="auto" w:sz="4" w:space="0"/>
              <w:right w:val="single" w:color="auto" w:sz="4" w:space="0"/>
            </w:tcBorders>
          </w:tcPr>
          <w:p w14:paraId="18E24637">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 xml:space="preserve">1.0% </w:t>
            </w:r>
          </w:p>
        </w:tc>
      </w:tr>
      <w:tr w14:paraId="5D349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op w:val="single" w:color="auto" w:sz="4" w:space="0"/>
              <w:left w:val="single" w:color="auto" w:sz="4" w:space="0"/>
              <w:bottom w:val="single" w:color="auto" w:sz="4" w:space="0"/>
              <w:right w:val="single" w:color="auto" w:sz="4" w:space="0"/>
            </w:tcBorders>
          </w:tcPr>
          <w:p w14:paraId="621E3769">
            <w:pPr>
              <w:spacing w:line="360" w:lineRule="auto"/>
              <w:rPr>
                <w:rFonts w:ascii="宋体" w:hAnsi="宋体" w:cs="宋体"/>
                <w:color w:val="auto"/>
                <w:szCs w:val="21"/>
                <w:highlight w:val="none"/>
              </w:rPr>
            </w:pPr>
            <w:r>
              <w:rPr>
                <w:rFonts w:hint="eastAsia" w:ascii="宋体" w:hAnsi="宋体" w:cs="宋体"/>
                <w:color w:val="auto"/>
                <w:szCs w:val="21"/>
                <w:highlight w:val="none"/>
              </w:rPr>
              <w:t>100万～500万元</w:t>
            </w:r>
          </w:p>
        </w:tc>
        <w:tc>
          <w:tcPr>
            <w:tcW w:w="1659" w:type="dxa"/>
            <w:tcBorders>
              <w:top w:val="single" w:color="auto" w:sz="4" w:space="0"/>
              <w:left w:val="single" w:color="auto" w:sz="4" w:space="0"/>
              <w:bottom w:val="single" w:color="auto" w:sz="4" w:space="0"/>
              <w:right w:val="single" w:color="auto" w:sz="4" w:space="0"/>
            </w:tcBorders>
          </w:tcPr>
          <w:p w14:paraId="3C40A8D0">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 xml:space="preserve">1.1%                 </w:t>
            </w:r>
          </w:p>
        </w:tc>
        <w:tc>
          <w:tcPr>
            <w:tcW w:w="1532" w:type="dxa"/>
            <w:tcBorders>
              <w:top w:val="single" w:color="auto" w:sz="4" w:space="0"/>
              <w:left w:val="single" w:color="auto" w:sz="4" w:space="0"/>
              <w:bottom w:val="single" w:color="auto" w:sz="4" w:space="0"/>
              <w:right w:val="single" w:color="auto" w:sz="4" w:space="0"/>
            </w:tcBorders>
          </w:tcPr>
          <w:p w14:paraId="1798FC19">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0.8%</w:t>
            </w:r>
          </w:p>
        </w:tc>
        <w:tc>
          <w:tcPr>
            <w:tcW w:w="1546" w:type="dxa"/>
            <w:tcBorders>
              <w:top w:val="single" w:color="auto" w:sz="4" w:space="0"/>
              <w:left w:val="single" w:color="auto" w:sz="4" w:space="0"/>
              <w:bottom w:val="single" w:color="auto" w:sz="4" w:space="0"/>
              <w:right w:val="single" w:color="auto" w:sz="4" w:space="0"/>
            </w:tcBorders>
          </w:tcPr>
          <w:p w14:paraId="630BF7F6">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 xml:space="preserve">0.7% </w:t>
            </w:r>
          </w:p>
        </w:tc>
      </w:tr>
      <w:tr w14:paraId="7BFC0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op w:val="single" w:color="auto" w:sz="4" w:space="0"/>
              <w:left w:val="single" w:color="auto" w:sz="4" w:space="0"/>
              <w:bottom w:val="single" w:color="auto" w:sz="4" w:space="0"/>
              <w:right w:val="single" w:color="auto" w:sz="4" w:space="0"/>
            </w:tcBorders>
          </w:tcPr>
          <w:p w14:paraId="44AB97C6">
            <w:pPr>
              <w:spacing w:line="360" w:lineRule="auto"/>
              <w:rPr>
                <w:rFonts w:ascii="宋体" w:hAnsi="宋体" w:cs="宋体"/>
                <w:color w:val="auto"/>
                <w:szCs w:val="21"/>
                <w:highlight w:val="none"/>
              </w:rPr>
            </w:pPr>
            <w:r>
              <w:rPr>
                <w:rFonts w:hint="eastAsia" w:ascii="宋体" w:hAnsi="宋体" w:cs="宋体"/>
                <w:color w:val="auto"/>
                <w:szCs w:val="21"/>
                <w:highlight w:val="none"/>
              </w:rPr>
              <w:t>500万～1000万元</w:t>
            </w:r>
          </w:p>
        </w:tc>
        <w:tc>
          <w:tcPr>
            <w:tcW w:w="1659" w:type="dxa"/>
            <w:tcBorders>
              <w:top w:val="single" w:color="auto" w:sz="4" w:space="0"/>
              <w:left w:val="single" w:color="auto" w:sz="4" w:space="0"/>
              <w:bottom w:val="single" w:color="auto" w:sz="4" w:space="0"/>
              <w:right w:val="single" w:color="auto" w:sz="4" w:space="0"/>
            </w:tcBorders>
          </w:tcPr>
          <w:p w14:paraId="05EA5A8E">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0.8%                </w:t>
            </w:r>
          </w:p>
        </w:tc>
        <w:tc>
          <w:tcPr>
            <w:tcW w:w="1532" w:type="dxa"/>
            <w:tcBorders>
              <w:top w:val="single" w:color="auto" w:sz="4" w:space="0"/>
              <w:left w:val="single" w:color="auto" w:sz="4" w:space="0"/>
              <w:bottom w:val="single" w:color="auto" w:sz="4" w:space="0"/>
              <w:right w:val="single" w:color="auto" w:sz="4" w:space="0"/>
            </w:tcBorders>
          </w:tcPr>
          <w:p w14:paraId="0AA0A1FA">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0.45%</w:t>
            </w:r>
          </w:p>
        </w:tc>
        <w:tc>
          <w:tcPr>
            <w:tcW w:w="1546" w:type="dxa"/>
            <w:tcBorders>
              <w:top w:val="single" w:color="auto" w:sz="4" w:space="0"/>
              <w:left w:val="single" w:color="auto" w:sz="4" w:space="0"/>
              <w:bottom w:val="single" w:color="auto" w:sz="4" w:space="0"/>
              <w:right w:val="single" w:color="auto" w:sz="4" w:space="0"/>
            </w:tcBorders>
          </w:tcPr>
          <w:p w14:paraId="4F72A3A0">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0.55%</w:t>
            </w:r>
          </w:p>
        </w:tc>
      </w:tr>
      <w:tr w14:paraId="01765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op w:val="single" w:color="auto" w:sz="4" w:space="0"/>
              <w:left w:val="single" w:color="auto" w:sz="4" w:space="0"/>
              <w:bottom w:val="single" w:color="auto" w:sz="4" w:space="0"/>
              <w:right w:val="single" w:color="auto" w:sz="4" w:space="0"/>
            </w:tcBorders>
          </w:tcPr>
          <w:p w14:paraId="0E96BEE8">
            <w:pPr>
              <w:spacing w:line="360" w:lineRule="auto"/>
              <w:rPr>
                <w:rFonts w:ascii="宋体" w:hAnsi="宋体" w:cs="宋体"/>
                <w:color w:val="auto"/>
                <w:szCs w:val="21"/>
                <w:highlight w:val="none"/>
              </w:rPr>
            </w:pPr>
            <w:r>
              <w:rPr>
                <w:rFonts w:hint="eastAsia" w:ascii="宋体" w:hAnsi="宋体" w:cs="宋体"/>
                <w:color w:val="auto"/>
                <w:szCs w:val="21"/>
                <w:highlight w:val="none"/>
              </w:rPr>
              <w:t>1000万～5000万元</w:t>
            </w:r>
          </w:p>
        </w:tc>
        <w:tc>
          <w:tcPr>
            <w:tcW w:w="1659" w:type="dxa"/>
            <w:tcBorders>
              <w:top w:val="single" w:color="auto" w:sz="4" w:space="0"/>
              <w:left w:val="single" w:color="auto" w:sz="4" w:space="0"/>
              <w:bottom w:val="single" w:color="auto" w:sz="4" w:space="0"/>
              <w:right w:val="single" w:color="auto" w:sz="4" w:space="0"/>
            </w:tcBorders>
          </w:tcPr>
          <w:p w14:paraId="48268626">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 xml:space="preserve">0.5%                </w:t>
            </w:r>
          </w:p>
        </w:tc>
        <w:tc>
          <w:tcPr>
            <w:tcW w:w="1532" w:type="dxa"/>
            <w:tcBorders>
              <w:top w:val="single" w:color="auto" w:sz="4" w:space="0"/>
              <w:left w:val="single" w:color="auto" w:sz="4" w:space="0"/>
              <w:bottom w:val="single" w:color="auto" w:sz="4" w:space="0"/>
              <w:right w:val="single" w:color="auto" w:sz="4" w:space="0"/>
            </w:tcBorders>
          </w:tcPr>
          <w:p w14:paraId="08F53EAB">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0.25%</w:t>
            </w:r>
          </w:p>
        </w:tc>
        <w:tc>
          <w:tcPr>
            <w:tcW w:w="1546" w:type="dxa"/>
            <w:tcBorders>
              <w:top w:val="single" w:color="auto" w:sz="4" w:space="0"/>
              <w:left w:val="single" w:color="auto" w:sz="4" w:space="0"/>
              <w:bottom w:val="single" w:color="auto" w:sz="4" w:space="0"/>
              <w:right w:val="single" w:color="auto" w:sz="4" w:space="0"/>
            </w:tcBorders>
          </w:tcPr>
          <w:p w14:paraId="4371D7F3">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 xml:space="preserve">0.35% </w:t>
            </w:r>
          </w:p>
        </w:tc>
      </w:tr>
      <w:tr w14:paraId="46AC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op w:val="single" w:color="auto" w:sz="4" w:space="0"/>
              <w:left w:val="single" w:color="auto" w:sz="4" w:space="0"/>
              <w:bottom w:val="single" w:color="auto" w:sz="4" w:space="0"/>
              <w:right w:val="single" w:color="auto" w:sz="4" w:space="0"/>
            </w:tcBorders>
          </w:tcPr>
          <w:p w14:paraId="33F84169">
            <w:pPr>
              <w:spacing w:line="360" w:lineRule="auto"/>
              <w:rPr>
                <w:rFonts w:ascii="宋体" w:hAnsi="宋体" w:cs="宋体"/>
                <w:color w:val="auto"/>
                <w:szCs w:val="21"/>
                <w:highlight w:val="none"/>
              </w:rPr>
            </w:pPr>
            <w:r>
              <w:rPr>
                <w:rFonts w:hint="eastAsia" w:ascii="宋体" w:hAnsi="宋体" w:cs="宋体"/>
                <w:color w:val="auto"/>
                <w:szCs w:val="21"/>
                <w:highlight w:val="none"/>
              </w:rPr>
              <w:t>5000万元～1亿元</w:t>
            </w:r>
          </w:p>
        </w:tc>
        <w:tc>
          <w:tcPr>
            <w:tcW w:w="1659" w:type="dxa"/>
            <w:tcBorders>
              <w:top w:val="single" w:color="auto" w:sz="4" w:space="0"/>
              <w:left w:val="single" w:color="auto" w:sz="4" w:space="0"/>
              <w:bottom w:val="single" w:color="auto" w:sz="4" w:space="0"/>
              <w:right w:val="single" w:color="auto" w:sz="4" w:space="0"/>
            </w:tcBorders>
          </w:tcPr>
          <w:p w14:paraId="55F21F21">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 xml:space="preserve">0.25%                 </w:t>
            </w:r>
          </w:p>
        </w:tc>
        <w:tc>
          <w:tcPr>
            <w:tcW w:w="1532" w:type="dxa"/>
            <w:tcBorders>
              <w:top w:val="single" w:color="auto" w:sz="4" w:space="0"/>
              <w:left w:val="single" w:color="auto" w:sz="4" w:space="0"/>
              <w:bottom w:val="single" w:color="auto" w:sz="4" w:space="0"/>
              <w:right w:val="single" w:color="auto" w:sz="4" w:space="0"/>
            </w:tcBorders>
          </w:tcPr>
          <w:p w14:paraId="44A10CFE">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0.1%</w:t>
            </w:r>
          </w:p>
        </w:tc>
        <w:tc>
          <w:tcPr>
            <w:tcW w:w="1546" w:type="dxa"/>
            <w:tcBorders>
              <w:top w:val="single" w:color="auto" w:sz="4" w:space="0"/>
              <w:left w:val="single" w:color="auto" w:sz="4" w:space="0"/>
              <w:bottom w:val="single" w:color="auto" w:sz="4" w:space="0"/>
              <w:right w:val="single" w:color="auto" w:sz="4" w:space="0"/>
            </w:tcBorders>
          </w:tcPr>
          <w:p w14:paraId="717C3FE4">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0.2%</w:t>
            </w:r>
          </w:p>
        </w:tc>
      </w:tr>
      <w:tr w14:paraId="61E4F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op w:val="single" w:color="auto" w:sz="4" w:space="0"/>
              <w:left w:val="single" w:color="auto" w:sz="4" w:space="0"/>
              <w:bottom w:val="single" w:color="auto" w:sz="4" w:space="0"/>
              <w:right w:val="single" w:color="auto" w:sz="4" w:space="0"/>
            </w:tcBorders>
          </w:tcPr>
          <w:p w14:paraId="4FF9ADCB">
            <w:pPr>
              <w:spacing w:line="360" w:lineRule="auto"/>
              <w:rPr>
                <w:rFonts w:ascii="宋体" w:hAnsi="宋体" w:cs="宋体"/>
                <w:color w:val="auto"/>
                <w:szCs w:val="21"/>
                <w:highlight w:val="none"/>
              </w:rPr>
            </w:pPr>
            <w:r>
              <w:rPr>
                <w:rFonts w:hint="eastAsia" w:ascii="宋体" w:hAnsi="宋体" w:cs="宋体"/>
                <w:color w:val="auto"/>
                <w:szCs w:val="21"/>
                <w:highlight w:val="none"/>
              </w:rPr>
              <w:t>1亿～5亿元</w:t>
            </w:r>
          </w:p>
        </w:tc>
        <w:tc>
          <w:tcPr>
            <w:tcW w:w="1659" w:type="dxa"/>
            <w:tcBorders>
              <w:top w:val="single" w:color="auto" w:sz="4" w:space="0"/>
              <w:left w:val="single" w:color="auto" w:sz="4" w:space="0"/>
              <w:bottom w:val="single" w:color="auto" w:sz="4" w:space="0"/>
              <w:right w:val="single" w:color="auto" w:sz="4" w:space="0"/>
            </w:tcBorders>
          </w:tcPr>
          <w:p w14:paraId="388D2135">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0.05%</w:t>
            </w:r>
          </w:p>
        </w:tc>
        <w:tc>
          <w:tcPr>
            <w:tcW w:w="1532" w:type="dxa"/>
            <w:tcBorders>
              <w:top w:val="single" w:color="auto" w:sz="4" w:space="0"/>
              <w:left w:val="single" w:color="auto" w:sz="4" w:space="0"/>
              <w:bottom w:val="single" w:color="auto" w:sz="4" w:space="0"/>
              <w:right w:val="single" w:color="auto" w:sz="4" w:space="0"/>
            </w:tcBorders>
          </w:tcPr>
          <w:p w14:paraId="193FCDA4">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0.05%</w:t>
            </w:r>
          </w:p>
        </w:tc>
        <w:tc>
          <w:tcPr>
            <w:tcW w:w="1546" w:type="dxa"/>
            <w:tcBorders>
              <w:top w:val="single" w:color="auto" w:sz="4" w:space="0"/>
              <w:left w:val="single" w:color="auto" w:sz="4" w:space="0"/>
              <w:bottom w:val="single" w:color="auto" w:sz="4" w:space="0"/>
              <w:right w:val="single" w:color="auto" w:sz="4" w:space="0"/>
            </w:tcBorders>
          </w:tcPr>
          <w:p w14:paraId="3FC0C8D2">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0.05%</w:t>
            </w:r>
          </w:p>
        </w:tc>
      </w:tr>
      <w:tr w14:paraId="3172F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op w:val="single" w:color="auto" w:sz="4" w:space="0"/>
              <w:left w:val="single" w:color="auto" w:sz="4" w:space="0"/>
              <w:bottom w:val="single" w:color="auto" w:sz="4" w:space="0"/>
              <w:right w:val="single" w:color="auto" w:sz="4" w:space="0"/>
            </w:tcBorders>
          </w:tcPr>
          <w:p w14:paraId="28961313">
            <w:pPr>
              <w:spacing w:line="360" w:lineRule="auto"/>
              <w:rPr>
                <w:rFonts w:ascii="宋体" w:hAnsi="宋体" w:cs="宋体"/>
                <w:color w:val="auto"/>
                <w:szCs w:val="21"/>
                <w:highlight w:val="none"/>
              </w:rPr>
            </w:pPr>
            <w:r>
              <w:rPr>
                <w:rFonts w:hint="eastAsia" w:ascii="宋体" w:hAnsi="宋体" w:cs="宋体"/>
                <w:color w:val="auto"/>
                <w:szCs w:val="21"/>
                <w:highlight w:val="none"/>
              </w:rPr>
              <w:t>5亿～10亿元</w:t>
            </w:r>
          </w:p>
        </w:tc>
        <w:tc>
          <w:tcPr>
            <w:tcW w:w="1659" w:type="dxa"/>
            <w:tcBorders>
              <w:top w:val="single" w:color="auto" w:sz="4" w:space="0"/>
              <w:left w:val="single" w:color="auto" w:sz="4" w:space="0"/>
              <w:bottom w:val="single" w:color="auto" w:sz="4" w:space="0"/>
              <w:right w:val="single" w:color="auto" w:sz="4" w:space="0"/>
            </w:tcBorders>
          </w:tcPr>
          <w:p w14:paraId="20669399">
            <w:pPr>
              <w:spacing w:line="360" w:lineRule="auto"/>
              <w:ind w:firstLine="105"/>
              <w:rPr>
                <w:rFonts w:ascii="宋体" w:hAnsi="宋体" w:cs="宋体"/>
                <w:color w:val="auto"/>
                <w:szCs w:val="21"/>
                <w:highlight w:val="none"/>
              </w:rPr>
            </w:pPr>
            <w:r>
              <w:rPr>
                <w:rFonts w:hint="eastAsia" w:ascii="宋体" w:hAnsi="宋体" w:cs="宋体"/>
                <w:color w:val="auto"/>
                <w:szCs w:val="21"/>
                <w:highlight w:val="none"/>
              </w:rPr>
              <w:t>0.035%</w:t>
            </w:r>
          </w:p>
        </w:tc>
        <w:tc>
          <w:tcPr>
            <w:tcW w:w="1532" w:type="dxa"/>
            <w:tcBorders>
              <w:top w:val="single" w:color="auto" w:sz="4" w:space="0"/>
              <w:left w:val="single" w:color="auto" w:sz="4" w:space="0"/>
              <w:bottom w:val="single" w:color="auto" w:sz="4" w:space="0"/>
              <w:right w:val="single" w:color="auto" w:sz="4" w:space="0"/>
            </w:tcBorders>
          </w:tcPr>
          <w:p w14:paraId="1A392A4D">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0.035%</w:t>
            </w:r>
          </w:p>
        </w:tc>
        <w:tc>
          <w:tcPr>
            <w:tcW w:w="1546" w:type="dxa"/>
            <w:tcBorders>
              <w:top w:val="single" w:color="auto" w:sz="4" w:space="0"/>
              <w:left w:val="single" w:color="auto" w:sz="4" w:space="0"/>
              <w:bottom w:val="single" w:color="auto" w:sz="4" w:space="0"/>
              <w:right w:val="single" w:color="auto" w:sz="4" w:space="0"/>
            </w:tcBorders>
          </w:tcPr>
          <w:p w14:paraId="1E189E06">
            <w:pPr>
              <w:spacing w:line="360" w:lineRule="auto"/>
              <w:ind w:firstLine="105"/>
              <w:rPr>
                <w:rFonts w:ascii="宋体" w:hAnsi="宋体" w:cs="宋体"/>
                <w:color w:val="auto"/>
                <w:szCs w:val="21"/>
                <w:highlight w:val="none"/>
              </w:rPr>
            </w:pPr>
            <w:r>
              <w:rPr>
                <w:rFonts w:hint="eastAsia" w:ascii="宋体" w:hAnsi="宋体" w:cs="宋体"/>
                <w:color w:val="auto"/>
                <w:szCs w:val="21"/>
                <w:highlight w:val="none"/>
              </w:rPr>
              <w:t>0.035%</w:t>
            </w:r>
          </w:p>
        </w:tc>
      </w:tr>
      <w:tr w14:paraId="07962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op w:val="single" w:color="auto" w:sz="4" w:space="0"/>
              <w:left w:val="single" w:color="auto" w:sz="4" w:space="0"/>
              <w:bottom w:val="single" w:color="auto" w:sz="4" w:space="0"/>
              <w:right w:val="single" w:color="auto" w:sz="4" w:space="0"/>
            </w:tcBorders>
          </w:tcPr>
          <w:p w14:paraId="232E488F">
            <w:pPr>
              <w:spacing w:line="360" w:lineRule="auto"/>
              <w:rPr>
                <w:rFonts w:ascii="宋体" w:hAnsi="宋体" w:cs="宋体"/>
                <w:color w:val="auto"/>
                <w:szCs w:val="21"/>
                <w:highlight w:val="none"/>
              </w:rPr>
            </w:pPr>
            <w:r>
              <w:rPr>
                <w:rFonts w:hint="eastAsia" w:ascii="宋体" w:hAnsi="宋体" w:cs="宋体"/>
                <w:color w:val="auto"/>
                <w:szCs w:val="21"/>
                <w:highlight w:val="none"/>
              </w:rPr>
              <w:t>10亿～50亿元</w:t>
            </w:r>
          </w:p>
        </w:tc>
        <w:tc>
          <w:tcPr>
            <w:tcW w:w="1659" w:type="dxa"/>
            <w:tcBorders>
              <w:top w:val="single" w:color="auto" w:sz="4" w:space="0"/>
              <w:left w:val="single" w:color="auto" w:sz="4" w:space="0"/>
              <w:bottom w:val="single" w:color="auto" w:sz="4" w:space="0"/>
              <w:right w:val="single" w:color="auto" w:sz="4" w:space="0"/>
            </w:tcBorders>
          </w:tcPr>
          <w:p w14:paraId="41A26393">
            <w:pPr>
              <w:spacing w:line="360" w:lineRule="auto"/>
              <w:ind w:firstLine="105"/>
              <w:rPr>
                <w:rFonts w:ascii="宋体" w:hAnsi="宋体" w:cs="宋体"/>
                <w:color w:val="auto"/>
                <w:szCs w:val="21"/>
                <w:highlight w:val="none"/>
              </w:rPr>
            </w:pPr>
            <w:r>
              <w:rPr>
                <w:rFonts w:hint="eastAsia" w:ascii="宋体" w:hAnsi="宋体" w:cs="宋体"/>
                <w:color w:val="auto"/>
                <w:szCs w:val="21"/>
                <w:highlight w:val="none"/>
              </w:rPr>
              <w:t>0.008%</w:t>
            </w:r>
          </w:p>
        </w:tc>
        <w:tc>
          <w:tcPr>
            <w:tcW w:w="1532" w:type="dxa"/>
            <w:tcBorders>
              <w:top w:val="single" w:color="auto" w:sz="4" w:space="0"/>
              <w:left w:val="single" w:color="auto" w:sz="4" w:space="0"/>
              <w:bottom w:val="single" w:color="auto" w:sz="4" w:space="0"/>
              <w:right w:val="single" w:color="auto" w:sz="4" w:space="0"/>
            </w:tcBorders>
          </w:tcPr>
          <w:p w14:paraId="0DD2DF23">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0.008%</w:t>
            </w:r>
          </w:p>
        </w:tc>
        <w:tc>
          <w:tcPr>
            <w:tcW w:w="1546" w:type="dxa"/>
            <w:tcBorders>
              <w:top w:val="single" w:color="auto" w:sz="4" w:space="0"/>
              <w:left w:val="single" w:color="auto" w:sz="4" w:space="0"/>
              <w:bottom w:val="single" w:color="auto" w:sz="4" w:space="0"/>
              <w:right w:val="single" w:color="auto" w:sz="4" w:space="0"/>
            </w:tcBorders>
          </w:tcPr>
          <w:p w14:paraId="6DC7084B">
            <w:pPr>
              <w:spacing w:line="360" w:lineRule="auto"/>
              <w:ind w:firstLine="105"/>
              <w:rPr>
                <w:rFonts w:ascii="宋体" w:hAnsi="宋体" w:cs="宋体"/>
                <w:color w:val="auto"/>
                <w:szCs w:val="21"/>
                <w:highlight w:val="none"/>
              </w:rPr>
            </w:pPr>
            <w:r>
              <w:rPr>
                <w:rFonts w:hint="eastAsia" w:ascii="宋体" w:hAnsi="宋体" w:cs="宋体"/>
                <w:color w:val="auto"/>
                <w:szCs w:val="21"/>
                <w:highlight w:val="none"/>
              </w:rPr>
              <w:t>0.008%</w:t>
            </w:r>
          </w:p>
        </w:tc>
      </w:tr>
      <w:tr w14:paraId="1A3A0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op w:val="single" w:color="auto" w:sz="4" w:space="0"/>
              <w:left w:val="single" w:color="auto" w:sz="4" w:space="0"/>
              <w:bottom w:val="single" w:color="auto" w:sz="4" w:space="0"/>
              <w:right w:val="single" w:color="auto" w:sz="4" w:space="0"/>
            </w:tcBorders>
          </w:tcPr>
          <w:p w14:paraId="26C2B78B">
            <w:pPr>
              <w:spacing w:line="360" w:lineRule="auto"/>
              <w:rPr>
                <w:rFonts w:ascii="宋体" w:hAnsi="宋体" w:cs="宋体"/>
                <w:color w:val="auto"/>
                <w:szCs w:val="21"/>
                <w:highlight w:val="none"/>
              </w:rPr>
            </w:pPr>
            <w:r>
              <w:rPr>
                <w:rFonts w:hint="eastAsia" w:ascii="宋体" w:hAnsi="宋体" w:cs="宋体"/>
                <w:color w:val="auto"/>
                <w:szCs w:val="21"/>
                <w:highlight w:val="none"/>
              </w:rPr>
              <w:t>50亿～100亿元</w:t>
            </w:r>
          </w:p>
        </w:tc>
        <w:tc>
          <w:tcPr>
            <w:tcW w:w="1659" w:type="dxa"/>
            <w:tcBorders>
              <w:top w:val="single" w:color="auto" w:sz="4" w:space="0"/>
              <w:left w:val="single" w:color="auto" w:sz="4" w:space="0"/>
              <w:bottom w:val="single" w:color="auto" w:sz="4" w:space="0"/>
              <w:right w:val="single" w:color="auto" w:sz="4" w:space="0"/>
            </w:tcBorders>
          </w:tcPr>
          <w:p w14:paraId="17081123">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0.006%</w:t>
            </w:r>
          </w:p>
        </w:tc>
        <w:tc>
          <w:tcPr>
            <w:tcW w:w="1532" w:type="dxa"/>
            <w:tcBorders>
              <w:top w:val="single" w:color="auto" w:sz="4" w:space="0"/>
              <w:left w:val="single" w:color="auto" w:sz="4" w:space="0"/>
              <w:bottom w:val="single" w:color="auto" w:sz="4" w:space="0"/>
              <w:right w:val="single" w:color="auto" w:sz="4" w:space="0"/>
            </w:tcBorders>
          </w:tcPr>
          <w:p w14:paraId="2B8623B0">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0.006%</w:t>
            </w:r>
          </w:p>
        </w:tc>
        <w:tc>
          <w:tcPr>
            <w:tcW w:w="1546" w:type="dxa"/>
            <w:tcBorders>
              <w:top w:val="single" w:color="auto" w:sz="4" w:space="0"/>
              <w:left w:val="single" w:color="auto" w:sz="4" w:space="0"/>
              <w:bottom w:val="single" w:color="auto" w:sz="4" w:space="0"/>
              <w:right w:val="single" w:color="auto" w:sz="4" w:space="0"/>
            </w:tcBorders>
          </w:tcPr>
          <w:p w14:paraId="5413E4B6">
            <w:pPr>
              <w:spacing w:line="360" w:lineRule="auto"/>
              <w:ind w:firstLine="105"/>
              <w:rPr>
                <w:rFonts w:ascii="宋体" w:hAnsi="宋体" w:cs="宋体"/>
                <w:color w:val="auto"/>
                <w:szCs w:val="21"/>
                <w:highlight w:val="none"/>
              </w:rPr>
            </w:pPr>
            <w:r>
              <w:rPr>
                <w:rFonts w:hint="eastAsia" w:ascii="宋体" w:hAnsi="宋体" w:cs="宋体"/>
                <w:color w:val="auto"/>
                <w:szCs w:val="21"/>
                <w:highlight w:val="none"/>
              </w:rPr>
              <w:t>0.006%</w:t>
            </w:r>
          </w:p>
        </w:tc>
      </w:tr>
      <w:tr w14:paraId="58BD6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op w:val="single" w:color="auto" w:sz="4" w:space="0"/>
              <w:left w:val="single" w:color="auto" w:sz="4" w:space="0"/>
              <w:bottom w:val="single" w:color="auto" w:sz="4" w:space="0"/>
              <w:right w:val="single" w:color="auto" w:sz="4" w:space="0"/>
            </w:tcBorders>
          </w:tcPr>
          <w:p w14:paraId="3F6FEBB9">
            <w:pPr>
              <w:spacing w:line="360" w:lineRule="auto"/>
              <w:rPr>
                <w:rFonts w:ascii="宋体" w:hAnsi="宋体" w:cs="宋体"/>
                <w:color w:val="auto"/>
                <w:szCs w:val="21"/>
                <w:highlight w:val="none"/>
              </w:rPr>
            </w:pPr>
            <w:r>
              <w:rPr>
                <w:rFonts w:hint="eastAsia" w:ascii="宋体" w:hAnsi="宋体" w:cs="宋体"/>
                <w:color w:val="auto"/>
                <w:szCs w:val="21"/>
                <w:highlight w:val="none"/>
              </w:rPr>
              <w:t>100亿元以上</w:t>
            </w:r>
          </w:p>
        </w:tc>
        <w:tc>
          <w:tcPr>
            <w:tcW w:w="1659" w:type="dxa"/>
            <w:tcBorders>
              <w:top w:val="single" w:color="auto" w:sz="4" w:space="0"/>
              <w:left w:val="single" w:color="auto" w:sz="4" w:space="0"/>
              <w:bottom w:val="single" w:color="auto" w:sz="4" w:space="0"/>
              <w:right w:val="single" w:color="auto" w:sz="4" w:space="0"/>
            </w:tcBorders>
          </w:tcPr>
          <w:p w14:paraId="43B2F6D7">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0.004%</w:t>
            </w:r>
          </w:p>
        </w:tc>
        <w:tc>
          <w:tcPr>
            <w:tcW w:w="1532" w:type="dxa"/>
            <w:tcBorders>
              <w:top w:val="single" w:color="auto" w:sz="4" w:space="0"/>
              <w:left w:val="single" w:color="auto" w:sz="4" w:space="0"/>
              <w:bottom w:val="single" w:color="auto" w:sz="4" w:space="0"/>
              <w:right w:val="single" w:color="auto" w:sz="4" w:space="0"/>
            </w:tcBorders>
          </w:tcPr>
          <w:p w14:paraId="43B47FC1">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0.004%</w:t>
            </w:r>
          </w:p>
        </w:tc>
        <w:tc>
          <w:tcPr>
            <w:tcW w:w="1546" w:type="dxa"/>
            <w:tcBorders>
              <w:top w:val="single" w:color="auto" w:sz="4" w:space="0"/>
              <w:left w:val="single" w:color="auto" w:sz="4" w:space="0"/>
              <w:bottom w:val="single" w:color="auto" w:sz="4" w:space="0"/>
              <w:right w:val="single" w:color="auto" w:sz="4" w:space="0"/>
            </w:tcBorders>
          </w:tcPr>
          <w:p w14:paraId="7E95ED4B">
            <w:pPr>
              <w:spacing w:line="360" w:lineRule="auto"/>
              <w:ind w:firstLine="105"/>
              <w:rPr>
                <w:rFonts w:ascii="宋体" w:hAnsi="宋体" w:cs="宋体"/>
                <w:color w:val="auto"/>
                <w:szCs w:val="21"/>
                <w:highlight w:val="none"/>
              </w:rPr>
            </w:pPr>
            <w:r>
              <w:rPr>
                <w:rFonts w:hint="eastAsia" w:ascii="宋体" w:hAnsi="宋体" w:cs="宋体"/>
                <w:color w:val="auto"/>
                <w:szCs w:val="21"/>
                <w:highlight w:val="none"/>
              </w:rPr>
              <w:t>0.004%</w:t>
            </w:r>
          </w:p>
        </w:tc>
      </w:tr>
    </w:tbl>
    <w:p w14:paraId="7484961C">
      <w:pPr>
        <w:spacing w:line="360" w:lineRule="auto"/>
        <w:ind w:firstLine="420"/>
        <w:contextualSpacing/>
        <w:rPr>
          <w:rFonts w:ascii="宋体" w:hAnsi="宋体" w:cs="宋体"/>
          <w:color w:val="auto"/>
          <w:highlight w:val="none"/>
        </w:rPr>
      </w:pPr>
      <w:r>
        <w:rPr>
          <w:rFonts w:ascii="宋体" w:hAnsi="宋体" w:cs="宋体"/>
          <w:color w:val="auto"/>
          <w:highlight w:val="none"/>
        </w:rPr>
        <w:t xml:space="preserve">注： </w:t>
      </w:r>
    </w:p>
    <w:p w14:paraId="1D7F9421">
      <w:pPr>
        <w:spacing w:line="360" w:lineRule="auto"/>
        <w:ind w:firstLine="420"/>
        <w:contextualSpacing/>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按本表费率计算的收费为</w:t>
      </w:r>
      <w:r>
        <w:rPr>
          <w:rFonts w:hint="eastAsia" w:ascii="宋体" w:hAnsi="宋体" w:cs="宋体"/>
          <w:color w:val="auto"/>
          <w:highlight w:val="none"/>
        </w:rPr>
        <w:t>采购</w:t>
      </w:r>
      <w:r>
        <w:rPr>
          <w:rFonts w:ascii="宋体" w:hAnsi="宋体" w:cs="宋体"/>
          <w:color w:val="auto"/>
          <w:highlight w:val="none"/>
        </w:rPr>
        <w:t>代理的收费基准价格</w:t>
      </w:r>
      <w:r>
        <w:rPr>
          <w:rFonts w:hint="eastAsia" w:ascii="宋体" w:hAnsi="宋体" w:cs="宋体"/>
          <w:color w:val="auto"/>
          <w:highlight w:val="none"/>
        </w:rPr>
        <w:t>；</w:t>
      </w:r>
    </w:p>
    <w:p w14:paraId="42627574">
      <w:pPr>
        <w:spacing w:line="360" w:lineRule="auto"/>
        <w:ind w:firstLine="420"/>
        <w:contextualSpacing/>
        <w:rPr>
          <w:rFonts w:ascii="宋体" w:hAnsi="宋体" w:cs="宋体"/>
          <w:color w:val="auto"/>
          <w:highlight w:val="none"/>
        </w:rPr>
      </w:pPr>
      <w:r>
        <w:rPr>
          <w:rFonts w:hint="eastAsia" w:ascii="宋体" w:hAnsi="宋体" w:cs="宋体"/>
          <w:color w:val="auto"/>
          <w:highlight w:val="none"/>
        </w:rPr>
        <w:t>（2）采购</w:t>
      </w:r>
      <w:r>
        <w:rPr>
          <w:rFonts w:ascii="宋体" w:hAnsi="宋体" w:cs="宋体"/>
          <w:color w:val="auto"/>
          <w:highlight w:val="none"/>
        </w:rPr>
        <w:t>代理收费按差额定率累进法计算。</w:t>
      </w:r>
    </w:p>
    <w:p w14:paraId="5640B736">
      <w:pPr>
        <w:spacing w:line="360" w:lineRule="auto"/>
        <w:ind w:firstLine="420"/>
        <w:contextualSpacing/>
        <w:rPr>
          <w:rFonts w:ascii="宋体" w:hAnsi="宋体" w:cs="宋体"/>
          <w:color w:val="auto"/>
          <w:highlight w:val="none"/>
        </w:rPr>
      </w:pPr>
      <w:r>
        <w:rPr>
          <w:rFonts w:ascii="宋体" w:hAnsi="宋体" w:cs="宋体"/>
          <w:color w:val="auto"/>
          <w:highlight w:val="none"/>
        </w:rPr>
        <w:t>例如：某</w:t>
      </w:r>
      <w:r>
        <w:rPr>
          <w:rFonts w:hint="eastAsia" w:ascii="宋体" w:hAnsi="宋体" w:cs="宋体"/>
          <w:color w:val="auto"/>
          <w:highlight w:val="none"/>
        </w:rPr>
        <w:t>货物采购</w:t>
      </w:r>
      <w:r>
        <w:rPr>
          <w:rFonts w:ascii="宋体" w:hAnsi="宋体" w:cs="宋体"/>
          <w:color w:val="auto"/>
          <w:highlight w:val="none"/>
        </w:rPr>
        <w:t>代理业务</w:t>
      </w:r>
      <w:r>
        <w:rPr>
          <w:rFonts w:hint="eastAsia" w:ascii="宋体" w:hAnsi="宋体" w:cs="宋体"/>
          <w:color w:val="auto"/>
          <w:highlight w:val="none"/>
        </w:rPr>
        <w:t>成交</w:t>
      </w:r>
      <w:r>
        <w:rPr>
          <w:rFonts w:ascii="宋体" w:hAnsi="宋体" w:cs="宋体"/>
          <w:color w:val="auto"/>
          <w:highlight w:val="none"/>
        </w:rPr>
        <w:t>金额</w:t>
      </w:r>
      <w:r>
        <w:rPr>
          <w:rFonts w:hint="eastAsia" w:ascii="宋体" w:hAnsi="宋体" w:cs="宋体"/>
          <w:color w:val="auto"/>
          <w:highlight w:val="none"/>
        </w:rPr>
        <w:t>或者暂定价</w:t>
      </w:r>
      <w:r>
        <w:rPr>
          <w:rFonts w:ascii="宋体" w:hAnsi="宋体" w:cs="宋体"/>
          <w:color w:val="auto"/>
          <w:highlight w:val="none"/>
        </w:rPr>
        <w:t>为150万元，计算</w:t>
      </w:r>
      <w:r>
        <w:rPr>
          <w:rFonts w:hint="eastAsia" w:ascii="宋体" w:hAnsi="宋体" w:cs="宋体"/>
          <w:color w:val="auto"/>
          <w:highlight w:val="none"/>
        </w:rPr>
        <w:t>采购</w:t>
      </w:r>
      <w:r>
        <w:rPr>
          <w:rFonts w:ascii="宋体" w:hAnsi="宋体" w:cs="宋体"/>
          <w:color w:val="auto"/>
          <w:highlight w:val="none"/>
        </w:rPr>
        <w:t>代理收费额如下：</w:t>
      </w:r>
    </w:p>
    <w:p w14:paraId="0BC164D1">
      <w:pPr>
        <w:spacing w:line="360" w:lineRule="auto"/>
        <w:ind w:firstLine="420"/>
        <w:contextualSpacing/>
        <w:rPr>
          <w:rFonts w:ascii="宋体" w:hAnsi="宋体" w:cs="宋体"/>
          <w:color w:val="auto"/>
          <w:highlight w:val="none"/>
        </w:rPr>
      </w:pPr>
      <w:r>
        <w:rPr>
          <w:rFonts w:ascii="宋体" w:hAnsi="宋体" w:cs="宋体"/>
          <w:color w:val="auto"/>
          <w:highlight w:val="none"/>
        </w:rPr>
        <w:t>100 万元 ×</w:t>
      </w:r>
      <w:r>
        <w:rPr>
          <w:rFonts w:hint="eastAsia" w:ascii="宋体" w:hAnsi="宋体" w:cs="宋体"/>
          <w:color w:val="auto"/>
          <w:highlight w:val="none"/>
        </w:rPr>
        <w:t>1</w:t>
      </w:r>
      <w:r>
        <w:rPr>
          <w:rFonts w:ascii="宋体" w:hAnsi="宋体" w:cs="宋体"/>
          <w:color w:val="auto"/>
          <w:highlight w:val="none"/>
        </w:rPr>
        <w:t>.5%＝ 1.5 万元</w:t>
      </w:r>
    </w:p>
    <w:p w14:paraId="1545635F">
      <w:pPr>
        <w:spacing w:line="360" w:lineRule="auto"/>
        <w:ind w:firstLine="420"/>
        <w:contextualSpacing/>
        <w:rPr>
          <w:rFonts w:ascii="宋体" w:hAnsi="宋体" w:cs="宋体"/>
          <w:color w:val="auto"/>
          <w:highlight w:val="none"/>
        </w:rPr>
      </w:pPr>
      <w:r>
        <w:rPr>
          <w:rFonts w:ascii="宋体" w:hAnsi="宋体" w:cs="宋体"/>
          <w:color w:val="auto"/>
          <w:highlight w:val="none"/>
        </w:rPr>
        <w:t>（ 150 － 100 ）万元 ×1.1%＝ 0.55 万元</w:t>
      </w:r>
    </w:p>
    <w:p w14:paraId="2201E4E4">
      <w:pPr>
        <w:spacing w:line="360" w:lineRule="auto"/>
        <w:ind w:firstLine="420"/>
        <w:contextualSpacing/>
        <w:rPr>
          <w:rFonts w:ascii="宋体" w:hAnsi="宋体" w:cs="宋体"/>
          <w:color w:val="auto"/>
          <w:highlight w:val="none"/>
        </w:rPr>
      </w:pPr>
      <w:r>
        <w:rPr>
          <w:rFonts w:ascii="宋体" w:hAnsi="宋体" w:cs="宋体"/>
          <w:color w:val="auto"/>
          <w:highlight w:val="none"/>
        </w:rPr>
        <w:t>合计收费＝ 1.5 ＋ 0.55＝ 2.05 （万元）</w:t>
      </w:r>
    </w:p>
    <w:p w14:paraId="3DB6CD34">
      <w:pPr>
        <w:spacing w:line="360" w:lineRule="auto"/>
        <w:ind w:firstLine="482"/>
        <w:contextualSpacing/>
        <w:rPr>
          <w:rFonts w:ascii="黑体" w:hAnsi="黑体" w:eastAsia="黑体" w:cs="宋体"/>
          <w:b/>
          <w:bCs/>
          <w:color w:val="auto"/>
          <w:sz w:val="24"/>
          <w:highlight w:val="none"/>
        </w:rPr>
      </w:pPr>
      <w:r>
        <w:rPr>
          <w:rFonts w:ascii="黑体" w:hAnsi="黑体" w:eastAsia="黑体" w:cs="宋体"/>
          <w:b/>
          <w:bCs/>
          <w:color w:val="auto"/>
          <w:sz w:val="24"/>
          <w:highlight w:val="none"/>
        </w:rPr>
        <w:t>33. 需要补充的其他内容</w:t>
      </w:r>
    </w:p>
    <w:p w14:paraId="28EB1D95">
      <w:pPr>
        <w:pStyle w:val="222"/>
        <w:spacing w:line="360" w:lineRule="auto"/>
        <w:ind w:firstLine="420"/>
        <w:contextualSpacing/>
        <w:rPr>
          <w:rFonts w:hAnsi="宋体"/>
          <w:color w:val="auto"/>
          <w:sz w:val="21"/>
          <w:highlight w:val="none"/>
        </w:rPr>
      </w:pPr>
      <w:r>
        <w:rPr>
          <w:rFonts w:hAnsi="宋体"/>
          <w:color w:val="auto"/>
          <w:sz w:val="21"/>
          <w:highlight w:val="none"/>
        </w:rPr>
        <w:t>33.1</w:t>
      </w:r>
      <w:r>
        <w:rPr>
          <w:rFonts w:hint="eastAsia" w:hAnsi="宋体" w:cs="宋体"/>
          <w:color w:val="auto"/>
          <w:sz w:val="21"/>
          <w:highlight w:val="none"/>
        </w:rPr>
        <w:t>本谈判文件解释规则详见</w:t>
      </w:r>
      <w:r>
        <w:rPr>
          <w:rFonts w:hint="eastAsia" w:hAnsi="宋体"/>
          <w:color w:val="auto"/>
          <w:sz w:val="21"/>
          <w:highlight w:val="none"/>
        </w:rPr>
        <w:t>“供应商须知前附表”。</w:t>
      </w:r>
    </w:p>
    <w:p w14:paraId="5EDAA0DD">
      <w:pPr>
        <w:spacing w:line="360" w:lineRule="auto"/>
        <w:ind w:firstLine="420"/>
        <w:contextualSpacing/>
        <w:rPr>
          <w:rFonts w:hAnsi="宋体"/>
          <w:color w:val="auto"/>
          <w:highlight w:val="none"/>
        </w:rPr>
      </w:pPr>
      <w:r>
        <w:rPr>
          <w:rFonts w:ascii="宋体" w:hAnsi="宋体" w:cs="宋体"/>
          <w:color w:val="auto"/>
          <w:szCs w:val="21"/>
          <w:highlight w:val="none"/>
        </w:rPr>
        <w:t>33.2</w:t>
      </w:r>
      <w:r>
        <w:rPr>
          <w:rFonts w:hint="eastAsia" w:ascii="宋体" w:hAnsi="宋体" w:cs="宋体"/>
          <w:color w:val="auto"/>
          <w:szCs w:val="21"/>
          <w:highlight w:val="none"/>
        </w:rPr>
        <w:t xml:space="preserve"> 其他事</w:t>
      </w:r>
      <w:r>
        <w:rPr>
          <w:rFonts w:hint="eastAsia" w:hAnsi="宋体"/>
          <w:color w:val="auto"/>
          <w:highlight w:val="none"/>
        </w:rPr>
        <w:t>项详见“供应商须知前附表”。</w:t>
      </w:r>
    </w:p>
    <w:p w14:paraId="045A1FEC">
      <w:pPr>
        <w:pStyle w:val="222"/>
        <w:spacing w:line="360" w:lineRule="auto"/>
        <w:ind w:firstLine="400"/>
        <w:contextualSpacing/>
        <w:rPr>
          <w:rFonts w:hAnsi="宋体"/>
          <w:color w:val="auto"/>
          <w:sz w:val="21"/>
          <w:highlight w:val="none"/>
        </w:rPr>
      </w:pPr>
      <w:r>
        <w:rPr>
          <w:rFonts w:hint="eastAsia" w:hAnsi="宋体"/>
          <w:color w:val="auto"/>
          <w:highlight w:val="none"/>
        </w:rPr>
        <w:t>3</w:t>
      </w:r>
      <w:r>
        <w:rPr>
          <w:rFonts w:hAnsi="宋体"/>
          <w:color w:val="auto"/>
          <w:highlight w:val="none"/>
        </w:rPr>
        <w:t>3.3</w:t>
      </w:r>
      <w:r>
        <w:rPr>
          <w:rFonts w:hint="eastAsia" w:hAnsi="宋体"/>
          <w:color w:val="auto"/>
          <w:sz w:val="21"/>
          <w:highlight w:val="none"/>
        </w:rPr>
        <w:t>本谈判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谈判文件规定的中小企业扶持政策：</w:t>
      </w:r>
    </w:p>
    <w:p w14:paraId="108747DA">
      <w:pPr>
        <w:pStyle w:val="222"/>
        <w:spacing w:line="360" w:lineRule="auto"/>
        <w:ind w:firstLine="420"/>
        <w:contextualSpacing/>
        <w:rPr>
          <w:rFonts w:hAnsi="宋体"/>
          <w:color w:val="auto"/>
          <w:sz w:val="21"/>
          <w:highlight w:val="none"/>
        </w:rPr>
      </w:pPr>
      <w:r>
        <w:rPr>
          <w:rFonts w:hint="eastAsia" w:hAnsi="宋体"/>
          <w:color w:val="auto"/>
          <w:sz w:val="21"/>
          <w:highlight w:val="none"/>
        </w:rPr>
        <w:t>（1）在货物采购项目中，货物由中小企业制造，即货物由中小企业生产且使用该中小企业商号或者注册商标，不对其中涉及的工程承建商和服务的承接商作出要求；</w:t>
      </w:r>
    </w:p>
    <w:p w14:paraId="30DC22A1">
      <w:pPr>
        <w:pStyle w:val="222"/>
        <w:spacing w:line="360" w:lineRule="auto"/>
        <w:ind w:firstLine="420"/>
        <w:contextualSpacing/>
        <w:rPr>
          <w:rFonts w:hAnsi="宋体"/>
          <w:color w:val="auto"/>
          <w:sz w:val="21"/>
          <w:highlight w:val="none"/>
        </w:rPr>
      </w:pPr>
      <w:r>
        <w:rPr>
          <w:rFonts w:hint="eastAsia" w:hAnsi="宋体"/>
          <w:color w:val="auto"/>
          <w:sz w:val="21"/>
          <w:highlight w:val="none"/>
        </w:rPr>
        <w:t>（2）在工程采购项目中，工程由中小企业承建，即工程施工单位为中小企业，不对其中涉及的货物的制造商和服务的承接商作出要求；</w:t>
      </w:r>
    </w:p>
    <w:p w14:paraId="08294951">
      <w:pPr>
        <w:pStyle w:val="222"/>
        <w:spacing w:line="360" w:lineRule="auto"/>
        <w:ind w:firstLine="420"/>
        <w:contextualSpacing/>
        <w:rPr>
          <w:rFonts w:hAnsi="宋体"/>
          <w:color w:val="auto"/>
          <w:sz w:val="21"/>
          <w:highlight w:val="none"/>
        </w:rPr>
      </w:pPr>
      <w:r>
        <w:rPr>
          <w:rFonts w:hint="eastAsia" w:hAnsi="宋体"/>
          <w:color w:val="auto"/>
          <w:sz w:val="21"/>
          <w:highlight w:val="none"/>
        </w:rPr>
        <w:t>（3）在服务采购项目中，服务由中小企业承接，即提供服务的人员为中小企业依照《中华人民共和国劳动合同法》订立劳动合同的从业人员，不对其中涉及的货物的制造商和工程承建商作出要求。</w:t>
      </w:r>
    </w:p>
    <w:p w14:paraId="32EE5F33">
      <w:pPr>
        <w:pStyle w:val="222"/>
        <w:spacing w:line="360" w:lineRule="auto"/>
        <w:ind w:firstLine="420"/>
        <w:contextualSpacing/>
        <w:rPr>
          <w:rFonts w:hAnsi="宋体"/>
          <w:color w:val="auto"/>
          <w:sz w:val="21"/>
          <w:highlight w:val="none"/>
        </w:rPr>
      </w:pPr>
      <w:r>
        <w:rPr>
          <w:rFonts w:hint="eastAsia" w:hAnsi="宋体"/>
          <w:color w:val="auto"/>
          <w:sz w:val="21"/>
          <w:highlight w:val="none"/>
        </w:rPr>
        <w:t>在货物采购项目中，供应商提供的货物既有中小企业制造货物，也有大型企业制造货物的，不享受本谈判文件规定的中小企业扶持政策。以联合体形式参加政府采购活动，联合体各方均为中小企业的，联合体视同中小企业。其中，联合体各方均为小微企业的，联合体视同小微企业。</w:t>
      </w:r>
    </w:p>
    <w:p w14:paraId="7DC6F8E5">
      <w:pPr>
        <w:spacing w:line="360" w:lineRule="auto"/>
        <w:ind w:firstLine="420"/>
        <w:contextualSpacing/>
        <w:rPr>
          <w:rFonts w:ascii="宋体" w:hAnsi="宋体" w:cs="宋体"/>
          <w:color w:val="auto"/>
          <w:highlight w:val="none"/>
        </w:rPr>
      </w:pPr>
      <w:r>
        <w:rPr>
          <w:rFonts w:hint="eastAsia" w:hAnsi="宋体"/>
          <w:color w:val="auto"/>
          <w:highlight w:val="none"/>
        </w:rPr>
        <w:t>依据本谈判文件规定享受扶持政策获得政府采购合同的，小微企业不得将合同分包给大中型企业，中型企业不得将合同分包给大型企业。</w:t>
      </w:r>
    </w:p>
    <w:p w14:paraId="5547736F">
      <w:pPr>
        <w:pStyle w:val="216"/>
        <w:ind w:left="1" w:firstLine="3"/>
        <w:rPr>
          <w:rFonts w:ascii="宋体"/>
          <w:b/>
          <w:bCs/>
          <w:color w:val="auto"/>
          <w:sz w:val="18"/>
          <w:szCs w:val="18"/>
          <w:highlight w:val="none"/>
        </w:rPr>
      </w:pPr>
      <w:r>
        <w:rPr>
          <w:rFonts w:ascii="黑体" w:hAnsi="黑体" w:eastAsia="黑体" w:cs="黑体"/>
          <w:bCs/>
          <w:color w:val="auto"/>
          <w:sz w:val="32"/>
          <w:szCs w:val="32"/>
          <w:highlight w:val="none"/>
        </w:rPr>
        <w:br w:type="page" w:clear="all"/>
      </w:r>
    </w:p>
    <w:p w14:paraId="3124481C">
      <w:pPr>
        <w:pStyle w:val="222"/>
        <w:spacing w:before="120" w:after="120"/>
        <w:rPr>
          <w:rFonts w:hAnsi="宋体"/>
          <w:color w:val="auto"/>
          <w:highlight w:val="none"/>
        </w:rPr>
      </w:pPr>
    </w:p>
    <w:p w14:paraId="57EF2B65">
      <w:pPr>
        <w:jc w:val="left"/>
        <w:rPr>
          <w:rFonts w:hAnsi="宋体"/>
          <w:b/>
          <w:color w:val="auto"/>
          <w:sz w:val="32"/>
          <w:szCs w:val="32"/>
          <w:highlight w:val="none"/>
        </w:rPr>
      </w:pPr>
    </w:p>
    <w:p w14:paraId="0D6097A3">
      <w:pPr>
        <w:pStyle w:val="201"/>
        <w:jc w:val="center"/>
        <w:rPr>
          <w:rFonts w:ascii="宋体" w:hAnsi="宋体" w:cs="宋体"/>
          <w:color w:val="auto"/>
          <w:szCs w:val="21"/>
          <w:highlight w:val="none"/>
        </w:rPr>
      </w:pPr>
      <w:bookmarkStart w:id="70" w:name="_Toc16215"/>
      <w:r>
        <w:rPr>
          <w:rFonts w:hint="eastAsia"/>
          <w:color w:val="auto"/>
          <w:highlight w:val="none"/>
        </w:rPr>
        <w:t>第三章 采购需求</w:t>
      </w:r>
      <w:bookmarkEnd w:id="70"/>
    </w:p>
    <w:p w14:paraId="4DA608CD">
      <w:pPr>
        <w:spacing w:line="360" w:lineRule="auto"/>
        <w:jc w:val="left"/>
        <w:rPr>
          <w:color w:val="auto"/>
          <w:highlight w:val="none"/>
        </w:rPr>
      </w:pPr>
      <w:r>
        <w:rPr>
          <w:rFonts w:hint="eastAsia" w:ascii="宋体" w:hAnsi="宋体" w:cs="宋体"/>
          <w:color w:val="auto"/>
          <w:szCs w:val="21"/>
          <w:highlight w:val="none"/>
        </w:rPr>
        <w:t>说明：</w:t>
      </w:r>
    </w:p>
    <w:p w14:paraId="75AC9056">
      <w:pPr>
        <w:spacing w:line="360" w:lineRule="auto"/>
        <w:ind w:firstLine="420"/>
        <w:jc w:val="left"/>
        <w:rPr>
          <w:color w:val="auto"/>
          <w:highlight w:val="none"/>
        </w:rPr>
      </w:pPr>
      <w:r>
        <w:rPr>
          <w:rFonts w:hint="eastAsia"/>
          <w:color w:val="auto"/>
          <w:highlight w:val="none"/>
        </w:rPr>
        <w:t>1. 为落实政府采购政策需满足的要求</w:t>
      </w:r>
    </w:p>
    <w:p w14:paraId="782A3AB6">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（1）本竞争性谈判采购文件所称中小企业必须符合《政府采购促进中小企业发展管理办法》（财库〔2020〕46号）的规定。</w:t>
      </w:r>
    </w:p>
    <w:p w14:paraId="071B418C">
      <w:pPr>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（2）根据《财政部 发展改革委 生态环境部 市场监管总局关于调整优化节能产品、环境标志产品政府采购执行机制的通知》（财库〔2019〕9号）和《关于印发节能产品政府采购品目清单的通知》（财库〔2019〕19号）的规定，采购需求中的产品属于节能产品政府采购品目清单内标注“★”的，供应商必须在响应文件中提供所竞标产品的节能产品认证证书复印件（加盖供应商电子签章），</w:t>
      </w:r>
      <w:r>
        <w:rPr>
          <w:rFonts w:hint="eastAsia" w:ascii="宋体" w:hAnsi="宋体" w:cs="宋体"/>
          <w:b/>
          <w:bCs/>
          <w:color w:val="auto"/>
          <w:szCs w:val="21"/>
          <w:highlight w:val="none"/>
        </w:rPr>
        <w:t>否则响应文件按无效响应处理</w:t>
      </w:r>
      <w:r>
        <w:rPr>
          <w:rFonts w:hint="eastAsia" w:ascii="宋体" w:hAnsi="宋体" w:cs="宋体"/>
          <w:color w:val="auto"/>
          <w:szCs w:val="21"/>
          <w:highlight w:val="none"/>
        </w:rPr>
        <w:t>。如本项目包含的货物属于品目清单内非标注“★”的产品时，应优先采购，具体详见“第四章 评审程序和评定成交的标准”。</w:t>
      </w:r>
    </w:p>
    <w:p w14:paraId="3BAE3ADA">
      <w:pPr>
        <w:spacing w:line="360" w:lineRule="auto"/>
        <w:ind w:firstLine="424"/>
        <w:jc w:val="left"/>
        <w:rPr>
          <w:rFonts w:ascii="宋体" w:hAnsi="宋体" w:cs="宋体"/>
          <w:color w:val="auto"/>
          <w:szCs w:val="21"/>
          <w:highlight w:val="none"/>
        </w:rPr>
      </w:pPr>
      <w:r>
        <w:rPr>
          <w:rFonts w:hint="eastAsia" w:ascii="宋体" w:hAnsi="宋体" w:cs="宋体"/>
          <w:color w:val="auto"/>
          <w:szCs w:val="21"/>
          <w:highlight w:val="none"/>
        </w:rPr>
        <w:t>（3）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614905E">
      <w:pPr>
        <w:spacing w:line="360" w:lineRule="auto"/>
        <w:ind w:firstLine="424"/>
        <w:jc w:val="left"/>
        <w:rPr>
          <w:color w:val="auto"/>
          <w:highlight w:val="none"/>
        </w:rPr>
      </w:pPr>
      <w:r>
        <w:rPr>
          <w:rFonts w:hint="eastAsia" w:ascii="宋体" w:hAnsi="宋体" w:cs="宋体"/>
          <w:color w:val="auto"/>
          <w:szCs w:val="21"/>
          <w:highlight w:val="none"/>
        </w:rPr>
        <w:t>（4）</w:t>
      </w:r>
      <w:r>
        <w:rPr>
          <w:rFonts w:hint="eastAsia"/>
          <w:color w:val="auto"/>
          <w:highlight w:val="none"/>
        </w:rPr>
        <w:t>根据《关于调整网络安全专用产品安全管理有关事项的公告》（</w:t>
      </w:r>
      <w:r>
        <w:rPr>
          <w:color w:val="auto"/>
          <w:highlight w:val="none"/>
        </w:rPr>
        <w:t>2023</w:t>
      </w:r>
      <w:r>
        <w:rPr>
          <w:rFonts w:hint="eastAsia"/>
          <w:color w:val="auto"/>
          <w:highlight w:val="none"/>
        </w:rPr>
        <w:t>年第</w:t>
      </w:r>
      <w:r>
        <w:rPr>
          <w:color w:val="auto"/>
          <w:highlight w:val="none"/>
        </w:rPr>
        <w:t>1</w:t>
      </w:r>
      <w:r>
        <w:rPr>
          <w:rFonts w:hint="eastAsia"/>
          <w:color w:val="auto"/>
          <w:highlight w:val="none"/>
        </w:rPr>
        <w:t>号）规定，本项目采购需求中的产品如果包括《网络关键设备和网络安全专用产品目录》的网络安全专用产品和网络关键设备，供应商在响应文件中应主动列明供货范围中属于网络安全专用产品和网络关键设备的响应产品，并在响应文件（商务及技术文件）中提供由中国网信网（</w:t>
      </w:r>
      <w:r>
        <w:rPr>
          <w:color w:val="auto"/>
          <w:highlight w:val="none"/>
        </w:rPr>
        <w:t>http://www.cac.gov.cn/index.htm</w:t>
      </w:r>
      <w:r>
        <w:rPr>
          <w:rFonts w:hint="eastAsia"/>
          <w:color w:val="auto"/>
          <w:highlight w:val="none"/>
        </w:rPr>
        <w:t>）最新发布的《网络关键设备和网络安全专用产品安全认证和安全检测结果》截图证明材料，不在《网络关键设备和网络安全专用产品安全认证和安全检测结果》中或不在有效期内的，</w:t>
      </w:r>
      <w:r>
        <w:rPr>
          <w:rFonts w:hint="eastAsia"/>
          <w:b/>
          <w:bCs/>
          <w:color w:val="auto"/>
          <w:highlight w:val="none"/>
        </w:rPr>
        <w:t>响应文件按无效处理</w:t>
      </w:r>
      <w:r>
        <w:rPr>
          <w:rFonts w:hint="eastAsia"/>
          <w:color w:val="auto"/>
          <w:highlight w:val="none"/>
        </w:rPr>
        <w:t>。如属于《网络关键设备和网络安全专用产品目录》中</w:t>
      </w:r>
      <w:r>
        <w:rPr>
          <w:color w:val="auto"/>
          <w:highlight w:val="none"/>
        </w:rPr>
        <w:t>“</w:t>
      </w:r>
      <w:r>
        <w:rPr>
          <w:rFonts w:hint="eastAsia"/>
          <w:color w:val="auto"/>
          <w:highlight w:val="none"/>
        </w:rPr>
        <w:t>二、网络安全专用产品</w:t>
      </w:r>
      <w:r>
        <w:rPr>
          <w:color w:val="auto"/>
          <w:highlight w:val="none"/>
        </w:rPr>
        <w:t>”</w:t>
      </w:r>
      <w:r>
        <w:rPr>
          <w:rFonts w:hint="eastAsia"/>
          <w:color w:val="auto"/>
          <w:highlight w:val="none"/>
        </w:rPr>
        <w:t>内</w:t>
      </w:r>
      <w:r>
        <w:rPr>
          <w:color w:val="auto"/>
          <w:highlight w:val="none"/>
        </w:rPr>
        <w:t>“</w:t>
      </w:r>
      <w:r>
        <w:rPr>
          <w:rFonts w:hint="eastAsia"/>
          <w:color w:val="auto"/>
          <w:highlight w:val="none"/>
        </w:rPr>
        <w:t>产品类别</w:t>
      </w:r>
      <w:r>
        <w:rPr>
          <w:color w:val="auto"/>
          <w:highlight w:val="none"/>
        </w:rPr>
        <w:t>”</w:t>
      </w:r>
      <w:r>
        <w:rPr>
          <w:rFonts w:hint="eastAsia"/>
          <w:color w:val="auto"/>
          <w:highlight w:val="none"/>
        </w:rPr>
        <w:t>所描述的产品，但不属于所列</w:t>
      </w:r>
      <w:r>
        <w:rPr>
          <w:color w:val="auto"/>
          <w:highlight w:val="none"/>
        </w:rPr>
        <w:t>“</w:t>
      </w:r>
      <w:r>
        <w:rPr>
          <w:rFonts w:hint="eastAsia"/>
          <w:color w:val="auto"/>
          <w:highlight w:val="none"/>
        </w:rPr>
        <w:t>产品描述</w:t>
      </w:r>
      <w:r>
        <w:rPr>
          <w:color w:val="auto"/>
          <w:highlight w:val="none"/>
        </w:rPr>
        <w:t>”</w:t>
      </w:r>
      <w:r>
        <w:rPr>
          <w:rFonts w:hint="eastAsia"/>
          <w:color w:val="auto"/>
          <w:highlight w:val="none"/>
        </w:rPr>
        <w:t>情形的，应提供相应的说明及证明材料。</w:t>
      </w:r>
    </w:p>
    <w:p w14:paraId="7DF33173">
      <w:pPr>
        <w:spacing w:line="360" w:lineRule="auto"/>
        <w:ind w:firstLine="424"/>
        <w:jc w:val="left"/>
        <w:rPr>
          <w:rFonts w:ascii="宋体" w:hAnsi="宋体" w:cs="宋体"/>
          <w:color w:val="auto"/>
          <w:szCs w:val="21"/>
          <w:highlight w:val="none"/>
        </w:rPr>
      </w:pPr>
      <w:r>
        <w:rPr>
          <w:rFonts w:hint="eastAsia" w:ascii="宋体" w:hAnsi="宋体" w:cs="宋体"/>
          <w:color w:val="auto"/>
          <w:szCs w:val="21"/>
          <w:highlight w:val="none"/>
        </w:rPr>
        <w:t>2. “实质性要求”是指采购需求中带“▲”的条款或者不能负偏离的条款或者已经指明不满足响应文件按无效处理的条款。</w:t>
      </w:r>
    </w:p>
    <w:p w14:paraId="75BCF7AB">
      <w:pPr>
        <w:spacing w:line="360" w:lineRule="auto"/>
        <w:ind w:firstLine="424"/>
        <w:jc w:val="left"/>
        <w:rPr>
          <w:rFonts w:ascii="宋体" w:hAnsi="宋体" w:cs="宋体"/>
          <w:color w:val="auto"/>
          <w:szCs w:val="21"/>
          <w:highlight w:val="none"/>
        </w:rPr>
      </w:pPr>
      <w:r>
        <w:rPr>
          <w:rFonts w:hint="eastAsia" w:ascii="宋体" w:hAnsi="宋体" w:cs="宋体"/>
          <w:color w:val="auto"/>
          <w:szCs w:val="21"/>
          <w:highlight w:val="none"/>
        </w:rPr>
        <w:t>3.采购需求中出现的品牌、型号或者生产供应商仅起参考作用，不属于指定品牌、型号或者生产供应商的情形。供应商可参照或者选用其他相当的品牌、型号或者生产供应商替代。</w:t>
      </w:r>
    </w:p>
    <w:p w14:paraId="05FBFDB9">
      <w:pPr>
        <w:spacing w:line="360" w:lineRule="auto"/>
        <w:ind w:firstLine="424"/>
        <w:jc w:val="left"/>
        <w:rPr>
          <w:rFonts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.供应商应根据自身实际情况如实响应谈判文件，</w:t>
      </w:r>
      <w:r>
        <w:rPr>
          <w:rFonts w:hint="eastAsia" w:ascii="宋体" w:hAnsi="宋体" w:cs="宋体"/>
          <w:b/>
          <w:bCs/>
          <w:color w:val="auto"/>
          <w:szCs w:val="21"/>
          <w:highlight w:val="none"/>
        </w:rPr>
        <w:t>采购需求中以范围值表述的技术要求，供应商须按照自身产品的实际技术参数作出响应，</w:t>
      </w:r>
      <w:r>
        <w:rPr>
          <w:rFonts w:hint="eastAsia" w:ascii="宋体" w:hAnsi="宋体"/>
          <w:b/>
          <w:bCs/>
          <w:color w:val="auto"/>
          <w:szCs w:val="21"/>
          <w:highlight w:val="none"/>
        </w:rPr>
        <w:t>否则该技术参数按负偏离处理</w:t>
      </w:r>
      <w:r>
        <w:rPr>
          <w:rFonts w:hint="eastAsia" w:ascii="宋体" w:hAnsi="宋体" w:cs="宋体"/>
          <w:color w:val="auto"/>
          <w:szCs w:val="21"/>
          <w:highlight w:val="none"/>
        </w:rPr>
        <w:t>。对于技术参数如要求在响应文件中提供技术支持资料的，技术支持资料以谈判文件中规定的形式为准，否则将视为无效技术支持资料。</w:t>
      </w:r>
    </w:p>
    <w:p w14:paraId="6F9D5C47">
      <w:pPr>
        <w:spacing w:line="360" w:lineRule="auto"/>
        <w:ind w:firstLine="424"/>
        <w:jc w:val="left"/>
        <w:rPr>
          <w:color w:val="auto"/>
          <w:highlight w:val="none"/>
        </w:rPr>
      </w:pPr>
      <w:r>
        <w:rPr>
          <w:rFonts w:hint="eastAsia" w:ascii="宋体" w:hAnsi="宋体" w:cs="宋体"/>
          <w:color w:val="auto"/>
          <w:szCs w:val="21"/>
          <w:highlight w:val="none"/>
        </w:rPr>
        <w:t>5.</w:t>
      </w:r>
      <w:r>
        <w:rPr>
          <w:rFonts w:hint="eastAsia"/>
          <w:color w:val="auto"/>
          <w:highlight w:val="none"/>
        </w:rPr>
        <w:t>供应商必须自行为其竞标产品侵犯他人的知识产权或者专利成果的行为承担相应法律责任。</w:t>
      </w:r>
    </w:p>
    <w:p w14:paraId="02EA019D">
      <w:pPr>
        <w:spacing w:line="360" w:lineRule="auto"/>
        <w:ind w:firstLine="424"/>
        <w:jc w:val="left"/>
        <w:rPr>
          <w:rFonts w:ascii="宋体" w:hAnsi="宋体" w:cs="宋体"/>
          <w:color w:val="auto"/>
          <w:szCs w:val="21"/>
          <w:highlight w:val="none"/>
        </w:rPr>
      </w:pPr>
      <w:r>
        <w:rPr>
          <w:rFonts w:hint="eastAsia" w:ascii="宋体" w:hAnsi="宋体" w:cs="宋体"/>
          <w:color w:val="auto"/>
          <w:szCs w:val="21"/>
          <w:highlight w:val="none"/>
        </w:rPr>
        <w:t>6.所属行业依照《中小企业划型标准规定》（工信部联企业〔2011〕300号）及《国民经济行业分类》（</w:t>
      </w:r>
      <w:r>
        <w:rPr>
          <w:color w:val="auto"/>
          <w:highlight w:val="none"/>
        </w:rPr>
        <w:t xml:space="preserve"> </w:t>
      </w:r>
      <w:r>
        <w:rPr>
          <w:rFonts w:ascii="宋体" w:hAnsi="宋体" w:cs="宋体"/>
          <w:color w:val="auto"/>
          <w:szCs w:val="21"/>
          <w:highlight w:val="none"/>
        </w:rPr>
        <w:t>GB/T 4754—2017</w:t>
      </w:r>
      <w:r>
        <w:rPr>
          <w:rFonts w:hint="eastAsia" w:ascii="宋体" w:hAnsi="宋体" w:cs="宋体"/>
          <w:color w:val="auto"/>
          <w:szCs w:val="21"/>
          <w:highlight w:val="none"/>
        </w:rPr>
        <w:t>）的有关规定执行，</w:t>
      </w:r>
      <w:r>
        <w:rPr>
          <w:rFonts w:hint="eastAsia" w:ascii="宋体" w:hAnsi="宋体" w:cs="宋体"/>
          <w:b/>
          <w:bCs/>
          <w:color w:val="auto"/>
          <w:szCs w:val="21"/>
          <w:highlight w:val="none"/>
        </w:rPr>
        <w:t>本项目所有采购标的的所属行业为“</w:t>
      </w:r>
      <w:r>
        <w:rPr>
          <w:rFonts w:hint="eastAsia" w:ascii="Helvetica" w:hAnsi="Helvetica" w:cs="Helvetica"/>
          <w:b/>
          <w:bCs/>
          <w:color w:val="auto"/>
          <w:szCs w:val="21"/>
          <w:highlight w:val="none"/>
          <w:shd w:val="clear" w:color="auto" w:fill="FFFFFF"/>
        </w:rPr>
        <w:t>工</w:t>
      </w:r>
      <w:r>
        <w:rPr>
          <w:rFonts w:ascii="Helvetica" w:hAnsi="Helvetica" w:eastAsia="Helvetica" w:cs="Helvetica"/>
          <w:b/>
          <w:bCs/>
          <w:color w:val="auto"/>
          <w:szCs w:val="21"/>
          <w:highlight w:val="none"/>
          <w:shd w:val="clear" w:color="auto" w:fill="FFFFFF"/>
        </w:rPr>
        <w:t>业</w:t>
      </w:r>
      <w:r>
        <w:rPr>
          <w:rFonts w:hint="eastAsia" w:ascii="宋体" w:hAnsi="宋体" w:cs="宋体"/>
          <w:b/>
          <w:bCs/>
          <w:color w:val="auto"/>
          <w:szCs w:val="21"/>
          <w:highlight w:val="none"/>
        </w:rPr>
        <w:t>”</w:t>
      </w:r>
      <w:r>
        <w:rPr>
          <w:rFonts w:hint="eastAsia" w:ascii="宋体" w:hAnsi="宋体" w:cs="宋体"/>
          <w:color w:val="auto"/>
          <w:szCs w:val="21"/>
          <w:highlight w:val="none"/>
        </w:rPr>
        <w:t>。</w:t>
      </w:r>
    </w:p>
    <w:p w14:paraId="664C9436">
      <w:pPr>
        <w:spacing w:line="360" w:lineRule="auto"/>
        <w:ind w:firstLine="424"/>
        <w:jc w:val="left"/>
        <w:rPr>
          <w:rFonts w:ascii="宋体" w:hAnsi="宋体"/>
          <w:color w:val="auto"/>
          <w:szCs w:val="21"/>
          <w:highlight w:val="none"/>
        </w:rPr>
      </w:pPr>
      <w:r>
        <w:rPr>
          <w:rFonts w:hint="eastAsia"/>
          <w:color w:val="auto"/>
          <w:highlight w:val="none"/>
        </w:rPr>
        <w:t>▲7.根据《关于在政府采购活动中对有关美国企业采取相关措施的通知》（财库〔2026〕10号）的规定，供应商提供的产品不得为财库〔2026〕10号文件附件规定的46家美国企业（不包括在华美资企业）生产的产品。</w:t>
      </w:r>
    </w:p>
    <w:p w14:paraId="22DED3F5">
      <w:pPr>
        <w:spacing w:line="360" w:lineRule="auto"/>
        <w:jc w:val="left"/>
        <w:rPr>
          <w:rFonts w:ascii="宋体" w:hAnsi="宋体" w:cs="Arial"/>
          <w:bCs/>
          <w:color w:val="auto"/>
          <w:szCs w:val="21"/>
          <w:highlight w:val="none"/>
          <w:u w:val="single"/>
        </w:rPr>
      </w:pPr>
    </w:p>
    <w:p w14:paraId="59761D8B">
      <w:pPr>
        <w:spacing w:line="360" w:lineRule="auto"/>
        <w:ind w:firstLine="310"/>
        <w:jc w:val="left"/>
        <w:rPr>
          <w:rFonts w:ascii="宋体" w:hAnsi="宋体" w:cs="Arial"/>
          <w:b/>
          <w:bCs/>
          <w:color w:val="auto"/>
          <w:szCs w:val="21"/>
          <w:highlight w:val="none"/>
          <w:u w:val="single"/>
        </w:rPr>
      </w:pPr>
      <w:r>
        <w:rPr>
          <w:b/>
          <w:bCs/>
          <w:color w:val="auto"/>
          <w:highlight w:val="none"/>
        </w:rPr>
        <w:t>1分标：采购预算：</w:t>
      </w:r>
      <w:r>
        <w:rPr>
          <w:rFonts w:hint="eastAsia"/>
          <w:b/>
          <w:bCs/>
          <w:color w:val="auto"/>
          <w:highlight w:val="none"/>
        </w:rPr>
        <w:t>648000.00</w:t>
      </w:r>
      <w:r>
        <w:rPr>
          <w:b/>
          <w:bCs/>
          <w:color w:val="auto"/>
          <w:highlight w:val="none"/>
        </w:rPr>
        <w:t>元；最高限价：</w:t>
      </w:r>
      <w:r>
        <w:rPr>
          <w:rFonts w:hint="eastAsia"/>
          <w:b/>
          <w:bCs/>
          <w:color w:val="auto"/>
          <w:highlight w:val="none"/>
        </w:rPr>
        <w:t>648000.00</w:t>
      </w:r>
      <w:r>
        <w:rPr>
          <w:b/>
          <w:bCs/>
          <w:color w:val="auto"/>
          <w:highlight w:val="none"/>
        </w:rPr>
        <w:t>元。</w:t>
      </w:r>
    </w:p>
    <w:p w14:paraId="23583889">
      <w:pPr>
        <w:spacing w:line="360" w:lineRule="auto"/>
        <w:ind w:firstLine="310"/>
        <w:jc w:val="left"/>
        <w:rPr>
          <w:rFonts w:ascii="宋体" w:hAnsi="宋体" w:cs="宋体"/>
          <w:color w:val="auto"/>
          <w:szCs w:val="21"/>
          <w:highlight w:val="none"/>
        </w:rPr>
      </w:pPr>
      <w:r>
        <w:rPr>
          <w:rFonts w:hint="eastAsia" w:ascii="宋体" w:hAnsi="宋体"/>
          <w:b/>
          <w:color w:val="auto"/>
          <w:szCs w:val="21"/>
          <w:highlight w:val="none"/>
        </w:rPr>
        <w:t>本分标的核心产品为下表的第</w:t>
      </w:r>
      <w:r>
        <w:rPr>
          <w:rFonts w:hint="eastAsia" w:ascii="宋体" w:hAnsi="宋体"/>
          <w:b/>
          <w:color w:val="auto"/>
          <w:szCs w:val="21"/>
          <w:highlight w:val="none"/>
          <w:u w:val="single"/>
        </w:rPr>
        <w:t xml:space="preserve"> 1 </w:t>
      </w:r>
      <w:r>
        <w:rPr>
          <w:rFonts w:hint="eastAsia" w:ascii="宋体" w:hAnsi="宋体"/>
          <w:b/>
          <w:color w:val="auto"/>
          <w:szCs w:val="21"/>
          <w:highlight w:val="none"/>
        </w:rPr>
        <w:t>项产品。</w:t>
      </w:r>
    </w:p>
    <w:tbl>
      <w:tblPr>
        <w:tblStyle w:val="38"/>
        <w:tblW w:w="89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4"/>
        <w:gridCol w:w="1057"/>
        <w:gridCol w:w="662"/>
        <w:gridCol w:w="191"/>
        <w:gridCol w:w="6600"/>
      </w:tblGrid>
      <w:tr w14:paraId="45605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4" w:type="dxa"/>
            <w:vAlign w:val="center"/>
          </w:tcPr>
          <w:p w14:paraId="0A7DADD9">
            <w:pPr>
              <w:tabs>
                <w:tab w:val="left" w:pos="180"/>
                <w:tab w:val="left" w:pos="162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057" w:type="dxa"/>
            <w:vAlign w:val="center"/>
          </w:tcPr>
          <w:p w14:paraId="12831BA7">
            <w:pPr>
              <w:tabs>
                <w:tab w:val="left" w:pos="180"/>
                <w:tab w:val="left" w:pos="162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标的的</w:t>
            </w:r>
          </w:p>
          <w:p w14:paraId="4AC88386">
            <w:pPr>
              <w:tabs>
                <w:tab w:val="left" w:pos="180"/>
                <w:tab w:val="left" w:pos="162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名称</w:t>
            </w:r>
          </w:p>
        </w:tc>
        <w:tc>
          <w:tcPr>
            <w:tcW w:w="853" w:type="dxa"/>
            <w:gridSpan w:val="2"/>
            <w:vAlign w:val="center"/>
          </w:tcPr>
          <w:p w14:paraId="096A8BD1">
            <w:pPr>
              <w:tabs>
                <w:tab w:val="left" w:pos="180"/>
                <w:tab w:val="left" w:pos="162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数量及单位</w:t>
            </w:r>
          </w:p>
        </w:tc>
        <w:tc>
          <w:tcPr>
            <w:tcW w:w="6600" w:type="dxa"/>
            <w:vAlign w:val="center"/>
          </w:tcPr>
          <w:p w14:paraId="57828620">
            <w:pPr>
              <w:tabs>
                <w:tab w:val="left" w:pos="180"/>
                <w:tab w:val="left" w:pos="1620"/>
              </w:tabs>
              <w:spacing w:line="360" w:lineRule="auto"/>
              <w:jc w:val="center"/>
              <w:rPr>
                <w:rFonts w:ascii="宋体" w:hAnsi="宋体" w:cs="宋体"/>
                <w:b/>
                <w:bCs/>
                <w:color w:val="auto"/>
                <w:szCs w:val="21"/>
                <w:highlight w:val="none"/>
              </w:rPr>
            </w:pPr>
            <w:r>
              <w:rPr>
                <w:rFonts w:hint="eastAsia" w:ascii="宋体" w:hAnsi="宋体" w:cs="宋体"/>
                <w:b/>
                <w:bCs/>
                <w:color w:val="auto"/>
                <w:szCs w:val="21"/>
                <w:highlight w:val="none"/>
              </w:rPr>
              <w:t>技术要求</w:t>
            </w:r>
          </w:p>
        </w:tc>
      </w:tr>
      <w:tr w14:paraId="48137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34" w:type="dxa"/>
            <w:vAlign w:val="center"/>
          </w:tcPr>
          <w:p w14:paraId="1B3B103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1057" w:type="dxa"/>
            <w:vAlign w:val="center"/>
          </w:tcPr>
          <w:p w14:paraId="43EA7E47">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彩色多普勒超声诊断仪</w:t>
            </w:r>
          </w:p>
        </w:tc>
        <w:tc>
          <w:tcPr>
            <w:tcW w:w="853" w:type="dxa"/>
            <w:gridSpan w:val="2"/>
            <w:vAlign w:val="center"/>
          </w:tcPr>
          <w:p w14:paraId="15FB3147">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1套</w:t>
            </w:r>
          </w:p>
        </w:tc>
        <w:tc>
          <w:tcPr>
            <w:tcW w:w="6600" w:type="dxa"/>
            <w:vAlign w:val="center"/>
          </w:tcPr>
          <w:p w14:paraId="609E2F35">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设备用途及说明: 全身应用型彩色多普勒超声波诊断系统，主要用于腹部、心脏、妇产、泌尿、浅表小器官与血管、儿科、肌骨神经、介入诊疗及临床学术研究。</w:t>
            </w:r>
          </w:p>
          <w:p w14:paraId="2F85E9DC">
            <w:pPr>
              <w:keepLines/>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一、主要规格及系统需求参数</w:t>
            </w:r>
          </w:p>
          <w:p w14:paraId="3F695C16">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1.主机系统性能：</w:t>
            </w:r>
          </w:p>
          <w:p w14:paraId="47FE968D">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1.1具备≥21英寸宽屏高分辨率彩色液晶显示器，具备万向关节臂设计，可实现上下左右前后任意方位调节，可前后调节。</w:t>
            </w:r>
          </w:p>
          <w:p w14:paraId="0CE281E8">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▲1.2具备≥13英寸液晶触摸屏，支持界面编辑及滑动翻页功能；可通过手指滑动触摸屏进行翻页，直接点击触摸屏即可选择需要调节的参数；触摸屏可与显示器同时实时显示超声图像，支持既往超声图像显示。</w:t>
            </w:r>
          </w:p>
          <w:p w14:paraId="689E5D39">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1.3操作面板支持调节高度、前后左右位置及旋转，具备抽拉式键盘。</w:t>
            </w:r>
          </w:p>
          <w:p w14:paraId="1E6B3989">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1.4支持手机或平板电脑等移动终端与超声主机相连，使用移动设备代替面板及触摸屏。</w:t>
            </w:r>
          </w:p>
          <w:p w14:paraId="128B10D8">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1.5操作面板轨迹球设计。</w:t>
            </w:r>
          </w:p>
          <w:p w14:paraId="7C11DA4C">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1.6用户可自定义编辑按键≥5个。</w:t>
            </w:r>
          </w:p>
          <w:p w14:paraId="53F09FC7">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1.7每个探头支持无限可编程的预置应用条件，一键快速进行检查操作。</w:t>
            </w:r>
          </w:p>
          <w:p w14:paraId="512E6D09">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1.8腹部、浅表探头具备指示灯设计，可提示探头工作状态及方向。</w:t>
            </w:r>
          </w:p>
          <w:p w14:paraId="7D19C0A4">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1.9系统发射与接收通道数 ≥17000000。</w:t>
            </w:r>
          </w:p>
          <w:p w14:paraId="600053A1">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1.10全数字化超声平台，全数字多路波束形成器，具备动态可变孔径。</w:t>
            </w:r>
          </w:p>
          <w:p w14:paraId="079531AA">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1.11原始数据储存，可对回放图像、视频进行多种后处理。</w:t>
            </w:r>
          </w:p>
          <w:p w14:paraId="019F0900">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1.12采用全场动态聚焦，扫查区域内无焦点显示。</w:t>
            </w:r>
          </w:p>
          <w:p w14:paraId="4D28E7FE">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1.13声速调节技术，≥30级可视可调，提升图像质量。</w:t>
            </w:r>
          </w:p>
          <w:p w14:paraId="3558CE72">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1.14二维灰阶成像单元及M型显像单元。</w:t>
            </w:r>
          </w:p>
          <w:p w14:paraId="2AF4C22F">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1.15彩色多普勒血流成像。</w:t>
            </w:r>
          </w:p>
          <w:p w14:paraId="0ACA4597">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1.16方向性能量成像，能量速度图≥9种，余辉≥20级。</w:t>
            </w:r>
          </w:p>
          <w:p w14:paraId="0CDC7465">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1.17频谱多普勒（PW、HPRF及CW）显示及分析单元。</w:t>
            </w:r>
          </w:p>
          <w:p w14:paraId="006A058F">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1.18实时自动多普勒包络测量功能。</w:t>
            </w:r>
          </w:p>
          <w:p w14:paraId="7E6401A2">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1.19组织谐波成像技术，作用于全身应用≥4变频，可视可调。</w:t>
            </w:r>
          </w:p>
          <w:p w14:paraId="5D9F9704">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1.20梯形扩展成像技术，增大扫查视野，双侧扩展和远端凸型拓展。1.21二维声束偏转技术，改变声束偏转方向，优化神经、血管扫描，多级可调。</w:t>
            </w:r>
          </w:p>
          <w:p w14:paraId="4E7163B9">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1.22穿刺针增强技术，支持穿刺引导线显示，具备针尖追踪技术支持实时显示穿刺深度。</w:t>
            </w:r>
          </w:p>
          <w:p w14:paraId="6F0B7FEE">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1.23 宽景成像技术</w:t>
            </w:r>
          </w:p>
          <w:p w14:paraId="2737B17E">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1.23.1包含灰阶、彩色及能量图，配备缩放和测量功能，可应用于腹部、高频、探头。</w:t>
            </w:r>
          </w:p>
          <w:p w14:paraId="1EA0F522">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1.23.2具备进度标记技术，支持对图像进行旋转、平移、缩放、长度测量等操作。</w:t>
            </w:r>
          </w:p>
          <w:p w14:paraId="1FE8E256">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1.24高清实时放大成像，具备冻结或实时高清多级放大功能，冻结模式下放大≥10倍，实时模式下放大≥50倍。</w:t>
            </w:r>
          </w:p>
          <w:p w14:paraId="443FAD92">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1.25智能斑点噪声抑制技术，智能声束调整、斑点噪声抑制、像素优化调整等提升成像质量的技术。支持≥3档调节，每档可调节参数≥4个。</w:t>
            </w:r>
          </w:p>
          <w:p w14:paraId="59F299F2">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1.26实时多声束空间复合成像技术，作用于探头发射及接收，作用于凸阵或线阵探头。</w:t>
            </w:r>
          </w:p>
          <w:p w14:paraId="4B08C5EF">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1.27智能化一键图像优化技术，可自适应调整图像的增益等参数。</w:t>
            </w:r>
          </w:p>
          <w:p w14:paraId="2A9E46AE">
            <w:pPr>
              <w:keepLines/>
              <w:spacing w:line="360" w:lineRule="auto"/>
              <w:jc w:val="left"/>
              <w:rPr>
                <w:rFonts w:ascii="宋体" w:hAnsi="宋体" w:cs="宋体"/>
                <w:strike/>
                <w:color w:val="auto"/>
                <w:szCs w:val="21"/>
                <w:highlight w:val="none"/>
              </w:rPr>
            </w:pPr>
            <w:r>
              <w:rPr>
                <w:rFonts w:hint="eastAsia" w:ascii="宋体" w:hAnsi="宋体" w:cs="宋体"/>
                <w:color w:val="auto"/>
                <w:szCs w:val="21"/>
                <w:highlight w:val="none"/>
              </w:rPr>
              <w:t>1.28操作流程自定义功能，可根据医生习惯自定义检查的模式和顺序，并自动标注缩写符号。</w:t>
            </w:r>
          </w:p>
          <w:p w14:paraId="150A476C">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1.29智能图像优化功能，多项图像参数设置和功能选项融合为一个功能选项。</w:t>
            </w:r>
          </w:p>
          <w:p w14:paraId="4662B547">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1.30方向性精细血流成像，提高血流多普勒信号灵敏度。</w:t>
            </w:r>
          </w:p>
          <w:p w14:paraId="53D143BA">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1.31高清血流成像，应用双多普勒发射接收技术，提高血流信号的敏感性和空间分辨率。</w:t>
            </w:r>
          </w:p>
          <w:p w14:paraId="1E2015BB">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1.32微血管增强显像技术，用于显示细小血管和低速血流，≥10种成像方式显示。</w:t>
            </w:r>
          </w:p>
          <w:p w14:paraId="4FEE74A2">
            <w:pPr>
              <w:keepLines/>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2.测量和分析：(B型、M型、D型、彩色模式)</w:t>
            </w:r>
          </w:p>
          <w:p w14:paraId="09FD528E">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2.1一般测量, 距离、面积、周长、角度等。</w:t>
            </w:r>
          </w:p>
          <w:p w14:paraId="5654D40C">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2.2妇科、产科测量。</w:t>
            </w:r>
          </w:p>
          <w:p w14:paraId="0F57AE9F">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2.3多普勒血流测量与分析（含自动多普勒频谱包络测量）。</w:t>
            </w:r>
          </w:p>
          <w:p w14:paraId="31D2D092">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2.4外周血管测量与分析。</w:t>
            </w:r>
          </w:p>
          <w:p w14:paraId="7F983D76">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2.5泌尿科测量与分析（含膀胱测量）。</w:t>
            </w:r>
          </w:p>
          <w:p w14:paraId="1B526A2F">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2.6小器官测量与分析（含甲状腺、乳腺等）。</w:t>
            </w:r>
          </w:p>
          <w:p w14:paraId="43C04592">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2.7自动产科测量技术。自动识别胎儿结构，进行头围、双顶径、腹围、股骨长等测量。</w:t>
            </w:r>
          </w:p>
          <w:p w14:paraId="4239CA3B">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2.8自动颈项透明层测量、自动颅内透明层测量。</w:t>
            </w:r>
          </w:p>
          <w:p w14:paraId="3E100B41">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2.9新生儿髋关节发育评估测量：支持髋关节角度测量。</w:t>
            </w:r>
          </w:p>
          <w:p w14:paraId="088CA3F1">
            <w:pPr>
              <w:keepLines/>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3.图像存储(电影)回放重显及病案管理单元。</w:t>
            </w:r>
          </w:p>
          <w:p w14:paraId="167A1A89">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3.1支持冻结、回放、存储静、动态图像，实时图像传输。</w:t>
            </w:r>
          </w:p>
          <w:p w14:paraId="6558C645">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3.2一体化剪贴板功能，支持图像浏览，调取动、静态图像。</w:t>
            </w:r>
          </w:p>
          <w:p w14:paraId="19BB305E">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3.3病案管理单元包括病人资料、报告、图像等的存储、修改、检索和打印等。</w:t>
            </w:r>
          </w:p>
          <w:p w14:paraId="3D3B3DD2">
            <w:pPr>
              <w:keepLines/>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4.数据连通性：</w:t>
            </w:r>
          </w:p>
          <w:p w14:paraId="24BF798E">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4.1无线数据传输系统。</w:t>
            </w:r>
          </w:p>
          <w:p w14:paraId="60A71560">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4.2导出、备份图像数据资料同时，可进行实时检查，不影响检查操作，导出图像和视频无需特殊软件可用于PC计算机查看。</w:t>
            </w:r>
          </w:p>
          <w:p w14:paraId="04EBE716">
            <w:pPr>
              <w:keepLines/>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5.图像存档与病案管理系统：</w:t>
            </w:r>
          </w:p>
          <w:p w14:paraId="690CD6FC">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5.1设备内置USB 3.0接口，可将图像储存U盘、移动硬盘等。</w:t>
            </w:r>
          </w:p>
          <w:p w14:paraId="2CA070E4">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5.2主机系统双硬盘设计：固态硬盘≥500G固态硬盘；机械硬盘≥1TB。</w:t>
            </w:r>
          </w:p>
          <w:p w14:paraId="2217B186">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5.3图像和视频可以进行后处理。</w:t>
            </w:r>
          </w:p>
          <w:p w14:paraId="02021B3B">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5.4同屏显示功能，最多16幅图或视频。</w:t>
            </w:r>
          </w:p>
          <w:p w14:paraId="25DB46BB">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5.5支持原始数据管理。</w:t>
            </w:r>
          </w:p>
          <w:p w14:paraId="6835326D">
            <w:pPr>
              <w:keepLines/>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二、技术参数</w:t>
            </w:r>
          </w:p>
          <w:p w14:paraId="5BDC5CCF">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1.系统支持动态范围≥350db。</w:t>
            </w:r>
          </w:p>
          <w:p w14:paraId="2FE1498A">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2.探头接口≥4个（不含CW接口）。</w:t>
            </w:r>
          </w:p>
          <w:p w14:paraId="70CF12E3">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3.系统支持探头最高工作频率：≥24MHz。</w:t>
            </w:r>
          </w:p>
          <w:p w14:paraId="531493E9">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3.1超宽频变频探头，二维中心频率≥4种，谐波中心频率≥4种；多普勒频率≥3种；可视可调。</w:t>
            </w:r>
          </w:p>
          <w:p w14:paraId="577B3ED0">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▲3.2腹部电子凸阵：超声频率：1-8MHz，最低频率≤1MHz，最大频率≥8MHz。</w:t>
            </w:r>
          </w:p>
          <w:p w14:paraId="2E25A45B">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3.3小器官高频：超声频率：3－15MHz，最低频率≤3MHz，最大频率≥15MHz。</w:t>
            </w:r>
          </w:p>
          <w:p w14:paraId="751EF505">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3.4腔内探头：超声频率：3－12MHz，最低频率≤3MHz，最大频率≥12MHz；扫描视野≥240°。</w:t>
            </w:r>
          </w:p>
          <w:p w14:paraId="3FAAC956">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▲3.5穿刺引导功能：可调角度；配备穿刺导向装置。</w:t>
            </w:r>
          </w:p>
          <w:p w14:paraId="4FAF7467">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.二维灰阶显像主要参数：</w:t>
            </w:r>
          </w:p>
          <w:p w14:paraId="191182FD">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.1发射声束聚焦，支持全场无焦点聚焦方式。</w:t>
            </w:r>
          </w:p>
          <w:p w14:paraId="4FDAE925">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.2最大扫描深度≥44 cm。</w:t>
            </w:r>
          </w:p>
          <w:p w14:paraId="1C2F03FD">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.3实时动态视频回放编辑≥10分钟；回放图像≥9000帧。</w:t>
            </w:r>
          </w:p>
          <w:p w14:paraId="52B8C8B1">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.频谱多普勒：</w:t>
            </w:r>
          </w:p>
          <w:p w14:paraId="15F80898">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.1最低测量速度：PW≤1.0mm/s(非噪声信号)。</w:t>
            </w:r>
          </w:p>
          <w:p w14:paraId="676E5DF9">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.2最大测量速度：PW≥20m/s；CW≥25m/s。</w:t>
            </w:r>
          </w:p>
          <w:p w14:paraId="1018007D">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.3取样宽度及位置：0.5-24mm逐级调节。</w:t>
            </w:r>
          </w:p>
          <w:p w14:paraId="03D76586">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.彩色多普勒技术：</w:t>
            </w:r>
          </w:p>
          <w:p w14:paraId="795E7C4D">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.1显示方式：速度方差显示、能量显示，速度显示、方差显示。</w:t>
            </w:r>
          </w:p>
          <w:p w14:paraId="38D37FC6">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.2二维/彩色血流/频谱多普勒实时三同步。</w:t>
            </w:r>
          </w:p>
          <w:p w14:paraId="24D994B1">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.3彩色增强功能：方向性能量成像，精细血流成像，高清血流成像、微细血流成像。</w:t>
            </w:r>
          </w:p>
          <w:p w14:paraId="4A2A01E6">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.4彩色多普勒最大帧频≥400帧。</w:t>
            </w:r>
          </w:p>
          <w:p w14:paraId="4897A5DA">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.5线阵探头偏转角度≥15级可调。</w:t>
            </w:r>
          </w:p>
          <w:p w14:paraId="7CC2791A">
            <w:pPr>
              <w:keepLines/>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三、其他要求</w:t>
            </w:r>
          </w:p>
          <w:p w14:paraId="4BACE3A3">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1.质保期≥3年。</w:t>
            </w:r>
          </w:p>
          <w:p w14:paraId="42A5D488">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2.使用年限≥10年。</w:t>
            </w:r>
          </w:p>
          <w:p w14:paraId="6ED749F5">
            <w:pPr>
              <w:keepLines/>
              <w:spacing w:line="360" w:lineRule="auto"/>
              <w:jc w:val="left"/>
              <w:rPr>
                <w:rFonts w:ascii="宋体" w:hAnsi="宋体" w:cs="宋体"/>
                <w:color w:val="auto"/>
                <w:szCs w:val="21"/>
                <w:highlight w:val="none"/>
              </w:rPr>
            </w:pPr>
            <w:r>
              <w:rPr>
                <w:rFonts w:hint="eastAsia" w:ascii="宋体" w:hAnsi="宋体" w:cs="宋体"/>
                <w:color w:val="auto"/>
                <w:szCs w:val="21"/>
                <w:highlight w:val="none"/>
              </w:rPr>
              <w:t>3.工作站一套，配置：CPU主频 ≥3.3GHz，核心数量≥6；内存≥DDR5 16G，固态硬盘≥480G M.2NVMe，显示器≥21寸，高清医疗采集卡。</w:t>
            </w:r>
          </w:p>
          <w:p w14:paraId="543D3310">
            <w:pPr>
              <w:keepLines/>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四、配置清单：</w:t>
            </w:r>
          </w:p>
          <w:tbl>
            <w:tblPr>
              <w:tblStyle w:val="38"/>
              <w:tblW w:w="6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3570"/>
              <w:gridCol w:w="938"/>
              <w:gridCol w:w="890"/>
            </w:tblGrid>
            <w:tr w14:paraId="392E9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jc w:val="center"/>
              </w:trPr>
              <w:tc>
                <w:tcPr>
                  <w:tcW w:w="973" w:type="dxa"/>
                  <w:vAlign w:val="center"/>
                </w:tcPr>
                <w:p w14:paraId="4ADCDEC7">
                  <w:pPr>
                    <w:keepLines/>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编号</w:t>
                  </w:r>
                </w:p>
              </w:tc>
              <w:tc>
                <w:tcPr>
                  <w:tcW w:w="3570" w:type="dxa"/>
                </w:tcPr>
                <w:p w14:paraId="165B5CB3">
                  <w:pPr>
                    <w:keepLines/>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名称</w:t>
                  </w:r>
                </w:p>
              </w:tc>
              <w:tc>
                <w:tcPr>
                  <w:tcW w:w="938" w:type="dxa"/>
                </w:tcPr>
                <w:p w14:paraId="4A0001CA">
                  <w:pPr>
                    <w:keepLines/>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数量</w:t>
                  </w:r>
                </w:p>
              </w:tc>
              <w:tc>
                <w:tcPr>
                  <w:tcW w:w="890" w:type="dxa"/>
                </w:tcPr>
                <w:p w14:paraId="7D517626">
                  <w:pPr>
                    <w:keepLines/>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单位</w:t>
                  </w:r>
                </w:p>
              </w:tc>
            </w:tr>
            <w:tr w14:paraId="2866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973" w:type="dxa"/>
                  <w:vAlign w:val="center"/>
                </w:tcPr>
                <w:p w14:paraId="4AC4A98F">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3570" w:type="dxa"/>
                  <w:vAlign w:val="center"/>
                </w:tcPr>
                <w:p w14:paraId="75A9B028">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超声诊断系统主机</w:t>
                  </w:r>
                </w:p>
              </w:tc>
              <w:tc>
                <w:tcPr>
                  <w:tcW w:w="938" w:type="dxa"/>
                  <w:vAlign w:val="center"/>
                </w:tcPr>
                <w:p w14:paraId="09D7ED3D">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3BB4F6A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台</w:t>
                  </w:r>
                </w:p>
              </w:tc>
            </w:tr>
            <w:tr w14:paraId="7776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jc w:val="center"/>
              </w:trPr>
              <w:tc>
                <w:tcPr>
                  <w:tcW w:w="973" w:type="dxa"/>
                  <w:vMerge w:val="restart"/>
                  <w:vAlign w:val="center"/>
                </w:tcPr>
                <w:p w14:paraId="7B2BEB1B">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p w14:paraId="5EE75701">
                  <w:pPr>
                    <w:spacing w:line="360" w:lineRule="auto"/>
                    <w:jc w:val="center"/>
                    <w:rPr>
                      <w:rFonts w:ascii="宋体" w:hAnsi="宋体" w:cs="宋体"/>
                      <w:color w:val="auto"/>
                      <w:szCs w:val="21"/>
                      <w:highlight w:val="none"/>
                    </w:rPr>
                  </w:pPr>
                </w:p>
              </w:tc>
              <w:tc>
                <w:tcPr>
                  <w:tcW w:w="3570" w:type="dxa"/>
                  <w:vAlign w:val="center"/>
                </w:tcPr>
                <w:p w14:paraId="6C01A64A">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电影回放单元</w:t>
                  </w:r>
                </w:p>
              </w:tc>
              <w:tc>
                <w:tcPr>
                  <w:tcW w:w="938" w:type="dxa"/>
                  <w:vAlign w:val="center"/>
                </w:tcPr>
                <w:p w14:paraId="1655586D">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632E04AB">
                  <w:pPr>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套</w:t>
                  </w:r>
                </w:p>
              </w:tc>
            </w:tr>
            <w:tr w14:paraId="063FE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exact"/>
                <w:jc w:val="center"/>
              </w:trPr>
              <w:tc>
                <w:tcPr>
                  <w:tcW w:w="973" w:type="dxa"/>
                  <w:vMerge w:val="continue"/>
                  <w:vAlign w:val="center"/>
                </w:tcPr>
                <w:p w14:paraId="051F468C">
                  <w:pPr>
                    <w:spacing w:line="360" w:lineRule="auto"/>
                    <w:jc w:val="center"/>
                    <w:rPr>
                      <w:rFonts w:ascii="宋体" w:hAnsi="宋体" w:cs="宋体"/>
                      <w:color w:val="auto"/>
                      <w:szCs w:val="21"/>
                      <w:highlight w:val="none"/>
                    </w:rPr>
                  </w:pPr>
                </w:p>
              </w:tc>
              <w:tc>
                <w:tcPr>
                  <w:tcW w:w="3570" w:type="dxa"/>
                  <w:vAlign w:val="center"/>
                </w:tcPr>
                <w:p w14:paraId="1BE222C8">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内置固态硬盘</w:t>
                  </w:r>
                </w:p>
              </w:tc>
              <w:tc>
                <w:tcPr>
                  <w:tcW w:w="938" w:type="dxa"/>
                  <w:vAlign w:val="center"/>
                </w:tcPr>
                <w:p w14:paraId="4D5D15CB">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0719DD00">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个</w:t>
                  </w:r>
                </w:p>
              </w:tc>
            </w:tr>
            <w:tr w14:paraId="3242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exact"/>
                <w:jc w:val="center"/>
              </w:trPr>
              <w:tc>
                <w:tcPr>
                  <w:tcW w:w="973" w:type="dxa"/>
                  <w:vMerge w:val="continue"/>
                  <w:vAlign w:val="center"/>
                </w:tcPr>
                <w:p w14:paraId="5D1C64A4">
                  <w:pPr>
                    <w:spacing w:line="360" w:lineRule="auto"/>
                    <w:jc w:val="center"/>
                    <w:rPr>
                      <w:rFonts w:ascii="宋体" w:hAnsi="宋体" w:cs="宋体"/>
                      <w:color w:val="auto"/>
                      <w:szCs w:val="21"/>
                      <w:highlight w:val="none"/>
                    </w:rPr>
                  </w:pPr>
                </w:p>
              </w:tc>
              <w:tc>
                <w:tcPr>
                  <w:tcW w:w="3570" w:type="dxa"/>
                  <w:vAlign w:val="center"/>
                </w:tcPr>
                <w:p w14:paraId="254DD294">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USB接口</w:t>
                  </w:r>
                </w:p>
              </w:tc>
              <w:tc>
                <w:tcPr>
                  <w:tcW w:w="938" w:type="dxa"/>
                  <w:vAlign w:val="center"/>
                </w:tcPr>
                <w:p w14:paraId="359439E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890" w:type="dxa"/>
                  <w:vAlign w:val="center"/>
                </w:tcPr>
                <w:p w14:paraId="127F21DA">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个</w:t>
                  </w:r>
                </w:p>
              </w:tc>
            </w:tr>
            <w:tr w14:paraId="7D704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exact"/>
                <w:jc w:val="center"/>
              </w:trPr>
              <w:tc>
                <w:tcPr>
                  <w:tcW w:w="973" w:type="dxa"/>
                  <w:vMerge w:val="continue"/>
                  <w:vAlign w:val="center"/>
                </w:tcPr>
                <w:p w14:paraId="3661EB8E">
                  <w:pPr>
                    <w:spacing w:line="360" w:lineRule="auto"/>
                    <w:jc w:val="center"/>
                    <w:rPr>
                      <w:rFonts w:ascii="宋体" w:hAnsi="宋体" w:cs="宋体"/>
                      <w:color w:val="auto"/>
                      <w:szCs w:val="21"/>
                      <w:highlight w:val="none"/>
                    </w:rPr>
                  </w:pPr>
                </w:p>
              </w:tc>
              <w:tc>
                <w:tcPr>
                  <w:tcW w:w="3570" w:type="dxa"/>
                  <w:vAlign w:val="center"/>
                </w:tcPr>
                <w:p w14:paraId="659672A3">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激活探头接口</w:t>
                  </w:r>
                </w:p>
              </w:tc>
              <w:tc>
                <w:tcPr>
                  <w:tcW w:w="938" w:type="dxa"/>
                  <w:vAlign w:val="center"/>
                </w:tcPr>
                <w:p w14:paraId="57B8BF10">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890" w:type="dxa"/>
                  <w:vAlign w:val="center"/>
                </w:tcPr>
                <w:p w14:paraId="6586BF92">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个</w:t>
                  </w:r>
                </w:p>
              </w:tc>
            </w:tr>
            <w:tr w14:paraId="00F38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exact"/>
                <w:jc w:val="center"/>
              </w:trPr>
              <w:tc>
                <w:tcPr>
                  <w:tcW w:w="973" w:type="dxa"/>
                  <w:vAlign w:val="center"/>
                </w:tcPr>
                <w:p w14:paraId="566436CA">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3570" w:type="dxa"/>
                  <w:vAlign w:val="center"/>
                </w:tcPr>
                <w:p w14:paraId="5D96CF34">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医用显示器</w:t>
                  </w:r>
                </w:p>
              </w:tc>
              <w:tc>
                <w:tcPr>
                  <w:tcW w:w="938" w:type="dxa"/>
                  <w:vAlign w:val="center"/>
                </w:tcPr>
                <w:p w14:paraId="476C7963">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2779A674">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个</w:t>
                  </w:r>
                </w:p>
              </w:tc>
            </w:tr>
            <w:tr w14:paraId="56A3F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exact"/>
                <w:jc w:val="center"/>
              </w:trPr>
              <w:tc>
                <w:tcPr>
                  <w:tcW w:w="973" w:type="dxa"/>
                  <w:vAlign w:val="center"/>
                </w:tcPr>
                <w:p w14:paraId="18C22237">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3570" w:type="dxa"/>
                  <w:vAlign w:val="center"/>
                </w:tcPr>
                <w:p w14:paraId="6AA74815">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彩色触摸屏</w:t>
                  </w:r>
                </w:p>
              </w:tc>
              <w:tc>
                <w:tcPr>
                  <w:tcW w:w="938" w:type="dxa"/>
                  <w:vAlign w:val="center"/>
                </w:tcPr>
                <w:p w14:paraId="2E854A80">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4A87CBD8">
                  <w:pPr>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个</w:t>
                  </w:r>
                </w:p>
              </w:tc>
            </w:tr>
            <w:tr w14:paraId="46B5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5" w:hRule="exact"/>
                <w:jc w:val="center"/>
              </w:trPr>
              <w:tc>
                <w:tcPr>
                  <w:tcW w:w="973" w:type="dxa"/>
                  <w:vAlign w:val="center"/>
                </w:tcPr>
                <w:p w14:paraId="6A846CA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3570" w:type="dxa"/>
                  <w:vAlign w:val="center"/>
                </w:tcPr>
                <w:p w14:paraId="754A44C5">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工具包（电源线、中文操作系统、中文用户手册）</w:t>
                  </w:r>
                </w:p>
              </w:tc>
              <w:tc>
                <w:tcPr>
                  <w:tcW w:w="938" w:type="dxa"/>
                  <w:vAlign w:val="center"/>
                </w:tcPr>
                <w:p w14:paraId="3D3D398B">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70D56CA0">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套</w:t>
                  </w:r>
                </w:p>
              </w:tc>
            </w:tr>
            <w:tr w14:paraId="605C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973" w:type="dxa"/>
                  <w:vAlign w:val="center"/>
                </w:tcPr>
                <w:p w14:paraId="2CFB53FE">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3570" w:type="dxa"/>
                  <w:vAlign w:val="center"/>
                </w:tcPr>
                <w:p w14:paraId="40D1F52A">
                  <w:pPr>
                    <w:widowControl/>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腹部</w:t>
                  </w:r>
                  <w:r>
                    <w:rPr>
                      <w:rFonts w:hint="eastAsia" w:ascii="宋体" w:hAnsi="宋体" w:cs="宋体"/>
                      <w:color w:val="auto"/>
                      <w:szCs w:val="21"/>
                      <w:highlight w:val="none"/>
                      <w:lang w:eastAsia="zh-CN" w:bidi="ar"/>
                    </w:rPr>
                    <w:t>电子</w:t>
                  </w:r>
                  <w:r>
                    <w:rPr>
                      <w:rFonts w:hint="eastAsia" w:ascii="宋体" w:hAnsi="宋体" w:cs="宋体"/>
                      <w:color w:val="auto"/>
                      <w:szCs w:val="21"/>
                      <w:highlight w:val="none"/>
                      <w:lang w:bidi="ar"/>
                    </w:rPr>
                    <w:t>凸阵探头</w:t>
                  </w:r>
                </w:p>
              </w:tc>
              <w:tc>
                <w:tcPr>
                  <w:tcW w:w="938" w:type="dxa"/>
                  <w:vAlign w:val="center"/>
                </w:tcPr>
                <w:p w14:paraId="51B72772">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7A711C6C">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把</w:t>
                  </w:r>
                </w:p>
              </w:tc>
            </w:tr>
            <w:tr w14:paraId="6DF30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exact"/>
                <w:jc w:val="center"/>
              </w:trPr>
              <w:tc>
                <w:tcPr>
                  <w:tcW w:w="973" w:type="dxa"/>
                  <w:vAlign w:val="center"/>
                </w:tcPr>
                <w:p w14:paraId="527D25D0">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7</w:t>
                  </w:r>
                </w:p>
              </w:tc>
              <w:tc>
                <w:tcPr>
                  <w:tcW w:w="3570" w:type="dxa"/>
                  <w:vAlign w:val="center"/>
                </w:tcPr>
                <w:p w14:paraId="26207C9F">
                  <w:pPr>
                    <w:widowControl/>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eastAsia="zh-CN" w:bidi="ar"/>
                    </w:rPr>
                    <w:t>小器官</w:t>
                  </w:r>
                  <w:r>
                    <w:rPr>
                      <w:rFonts w:hint="eastAsia" w:ascii="宋体" w:hAnsi="宋体" w:cs="宋体"/>
                      <w:color w:val="auto"/>
                      <w:szCs w:val="21"/>
                      <w:highlight w:val="none"/>
                      <w:lang w:bidi="ar"/>
                    </w:rPr>
                    <w:t>高频探头</w:t>
                  </w:r>
                </w:p>
              </w:tc>
              <w:tc>
                <w:tcPr>
                  <w:tcW w:w="938" w:type="dxa"/>
                  <w:vAlign w:val="center"/>
                </w:tcPr>
                <w:p w14:paraId="4759B45B">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5768E3AB">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把</w:t>
                  </w:r>
                </w:p>
              </w:tc>
            </w:tr>
            <w:tr w14:paraId="5BE2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exact"/>
                <w:jc w:val="center"/>
              </w:trPr>
              <w:tc>
                <w:tcPr>
                  <w:tcW w:w="973" w:type="dxa"/>
                  <w:vAlign w:val="center"/>
                </w:tcPr>
                <w:p w14:paraId="1EFE3D6B">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8</w:t>
                  </w:r>
                </w:p>
              </w:tc>
              <w:tc>
                <w:tcPr>
                  <w:tcW w:w="3570" w:type="dxa"/>
                  <w:vAlign w:val="center"/>
                </w:tcPr>
                <w:p w14:paraId="1A86E7BF">
                  <w:pPr>
                    <w:widowControl/>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腔内探头</w:t>
                  </w:r>
                </w:p>
              </w:tc>
              <w:tc>
                <w:tcPr>
                  <w:tcW w:w="938" w:type="dxa"/>
                  <w:vAlign w:val="center"/>
                </w:tcPr>
                <w:p w14:paraId="447554DE">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64459141">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把</w:t>
                  </w:r>
                </w:p>
              </w:tc>
            </w:tr>
            <w:tr w14:paraId="7CF1D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exact"/>
                <w:jc w:val="center"/>
              </w:trPr>
              <w:tc>
                <w:tcPr>
                  <w:tcW w:w="973" w:type="dxa"/>
                  <w:vAlign w:val="center"/>
                </w:tcPr>
                <w:p w14:paraId="1277472B">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rPr>
                    <w:t>9</w:t>
                  </w:r>
                </w:p>
              </w:tc>
              <w:tc>
                <w:tcPr>
                  <w:tcW w:w="3570" w:type="dxa"/>
                  <w:vAlign w:val="center"/>
                </w:tcPr>
                <w:p w14:paraId="04F20169">
                  <w:pPr>
                    <w:widowControl/>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工作站及高清医疗采集卡</w:t>
                  </w:r>
                </w:p>
              </w:tc>
              <w:tc>
                <w:tcPr>
                  <w:tcW w:w="938" w:type="dxa"/>
                  <w:vAlign w:val="center"/>
                </w:tcPr>
                <w:p w14:paraId="532CC2E1">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773D123E">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rPr>
                    <w:t>套</w:t>
                  </w:r>
                </w:p>
              </w:tc>
            </w:tr>
            <w:tr w14:paraId="323F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exact"/>
                <w:jc w:val="center"/>
              </w:trPr>
              <w:tc>
                <w:tcPr>
                  <w:tcW w:w="973" w:type="dxa"/>
                  <w:vAlign w:val="center"/>
                </w:tcPr>
                <w:p w14:paraId="6435B86B">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rPr>
                    <w:t>10</w:t>
                  </w:r>
                </w:p>
              </w:tc>
              <w:tc>
                <w:tcPr>
                  <w:tcW w:w="3570" w:type="dxa"/>
                  <w:vAlign w:val="center"/>
                </w:tcPr>
                <w:p w14:paraId="7BF0D77B">
                  <w:pPr>
                    <w:widowControl/>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采集手柄</w:t>
                  </w:r>
                </w:p>
              </w:tc>
              <w:tc>
                <w:tcPr>
                  <w:tcW w:w="938" w:type="dxa"/>
                  <w:vAlign w:val="center"/>
                </w:tcPr>
                <w:p w14:paraId="61877820">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251859F0">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个</w:t>
                  </w:r>
                </w:p>
              </w:tc>
            </w:tr>
            <w:tr w14:paraId="72C1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exact"/>
                <w:jc w:val="center"/>
              </w:trPr>
              <w:tc>
                <w:tcPr>
                  <w:tcW w:w="973" w:type="dxa"/>
                  <w:vAlign w:val="center"/>
                </w:tcPr>
                <w:p w14:paraId="3A8BD8C3">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11</w:t>
                  </w:r>
                </w:p>
              </w:tc>
              <w:tc>
                <w:tcPr>
                  <w:tcW w:w="3570" w:type="dxa"/>
                  <w:vAlign w:val="center"/>
                </w:tcPr>
                <w:p w14:paraId="220773FA">
                  <w:pPr>
                    <w:widowControl/>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连续供电系统（功率不低于3千瓦）</w:t>
                  </w:r>
                </w:p>
              </w:tc>
              <w:tc>
                <w:tcPr>
                  <w:tcW w:w="938" w:type="dxa"/>
                  <w:vAlign w:val="center"/>
                </w:tcPr>
                <w:p w14:paraId="12F90E12">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779D909E">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个</w:t>
                  </w:r>
                </w:p>
              </w:tc>
            </w:tr>
            <w:tr w14:paraId="2E42F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exact"/>
                <w:jc w:val="center"/>
              </w:trPr>
              <w:tc>
                <w:tcPr>
                  <w:tcW w:w="973" w:type="dxa"/>
                  <w:vAlign w:val="center"/>
                </w:tcPr>
                <w:p w14:paraId="15A9A006">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12</w:t>
                  </w:r>
                </w:p>
              </w:tc>
              <w:tc>
                <w:tcPr>
                  <w:tcW w:w="3570" w:type="dxa"/>
                  <w:vAlign w:val="center"/>
                </w:tcPr>
                <w:p w14:paraId="276CCF63">
                  <w:pPr>
                    <w:widowControl/>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探头穿刺架</w:t>
                  </w:r>
                </w:p>
              </w:tc>
              <w:tc>
                <w:tcPr>
                  <w:tcW w:w="938" w:type="dxa"/>
                  <w:vAlign w:val="center"/>
                </w:tcPr>
                <w:p w14:paraId="145CCE34">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890" w:type="dxa"/>
                  <w:vAlign w:val="center"/>
                </w:tcPr>
                <w:p w14:paraId="475F4E13">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个</w:t>
                  </w:r>
                </w:p>
              </w:tc>
            </w:tr>
            <w:tr w14:paraId="72B59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exact"/>
                <w:jc w:val="center"/>
              </w:trPr>
              <w:tc>
                <w:tcPr>
                  <w:tcW w:w="973" w:type="dxa"/>
                  <w:vAlign w:val="center"/>
                </w:tcPr>
                <w:p w14:paraId="59FE71DD">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13</w:t>
                  </w:r>
                </w:p>
              </w:tc>
              <w:tc>
                <w:tcPr>
                  <w:tcW w:w="3570" w:type="dxa"/>
                  <w:vAlign w:val="center"/>
                </w:tcPr>
                <w:p w14:paraId="11630068">
                  <w:pPr>
                    <w:widowControl/>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打印设备</w:t>
                  </w:r>
                </w:p>
              </w:tc>
              <w:tc>
                <w:tcPr>
                  <w:tcW w:w="938" w:type="dxa"/>
                  <w:vAlign w:val="center"/>
                </w:tcPr>
                <w:p w14:paraId="1E135672">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66E823E3">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个</w:t>
                  </w:r>
                </w:p>
              </w:tc>
            </w:tr>
            <w:tr w14:paraId="12ED3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exact"/>
                <w:jc w:val="center"/>
              </w:trPr>
              <w:tc>
                <w:tcPr>
                  <w:tcW w:w="973" w:type="dxa"/>
                  <w:vAlign w:val="center"/>
                </w:tcPr>
                <w:p w14:paraId="3BA65D94">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14</w:t>
                  </w:r>
                </w:p>
              </w:tc>
              <w:tc>
                <w:tcPr>
                  <w:tcW w:w="3570" w:type="dxa"/>
                  <w:vAlign w:val="center"/>
                </w:tcPr>
                <w:p w14:paraId="7860BC85">
                  <w:pPr>
                    <w:widowControl/>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耦合剂加热器</w:t>
                  </w:r>
                </w:p>
              </w:tc>
              <w:tc>
                <w:tcPr>
                  <w:tcW w:w="938" w:type="dxa"/>
                  <w:vAlign w:val="center"/>
                </w:tcPr>
                <w:p w14:paraId="322D3EA4">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890" w:type="dxa"/>
                  <w:vAlign w:val="center"/>
                </w:tcPr>
                <w:p w14:paraId="0CC8EB07">
                  <w:pPr>
                    <w:spacing w:line="360" w:lineRule="auto"/>
                    <w:jc w:val="center"/>
                    <w:rPr>
                      <w:rFonts w:ascii="宋体" w:hAnsi="宋体" w:cs="宋体"/>
                      <w:color w:val="auto"/>
                      <w:szCs w:val="21"/>
                      <w:highlight w:val="none"/>
                      <w:lang w:bidi="ar"/>
                    </w:rPr>
                  </w:pPr>
                  <w:r>
                    <w:rPr>
                      <w:rFonts w:hint="eastAsia" w:ascii="宋体" w:hAnsi="宋体" w:cs="宋体"/>
                      <w:color w:val="auto"/>
                      <w:szCs w:val="21"/>
                      <w:highlight w:val="none"/>
                      <w:lang w:bidi="ar"/>
                    </w:rPr>
                    <w:t>个</w:t>
                  </w:r>
                </w:p>
              </w:tc>
            </w:tr>
          </w:tbl>
          <w:p w14:paraId="30585722">
            <w:pPr>
              <w:spacing w:line="360" w:lineRule="auto"/>
              <w:rPr>
                <w:rFonts w:ascii="宋体" w:hAnsi="宋体" w:cs="宋体"/>
                <w:color w:val="auto"/>
                <w:szCs w:val="21"/>
                <w:highlight w:val="none"/>
              </w:rPr>
            </w:pPr>
          </w:p>
        </w:tc>
      </w:tr>
      <w:tr w14:paraId="37249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44" w:type="dxa"/>
            <w:gridSpan w:val="5"/>
          </w:tcPr>
          <w:p w14:paraId="2ED4DCBA">
            <w:pPr>
              <w:tabs>
                <w:tab w:val="left" w:pos="180"/>
                <w:tab w:val="left" w:pos="1620"/>
              </w:tabs>
              <w:spacing w:line="360" w:lineRule="auto"/>
              <w:rPr>
                <w:rFonts w:ascii="宋体" w:hAnsi="宋体" w:cs="宋体"/>
                <w:color w:val="auto"/>
                <w:szCs w:val="21"/>
                <w:highlight w:val="none"/>
              </w:rPr>
            </w:pPr>
            <w:r>
              <w:rPr>
                <w:rFonts w:hint="eastAsia" w:ascii="宋体" w:hAnsi="宋体" w:cs="宋体"/>
                <w:color w:val="auto"/>
                <w:szCs w:val="21"/>
                <w:highlight w:val="none"/>
              </w:rPr>
              <w:t>采购预算：64.80万元</w:t>
            </w:r>
          </w:p>
        </w:tc>
      </w:tr>
      <w:tr w14:paraId="6B2E8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44" w:type="dxa"/>
            <w:gridSpan w:val="5"/>
            <w:tcBorders>
              <w:top w:val="single" w:color="auto" w:sz="4" w:space="0"/>
              <w:left w:val="single" w:color="auto" w:sz="4" w:space="0"/>
              <w:bottom w:val="single" w:color="auto" w:sz="4" w:space="0"/>
              <w:right w:val="single" w:color="auto" w:sz="4" w:space="0"/>
            </w:tcBorders>
            <w:vAlign w:val="center"/>
          </w:tcPr>
          <w:p w14:paraId="12BCAC66">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b/>
                <w:color w:val="auto"/>
                <w:szCs w:val="21"/>
                <w:highlight w:val="none"/>
              </w:rPr>
              <w:t>一、商务要求</w:t>
            </w:r>
          </w:p>
        </w:tc>
      </w:tr>
      <w:tr w14:paraId="631FF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53" w:type="dxa"/>
            <w:gridSpan w:val="3"/>
            <w:tcBorders>
              <w:top w:val="single" w:color="auto" w:sz="4" w:space="0"/>
              <w:left w:val="single" w:color="auto" w:sz="4" w:space="0"/>
              <w:bottom w:val="single" w:color="auto" w:sz="4" w:space="0"/>
              <w:right w:val="single" w:color="auto" w:sz="4" w:space="0"/>
            </w:tcBorders>
            <w:vAlign w:val="center"/>
          </w:tcPr>
          <w:p w14:paraId="725C995C">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合同履行期限和地点</w:t>
            </w:r>
          </w:p>
        </w:tc>
        <w:tc>
          <w:tcPr>
            <w:tcW w:w="6791" w:type="dxa"/>
            <w:gridSpan w:val="2"/>
            <w:tcBorders>
              <w:top w:val="single" w:color="auto" w:sz="4" w:space="0"/>
              <w:left w:val="single" w:color="auto" w:sz="4" w:space="0"/>
              <w:bottom w:val="single" w:color="auto" w:sz="4" w:space="0"/>
              <w:right w:val="single" w:color="auto" w:sz="4" w:space="0"/>
            </w:tcBorders>
            <w:vAlign w:val="center"/>
          </w:tcPr>
          <w:p w14:paraId="657442C0">
            <w:pPr>
              <w:spacing w:line="360" w:lineRule="auto"/>
              <w:ind w:firstLine="560"/>
              <w:jc w:val="left"/>
              <w:rPr>
                <w:rFonts w:ascii="宋体" w:hAnsi="宋体" w:cs="宋体"/>
                <w:color w:val="auto"/>
                <w:szCs w:val="21"/>
                <w:highlight w:val="none"/>
              </w:rPr>
            </w:pPr>
            <w:r>
              <w:rPr>
                <w:rFonts w:hint="eastAsia" w:ascii="宋体" w:hAnsi="宋体" w:cs="宋体"/>
                <w:color w:val="auto"/>
                <w:szCs w:val="21"/>
                <w:highlight w:val="none"/>
              </w:rPr>
              <w:t>1.合同履行期限：采购人向成交供应商发出供货通知，成交供应商在收到采购人通知后30个日历日内将全部货物运抵采购人指定地点后完成安装、调试、培训等全部工作，并经最终验收合格后交付使用。</w:t>
            </w:r>
          </w:p>
          <w:p w14:paraId="3831A1FB">
            <w:pPr>
              <w:spacing w:line="360" w:lineRule="auto"/>
              <w:ind w:firstLine="560"/>
              <w:jc w:val="left"/>
              <w:rPr>
                <w:rFonts w:ascii="宋体" w:hAnsi="宋体" w:cs="宋体"/>
                <w:color w:val="auto"/>
                <w:szCs w:val="21"/>
                <w:highlight w:val="none"/>
              </w:rPr>
            </w:pPr>
            <w:r>
              <w:rPr>
                <w:rFonts w:hint="eastAsia" w:ascii="宋体" w:hAnsi="宋体" w:cs="宋体"/>
                <w:color w:val="auto"/>
                <w:szCs w:val="21"/>
                <w:highlight w:val="none"/>
              </w:rPr>
              <w:t>2.地点：梧州市采购人指定地点（梧州市妇幼保健院）。本次采购不接受任何损耗。</w:t>
            </w:r>
          </w:p>
        </w:tc>
      </w:tr>
      <w:tr w14:paraId="025CA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53" w:type="dxa"/>
            <w:gridSpan w:val="3"/>
            <w:tcBorders>
              <w:top w:val="single" w:color="auto" w:sz="4" w:space="0"/>
              <w:left w:val="single" w:color="auto" w:sz="4" w:space="0"/>
              <w:bottom w:val="single" w:color="auto" w:sz="4" w:space="0"/>
              <w:right w:val="single" w:color="auto" w:sz="4" w:space="0"/>
            </w:tcBorders>
            <w:vAlign w:val="center"/>
          </w:tcPr>
          <w:p w14:paraId="5CA1F32F">
            <w:pPr>
              <w:spacing w:line="360" w:lineRule="auto"/>
              <w:jc w:val="center"/>
              <w:rPr>
                <w:rFonts w:ascii="宋体" w:hAnsi="宋体" w:cs="宋体"/>
                <w:b/>
                <w:color w:val="auto"/>
                <w:szCs w:val="21"/>
                <w:highlight w:val="none"/>
              </w:rPr>
            </w:pPr>
            <w:r>
              <w:rPr>
                <w:rFonts w:hint="eastAsia" w:ascii="宋体" w:hAnsi="宋体" w:cs="宋体"/>
                <w:color w:val="auto"/>
                <w:szCs w:val="21"/>
                <w:highlight w:val="none"/>
              </w:rPr>
              <w:t>合同签订时间</w:t>
            </w:r>
          </w:p>
        </w:tc>
        <w:tc>
          <w:tcPr>
            <w:tcW w:w="6791" w:type="dxa"/>
            <w:gridSpan w:val="2"/>
            <w:tcBorders>
              <w:top w:val="single" w:color="auto" w:sz="4" w:space="0"/>
              <w:left w:val="single" w:color="auto" w:sz="4" w:space="0"/>
              <w:bottom w:val="single" w:color="auto" w:sz="4" w:space="0"/>
              <w:right w:val="single" w:color="auto" w:sz="4" w:space="0"/>
            </w:tcBorders>
            <w:vAlign w:val="center"/>
          </w:tcPr>
          <w:p w14:paraId="4BFB4A42">
            <w:pPr>
              <w:spacing w:line="360" w:lineRule="auto"/>
              <w:jc w:val="left"/>
              <w:rPr>
                <w:rFonts w:ascii="宋体" w:hAnsi="宋体" w:cs="宋体"/>
                <w:b/>
                <w:color w:val="auto"/>
                <w:szCs w:val="21"/>
                <w:highlight w:val="none"/>
              </w:rPr>
            </w:pPr>
            <w:r>
              <w:rPr>
                <w:rFonts w:hint="eastAsia" w:ascii="宋体" w:hAnsi="宋体" w:cs="宋体"/>
                <w:color w:val="auto"/>
                <w:szCs w:val="21"/>
                <w:highlight w:val="none"/>
              </w:rPr>
              <w:t>自成交通知书发出之日起25个日历日内。</w:t>
            </w:r>
          </w:p>
        </w:tc>
      </w:tr>
      <w:tr w14:paraId="7969C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53" w:type="dxa"/>
            <w:gridSpan w:val="3"/>
            <w:tcBorders>
              <w:top w:val="single" w:color="auto" w:sz="4" w:space="0"/>
              <w:left w:val="single" w:color="auto" w:sz="4" w:space="0"/>
              <w:bottom w:val="single" w:color="auto" w:sz="4" w:space="0"/>
              <w:right w:val="single" w:color="auto" w:sz="4" w:space="0"/>
            </w:tcBorders>
            <w:vAlign w:val="center"/>
          </w:tcPr>
          <w:p w14:paraId="38714F52">
            <w:pPr>
              <w:spacing w:line="360" w:lineRule="auto"/>
              <w:ind w:firstLine="560"/>
              <w:jc w:val="left"/>
              <w:rPr>
                <w:rFonts w:ascii="宋体" w:hAnsi="宋体" w:cs="宋体"/>
                <w:color w:val="auto"/>
                <w:szCs w:val="21"/>
                <w:highlight w:val="none"/>
              </w:rPr>
            </w:pPr>
            <w:r>
              <w:rPr>
                <w:rFonts w:hint="eastAsia" w:ascii="宋体" w:hAnsi="宋体" w:cs="宋体"/>
                <w:color w:val="auto"/>
                <w:szCs w:val="21"/>
                <w:highlight w:val="none"/>
              </w:rPr>
              <w:t>报价要求</w:t>
            </w:r>
          </w:p>
        </w:tc>
        <w:tc>
          <w:tcPr>
            <w:tcW w:w="6791" w:type="dxa"/>
            <w:gridSpan w:val="2"/>
            <w:tcBorders>
              <w:top w:val="single" w:color="auto" w:sz="4" w:space="0"/>
              <w:left w:val="single" w:color="auto" w:sz="4" w:space="0"/>
              <w:bottom w:val="single" w:color="auto" w:sz="4" w:space="0"/>
              <w:right w:val="single" w:color="auto" w:sz="4" w:space="0"/>
            </w:tcBorders>
            <w:vAlign w:val="center"/>
          </w:tcPr>
          <w:p w14:paraId="6DFCC94A">
            <w:pPr>
              <w:spacing w:line="360" w:lineRule="auto"/>
              <w:ind w:firstLine="560"/>
              <w:jc w:val="left"/>
              <w:rPr>
                <w:rFonts w:ascii="宋体" w:hAnsi="宋体" w:cs="宋体"/>
                <w:color w:val="auto"/>
                <w:szCs w:val="21"/>
                <w:highlight w:val="none"/>
              </w:rPr>
            </w:pPr>
            <w:r>
              <w:rPr>
                <w:rFonts w:hint="eastAsia" w:ascii="宋体" w:hAnsi="宋体" w:cs="宋体"/>
                <w:color w:val="auto"/>
                <w:szCs w:val="21"/>
                <w:highlight w:val="none"/>
              </w:rPr>
              <w:t>本次报价须为人民币报价，包括但不限于竞标货物及其配件（附件）价款，包装费、运费、装卸费、保险费、搬运费、安装费、调试费、检验及检定验收费、售后服务费、培训费（如有）、税金等采购文件和响应文件规定及合同包含的所有风险、责任等应有的全部费用。</w:t>
            </w:r>
          </w:p>
          <w:p w14:paraId="15C31E30">
            <w:pPr>
              <w:spacing w:line="360" w:lineRule="auto"/>
              <w:ind w:firstLine="560"/>
              <w:jc w:val="left"/>
              <w:rPr>
                <w:rFonts w:ascii="宋体" w:hAnsi="宋体" w:cs="宋体"/>
                <w:color w:val="auto"/>
                <w:szCs w:val="21"/>
                <w:highlight w:val="none"/>
              </w:rPr>
            </w:pPr>
            <w:r>
              <w:rPr>
                <w:rFonts w:hint="eastAsia" w:ascii="宋体" w:hAnsi="宋体" w:cs="宋体"/>
                <w:color w:val="auto"/>
                <w:szCs w:val="21"/>
                <w:highlight w:val="none"/>
              </w:rPr>
              <w:t>对于本文件中明确列明必须报价的货物或服务，供应商应分别报价。对于本文件中未列明，而供应商认为必需的费用也需列入总报价。在合同实施时，采购人将不予支付成交供应商没有列入的项目费用，并认为此项目的费用已包括在响应总报价中。</w:t>
            </w:r>
          </w:p>
        </w:tc>
      </w:tr>
      <w:tr w14:paraId="4D12D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53" w:type="dxa"/>
            <w:gridSpan w:val="3"/>
            <w:tcBorders>
              <w:top w:val="single" w:color="auto" w:sz="4" w:space="0"/>
              <w:left w:val="single" w:color="auto" w:sz="4" w:space="0"/>
              <w:bottom w:val="single" w:color="auto" w:sz="4" w:space="0"/>
              <w:right w:val="single" w:color="auto" w:sz="4" w:space="0"/>
            </w:tcBorders>
            <w:vAlign w:val="center"/>
          </w:tcPr>
          <w:p w14:paraId="69E24CF4">
            <w:pPr>
              <w:spacing w:line="360" w:lineRule="auto"/>
              <w:jc w:val="center"/>
              <w:rPr>
                <w:rFonts w:ascii="宋体" w:hAnsi="宋体" w:cs="宋体"/>
                <w:b/>
                <w:color w:val="auto"/>
                <w:szCs w:val="21"/>
                <w:highlight w:val="none"/>
              </w:rPr>
            </w:pPr>
            <w:r>
              <w:rPr>
                <w:rFonts w:hint="eastAsia" w:ascii="宋体" w:hAnsi="宋体" w:cs="宋体"/>
                <w:color w:val="auto"/>
                <w:szCs w:val="21"/>
                <w:highlight w:val="none"/>
              </w:rPr>
              <w:t>付款条件</w:t>
            </w:r>
          </w:p>
        </w:tc>
        <w:tc>
          <w:tcPr>
            <w:tcW w:w="6791" w:type="dxa"/>
            <w:gridSpan w:val="2"/>
            <w:tcBorders>
              <w:top w:val="single" w:color="auto" w:sz="4" w:space="0"/>
              <w:left w:val="single" w:color="auto" w:sz="4" w:space="0"/>
              <w:bottom w:val="single" w:color="auto" w:sz="4" w:space="0"/>
              <w:right w:val="single" w:color="auto" w:sz="4" w:space="0"/>
            </w:tcBorders>
            <w:vAlign w:val="center"/>
          </w:tcPr>
          <w:p w14:paraId="29AF27C0">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本项目无预付款。采购人分三期向成交供应商支付合同款。</w:t>
            </w:r>
          </w:p>
          <w:p w14:paraId="3F94B4EF">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第一期：成交供应商所有设备进场安装调试完毕并经采购人验收合格，自验收合格之日起计算3个月后，成交供应商开具合同总额30%的合法完税发票，采购人收到发票后10个工作日内向成交供应商支付合同总额的30%。</w:t>
            </w:r>
          </w:p>
          <w:p w14:paraId="46EE19E7">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第二期：自所有设备验收合格之日起计算9个月后，成交供应商开具合同总额60%的合法完税发票，采购人收到发票后10个工作日内向成交供应商支付合同总额的60%。</w:t>
            </w:r>
          </w:p>
          <w:p w14:paraId="37648E08">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第三期：余下合同总额的10%在所有设备验收合格之日起计算12个月后，成交供应商无其他违约情形，开具合同总额10%的合法完税发票，采购人收到发票后10个工作日内，在扣除成交供应商在合同履行期间对采购人所负的债务后，将剩余款项付清（不计利息）。</w:t>
            </w:r>
          </w:p>
          <w:p w14:paraId="27A99DF4">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付款前成交供应商需向采购人提供等额合法完税发票（发票类型以采购人的具体要求为准）以及请款函。</w:t>
            </w:r>
          </w:p>
          <w:p w14:paraId="311D5356">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合同签署的成交供应商公司名称及发票开具单位与收款单位必须一致，在合同执行过程中，成交供应商不得以其他不正当理由要求调整发票开具单位或收款单位，否则视为成交供应商违约，采购人有权拒绝支付货款。</w:t>
            </w:r>
          </w:p>
        </w:tc>
      </w:tr>
      <w:tr w14:paraId="04441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53" w:type="dxa"/>
            <w:gridSpan w:val="3"/>
            <w:tcBorders>
              <w:top w:val="single" w:color="auto" w:sz="4" w:space="0"/>
              <w:left w:val="single" w:color="auto" w:sz="4" w:space="0"/>
              <w:bottom w:val="single" w:color="auto" w:sz="4" w:space="0"/>
              <w:right w:val="single" w:color="auto" w:sz="4" w:space="0"/>
            </w:tcBorders>
            <w:vAlign w:val="center"/>
          </w:tcPr>
          <w:p w14:paraId="67FB945A">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产品基本要求</w:t>
            </w:r>
          </w:p>
        </w:tc>
        <w:tc>
          <w:tcPr>
            <w:tcW w:w="6791" w:type="dxa"/>
            <w:gridSpan w:val="2"/>
            <w:tcBorders>
              <w:top w:val="single" w:color="auto" w:sz="4" w:space="0"/>
              <w:left w:val="single" w:color="auto" w:sz="4" w:space="0"/>
              <w:bottom w:val="single" w:color="auto" w:sz="4" w:space="0"/>
              <w:right w:val="single" w:color="auto" w:sz="4" w:space="0"/>
            </w:tcBorders>
            <w:vAlign w:val="center"/>
          </w:tcPr>
          <w:p w14:paraId="39772E04">
            <w:pPr>
              <w:spacing w:line="360" w:lineRule="auto"/>
              <w:ind w:firstLine="562"/>
              <w:jc w:val="left"/>
              <w:rPr>
                <w:rFonts w:ascii="宋体" w:hAnsi="宋体" w:cs="宋体"/>
                <w:bCs/>
                <w:color w:val="auto"/>
                <w:szCs w:val="21"/>
                <w:highlight w:val="none"/>
              </w:rPr>
            </w:pPr>
            <w:r>
              <w:rPr>
                <w:rFonts w:hint="eastAsia" w:ascii="宋体" w:hAnsi="宋体" w:cs="宋体"/>
                <w:bCs/>
                <w:color w:val="auto"/>
                <w:szCs w:val="21"/>
                <w:highlight w:val="none"/>
              </w:rPr>
              <w:t>1.以上产品必须是具备合法资质的制造商生产的全新正品，自通知发货之日算起，货物生产日期不超过6个月，并满足采购文件的要求，若产品在运输或安装过程中损坏或擦伤须无偿调换相同产品。</w:t>
            </w:r>
          </w:p>
          <w:p w14:paraId="2C2D29D1">
            <w:pPr>
              <w:spacing w:line="360" w:lineRule="auto"/>
              <w:ind w:firstLine="562"/>
              <w:jc w:val="left"/>
              <w:rPr>
                <w:rFonts w:ascii="宋体" w:hAnsi="宋体" w:cs="宋体"/>
                <w:bCs/>
                <w:color w:val="auto"/>
                <w:szCs w:val="21"/>
                <w:highlight w:val="none"/>
              </w:rPr>
            </w:pPr>
            <w:r>
              <w:rPr>
                <w:rFonts w:hint="eastAsia" w:ascii="宋体" w:hAnsi="宋体" w:cs="宋体"/>
                <w:bCs/>
                <w:color w:val="auto"/>
                <w:szCs w:val="21"/>
                <w:highlight w:val="none"/>
              </w:rPr>
              <w:t>2.供应商所投产品参数应同等或优于以上各项参数要求，产品、辅材及生产工艺符合国家相关规范。</w:t>
            </w:r>
          </w:p>
          <w:p w14:paraId="5BAA1303">
            <w:pPr>
              <w:spacing w:line="360" w:lineRule="auto"/>
              <w:ind w:firstLine="562"/>
              <w:jc w:val="left"/>
              <w:rPr>
                <w:rFonts w:ascii="宋体" w:hAnsi="宋体" w:cs="宋体"/>
                <w:bCs/>
                <w:color w:val="auto"/>
                <w:szCs w:val="21"/>
                <w:highlight w:val="none"/>
              </w:rPr>
            </w:pPr>
            <w:r>
              <w:rPr>
                <w:rFonts w:hint="eastAsia" w:ascii="宋体" w:hAnsi="宋体" w:cs="宋体"/>
                <w:bCs/>
                <w:color w:val="auto"/>
                <w:szCs w:val="21"/>
                <w:highlight w:val="none"/>
              </w:rPr>
              <w:t>3.专利权、商标权等，如在使用过程中出现的一切经济和法律责任均由供应商负责。</w:t>
            </w:r>
          </w:p>
          <w:p w14:paraId="26A83CFF">
            <w:pPr>
              <w:spacing w:line="360" w:lineRule="auto"/>
              <w:ind w:firstLine="562"/>
              <w:jc w:val="left"/>
              <w:rPr>
                <w:rFonts w:ascii="宋体" w:hAnsi="宋体" w:cs="宋体"/>
                <w:color w:val="auto"/>
                <w:szCs w:val="21"/>
                <w:highlight w:val="none"/>
              </w:rPr>
            </w:pPr>
            <w:r>
              <w:rPr>
                <w:rFonts w:hint="eastAsia" w:ascii="宋体" w:hAnsi="宋体" w:cs="宋体"/>
                <w:color w:val="auto"/>
                <w:szCs w:val="21"/>
                <w:highlight w:val="none"/>
              </w:rPr>
              <w:t>4.使用年限≥10年。</w:t>
            </w:r>
          </w:p>
          <w:p w14:paraId="1F38D37D">
            <w:pPr>
              <w:spacing w:line="360" w:lineRule="auto"/>
              <w:ind w:firstLine="562"/>
              <w:jc w:val="left"/>
              <w:rPr>
                <w:rFonts w:ascii="宋体" w:hAnsi="宋体" w:cs="宋体"/>
                <w:b/>
                <w:color w:val="auto"/>
                <w:szCs w:val="21"/>
                <w:highlight w:val="none"/>
              </w:rPr>
            </w:pPr>
            <w:r>
              <w:rPr>
                <w:rFonts w:hint="eastAsia" w:ascii="宋体" w:hAnsi="宋体" w:cs="宋体"/>
                <w:b/>
                <w:color w:val="auto"/>
                <w:szCs w:val="21"/>
                <w:highlight w:val="none"/>
              </w:rPr>
              <w:t>5.响应文件中提供产品《医疗器械注册证》并加盖供应商公章。</w:t>
            </w:r>
          </w:p>
          <w:p w14:paraId="62161582">
            <w:pPr>
              <w:spacing w:line="360" w:lineRule="auto"/>
              <w:ind w:firstLine="562"/>
              <w:jc w:val="left"/>
              <w:rPr>
                <w:rFonts w:ascii="宋体" w:hAnsi="宋体" w:cs="宋体"/>
                <w:b/>
                <w:color w:val="auto"/>
                <w:szCs w:val="21"/>
                <w:highlight w:val="none"/>
              </w:rPr>
            </w:pPr>
            <w:r>
              <w:rPr>
                <w:rFonts w:hint="eastAsia" w:ascii="宋体" w:hAnsi="宋体" w:cs="宋体"/>
                <w:b/>
                <w:color w:val="auto"/>
                <w:szCs w:val="21"/>
                <w:highlight w:val="none"/>
              </w:rPr>
              <w:t>6.响应文件中提供产品生产厂家的《医疗器械生产许可证》并加盖供应商公章。</w:t>
            </w:r>
          </w:p>
        </w:tc>
      </w:tr>
      <w:tr w14:paraId="6BE64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53" w:type="dxa"/>
            <w:gridSpan w:val="3"/>
            <w:tcBorders>
              <w:top w:val="single" w:color="auto" w:sz="4" w:space="0"/>
              <w:left w:val="single" w:color="auto" w:sz="4" w:space="0"/>
              <w:bottom w:val="single" w:color="auto" w:sz="4" w:space="0"/>
              <w:right w:val="single" w:color="auto" w:sz="4" w:space="0"/>
            </w:tcBorders>
            <w:vAlign w:val="center"/>
          </w:tcPr>
          <w:p w14:paraId="435141A7">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质保期</w:t>
            </w:r>
          </w:p>
        </w:tc>
        <w:tc>
          <w:tcPr>
            <w:tcW w:w="6791" w:type="dxa"/>
            <w:gridSpan w:val="2"/>
            <w:tcBorders>
              <w:top w:val="single" w:color="auto" w:sz="4" w:space="0"/>
              <w:left w:val="single" w:color="auto" w:sz="4" w:space="0"/>
              <w:bottom w:val="single" w:color="auto" w:sz="4" w:space="0"/>
              <w:right w:val="single" w:color="auto" w:sz="4" w:space="0"/>
            </w:tcBorders>
            <w:vAlign w:val="center"/>
          </w:tcPr>
          <w:p w14:paraId="1F507006">
            <w:pPr>
              <w:spacing w:line="360" w:lineRule="auto"/>
              <w:ind w:firstLine="560"/>
              <w:jc w:val="left"/>
              <w:rPr>
                <w:rFonts w:ascii="宋体" w:hAnsi="宋体" w:cs="宋体"/>
                <w:b/>
                <w:color w:val="auto"/>
                <w:szCs w:val="21"/>
                <w:highlight w:val="none"/>
              </w:rPr>
            </w:pPr>
            <w:r>
              <w:rPr>
                <w:rFonts w:hint="eastAsia" w:ascii="宋体" w:hAnsi="宋体" w:cs="宋体"/>
                <w:bCs/>
                <w:color w:val="auto"/>
                <w:szCs w:val="21"/>
                <w:highlight w:val="none"/>
              </w:rPr>
              <w:t>按国家有关产品“三包”规定执行“三包”，质保期不少于3年，自设备验收合格之日起计算（设备质保期原厂标准更长或者法律法规、规章、技术标准、其他规范性文件等对本次采购的货物质保期限有更长期限规定的，则依照其相关规定执行）。若质保期届满仍存在质保期内产生的未解决的技术问题或未完成的任务，成交供应商应按照合同约定提供售后服务，直到问题解决或任务完成为止。</w:t>
            </w:r>
          </w:p>
        </w:tc>
      </w:tr>
      <w:tr w14:paraId="1776E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53" w:type="dxa"/>
            <w:gridSpan w:val="3"/>
            <w:tcBorders>
              <w:top w:val="single" w:color="auto" w:sz="4" w:space="0"/>
              <w:left w:val="single" w:color="auto" w:sz="4" w:space="0"/>
              <w:bottom w:val="single" w:color="auto" w:sz="4" w:space="0"/>
              <w:right w:val="single" w:color="auto" w:sz="4" w:space="0"/>
            </w:tcBorders>
            <w:vAlign w:val="center"/>
          </w:tcPr>
          <w:p w14:paraId="7D2B9D9F">
            <w:pPr>
              <w:spacing w:line="360" w:lineRule="auto"/>
              <w:jc w:val="center"/>
              <w:rPr>
                <w:rFonts w:ascii="宋体" w:hAnsi="宋体" w:cs="宋体"/>
                <w:b/>
                <w:color w:val="auto"/>
                <w:szCs w:val="21"/>
                <w:highlight w:val="none"/>
              </w:rPr>
            </w:pPr>
            <w:r>
              <w:rPr>
                <w:rFonts w:hint="eastAsia" w:ascii="宋体" w:hAnsi="宋体" w:cs="宋体"/>
                <w:color w:val="auto"/>
                <w:szCs w:val="21"/>
                <w:highlight w:val="none"/>
              </w:rPr>
              <w:t>售后服务</w:t>
            </w:r>
          </w:p>
        </w:tc>
        <w:tc>
          <w:tcPr>
            <w:tcW w:w="6791" w:type="dxa"/>
            <w:gridSpan w:val="2"/>
            <w:tcBorders>
              <w:top w:val="single" w:color="auto" w:sz="4" w:space="0"/>
              <w:left w:val="single" w:color="auto" w:sz="4" w:space="0"/>
              <w:bottom w:val="single" w:color="auto" w:sz="4" w:space="0"/>
              <w:right w:val="single" w:color="auto" w:sz="4" w:space="0"/>
            </w:tcBorders>
            <w:vAlign w:val="center"/>
          </w:tcPr>
          <w:p w14:paraId="0D4ADAB8">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 xml:space="preserve">1.成交供应商负责送货上门，安装调试。从通过验收即日起质保期内所有由于质量问题导致的软、硬件产品故障负责保修、人工及更换备件标准上门服务。 </w:t>
            </w:r>
          </w:p>
          <w:p w14:paraId="0BB5855C">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 xml:space="preserve">2.技术及维修服务：成交供应商应配置工程技术人员，随时提供开箱验货、安装、调试或维修等服务。 </w:t>
            </w:r>
          </w:p>
          <w:p w14:paraId="4DC9DCF5">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3.故障处理：厂家须设有24小时服务电话，质保期内，在使用过程中发现质量问题或故障时，接到维修通知后，2小时内响应，24小时内实施维修服务。一般问题应在48小时内解决，重大问题或其他无法迅速解决的问题应在一周内解决，所发生的一切费用由成交供应商负责。</w:t>
            </w:r>
          </w:p>
          <w:p w14:paraId="542E883B">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4.维修备件必须是原厂备件。</w:t>
            </w:r>
          </w:p>
          <w:p w14:paraId="182D287C">
            <w:pPr>
              <w:spacing w:line="360" w:lineRule="auto"/>
              <w:ind w:firstLine="560"/>
              <w:rPr>
                <w:rFonts w:ascii="宋体" w:hAnsi="宋体" w:cs="宋体"/>
                <w:b/>
                <w:color w:val="auto"/>
                <w:szCs w:val="21"/>
                <w:highlight w:val="none"/>
              </w:rPr>
            </w:pPr>
            <w:r>
              <w:rPr>
                <w:rFonts w:hint="eastAsia" w:ascii="宋体" w:hAnsi="宋体" w:cs="宋体"/>
                <w:bCs/>
                <w:color w:val="auto"/>
                <w:szCs w:val="21"/>
                <w:highlight w:val="none"/>
              </w:rPr>
              <w:t>5.其余按厂家承诺。</w:t>
            </w:r>
          </w:p>
        </w:tc>
      </w:tr>
      <w:tr w14:paraId="27056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53" w:type="dxa"/>
            <w:gridSpan w:val="3"/>
            <w:tcBorders>
              <w:top w:val="single" w:color="auto" w:sz="4" w:space="0"/>
              <w:left w:val="single" w:color="auto" w:sz="4" w:space="0"/>
              <w:bottom w:val="single" w:color="auto" w:sz="4" w:space="0"/>
              <w:right w:val="single" w:color="auto" w:sz="4" w:space="0"/>
            </w:tcBorders>
            <w:vAlign w:val="center"/>
          </w:tcPr>
          <w:p w14:paraId="47F60AA4">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验收标准（质量要求）</w:t>
            </w:r>
          </w:p>
        </w:tc>
        <w:tc>
          <w:tcPr>
            <w:tcW w:w="6791" w:type="dxa"/>
            <w:gridSpan w:val="2"/>
            <w:tcBorders>
              <w:top w:val="single" w:color="auto" w:sz="4" w:space="0"/>
              <w:left w:val="single" w:color="auto" w:sz="4" w:space="0"/>
              <w:bottom w:val="single" w:color="auto" w:sz="4" w:space="0"/>
              <w:right w:val="single" w:color="auto" w:sz="4" w:space="0"/>
            </w:tcBorders>
            <w:vAlign w:val="center"/>
          </w:tcPr>
          <w:p w14:paraId="45030321">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1.验收标准：符合现行国家相关标准、行业标准、地方标准或者其他标准、规范。</w:t>
            </w:r>
          </w:p>
          <w:p w14:paraId="1F9BE2C1">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2.成交供应商在货物交付验收时，由采购人对照采购文件的项目要求及技术需求，全面核对检验。如不符合采购文件的技术需求及要求以及提供虚假承诺的，成交供应商应按照采购人的要求限期内无条件置换，因此产生的费用由成交供应商承担，采购人保留进一步追究责任的权利。</w:t>
            </w:r>
          </w:p>
          <w:p w14:paraId="3A56D0D1">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3.验收地点：广西梧州市采购人指定交货地点。</w:t>
            </w:r>
          </w:p>
          <w:p w14:paraId="2F95BF70">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rPr>
              <w:t>4.验收方式：</w:t>
            </w:r>
          </w:p>
          <w:p w14:paraId="1EDDF98A">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lang w:val="en-US" w:eastAsia="zh-CN"/>
              </w:rPr>
              <w:t>4.1</w:t>
            </w:r>
            <w:r>
              <w:rPr>
                <w:rFonts w:hint="eastAsia" w:ascii="宋体" w:hAnsi="宋体" w:cs="宋体"/>
                <w:bCs/>
                <w:color w:val="auto"/>
                <w:szCs w:val="21"/>
                <w:highlight w:val="none"/>
              </w:rPr>
              <w:t>成交供应商完成货物安装调试和培训后，书面向采购人提交验收申请。</w:t>
            </w:r>
          </w:p>
          <w:p w14:paraId="52F2605D">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lang w:val="en-US" w:eastAsia="zh-CN"/>
              </w:rPr>
              <w:t>4.2</w:t>
            </w:r>
            <w:r>
              <w:rPr>
                <w:rFonts w:hint="eastAsia" w:ascii="宋体" w:hAnsi="宋体" w:cs="宋体"/>
                <w:bCs/>
                <w:color w:val="auto"/>
                <w:szCs w:val="21"/>
                <w:highlight w:val="none"/>
              </w:rPr>
              <w:t>采购人收到成交供应商验收申请之日起5个工作日进行验收（如有特殊情况，按采购人指定的时间，另行验收）。</w:t>
            </w:r>
          </w:p>
          <w:p w14:paraId="3767AECC">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lang w:val="en-US" w:eastAsia="zh-CN"/>
              </w:rPr>
              <w:t>4.3</w:t>
            </w:r>
            <w:r>
              <w:rPr>
                <w:rFonts w:hint="eastAsia" w:ascii="宋体" w:hAnsi="宋体" w:cs="宋体"/>
                <w:bCs/>
                <w:color w:val="auto"/>
                <w:szCs w:val="21"/>
                <w:highlight w:val="none"/>
              </w:rPr>
              <w:t>本项目验收由验收小组按照采购合同约定对每一项技术和商务要求的履约情况进行确认，作为验收依据；</w:t>
            </w:r>
          </w:p>
          <w:p w14:paraId="1FA987E0">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lang w:val="en-US" w:eastAsia="zh-CN"/>
              </w:rPr>
              <w:t>4.4</w:t>
            </w:r>
            <w:r>
              <w:rPr>
                <w:rFonts w:hint="eastAsia" w:ascii="宋体" w:hAnsi="宋体" w:cs="宋体"/>
                <w:bCs/>
                <w:color w:val="auto"/>
                <w:szCs w:val="21"/>
                <w:highlight w:val="none"/>
              </w:rPr>
              <w:t>验收结束后，验收小组出具采购验收书，验收书应当包括每一项技术和商务要求的履约情况，并列明项目总体评价，由验收小组、采购人和成交供应商共同签署。</w:t>
            </w:r>
          </w:p>
          <w:p w14:paraId="45CE65F4">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lang w:val="en-US" w:eastAsia="zh-CN"/>
              </w:rPr>
              <w:t>4.5</w:t>
            </w:r>
            <w:r>
              <w:rPr>
                <w:rFonts w:hint="eastAsia" w:ascii="宋体" w:hAnsi="宋体" w:cs="宋体"/>
                <w:bCs/>
                <w:color w:val="auto"/>
                <w:szCs w:val="21"/>
                <w:highlight w:val="none"/>
              </w:rPr>
              <w:t>验收过程中所产生的一切费用均由成交供应商承担。</w:t>
            </w:r>
          </w:p>
          <w:p w14:paraId="1A2A29B8">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lang w:val="en-US" w:eastAsia="zh-CN"/>
              </w:rPr>
              <w:t>4.6</w:t>
            </w:r>
            <w:r>
              <w:rPr>
                <w:rFonts w:hint="eastAsia" w:ascii="宋体" w:hAnsi="宋体" w:cs="宋体"/>
                <w:bCs/>
                <w:color w:val="auto"/>
                <w:szCs w:val="21"/>
                <w:highlight w:val="none"/>
              </w:rPr>
              <w:t>验收书一式肆份，双方各执贰份。</w:t>
            </w:r>
          </w:p>
          <w:p w14:paraId="5E8F36C8">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lang w:val="en-US" w:eastAsia="zh-CN"/>
              </w:rPr>
              <w:t>4.7</w:t>
            </w:r>
            <w:r>
              <w:rPr>
                <w:rFonts w:hint="eastAsia" w:ascii="宋体" w:hAnsi="宋体" w:cs="宋体"/>
                <w:bCs/>
                <w:color w:val="auto"/>
                <w:szCs w:val="21"/>
                <w:highlight w:val="none"/>
              </w:rPr>
              <w:t>验收结论不合格的，成交供应商应自收到验收书后5日内及时予以解决。经成交供应商对验收结论不合格的货物进行整改后，仍然达不到要求的，经双方协商，可按以下办法处理：</w:t>
            </w:r>
          </w:p>
          <w:p w14:paraId="373586AD">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lang w:val="en-US" w:eastAsia="zh-CN"/>
              </w:rPr>
              <w:t>4.7.1</w:t>
            </w:r>
            <w:r>
              <w:rPr>
                <w:rFonts w:hint="eastAsia" w:ascii="宋体" w:hAnsi="宋体" w:cs="宋体"/>
                <w:bCs/>
                <w:color w:val="auto"/>
                <w:szCs w:val="21"/>
                <w:highlight w:val="none"/>
              </w:rPr>
              <w:t>更换：由成交供应商承担所发生的全部费用；</w:t>
            </w:r>
          </w:p>
          <w:p w14:paraId="0E03133A">
            <w:pPr>
              <w:spacing w:line="360" w:lineRule="auto"/>
              <w:ind w:firstLine="560"/>
              <w:rPr>
                <w:rFonts w:ascii="宋体" w:hAnsi="宋体" w:cs="宋体"/>
                <w:bCs/>
                <w:color w:val="auto"/>
                <w:szCs w:val="21"/>
                <w:highlight w:val="none"/>
              </w:rPr>
            </w:pPr>
            <w:r>
              <w:rPr>
                <w:rFonts w:hint="eastAsia" w:ascii="宋体" w:hAnsi="宋体" w:cs="宋体"/>
                <w:bCs/>
                <w:color w:val="auto"/>
                <w:szCs w:val="21"/>
                <w:highlight w:val="none"/>
                <w:lang w:val="en-US" w:eastAsia="zh-CN"/>
              </w:rPr>
              <w:t>4.7.2</w:t>
            </w:r>
            <w:r>
              <w:rPr>
                <w:rFonts w:hint="eastAsia" w:ascii="宋体" w:hAnsi="宋体" w:cs="宋体"/>
                <w:bCs/>
                <w:color w:val="auto"/>
                <w:szCs w:val="21"/>
                <w:highlight w:val="none"/>
              </w:rPr>
              <w:t>退货处理：成交供应商应退还采购人支付的合同款，同时应承担与该货物相关的直接费用（运输、保险、检验、合同款利息及银行手续费等）。</w:t>
            </w:r>
          </w:p>
        </w:tc>
      </w:tr>
      <w:tr w14:paraId="2401B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44" w:type="dxa"/>
            <w:gridSpan w:val="5"/>
            <w:tcBorders>
              <w:top w:val="single" w:color="auto" w:sz="4" w:space="0"/>
              <w:left w:val="single" w:color="auto" w:sz="4" w:space="0"/>
              <w:bottom w:val="single" w:color="auto" w:sz="4" w:space="0"/>
              <w:right w:val="single" w:color="auto" w:sz="4" w:space="0"/>
            </w:tcBorders>
            <w:vAlign w:val="center"/>
          </w:tcPr>
          <w:p w14:paraId="1491449B">
            <w:pPr>
              <w:spacing w:line="360" w:lineRule="auto"/>
              <w:jc w:val="left"/>
              <w:rPr>
                <w:rFonts w:ascii="宋体" w:hAnsi="宋体" w:cs="宋体"/>
                <w:color w:val="auto"/>
                <w:szCs w:val="21"/>
                <w:highlight w:val="none"/>
              </w:rPr>
            </w:pPr>
            <w:r>
              <w:rPr>
                <w:rFonts w:hint="eastAsia" w:ascii="宋体" w:hAnsi="宋体" w:cs="宋体"/>
                <w:b/>
                <w:bCs/>
                <w:color w:val="auto"/>
                <w:szCs w:val="21"/>
                <w:highlight w:val="none"/>
              </w:rPr>
              <w:t>二、</w:t>
            </w:r>
            <w:r>
              <w:rPr>
                <w:rFonts w:hint="eastAsia" w:ascii="宋体" w:hAnsi="宋体" w:cs="宋体"/>
                <w:b/>
                <w:color w:val="auto"/>
                <w:szCs w:val="21"/>
                <w:highlight w:val="none"/>
              </w:rPr>
              <w:t>进口产品说明</w:t>
            </w:r>
          </w:p>
        </w:tc>
      </w:tr>
      <w:tr w14:paraId="66226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53" w:type="dxa"/>
            <w:gridSpan w:val="3"/>
            <w:tcBorders>
              <w:top w:val="single" w:color="auto" w:sz="4" w:space="0"/>
              <w:left w:val="single" w:color="auto" w:sz="4" w:space="0"/>
              <w:bottom w:val="single" w:color="auto" w:sz="4" w:space="0"/>
              <w:right w:val="single" w:color="auto" w:sz="4" w:space="0"/>
            </w:tcBorders>
            <w:vAlign w:val="center"/>
          </w:tcPr>
          <w:p w14:paraId="716B625D">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进口产品说明</w:t>
            </w:r>
          </w:p>
        </w:tc>
        <w:tc>
          <w:tcPr>
            <w:tcW w:w="6791" w:type="dxa"/>
            <w:gridSpan w:val="2"/>
            <w:tcBorders>
              <w:top w:val="single" w:color="auto" w:sz="4" w:space="0"/>
              <w:left w:val="single" w:color="auto" w:sz="4" w:space="0"/>
              <w:bottom w:val="single" w:color="auto" w:sz="4" w:space="0"/>
              <w:right w:val="single" w:color="auto" w:sz="4" w:space="0"/>
            </w:tcBorders>
            <w:vAlign w:val="center"/>
          </w:tcPr>
          <w:p w14:paraId="3FA98A10">
            <w:pPr>
              <w:spacing w:line="360" w:lineRule="auto"/>
              <w:jc w:val="left"/>
              <w:rPr>
                <w:rFonts w:ascii="宋体" w:hAnsi="宋体" w:cs="宋体"/>
                <w:color w:val="auto"/>
                <w:szCs w:val="21"/>
                <w:highlight w:val="none"/>
              </w:rPr>
            </w:pPr>
            <w:r>
              <w:rPr>
                <w:rFonts w:hint="eastAsia" w:ascii="宋体" w:hAnsi="宋体" w:cs="宋体"/>
                <w:color w:val="auto"/>
                <w:szCs w:val="21"/>
                <w:highlight w:val="none"/>
              </w:rPr>
              <w:t>本项目货物不接受进口产品（即通过中国海关报关验放进入中国境内且产自关境外的产品）参与竞标，</w:t>
            </w:r>
            <w:r>
              <w:rPr>
                <w:rFonts w:hint="eastAsia" w:ascii="宋体" w:hAnsi="宋体" w:cs="宋体"/>
                <w:b/>
                <w:color w:val="auto"/>
                <w:szCs w:val="21"/>
                <w:highlight w:val="none"/>
              </w:rPr>
              <w:t>如有进口产品参与竞标的，其响应文件按无效处理</w:t>
            </w:r>
            <w:r>
              <w:rPr>
                <w:rFonts w:hint="eastAsia" w:ascii="宋体" w:hAnsi="宋体" w:cs="宋体"/>
                <w:color w:val="auto"/>
                <w:szCs w:val="21"/>
                <w:highlight w:val="none"/>
              </w:rPr>
              <w:t>。</w:t>
            </w:r>
          </w:p>
        </w:tc>
      </w:tr>
    </w:tbl>
    <w:p w14:paraId="4FDB1769">
      <w:pPr>
        <w:tabs>
          <w:tab w:val="left" w:pos="180"/>
          <w:tab w:val="left" w:pos="1620"/>
        </w:tabs>
        <w:spacing w:line="400" w:lineRule="exact"/>
        <w:ind w:firstLine="420"/>
        <w:rPr>
          <w:rFonts w:ascii="宋体" w:hAnsi="宋体" w:cs="宋体"/>
          <w:color w:val="auto"/>
          <w:szCs w:val="21"/>
          <w:highlight w:val="none"/>
        </w:rPr>
      </w:pPr>
    </w:p>
    <w:p w14:paraId="231DE5BF">
      <w:pPr>
        <w:tabs>
          <w:tab w:val="left" w:pos="180"/>
          <w:tab w:val="left" w:pos="1620"/>
        </w:tabs>
        <w:spacing w:line="400" w:lineRule="exact"/>
        <w:ind w:firstLine="420"/>
        <w:rPr>
          <w:rFonts w:ascii="宋体" w:hAnsi="宋体" w:cs="宋体"/>
          <w:color w:val="auto"/>
          <w:szCs w:val="21"/>
          <w:highlight w:val="none"/>
        </w:rPr>
      </w:pPr>
    </w:p>
    <w:p w14:paraId="4D03989E">
      <w:pPr>
        <w:spacing w:line="428" w:lineRule="exact"/>
        <w:ind w:left="119"/>
        <w:rPr>
          <w:rFonts w:ascii="Arial Unicode MS" w:hAnsi="Arial Unicode MS" w:eastAsia="Arial Unicode MS" w:cs="Arial Unicode MS"/>
          <w:color w:val="auto"/>
          <w:sz w:val="32"/>
          <w:szCs w:val="32"/>
          <w:highlight w:val="none"/>
        </w:rPr>
      </w:pPr>
      <w:r>
        <w:rPr>
          <w:rFonts w:hint="eastAsia" w:ascii="Arial Unicode MS" w:hAnsi="Arial Unicode MS" w:eastAsia="Arial Unicode MS" w:cs="Arial Unicode MS"/>
          <w:color w:val="auto"/>
          <w:sz w:val="32"/>
          <w:szCs w:val="32"/>
          <w:highlight w:val="none"/>
        </w:rPr>
        <w:br w:type="page" w:clear="all"/>
      </w:r>
      <w:r>
        <w:rPr>
          <w:rFonts w:hint="eastAsia" w:ascii="黑体" w:hAnsi="黑体" w:eastAsia="黑体" w:cs="黑体"/>
          <w:color w:val="auto"/>
          <w:sz w:val="32"/>
          <w:szCs w:val="32"/>
          <w:highlight w:val="none"/>
        </w:rPr>
        <w:t>附件1：</w:t>
      </w:r>
    </w:p>
    <w:p w14:paraId="1E02C323">
      <w:pPr>
        <w:spacing w:before="7"/>
        <w:rPr>
          <w:rFonts w:ascii="Arial Unicode MS" w:hAnsi="Arial Unicode MS" w:eastAsia="Arial Unicode MS" w:cs="Arial Unicode MS"/>
          <w:color w:val="auto"/>
          <w:sz w:val="17"/>
          <w:szCs w:val="17"/>
          <w:highlight w:val="none"/>
        </w:rPr>
      </w:pPr>
    </w:p>
    <w:p w14:paraId="6B04D21B">
      <w:pPr>
        <w:spacing w:line="528" w:lineRule="exact"/>
        <w:ind w:left="1871"/>
        <w:rPr>
          <w:rFonts w:ascii="Arial Unicode MS" w:hAnsi="Arial Unicode MS" w:eastAsia="Arial Unicode MS" w:cs="Arial Unicode MS"/>
          <w:color w:val="auto"/>
          <w:sz w:val="40"/>
          <w:szCs w:val="40"/>
          <w:highlight w:val="none"/>
        </w:rPr>
      </w:pPr>
      <w:r>
        <w:rPr>
          <w:rFonts w:hint="eastAsia" w:ascii="方正小标宋简体" w:hAnsi="方正小标宋简体" w:eastAsia="方正小标宋简体" w:cs="方正小标宋简体"/>
          <w:color w:val="auto"/>
          <w:sz w:val="44"/>
          <w:szCs w:val="44"/>
          <w:highlight w:val="none"/>
        </w:rPr>
        <w:t>节能产品政府采购品目清单</w:t>
      </w:r>
    </w:p>
    <w:tbl>
      <w:tblPr>
        <w:tblStyle w:val="38"/>
        <w:tblW w:w="85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422"/>
        <w:gridCol w:w="1496"/>
        <w:gridCol w:w="1481"/>
        <w:gridCol w:w="3452"/>
      </w:tblGrid>
      <w:tr w14:paraId="45D9C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32FD3F15">
            <w:pPr>
              <w:jc w:val="center"/>
              <w:rPr>
                <w:rFonts w:ascii="Calibri" w:hAnsi="Calibri"/>
                <w:color w:val="auto"/>
                <w:szCs w:val="22"/>
                <w:highlight w:val="none"/>
              </w:rPr>
            </w:pPr>
            <w:r>
              <w:rPr>
                <w:rFonts w:hint="eastAsia" w:ascii="宋体" w:hAnsi="宋体" w:cs="宋体"/>
                <w:b/>
                <w:bCs/>
                <w:color w:val="auto"/>
                <w:highlight w:val="none"/>
              </w:rPr>
              <w:t>品目序号</w:t>
            </w:r>
          </w:p>
        </w:tc>
        <w:tc>
          <w:tcPr>
            <w:tcW w:w="4399" w:type="dxa"/>
            <w:gridSpan w:val="3"/>
            <w:tcBorders>
              <w:top w:val="single" w:color="auto" w:sz="4" w:space="0"/>
              <w:left w:val="single" w:color="auto" w:sz="4" w:space="0"/>
              <w:bottom w:val="single" w:color="auto" w:sz="4" w:space="0"/>
              <w:right w:val="single" w:color="auto" w:sz="4" w:space="0"/>
            </w:tcBorders>
            <w:vAlign w:val="center"/>
          </w:tcPr>
          <w:p w14:paraId="3869EA69">
            <w:pPr>
              <w:jc w:val="center"/>
              <w:rPr>
                <w:rFonts w:ascii="Calibri" w:hAnsi="Calibri"/>
                <w:color w:val="auto"/>
                <w:szCs w:val="22"/>
                <w:highlight w:val="none"/>
              </w:rPr>
            </w:pPr>
            <w:r>
              <w:rPr>
                <w:rFonts w:hint="eastAsia" w:ascii="宋体" w:hAnsi="宋体" w:cs="宋体"/>
                <w:b/>
                <w:bCs/>
                <w:color w:val="auto"/>
                <w:highlight w:val="none"/>
              </w:rPr>
              <w:t>名称</w:t>
            </w:r>
          </w:p>
        </w:tc>
        <w:tc>
          <w:tcPr>
            <w:tcW w:w="3452" w:type="dxa"/>
            <w:tcBorders>
              <w:top w:val="single" w:color="auto" w:sz="4" w:space="0"/>
              <w:left w:val="single" w:color="auto" w:sz="4" w:space="0"/>
              <w:bottom w:val="single" w:color="auto" w:sz="4" w:space="0"/>
              <w:right w:val="single" w:color="auto" w:sz="4" w:space="0"/>
            </w:tcBorders>
            <w:vAlign w:val="center"/>
          </w:tcPr>
          <w:p w14:paraId="5252998E">
            <w:pPr>
              <w:jc w:val="center"/>
              <w:rPr>
                <w:rFonts w:ascii="Calibri" w:hAnsi="Calibri"/>
                <w:color w:val="auto"/>
                <w:szCs w:val="22"/>
                <w:highlight w:val="none"/>
              </w:rPr>
            </w:pPr>
            <w:r>
              <w:rPr>
                <w:rFonts w:hint="eastAsia" w:ascii="宋体" w:hAnsi="宋体" w:cs="宋体"/>
                <w:b/>
                <w:bCs/>
                <w:color w:val="auto"/>
                <w:highlight w:val="none"/>
              </w:rPr>
              <w:t>依据的标准</w:t>
            </w:r>
          </w:p>
        </w:tc>
      </w:tr>
      <w:tr w14:paraId="19E69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auto" w:sz="4" w:space="0"/>
              <w:left w:val="single" w:color="auto" w:sz="4" w:space="0"/>
              <w:bottom w:val="single" w:color="auto" w:sz="4" w:space="0"/>
              <w:right w:val="single" w:color="auto" w:sz="4" w:space="0"/>
            </w:tcBorders>
            <w:vAlign w:val="center"/>
          </w:tcPr>
          <w:p w14:paraId="4FAD9D70">
            <w:pPr>
              <w:jc w:val="center"/>
              <w:rPr>
                <w:rFonts w:ascii="宋体" w:hAnsi="宋体"/>
                <w:color w:val="auto"/>
                <w:szCs w:val="21"/>
                <w:highlight w:val="none"/>
              </w:rPr>
            </w:pPr>
            <w:r>
              <w:rPr>
                <w:rFonts w:hint="eastAsia" w:ascii="宋体" w:hAnsi="宋体"/>
                <w:color w:val="auto"/>
                <w:szCs w:val="21"/>
                <w:highlight w:val="none"/>
              </w:rPr>
              <w:t>1</w:t>
            </w:r>
          </w:p>
        </w:tc>
        <w:tc>
          <w:tcPr>
            <w:tcW w:w="1422" w:type="dxa"/>
            <w:vMerge w:val="restart"/>
            <w:tcBorders>
              <w:top w:val="single" w:color="auto" w:sz="4" w:space="0"/>
              <w:left w:val="single" w:color="auto" w:sz="4" w:space="0"/>
              <w:bottom w:val="single" w:color="auto" w:sz="4" w:space="0"/>
              <w:right w:val="single" w:color="auto" w:sz="4" w:space="0"/>
            </w:tcBorders>
            <w:vAlign w:val="center"/>
          </w:tcPr>
          <w:p w14:paraId="527DA7C8">
            <w:pPr>
              <w:jc w:val="center"/>
              <w:rPr>
                <w:rFonts w:ascii="宋体" w:hAnsi="宋体"/>
                <w:color w:val="auto"/>
                <w:szCs w:val="21"/>
                <w:highlight w:val="none"/>
              </w:rPr>
            </w:pPr>
            <w:r>
              <w:rPr>
                <w:rFonts w:hint="eastAsia" w:ascii="宋体" w:hAnsi="宋体" w:cs="仿宋_GB2312"/>
                <w:color w:val="auto"/>
                <w:szCs w:val="21"/>
                <w:highlight w:val="none"/>
              </w:rPr>
              <w:t>A02010100</w:t>
            </w:r>
            <w:r>
              <w:rPr>
                <w:rFonts w:hint="eastAsia" w:ascii="宋体" w:hAnsi="宋体" w:cs="宋体"/>
                <w:color w:val="auto"/>
                <w:szCs w:val="21"/>
                <w:highlight w:val="none"/>
              </w:rPr>
              <w:t>计算机</w:t>
            </w:r>
          </w:p>
        </w:tc>
        <w:tc>
          <w:tcPr>
            <w:tcW w:w="1496" w:type="dxa"/>
            <w:tcBorders>
              <w:top w:val="single" w:color="auto" w:sz="4" w:space="0"/>
              <w:left w:val="single" w:color="auto" w:sz="4" w:space="0"/>
              <w:bottom w:val="single" w:color="auto" w:sz="4" w:space="0"/>
              <w:right w:val="single" w:color="auto" w:sz="4" w:space="0"/>
            </w:tcBorders>
            <w:vAlign w:val="center"/>
          </w:tcPr>
          <w:p w14:paraId="399A722F">
            <w:pPr>
              <w:pStyle w:val="262"/>
              <w:spacing w:before="93"/>
              <w:ind w:left="7" w:right="5"/>
              <w:jc w:val="center"/>
              <w:rPr>
                <w:rFonts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仿宋_GB2312"/>
                <w:color w:val="auto"/>
                <w:sz w:val="21"/>
                <w:szCs w:val="21"/>
                <w:highlight w:val="none"/>
              </w:rPr>
              <w:t>A02010105</w:t>
            </w:r>
            <w:r>
              <w:rPr>
                <w:rFonts w:hint="eastAsia" w:ascii="宋体" w:hAnsi="宋体" w:cs="宋体"/>
                <w:color w:val="auto"/>
                <w:sz w:val="21"/>
                <w:szCs w:val="21"/>
                <w:highlight w:val="none"/>
              </w:rPr>
              <w:t>台式计算机</w:t>
            </w:r>
          </w:p>
        </w:tc>
        <w:tc>
          <w:tcPr>
            <w:tcW w:w="1481" w:type="dxa"/>
            <w:tcBorders>
              <w:top w:val="single" w:color="auto" w:sz="4" w:space="0"/>
              <w:left w:val="single" w:color="auto" w:sz="4" w:space="0"/>
              <w:bottom w:val="single" w:color="auto" w:sz="4" w:space="0"/>
              <w:right w:val="single" w:color="auto" w:sz="4" w:space="0"/>
            </w:tcBorders>
            <w:vAlign w:val="center"/>
          </w:tcPr>
          <w:p w14:paraId="751B3655">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3000631A">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《微型计算机能效限定值及能效等级》（GB 28380）</w:t>
            </w:r>
          </w:p>
        </w:tc>
      </w:tr>
      <w:tr w14:paraId="2349E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3E799368">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5918C47D">
            <w:pPr>
              <w:widowControl/>
              <w:jc w:val="left"/>
              <w:rPr>
                <w:rFonts w:ascii="宋体" w:hAnsi="宋体"/>
                <w:color w:val="auto"/>
                <w:szCs w:val="21"/>
                <w:highlight w:val="none"/>
              </w:rPr>
            </w:pPr>
          </w:p>
        </w:tc>
        <w:tc>
          <w:tcPr>
            <w:tcW w:w="1496" w:type="dxa"/>
            <w:tcBorders>
              <w:top w:val="single" w:color="auto" w:sz="4" w:space="0"/>
              <w:left w:val="single" w:color="auto" w:sz="4" w:space="0"/>
              <w:bottom w:val="single" w:color="auto" w:sz="4" w:space="0"/>
              <w:right w:val="single" w:color="auto" w:sz="4" w:space="0"/>
            </w:tcBorders>
            <w:vAlign w:val="center"/>
          </w:tcPr>
          <w:p w14:paraId="2636C2BB">
            <w:pPr>
              <w:pStyle w:val="262"/>
              <w:spacing w:before="44"/>
              <w:ind w:left="7" w:right="5"/>
              <w:jc w:val="center"/>
              <w:rPr>
                <w:rFonts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仿宋_GB2312"/>
                <w:color w:val="auto"/>
                <w:sz w:val="21"/>
                <w:szCs w:val="21"/>
                <w:highlight w:val="none"/>
              </w:rPr>
              <w:t>A02010108</w:t>
            </w:r>
            <w:r>
              <w:rPr>
                <w:rFonts w:hint="eastAsia" w:ascii="宋体" w:hAnsi="宋体" w:cs="宋体"/>
                <w:color w:val="auto"/>
                <w:sz w:val="21"/>
                <w:szCs w:val="21"/>
                <w:highlight w:val="none"/>
              </w:rPr>
              <w:t>便携式计算机</w:t>
            </w:r>
          </w:p>
        </w:tc>
        <w:tc>
          <w:tcPr>
            <w:tcW w:w="1481" w:type="dxa"/>
            <w:tcBorders>
              <w:top w:val="single" w:color="auto" w:sz="4" w:space="0"/>
              <w:left w:val="single" w:color="auto" w:sz="4" w:space="0"/>
              <w:bottom w:val="single" w:color="auto" w:sz="4" w:space="0"/>
              <w:right w:val="single" w:color="auto" w:sz="4" w:space="0"/>
            </w:tcBorders>
            <w:vAlign w:val="center"/>
          </w:tcPr>
          <w:p w14:paraId="1DD9592D">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363ED3A3">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《微型计算机能效限定值及能效等级》（GB 28380）</w:t>
            </w:r>
          </w:p>
        </w:tc>
      </w:tr>
      <w:tr w14:paraId="046A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655E2AD8">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689E8864">
            <w:pPr>
              <w:widowControl/>
              <w:jc w:val="left"/>
              <w:rPr>
                <w:rFonts w:ascii="宋体" w:hAnsi="宋体"/>
                <w:color w:val="auto"/>
                <w:szCs w:val="21"/>
                <w:highlight w:val="none"/>
              </w:rPr>
            </w:pPr>
          </w:p>
        </w:tc>
        <w:tc>
          <w:tcPr>
            <w:tcW w:w="1496" w:type="dxa"/>
            <w:tcBorders>
              <w:top w:val="single" w:color="auto" w:sz="4" w:space="0"/>
              <w:left w:val="single" w:color="auto" w:sz="4" w:space="0"/>
              <w:bottom w:val="single" w:color="auto" w:sz="4" w:space="0"/>
              <w:right w:val="single" w:color="auto" w:sz="4" w:space="0"/>
            </w:tcBorders>
            <w:vAlign w:val="center"/>
          </w:tcPr>
          <w:p w14:paraId="24E3620F">
            <w:pPr>
              <w:pStyle w:val="262"/>
              <w:spacing w:before="64"/>
              <w:ind w:left="7" w:right="5"/>
              <w:jc w:val="center"/>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仿宋_GB2312"/>
                <w:color w:val="auto"/>
                <w:sz w:val="21"/>
                <w:szCs w:val="21"/>
                <w:highlight w:val="none"/>
                <w:lang w:eastAsia="zh-CN"/>
              </w:rPr>
              <w:t>A02010109平板式计算机</w:t>
            </w:r>
          </w:p>
        </w:tc>
        <w:tc>
          <w:tcPr>
            <w:tcW w:w="1481" w:type="dxa"/>
            <w:tcBorders>
              <w:top w:val="single" w:color="auto" w:sz="4" w:space="0"/>
              <w:left w:val="single" w:color="auto" w:sz="4" w:space="0"/>
              <w:bottom w:val="single" w:color="auto" w:sz="4" w:space="0"/>
              <w:right w:val="single" w:color="auto" w:sz="4" w:space="0"/>
            </w:tcBorders>
            <w:vAlign w:val="center"/>
          </w:tcPr>
          <w:p w14:paraId="4235AB59">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1FFB3D44">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《微型计算机能效限定值及能效等级》（GB 28380）</w:t>
            </w:r>
          </w:p>
        </w:tc>
      </w:tr>
      <w:tr w14:paraId="18A6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auto" w:sz="4" w:space="0"/>
              <w:left w:val="single" w:color="auto" w:sz="4" w:space="0"/>
              <w:bottom w:val="single" w:color="auto" w:sz="4" w:space="0"/>
              <w:right w:val="single" w:color="auto" w:sz="4" w:space="0"/>
            </w:tcBorders>
            <w:vAlign w:val="center"/>
          </w:tcPr>
          <w:p w14:paraId="75B0568D">
            <w:pPr>
              <w:jc w:val="center"/>
              <w:rPr>
                <w:rFonts w:ascii="宋体" w:hAnsi="宋体"/>
                <w:color w:val="auto"/>
                <w:szCs w:val="21"/>
                <w:highlight w:val="none"/>
              </w:rPr>
            </w:pPr>
            <w:r>
              <w:rPr>
                <w:rFonts w:hint="eastAsia" w:ascii="宋体" w:hAnsi="宋体"/>
                <w:color w:val="auto"/>
                <w:szCs w:val="21"/>
                <w:highlight w:val="none"/>
              </w:rPr>
              <w:t>2</w:t>
            </w:r>
          </w:p>
        </w:tc>
        <w:tc>
          <w:tcPr>
            <w:tcW w:w="1422" w:type="dxa"/>
            <w:vMerge w:val="restart"/>
            <w:tcBorders>
              <w:top w:val="single" w:color="auto" w:sz="4" w:space="0"/>
              <w:left w:val="single" w:color="auto" w:sz="4" w:space="0"/>
              <w:bottom w:val="single" w:color="auto" w:sz="4" w:space="0"/>
              <w:right w:val="single" w:color="auto" w:sz="4" w:space="0"/>
            </w:tcBorders>
            <w:vAlign w:val="center"/>
          </w:tcPr>
          <w:p w14:paraId="08F54701">
            <w:pPr>
              <w:pStyle w:val="262"/>
              <w:ind w:left="7"/>
              <w:jc w:val="center"/>
              <w:rPr>
                <w:rFonts w:ascii="宋体" w:hAnsi="宋体" w:cs="宋体"/>
                <w:color w:val="auto"/>
                <w:sz w:val="21"/>
                <w:szCs w:val="21"/>
                <w:highlight w:val="none"/>
              </w:rPr>
            </w:pPr>
            <w:r>
              <w:rPr>
                <w:rFonts w:hint="eastAsia" w:ascii="宋体" w:hAnsi="宋体" w:cs="仿宋_GB2312"/>
                <w:color w:val="auto"/>
                <w:sz w:val="21"/>
                <w:szCs w:val="21"/>
                <w:highlight w:val="none"/>
              </w:rPr>
              <w:t>A02020000</w:t>
            </w:r>
            <w:r>
              <w:rPr>
                <w:rFonts w:hint="eastAsia" w:ascii="宋体" w:hAnsi="宋体" w:cs="宋体"/>
                <w:color w:val="auto"/>
                <w:sz w:val="21"/>
                <w:szCs w:val="21"/>
                <w:highlight w:val="none"/>
              </w:rPr>
              <w:t>办公设备</w:t>
            </w:r>
          </w:p>
        </w:tc>
        <w:tc>
          <w:tcPr>
            <w:tcW w:w="1496" w:type="dxa"/>
            <w:vMerge w:val="restart"/>
            <w:tcBorders>
              <w:top w:val="single" w:color="auto" w:sz="4" w:space="0"/>
              <w:left w:val="single" w:color="auto" w:sz="4" w:space="0"/>
              <w:bottom w:val="single" w:color="auto" w:sz="4" w:space="0"/>
              <w:right w:val="single" w:color="auto" w:sz="4" w:space="0"/>
            </w:tcBorders>
            <w:vAlign w:val="center"/>
          </w:tcPr>
          <w:p w14:paraId="44B19481">
            <w:pPr>
              <w:jc w:val="center"/>
              <w:rPr>
                <w:rFonts w:ascii="宋体" w:hAnsi="宋体"/>
                <w:color w:val="auto"/>
                <w:szCs w:val="21"/>
                <w:highlight w:val="none"/>
              </w:rPr>
            </w:pPr>
            <w:r>
              <w:rPr>
                <w:rFonts w:hint="eastAsia" w:ascii="宋体" w:hAnsi="宋体" w:cs="宋体"/>
                <w:color w:val="auto"/>
                <w:spacing w:val="1"/>
                <w:szCs w:val="21"/>
                <w:highlight w:val="none"/>
              </w:rPr>
              <w:t>A02021000</w:t>
            </w:r>
            <w:r>
              <w:rPr>
                <w:rFonts w:hint="eastAsia" w:ascii="宋体" w:hAnsi="宋体" w:cs="Arial"/>
                <w:color w:val="auto"/>
                <w:szCs w:val="21"/>
                <w:highlight w:val="none"/>
                <w:shd w:val="clear" w:color="auto" w:fill="FFFFFF"/>
              </w:rPr>
              <w:t>打印机</w:t>
            </w:r>
          </w:p>
        </w:tc>
        <w:tc>
          <w:tcPr>
            <w:tcW w:w="1481" w:type="dxa"/>
            <w:tcBorders>
              <w:top w:val="single" w:color="auto" w:sz="4" w:space="0"/>
              <w:left w:val="single" w:color="auto" w:sz="4" w:space="0"/>
              <w:bottom w:val="single" w:color="auto" w:sz="4" w:space="0"/>
              <w:right w:val="single" w:color="auto" w:sz="4" w:space="0"/>
            </w:tcBorders>
            <w:vAlign w:val="center"/>
          </w:tcPr>
          <w:p w14:paraId="6B9AF9F8">
            <w:pPr>
              <w:jc w:val="center"/>
              <w:rPr>
                <w:rFonts w:ascii="宋体" w:hAnsi="宋体"/>
                <w:color w:val="auto"/>
                <w:szCs w:val="21"/>
                <w:highlight w:val="none"/>
              </w:rPr>
            </w:pPr>
            <w:r>
              <w:rPr>
                <w:rFonts w:hint="eastAsia" w:ascii="宋体" w:hAnsi="宋体"/>
                <w:color w:val="auto"/>
                <w:szCs w:val="21"/>
                <w:highlight w:val="none"/>
              </w:rPr>
              <w:t>A02021001 A3黑白打印机</w:t>
            </w:r>
          </w:p>
        </w:tc>
        <w:tc>
          <w:tcPr>
            <w:tcW w:w="3452" w:type="dxa"/>
            <w:tcBorders>
              <w:top w:val="single" w:color="auto" w:sz="4" w:space="0"/>
              <w:left w:val="single" w:color="auto" w:sz="4" w:space="0"/>
              <w:bottom w:val="single" w:color="auto" w:sz="4" w:space="0"/>
              <w:right w:val="single" w:color="auto" w:sz="4" w:space="0"/>
            </w:tcBorders>
          </w:tcPr>
          <w:p w14:paraId="33748885">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《复印机、打印机和传真机能效限定值及能效等级》（GB21521）</w:t>
            </w:r>
          </w:p>
        </w:tc>
      </w:tr>
      <w:tr w14:paraId="3A211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3819DCA8">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5332E455">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626E7FC5">
            <w:pPr>
              <w:widowControl/>
              <w:jc w:val="left"/>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4428A22D">
            <w:pPr>
              <w:jc w:val="center"/>
              <w:rPr>
                <w:rFonts w:ascii="宋体" w:hAnsi="宋体"/>
                <w:color w:val="auto"/>
                <w:szCs w:val="21"/>
                <w:highlight w:val="none"/>
              </w:rPr>
            </w:pPr>
            <w:r>
              <w:rPr>
                <w:rFonts w:hint="eastAsia" w:ascii="宋体" w:hAnsi="宋体"/>
                <w:color w:val="auto"/>
                <w:szCs w:val="21"/>
                <w:highlight w:val="none"/>
              </w:rPr>
              <w:t>A02021002 A3彩色打印机</w:t>
            </w:r>
          </w:p>
        </w:tc>
        <w:tc>
          <w:tcPr>
            <w:tcW w:w="3452" w:type="dxa"/>
            <w:tcBorders>
              <w:top w:val="single" w:color="auto" w:sz="4" w:space="0"/>
              <w:left w:val="single" w:color="auto" w:sz="4" w:space="0"/>
              <w:bottom w:val="single" w:color="auto" w:sz="4" w:space="0"/>
              <w:right w:val="single" w:color="auto" w:sz="4" w:space="0"/>
            </w:tcBorders>
          </w:tcPr>
          <w:p w14:paraId="65E26A9E">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《复印机、打印机和传真机能效限定值及能效等级》（GB21521）</w:t>
            </w:r>
          </w:p>
        </w:tc>
      </w:tr>
      <w:tr w14:paraId="41912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22F5DD9B">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4D43520F">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2AAFDF9E">
            <w:pPr>
              <w:widowControl/>
              <w:jc w:val="left"/>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382285E4">
            <w:pPr>
              <w:jc w:val="center"/>
              <w:rPr>
                <w:rFonts w:ascii="宋体" w:hAnsi="宋体"/>
                <w:color w:val="auto"/>
                <w:szCs w:val="21"/>
                <w:highlight w:val="none"/>
              </w:rPr>
            </w:pPr>
            <w:r>
              <w:rPr>
                <w:rFonts w:hint="eastAsia" w:ascii="宋体" w:hAnsi="宋体"/>
                <w:color w:val="auto"/>
                <w:szCs w:val="21"/>
                <w:highlight w:val="none"/>
              </w:rPr>
              <w:t>A02021003 A4黑白打印机</w:t>
            </w:r>
          </w:p>
        </w:tc>
        <w:tc>
          <w:tcPr>
            <w:tcW w:w="3452" w:type="dxa"/>
            <w:tcBorders>
              <w:top w:val="single" w:color="auto" w:sz="4" w:space="0"/>
              <w:left w:val="single" w:color="auto" w:sz="4" w:space="0"/>
              <w:bottom w:val="single" w:color="auto" w:sz="4" w:space="0"/>
              <w:right w:val="single" w:color="auto" w:sz="4" w:space="0"/>
            </w:tcBorders>
          </w:tcPr>
          <w:p w14:paraId="1F775F56">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《复印机、打印机和传真机能效限定值及能效等级》（GB21521）</w:t>
            </w:r>
          </w:p>
        </w:tc>
      </w:tr>
      <w:tr w14:paraId="3F22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77D66B07">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77D4EA18">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3E2592FB">
            <w:pPr>
              <w:widowControl/>
              <w:jc w:val="left"/>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42846F31">
            <w:pPr>
              <w:jc w:val="center"/>
              <w:rPr>
                <w:rFonts w:ascii="宋体" w:hAnsi="宋体"/>
                <w:color w:val="auto"/>
                <w:szCs w:val="21"/>
                <w:highlight w:val="none"/>
              </w:rPr>
            </w:pPr>
            <w:r>
              <w:rPr>
                <w:rFonts w:hint="eastAsia" w:ascii="宋体" w:hAnsi="宋体"/>
                <w:color w:val="auto"/>
                <w:szCs w:val="21"/>
                <w:highlight w:val="none"/>
              </w:rPr>
              <w:t>A02021004 A4彩色打印机</w:t>
            </w:r>
          </w:p>
        </w:tc>
        <w:tc>
          <w:tcPr>
            <w:tcW w:w="3452" w:type="dxa"/>
            <w:tcBorders>
              <w:top w:val="single" w:color="auto" w:sz="4" w:space="0"/>
              <w:left w:val="single" w:color="auto" w:sz="4" w:space="0"/>
              <w:bottom w:val="single" w:color="auto" w:sz="4" w:space="0"/>
              <w:right w:val="single" w:color="auto" w:sz="4" w:space="0"/>
            </w:tcBorders>
          </w:tcPr>
          <w:p w14:paraId="6DAA73A1">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《复印机、打印机和传真机能效限定值及能效等级》（GB21521）</w:t>
            </w:r>
          </w:p>
        </w:tc>
      </w:tr>
      <w:tr w14:paraId="475B9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368FE089">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48A5B4A5">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181005B8">
            <w:pPr>
              <w:widowControl/>
              <w:jc w:val="left"/>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39B82D46">
            <w:pPr>
              <w:jc w:val="center"/>
              <w:rPr>
                <w:rFonts w:ascii="宋体" w:hAnsi="宋体"/>
                <w:color w:val="auto"/>
                <w:szCs w:val="21"/>
                <w:highlight w:val="none"/>
              </w:rPr>
            </w:pPr>
            <w:r>
              <w:rPr>
                <w:rFonts w:hint="eastAsia" w:ascii="宋体" w:hAnsi="宋体"/>
                <w:color w:val="auto"/>
                <w:szCs w:val="21"/>
                <w:highlight w:val="none"/>
              </w:rPr>
              <w:t>A02021005 3D打印机</w:t>
            </w:r>
          </w:p>
        </w:tc>
        <w:tc>
          <w:tcPr>
            <w:tcW w:w="3452" w:type="dxa"/>
            <w:tcBorders>
              <w:top w:val="single" w:color="auto" w:sz="4" w:space="0"/>
              <w:left w:val="single" w:color="auto" w:sz="4" w:space="0"/>
              <w:bottom w:val="single" w:color="auto" w:sz="4" w:space="0"/>
              <w:right w:val="single" w:color="auto" w:sz="4" w:space="0"/>
            </w:tcBorders>
          </w:tcPr>
          <w:p w14:paraId="69ADB091">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《复印机、打印机和传真机能效限定值及能效等级》（GB21521）</w:t>
            </w:r>
          </w:p>
        </w:tc>
      </w:tr>
      <w:tr w14:paraId="7A53A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1FEB8B9D">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2A57D5C3">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06B05782">
            <w:pPr>
              <w:widowControl/>
              <w:jc w:val="left"/>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3619DC83">
            <w:pPr>
              <w:jc w:val="center"/>
              <w:rPr>
                <w:rFonts w:ascii="宋体" w:hAnsi="宋体"/>
                <w:color w:val="auto"/>
                <w:szCs w:val="21"/>
                <w:highlight w:val="none"/>
              </w:rPr>
            </w:pPr>
            <w:r>
              <w:rPr>
                <w:rFonts w:hint="eastAsia" w:ascii="宋体" w:hAnsi="宋体"/>
                <w:color w:val="auto"/>
                <w:szCs w:val="21"/>
                <w:highlight w:val="none"/>
              </w:rPr>
              <w:t>A02021006票据打印机</w:t>
            </w:r>
          </w:p>
        </w:tc>
        <w:tc>
          <w:tcPr>
            <w:tcW w:w="3452" w:type="dxa"/>
            <w:tcBorders>
              <w:top w:val="single" w:color="auto" w:sz="4" w:space="0"/>
              <w:left w:val="single" w:color="auto" w:sz="4" w:space="0"/>
              <w:bottom w:val="single" w:color="auto" w:sz="4" w:space="0"/>
              <w:right w:val="single" w:color="auto" w:sz="4" w:space="0"/>
            </w:tcBorders>
          </w:tcPr>
          <w:p w14:paraId="192D4F9B">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《复印机、打印机和传真机能效限定值及能效等级》（GB21521）</w:t>
            </w:r>
          </w:p>
        </w:tc>
      </w:tr>
      <w:tr w14:paraId="0F08F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75716F02">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1BBC9059">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2BFA5A1C">
            <w:pPr>
              <w:widowControl/>
              <w:jc w:val="left"/>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3E5FAB5B">
            <w:pPr>
              <w:jc w:val="center"/>
              <w:rPr>
                <w:rFonts w:ascii="宋体" w:hAnsi="宋体"/>
                <w:color w:val="auto"/>
                <w:szCs w:val="21"/>
                <w:highlight w:val="none"/>
              </w:rPr>
            </w:pPr>
            <w:r>
              <w:rPr>
                <w:rFonts w:hint="eastAsia" w:ascii="宋体" w:hAnsi="宋体"/>
                <w:color w:val="auto"/>
                <w:szCs w:val="21"/>
                <w:highlight w:val="none"/>
              </w:rPr>
              <w:t>A02021007条码打印机</w:t>
            </w:r>
          </w:p>
        </w:tc>
        <w:tc>
          <w:tcPr>
            <w:tcW w:w="3452" w:type="dxa"/>
            <w:tcBorders>
              <w:top w:val="single" w:color="auto" w:sz="4" w:space="0"/>
              <w:left w:val="single" w:color="auto" w:sz="4" w:space="0"/>
              <w:bottom w:val="single" w:color="auto" w:sz="4" w:space="0"/>
              <w:right w:val="single" w:color="auto" w:sz="4" w:space="0"/>
            </w:tcBorders>
          </w:tcPr>
          <w:p w14:paraId="773D8AF6">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《复印机、打印机和传真机能效限定值及能效等级》（GB21521）</w:t>
            </w:r>
          </w:p>
        </w:tc>
      </w:tr>
      <w:tr w14:paraId="2A434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65BD472B">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29602945">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691BFE13">
            <w:pPr>
              <w:widowControl/>
              <w:jc w:val="left"/>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71EF2013">
            <w:pPr>
              <w:jc w:val="center"/>
              <w:rPr>
                <w:rFonts w:ascii="宋体" w:hAnsi="宋体"/>
                <w:color w:val="auto"/>
                <w:szCs w:val="21"/>
                <w:highlight w:val="none"/>
              </w:rPr>
            </w:pPr>
            <w:r>
              <w:rPr>
                <w:rFonts w:hint="eastAsia" w:ascii="宋体" w:hAnsi="宋体"/>
                <w:color w:val="auto"/>
                <w:szCs w:val="21"/>
                <w:highlight w:val="none"/>
              </w:rPr>
              <w:t>A02021008地址打印机</w:t>
            </w:r>
          </w:p>
        </w:tc>
        <w:tc>
          <w:tcPr>
            <w:tcW w:w="3452" w:type="dxa"/>
            <w:tcBorders>
              <w:top w:val="single" w:color="auto" w:sz="4" w:space="0"/>
              <w:left w:val="single" w:color="auto" w:sz="4" w:space="0"/>
              <w:bottom w:val="single" w:color="auto" w:sz="4" w:space="0"/>
              <w:right w:val="single" w:color="auto" w:sz="4" w:space="0"/>
            </w:tcBorders>
          </w:tcPr>
          <w:p w14:paraId="7DAE7ECC">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《复印机、打印机和传真机能效限定值及能效等级》（GB21521）</w:t>
            </w:r>
          </w:p>
        </w:tc>
      </w:tr>
      <w:tr w14:paraId="73DA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7249E1B5">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1764CA4D">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10B1B508">
            <w:pPr>
              <w:widowControl/>
              <w:jc w:val="left"/>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0C7AAB35">
            <w:pPr>
              <w:jc w:val="center"/>
              <w:rPr>
                <w:rFonts w:ascii="宋体" w:hAnsi="宋体"/>
                <w:color w:val="auto"/>
                <w:szCs w:val="21"/>
                <w:highlight w:val="none"/>
              </w:rPr>
            </w:pPr>
            <w:r>
              <w:rPr>
                <w:rFonts w:hint="eastAsia" w:ascii="宋体" w:hAnsi="宋体"/>
                <w:color w:val="auto"/>
                <w:szCs w:val="21"/>
                <w:highlight w:val="none"/>
              </w:rPr>
              <w:t>A02021099其他打印机</w:t>
            </w:r>
          </w:p>
        </w:tc>
        <w:tc>
          <w:tcPr>
            <w:tcW w:w="3452" w:type="dxa"/>
            <w:tcBorders>
              <w:top w:val="single" w:color="auto" w:sz="4" w:space="0"/>
              <w:left w:val="single" w:color="auto" w:sz="4" w:space="0"/>
              <w:bottom w:val="single" w:color="auto" w:sz="4" w:space="0"/>
              <w:right w:val="single" w:color="auto" w:sz="4" w:space="0"/>
            </w:tcBorders>
          </w:tcPr>
          <w:p w14:paraId="5906C5AD">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《复印机、打印机和传真机能效限定值及能效等级》（GB21521）</w:t>
            </w:r>
          </w:p>
        </w:tc>
      </w:tr>
      <w:tr w14:paraId="349D5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1D510ADC">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491A4B99">
            <w:pPr>
              <w:widowControl/>
              <w:jc w:val="left"/>
              <w:rPr>
                <w:rFonts w:ascii="宋体" w:hAnsi="宋体" w:cs="宋体"/>
                <w:color w:val="auto"/>
                <w:szCs w:val="21"/>
                <w:highlight w:val="none"/>
              </w:rPr>
            </w:pPr>
          </w:p>
        </w:tc>
        <w:tc>
          <w:tcPr>
            <w:tcW w:w="1496" w:type="dxa"/>
            <w:vMerge w:val="restart"/>
            <w:tcBorders>
              <w:top w:val="single" w:color="auto" w:sz="4" w:space="0"/>
              <w:left w:val="single" w:color="auto" w:sz="4" w:space="0"/>
              <w:bottom w:val="single" w:color="auto" w:sz="4" w:space="0"/>
              <w:right w:val="single" w:color="auto" w:sz="4" w:space="0"/>
            </w:tcBorders>
            <w:vAlign w:val="center"/>
          </w:tcPr>
          <w:p w14:paraId="10D316D5">
            <w:pPr>
              <w:jc w:val="center"/>
              <w:rPr>
                <w:rFonts w:ascii="宋体" w:hAnsi="宋体"/>
                <w:color w:val="auto"/>
                <w:szCs w:val="21"/>
                <w:highlight w:val="none"/>
              </w:rPr>
            </w:pPr>
            <w:r>
              <w:rPr>
                <w:rFonts w:hint="eastAsia" w:ascii="宋体" w:hAnsi="宋体"/>
                <w:color w:val="auto"/>
                <w:szCs w:val="21"/>
                <w:highlight w:val="none"/>
              </w:rPr>
              <w:t>A02021100输入输出设备</w:t>
            </w:r>
          </w:p>
        </w:tc>
        <w:tc>
          <w:tcPr>
            <w:tcW w:w="1481" w:type="dxa"/>
            <w:tcBorders>
              <w:top w:val="single" w:color="auto" w:sz="4" w:space="0"/>
              <w:left w:val="single" w:color="auto" w:sz="4" w:space="0"/>
              <w:bottom w:val="single" w:color="auto" w:sz="4" w:space="0"/>
              <w:right w:val="single" w:color="auto" w:sz="4" w:space="0"/>
            </w:tcBorders>
            <w:vAlign w:val="center"/>
          </w:tcPr>
          <w:p w14:paraId="0D1FB296">
            <w:pPr>
              <w:jc w:val="center"/>
              <w:rPr>
                <w:rFonts w:ascii="宋体" w:hAnsi="宋体"/>
                <w:color w:val="auto"/>
                <w:szCs w:val="21"/>
                <w:highlight w:val="none"/>
              </w:rPr>
            </w:pPr>
            <w:r>
              <w:rPr>
                <w:rFonts w:hint="eastAsia" w:ascii="宋体" w:hAnsi="宋体" w:cs="宋体"/>
                <w:color w:val="auto"/>
                <w:szCs w:val="21"/>
                <w:highlight w:val="none"/>
              </w:rPr>
              <w:t>★</w:t>
            </w:r>
            <w:r>
              <w:rPr>
                <w:rFonts w:hint="eastAsia" w:ascii="宋体" w:hAnsi="宋体"/>
                <w:color w:val="auto"/>
                <w:szCs w:val="21"/>
                <w:highlight w:val="none"/>
              </w:rPr>
              <w:t>A02021104液晶显示器</w:t>
            </w:r>
          </w:p>
        </w:tc>
        <w:tc>
          <w:tcPr>
            <w:tcW w:w="3452" w:type="dxa"/>
            <w:tcBorders>
              <w:top w:val="single" w:color="auto" w:sz="4" w:space="0"/>
              <w:left w:val="single" w:color="auto" w:sz="4" w:space="0"/>
              <w:bottom w:val="single" w:color="auto" w:sz="4" w:space="0"/>
              <w:right w:val="single" w:color="auto" w:sz="4" w:space="0"/>
            </w:tcBorders>
            <w:vAlign w:val="center"/>
          </w:tcPr>
          <w:p w14:paraId="1412E9BB">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《计算机显示器能效限定值及能效等级》（GB21520）</w:t>
            </w:r>
          </w:p>
        </w:tc>
      </w:tr>
      <w:tr w14:paraId="01A76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134A3EAF">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22537380">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7682CA9E">
            <w:pPr>
              <w:widowControl/>
              <w:jc w:val="left"/>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12A3F66E">
            <w:pPr>
              <w:jc w:val="center"/>
              <w:rPr>
                <w:rFonts w:ascii="宋体" w:hAnsi="宋体"/>
                <w:color w:val="auto"/>
                <w:szCs w:val="21"/>
                <w:highlight w:val="none"/>
              </w:rPr>
            </w:pPr>
            <w:r>
              <w:rPr>
                <w:rFonts w:hint="eastAsia" w:ascii="宋体" w:hAnsi="宋体"/>
                <w:color w:val="auto"/>
                <w:szCs w:val="21"/>
                <w:highlight w:val="none"/>
              </w:rPr>
              <w:t>A02021118扫描仪</w:t>
            </w:r>
          </w:p>
        </w:tc>
        <w:tc>
          <w:tcPr>
            <w:tcW w:w="3452" w:type="dxa"/>
            <w:tcBorders>
              <w:top w:val="single" w:color="auto" w:sz="4" w:space="0"/>
              <w:left w:val="single" w:color="auto" w:sz="4" w:space="0"/>
              <w:bottom w:val="single" w:color="auto" w:sz="4" w:space="0"/>
              <w:right w:val="single" w:color="auto" w:sz="4" w:space="0"/>
            </w:tcBorders>
            <w:vAlign w:val="center"/>
          </w:tcPr>
          <w:p w14:paraId="37318425">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参照《复印机、打印机和传真机能效限定值及能效等级》（GB21521）中打印速度为15页/分的针式打印机相关要求</w:t>
            </w:r>
          </w:p>
        </w:tc>
      </w:tr>
      <w:tr w14:paraId="6973E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0D9CFF5F">
            <w:pPr>
              <w:jc w:val="center"/>
              <w:rPr>
                <w:rFonts w:ascii="宋体" w:hAnsi="宋体"/>
                <w:color w:val="auto"/>
                <w:szCs w:val="21"/>
                <w:highlight w:val="none"/>
              </w:rPr>
            </w:pPr>
            <w:r>
              <w:rPr>
                <w:rFonts w:hint="eastAsia" w:ascii="宋体" w:hAnsi="宋体"/>
                <w:color w:val="auto"/>
                <w:szCs w:val="21"/>
                <w:highlight w:val="none"/>
              </w:rPr>
              <w:t>3</w:t>
            </w:r>
          </w:p>
        </w:tc>
        <w:tc>
          <w:tcPr>
            <w:tcW w:w="1422" w:type="dxa"/>
            <w:tcBorders>
              <w:top w:val="single" w:color="auto" w:sz="4" w:space="0"/>
              <w:left w:val="single" w:color="auto" w:sz="4" w:space="0"/>
              <w:bottom w:val="single" w:color="auto" w:sz="4" w:space="0"/>
              <w:right w:val="single" w:color="auto" w:sz="4" w:space="0"/>
            </w:tcBorders>
            <w:vAlign w:val="center"/>
          </w:tcPr>
          <w:p w14:paraId="5AFDA5A5">
            <w:pPr>
              <w:jc w:val="center"/>
              <w:rPr>
                <w:rFonts w:ascii="宋体" w:hAnsi="宋体"/>
                <w:color w:val="auto"/>
                <w:szCs w:val="21"/>
                <w:highlight w:val="none"/>
              </w:rPr>
            </w:pPr>
            <w:r>
              <w:rPr>
                <w:rFonts w:hint="eastAsia" w:ascii="宋体" w:hAnsi="宋体"/>
                <w:color w:val="auto"/>
                <w:szCs w:val="21"/>
                <w:highlight w:val="none"/>
              </w:rPr>
              <w:t>A02020200投影仪</w:t>
            </w:r>
          </w:p>
        </w:tc>
        <w:tc>
          <w:tcPr>
            <w:tcW w:w="1496" w:type="dxa"/>
            <w:tcBorders>
              <w:top w:val="single" w:color="auto" w:sz="4" w:space="0"/>
              <w:left w:val="single" w:color="auto" w:sz="4" w:space="0"/>
              <w:bottom w:val="single" w:color="auto" w:sz="4" w:space="0"/>
              <w:right w:val="single" w:color="auto" w:sz="4" w:space="0"/>
            </w:tcBorders>
            <w:vAlign w:val="center"/>
          </w:tcPr>
          <w:p w14:paraId="4FC890E1">
            <w:pPr>
              <w:jc w:val="center"/>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5C6AF97A">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vAlign w:val="center"/>
          </w:tcPr>
          <w:p w14:paraId="0EF1B330">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《投影机能效限定值及能效等级》（GB32028）</w:t>
            </w:r>
          </w:p>
        </w:tc>
      </w:tr>
      <w:tr w14:paraId="6FCDD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1D93342D">
            <w:pPr>
              <w:jc w:val="center"/>
              <w:rPr>
                <w:rFonts w:ascii="宋体" w:hAnsi="宋体"/>
                <w:color w:val="auto"/>
                <w:szCs w:val="21"/>
                <w:highlight w:val="none"/>
              </w:rPr>
            </w:pPr>
            <w:r>
              <w:rPr>
                <w:rFonts w:hint="eastAsia" w:ascii="宋体" w:hAnsi="宋体"/>
                <w:color w:val="auto"/>
                <w:szCs w:val="21"/>
                <w:highlight w:val="none"/>
              </w:rPr>
              <w:t>4</w:t>
            </w:r>
          </w:p>
        </w:tc>
        <w:tc>
          <w:tcPr>
            <w:tcW w:w="1422" w:type="dxa"/>
            <w:tcBorders>
              <w:top w:val="single" w:color="auto" w:sz="4" w:space="0"/>
              <w:left w:val="single" w:color="auto" w:sz="4" w:space="0"/>
              <w:bottom w:val="single" w:color="auto" w:sz="4" w:space="0"/>
              <w:right w:val="single" w:color="auto" w:sz="4" w:space="0"/>
            </w:tcBorders>
            <w:vAlign w:val="center"/>
          </w:tcPr>
          <w:p w14:paraId="3345633D">
            <w:pPr>
              <w:pStyle w:val="262"/>
              <w:spacing w:before="66"/>
              <w:ind w:left="7"/>
              <w:jc w:val="center"/>
              <w:rPr>
                <w:rFonts w:ascii="宋体" w:hAnsi="宋体" w:cs="宋体"/>
                <w:color w:val="auto"/>
                <w:sz w:val="21"/>
                <w:szCs w:val="21"/>
                <w:highlight w:val="none"/>
              </w:rPr>
            </w:pPr>
            <w:r>
              <w:rPr>
                <w:rFonts w:hint="eastAsia" w:ascii="宋体" w:hAnsi="宋体" w:cs="仿宋_GB2312"/>
                <w:color w:val="auto"/>
                <w:sz w:val="21"/>
                <w:szCs w:val="21"/>
                <w:highlight w:val="none"/>
              </w:rPr>
              <w:t>A02020400</w:t>
            </w:r>
            <w:r>
              <w:rPr>
                <w:rFonts w:hint="eastAsia" w:ascii="宋体" w:hAnsi="宋体" w:cs="宋体"/>
                <w:color w:val="auto"/>
                <w:sz w:val="21"/>
                <w:szCs w:val="21"/>
                <w:highlight w:val="none"/>
              </w:rPr>
              <w:t>多功能一体机</w:t>
            </w:r>
          </w:p>
        </w:tc>
        <w:tc>
          <w:tcPr>
            <w:tcW w:w="1496" w:type="dxa"/>
            <w:tcBorders>
              <w:top w:val="single" w:color="auto" w:sz="4" w:space="0"/>
              <w:left w:val="single" w:color="auto" w:sz="4" w:space="0"/>
              <w:bottom w:val="single" w:color="auto" w:sz="4" w:space="0"/>
              <w:right w:val="single" w:color="auto" w:sz="4" w:space="0"/>
            </w:tcBorders>
            <w:vAlign w:val="center"/>
          </w:tcPr>
          <w:p w14:paraId="07FCDA2E">
            <w:pPr>
              <w:jc w:val="center"/>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0A4AC0F9">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vAlign w:val="center"/>
          </w:tcPr>
          <w:p w14:paraId="70D9D504">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《复印机、打印机和传真机能效限定值及能效等级》（GB21521）</w:t>
            </w:r>
          </w:p>
        </w:tc>
      </w:tr>
      <w:tr w14:paraId="7F276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477E25BF">
            <w:pPr>
              <w:pStyle w:val="262"/>
              <w:spacing w:before="160"/>
              <w:ind w:right="1"/>
              <w:jc w:val="center"/>
              <w:rPr>
                <w:rFonts w:ascii="宋体" w:hAnsi="宋体" w:cs="宋体"/>
                <w:color w:val="auto"/>
                <w:sz w:val="21"/>
                <w:szCs w:val="21"/>
                <w:highlight w:val="none"/>
              </w:rPr>
            </w:pPr>
            <w:r>
              <w:rPr>
                <w:rFonts w:hint="eastAsia" w:ascii="宋体" w:hAnsi="宋体"/>
                <w:color w:val="auto"/>
                <w:sz w:val="21"/>
                <w:szCs w:val="21"/>
                <w:highlight w:val="none"/>
              </w:rPr>
              <w:t>5</w:t>
            </w:r>
          </w:p>
        </w:tc>
        <w:tc>
          <w:tcPr>
            <w:tcW w:w="1422" w:type="dxa"/>
            <w:tcBorders>
              <w:top w:val="single" w:color="auto" w:sz="4" w:space="0"/>
              <w:left w:val="single" w:color="auto" w:sz="4" w:space="0"/>
              <w:bottom w:val="single" w:color="auto" w:sz="4" w:space="0"/>
              <w:right w:val="single" w:color="auto" w:sz="4" w:space="0"/>
            </w:tcBorders>
            <w:vAlign w:val="center"/>
          </w:tcPr>
          <w:p w14:paraId="4D7AF551">
            <w:pPr>
              <w:pStyle w:val="262"/>
              <w:spacing w:before="160"/>
              <w:ind w:left="7"/>
              <w:jc w:val="center"/>
              <w:rPr>
                <w:rFonts w:ascii="宋体" w:hAnsi="宋体" w:cs="宋体"/>
                <w:color w:val="auto"/>
                <w:sz w:val="21"/>
                <w:szCs w:val="21"/>
                <w:highlight w:val="none"/>
              </w:rPr>
            </w:pPr>
            <w:r>
              <w:rPr>
                <w:rFonts w:hint="eastAsia" w:ascii="宋体" w:hAnsi="宋体" w:cs="仿宋_GB2312"/>
                <w:color w:val="auto"/>
                <w:sz w:val="21"/>
                <w:szCs w:val="21"/>
                <w:highlight w:val="none"/>
              </w:rPr>
              <w:t>A02051900</w:t>
            </w:r>
            <w:r>
              <w:rPr>
                <w:rFonts w:hint="eastAsia" w:ascii="宋体" w:hAnsi="宋体" w:cs="宋体"/>
                <w:color w:val="auto"/>
                <w:sz w:val="21"/>
                <w:szCs w:val="21"/>
                <w:highlight w:val="none"/>
              </w:rPr>
              <w:t>泵</w:t>
            </w:r>
          </w:p>
        </w:tc>
        <w:tc>
          <w:tcPr>
            <w:tcW w:w="1496" w:type="dxa"/>
            <w:tcBorders>
              <w:top w:val="single" w:color="auto" w:sz="4" w:space="0"/>
              <w:left w:val="single" w:color="auto" w:sz="4" w:space="0"/>
              <w:bottom w:val="single" w:color="auto" w:sz="4" w:space="0"/>
              <w:right w:val="single" w:color="auto" w:sz="4" w:space="0"/>
            </w:tcBorders>
            <w:vAlign w:val="center"/>
          </w:tcPr>
          <w:p w14:paraId="0121F19B">
            <w:pPr>
              <w:pStyle w:val="262"/>
              <w:spacing w:before="160"/>
              <w:ind w:left="7"/>
              <w:jc w:val="center"/>
              <w:rPr>
                <w:rFonts w:ascii="宋体" w:hAnsi="宋体" w:cs="宋体"/>
                <w:color w:val="auto"/>
                <w:sz w:val="21"/>
                <w:szCs w:val="21"/>
                <w:highlight w:val="none"/>
              </w:rPr>
            </w:pPr>
            <w:r>
              <w:rPr>
                <w:rFonts w:hint="eastAsia" w:ascii="宋体" w:hAnsi="宋体" w:cs="宋体"/>
                <w:color w:val="auto"/>
                <w:spacing w:val="1"/>
                <w:sz w:val="21"/>
                <w:szCs w:val="21"/>
                <w:highlight w:val="none"/>
              </w:rPr>
              <w:t>A02</w:t>
            </w:r>
            <w:r>
              <w:rPr>
                <w:rFonts w:hint="eastAsia" w:ascii="宋体" w:hAnsi="宋体" w:cs="宋体"/>
                <w:color w:val="auto"/>
                <w:sz w:val="21"/>
                <w:szCs w:val="21"/>
                <w:highlight w:val="none"/>
              </w:rPr>
              <w:t>05</w:t>
            </w:r>
            <w:r>
              <w:rPr>
                <w:rFonts w:hint="eastAsia" w:ascii="宋体" w:hAnsi="宋体" w:cs="宋体"/>
                <w:color w:val="auto"/>
                <w:spacing w:val="1"/>
                <w:sz w:val="21"/>
                <w:szCs w:val="21"/>
                <w:highlight w:val="none"/>
              </w:rPr>
              <w:t>1</w:t>
            </w:r>
            <w:r>
              <w:rPr>
                <w:rFonts w:hint="eastAsia" w:ascii="宋体" w:hAnsi="宋体" w:cs="宋体"/>
                <w:color w:val="auto"/>
                <w:sz w:val="21"/>
                <w:szCs w:val="21"/>
                <w:highlight w:val="none"/>
              </w:rPr>
              <w:t>901离心泵</w:t>
            </w:r>
          </w:p>
        </w:tc>
        <w:tc>
          <w:tcPr>
            <w:tcW w:w="1481" w:type="dxa"/>
            <w:tcBorders>
              <w:top w:val="single" w:color="auto" w:sz="4" w:space="0"/>
              <w:left w:val="single" w:color="auto" w:sz="4" w:space="0"/>
              <w:bottom w:val="single" w:color="auto" w:sz="4" w:space="0"/>
              <w:right w:val="single" w:color="auto" w:sz="4" w:space="0"/>
            </w:tcBorders>
            <w:vAlign w:val="center"/>
          </w:tcPr>
          <w:p w14:paraId="0E3E7E3C">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0E7D7CBF">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《清水离心泵能效限定值及节能评价值》（GB19762）</w:t>
            </w:r>
          </w:p>
        </w:tc>
      </w:tr>
      <w:tr w14:paraId="52C3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auto" w:sz="4" w:space="0"/>
              <w:left w:val="single" w:color="auto" w:sz="4" w:space="0"/>
              <w:bottom w:val="single" w:color="auto" w:sz="4" w:space="0"/>
              <w:right w:val="single" w:color="auto" w:sz="4" w:space="0"/>
            </w:tcBorders>
            <w:vAlign w:val="center"/>
          </w:tcPr>
          <w:p w14:paraId="266D4F01">
            <w:pPr>
              <w:jc w:val="center"/>
              <w:rPr>
                <w:rFonts w:ascii="宋体" w:hAnsi="宋体"/>
                <w:color w:val="auto"/>
                <w:szCs w:val="21"/>
                <w:highlight w:val="none"/>
              </w:rPr>
            </w:pPr>
            <w:r>
              <w:rPr>
                <w:rFonts w:hint="eastAsia" w:ascii="宋体" w:hAnsi="宋体"/>
                <w:color w:val="auto"/>
                <w:szCs w:val="21"/>
                <w:highlight w:val="none"/>
              </w:rPr>
              <w:t>6</w:t>
            </w:r>
          </w:p>
        </w:tc>
        <w:tc>
          <w:tcPr>
            <w:tcW w:w="1422" w:type="dxa"/>
            <w:vMerge w:val="restart"/>
            <w:tcBorders>
              <w:top w:val="single" w:color="auto" w:sz="4" w:space="0"/>
              <w:left w:val="single" w:color="auto" w:sz="4" w:space="0"/>
              <w:bottom w:val="single" w:color="auto" w:sz="4" w:space="0"/>
              <w:right w:val="single" w:color="auto" w:sz="4" w:space="0"/>
            </w:tcBorders>
            <w:vAlign w:val="center"/>
          </w:tcPr>
          <w:p w14:paraId="4A7C9D06">
            <w:pPr>
              <w:pStyle w:val="262"/>
              <w:jc w:val="center"/>
              <w:rPr>
                <w:rFonts w:ascii="宋体" w:hAnsi="宋体" w:cs="宋体"/>
                <w:color w:val="auto"/>
                <w:sz w:val="21"/>
                <w:szCs w:val="21"/>
                <w:highlight w:val="none"/>
              </w:rPr>
            </w:pPr>
            <w:r>
              <w:rPr>
                <w:rFonts w:hint="eastAsia" w:ascii="宋体" w:hAnsi="宋体" w:cs="仿宋_GB2312"/>
                <w:color w:val="auto"/>
                <w:sz w:val="21"/>
                <w:szCs w:val="21"/>
                <w:highlight w:val="none"/>
              </w:rPr>
              <w:t>A02052300</w:t>
            </w:r>
            <w:r>
              <w:rPr>
                <w:rFonts w:hint="eastAsia" w:ascii="宋体" w:hAnsi="宋体" w:cs="宋体"/>
                <w:color w:val="auto"/>
                <w:sz w:val="21"/>
                <w:szCs w:val="21"/>
                <w:highlight w:val="none"/>
              </w:rPr>
              <w:t>制冷空调设备</w:t>
            </w:r>
          </w:p>
        </w:tc>
        <w:tc>
          <w:tcPr>
            <w:tcW w:w="1496" w:type="dxa"/>
            <w:vMerge w:val="restart"/>
            <w:tcBorders>
              <w:top w:val="single" w:color="auto" w:sz="4" w:space="0"/>
              <w:left w:val="single" w:color="auto" w:sz="4" w:space="0"/>
              <w:bottom w:val="single" w:color="auto" w:sz="4" w:space="0"/>
              <w:right w:val="single" w:color="auto" w:sz="4" w:space="0"/>
            </w:tcBorders>
            <w:vAlign w:val="center"/>
          </w:tcPr>
          <w:p w14:paraId="29A0C9D8">
            <w:pPr>
              <w:pStyle w:val="262"/>
              <w:spacing w:line="276" w:lineRule="auto"/>
              <w:ind w:right="5"/>
              <w:jc w:val="center"/>
              <w:rPr>
                <w:rFonts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pacing w:val="1"/>
                <w:sz w:val="21"/>
                <w:szCs w:val="21"/>
                <w:highlight w:val="none"/>
              </w:rPr>
              <w:t>A020</w:t>
            </w:r>
            <w:r>
              <w:rPr>
                <w:rFonts w:hint="eastAsia" w:ascii="宋体" w:hAnsi="宋体" w:cs="宋体"/>
                <w:color w:val="auto"/>
                <w:sz w:val="21"/>
                <w:szCs w:val="21"/>
                <w:highlight w:val="none"/>
              </w:rPr>
              <w:t>52</w:t>
            </w:r>
            <w:r>
              <w:rPr>
                <w:rFonts w:hint="eastAsia" w:ascii="宋体" w:hAnsi="宋体" w:cs="宋体"/>
                <w:color w:val="auto"/>
                <w:spacing w:val="1"/>
                <w:sz w:val="21"/>
                <w:szCs w:val="21"/>
                <w:highlight w:val="none"/>
              </w:rPr>
              <w:t>3</w:t>
            </w:r>
            <w:r>
              <w:rPr>
                <w:rFonts w:hint="eastAsia" w:ascii="宋体" w:hAnsi="宋体" w:cs="宋体"/>
                <w:color w:val="auto"/>
                <w:sz w:val="21"/>
                <w:szCs w:val="21"/>
                <w:highlight w:val="none"/>
              </w:rPr>
              <w:t>01制冷压缩机</w:t>
            </w:r>
          </w:p>
        </w:tc>
        <w:tc>
          <w:tcPr>
            <w:tcW w:w="1481" w:type="dxa"/>
            <w:tcBorders>
              <w:top w:val="single" w:color="auto" w:sz="4" w:space="0"/>
              <w:left w:val="single" w:color="auto" w:sz="4" w:space="0"/>
              <w:bottom w:val="single" w:color="auto" w:sz="4" w:space="0"/>
              <w:right w:val="single" w:color="auto" w:sz="4" w:space="0"/>
            </w:tcBorders>
            <w:vAlign w:val="center"/>
          </w:tcPr>
          <w:p w14:paraId="186C3512">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冷水机组</w:t>
            </w:r>
          </w:p>
        </w:tc>
        <w:tc>
          <w:tcPr>
            <w:tcW w:w="3452" w:type="dxa"/>
            <w:tcBorders>
              <w:top w:val="single" w:color="auto" w:sz="4" w:space="0"/>
              <w:left w:val="single" w:color="auto" w:sz="4" w:space="0"/>
              <w:bottom w:val="single" w:color="auto" w:sz="4" w:space="0"/>
              <w:right w:val="single" w:color="auto" w:sz="4" w:space="0"/>
            </w:tcBorders>
          </w:tcPr>
          <w:p w14:paraId="0A3C9F9A">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《冷水机组能效限定值及能效等级》（GB19577），《低环境温度空气源热泵（冷水）机组能效限定值及能效等级》（GB37480）</w:t>
            </w:r>
          </w:p>
        </w:tc>
      </w:tr>
      <w:tr w14:paraId="2B98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3182AFD7">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7DA09A9A">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1557FB70">
            <w:pPr>
              <w:widowControl/>
              <w:jc w:val="left"/>
              <w:rPr>
                <w:rFonts w:ascii="宋体" w:hAnsi="宋体" w:cs="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6B55A3F8">
            <w:pPr>
              <w:jc w:val="center"/>
              <w:rPr>
                <w:rFonts w:ascii="宋体" w:hAnsi="宋体"/>
                <w:color w:val="auto"/>
                <w:szCs w:val="21"/>
                <w:highlight w:val="none"/>
              </w:rPr>
            </w:pPr>
            <w:r>
              <w:rPr>
                <w:rFonts w:hint="eastAsia" w:ascii="宋体" w:hAnsi="宋体"/>
                <w:color w:val="auto"/>
                <w:szCs w:val="21"/>
                <w:highlight w:val="none"/>
              </w:rPr>
              <w:t>溴化锂吸收式冷水机组</w:t>
            </w:r>
          </w:p>
        </w:tc>
        <w:tc>
          <w:tcPr>
            <w:tcW w:w="3452" w:type="dxa"/>
            <w:tcBorders>
              <w:top w:val="single" w:color="auto" w:sz="4" w:space="0"/>
              <w:left w:val="single" w:color="auto" w:sz="4" w:space="0"/>
              <w:bottom w:val="single" w:color="auto" w:sz="4" w:space="0"/>
              <w:right w:val="single" w:color="auto" w:sz="4" w:space="0"/>
            </w:tcBorders>
            <w:vAlign w:val="center"/>
          </w:tcPr>
          <w:p w14:paraId="4F804858">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《溴化锂吸收式冷水机组能效限</w:t>
            </w:r>
          </w:p>
          <w:p w14:paraId="07643D80">
            <w:pPr>
              <w:spacing w:before="131" w:line="276" w:lineRule="auto"/>
              <w:ind w:right="4"/>
              <w:rPr>
                <w:rFonts w:ascii="宋体" w:hAnsi="宋体" w:cs="宋体"/>
                <w:color w:val="auto"/>
                <w:spacing w:val="10"/>
                <w:szCs w:val="21"/>
                <w:highlight w:val="none"/>
              </w:rPr>
            </w:pPr>
            <w:r>
              <w:rPr>
                <w:rFonts w:hint="eastAsia" w:ascii="宋体" w:hAnsi="宋体" w:cs="宋体"/>
                <w:color w:val="auto"/>
                <w:spacing w:val="10"/>
                <w:szCs w:val="21"/>
                <w:highlight w:val="none"/>
              </w:rPr>
              <w:t>定值及能效等级》（GB29540）</w:t>
            </w:r>
          </w:p>
        </w:tc>
      </w:tr>
      <w:tr w14:paraId="2C948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039F0259">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0629CC47">
            <w:pPr>
              <w:widowControl/>
              <w:jc w:val="left"/>
              <w:rPr>
                <w:rFonts w:ascii="宋体" w:hAnsi="宋体" w:cs="宋体"/>
                <w:color w:val="auto"/>
                <w:szCs w:val="21"/>
                <w:highlight w:val="none"/>
              </w:rPr>
            </w:pPr>
          </w:p>
        </w:tc>
        <w:tc>
          <w:tcPr>
            <w:tcW w:w="1496" w:type="dxa"/>
            <w:vMerge w:val="restart"/>
            <w:tcBorders>
              <w:top w:val="single" w:color="auto" w:sz="4" w:space="0"/>
              <w:left w:val="single" w:color="auto" w:sz="4" w:space="0"/>
              <w:bottom w:val="single" w:color="auto" w:sz="4" w:space="0"/>
              <w:right w:val="single" w:color="auto" w:sz="4" w:space="0"/>
            </w:tcBorders>
            <w:vAlign w:val="center"/>
          </w:tcPr>
          <w:p w14:paraId="0C8E7F43">
            <w:pPr>
              <w:pStyle w:val="262"/>
              <w:spacing w:line="276" w:lineRule="auto"/>
              <w:ind w:right="5"/>
              <w:jc w:val="center"/>
              <w:rPr>
                <w:rFonts w:ascii="宋体" w:hAnsi="宋体" w:cs="宋体"/>
                <w:color w:val="auto"/>
                <w:sz w:val="21"/>
                <w:szCs w:val="21"/>
                <w:highlight w:val="none"/>
              </w:rPr>
            </w:pPr>
            <w:r>
              <w:rPr>
                <w:rFonts w:hint="eastAsia" w:ascii="宋体" w:hAnsi="宋体" w:cs="宋体"/>
                <w:color w:val="auto"/>
                <w:sz w:val="21"/>
                <w:szCs w:val="21"/>
                <w:highlight w:val="none"/>
              </w:rPr>
              <w:t>★A02052305空调机组</w:t>
            </w:r>
          </w:p>
        </w:tc>
        <w:tc>
          <w:tcPr>
            <w:tcW w:w="1481" w:type="dxa"/>
            <w:tcBorders>
              <w:top w:val="single" w:color="auto" w:sz="4" w:space="0"/>
              <w:left w:val="single" w:color="auto" w:sz="4" w:space="0"/>
              <w:bottom w:val="single" w:color="auto" w:sz="4" w:space="0"/>
              <w:right w:val="single" w:color="auto" w:sz="4" w:space="0"/>
            </w:tcBorders>
            <w:vAlign w:val="center"/>
          </w:tcPr>
          <w:p w14:paraId="51B4DB0C">
            <w:pPr>
              <w:pStyle w:val="262"/>
              <w:spacing w:before="4" w:line="276" w:lineRule="auto"/>
              <w:ind w:left="7" w:right="7"/>
              <w:jc w:val="center"/>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多联式空调（热泵）机组（制冷量&gt;14000W）</w:t>
            </w:r>
          </w:p>
        </w:tc>
        <w:tc>
          <w:tcPr>
            <w:tcW w:w="3452" w:type="dxa"/>
            <w:tcBorders>
              <w:top w:val="single" w:color="auto" w:sz="4" w:space="0"/>
              <w:left w:val="single" w:color="auto" w:sz="4" w:space="0"/>
              <w:bottom w:val="single" w:color="auto" w:sz="4" w:space="0"/>
              <w:right w:val="single" w:color="auto" w:sz="4" w:space="0"/>
            </w:tcBorders>
          </w:tcPr>
          <w:p w14:paraId="22442D8F">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《多联式空调（热泵）机组能效限定值及能源效率等级》（GB21454）</w:t>
            </w:r>
          </w:p>
        </w:tc>
      </w:tr>
      <w:tr w14:paraId="12346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58A7C811">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37B328EA">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6F3572B2">
            <w:pPr>
              <w:widowControl/>
              <w:jc w:val="left"/>
              <w:rPr>
                <w:rFonts w:ascii="宋体" w:hAnsi="宋体" w:cs="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707E00C3">
            <w:pPr>
              <w:jc w:val="center"/>
              <w:rPr>
                <w:rFonts w:ascii="宋体" w:hAnsi="宋体"/>
                <w:color w:val="auto"/>
                <w:szCs w:val="21"/>
                <w:highlight w:val="none"/>
              </w:rPr>
            </w:pPr>
            <w:r>
              <w:rPr>
                <w:rFonts w:hint="eastAsia" w:ascii="宋体" w:hAnsi="宋体" w:cs="宋体"/>
                <w:color w:val="auto"/>
                <w:szCs w:val="21"/>
                <w:highlight w:val="none"/>
              </w:rPr>
              <w:t>单元式空气调节机</w:t>
            </w:r>
          </w:p>
        </w:tc>
        <w:tc>
          <w:tcPr>
            <w:tcW w:w="3452" w:type="dxa"/>
            <w:tcBorders>
              <w:top w:val="single" w:color="auto" w:sz="4" w:space="0"/>
              <w:left w:val="single" w:color="auto" w:sz="4" w:space="0"/>
              <w:bottom w:val="single" w:color="auto" w:sz="4" w:space="0"/>
              <w:right w:val="single" w:color="auto" w:sz="4" w:space="0"/>
            </w:tcBorders>
          </w:tcPr>
          <w:p w14:paraId="2CF01A79">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《单元式空气调节机能效限定值及能效等级》（GB19576）《风管送风式空调机组能效限定值及能效等级》（GB37479）</w:t>
            </w:r>
          </w:p>
        </w:tc>
      </w:tr>
      <w:tr w14:paraId="5124B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7E8D91FD">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182687FB">
            <w:pPr>
              <w:widowControl/>
              <w:jc w:val="left"/>
              <w:rPr>
                <w:rFonts w:ascii="宋体" w:hAnsi="宋体" w:cs="宋体"/>
                <w:color w:val="auto"/>
                <w:szCs w:val="21"/>
                <w:highlight w:val="none"/>
              </w:rPr>
            </w:pPr>
          </w:p>
        </w:tc>
        <w:tc>
          <w:tcPr>
            <w:tcW w:w="1496" w:type="dxa"/>
            <w:tcBorders>
              <w:top w:val="single" w:color="auto" w:sz="4" w:space="0"/>
              <w:left w:val="single" w:color="auto" w:sz="4" w:space="0"/>
              <w:bottom w:val="single" w:color="auto" w:sz="4" w:space="0"/>
              <w:right w:val="single" w:color="auto" w:sz="4" w:space="0"/>
            </w:tcBorders>
            <w:vAlign w:val="center"/>
          </w:tcPr>
          <w:p w14:paraId="193B5F69">
            <w:pPr>
              <w:pStyle w:val="262"/>
              <w:spacing w:before="83"/>
              <w:ind w:left="7"/>
              <w:jc w:val="center"/>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★A02052309专用制冷、空调设备</w:t>
            </w:r>
          </w:p>
        </w:tc>
        <w:tc>
          <w:tcPr>
            <w:tcW w:w="1481" w:type="dxa"/>
            <w:tcBorders>
              <w:top w:val="single" w:color="auto" w:sz="4" w:space="0"/>
              <w:left w:val="single" w:color="auto" w:sz="4" w:space="0"/>
              <w:bottom w:val="single" w:color="auto" w:sz="4" w:space="0"/>
              <w:right w:val="single" w:color="auto" w:sz="4" w:space="0"/>
            </w:tcBorders>
            <w:vAlign w:val="center"/>
          </w:tcPr>
          <w:p w14:paraId="15C7ED9A">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机房空调</w:t>
            </w:r>
          </w:p>
        </w:tc>
        <w:tc>
          <w:tcPr>
            <w:tcW w:w="3452" w:type="dxa"/>
            <w:tcBorders>
              <w:top w:val="single" w:color="auto" w:sz="4" w:space="0"/>
              <w:left w:val="single" w:color="auto" w:sz="4" w:space="0"/>
              <w:bottom w:val="single" w:color="auto" w:sz="4" w:space="0"/>
              <w:right w:val="single" w:color="auto" w:sz="4" w:space="0"/>
            </w:tcBorders>
          </w:tcPr>
          <w:p w14:paraId="31F2F819">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《单元式空气调节机能效限定值及能效等级》（GB19576）</w:t>
            </w:r>
          </w:p>
        </w:tc>
      </w:tr>
      <w:tr w14:paraId="0BEA6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08B53320">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2A76FDC9">
            <w:pPr>
              <w:widowControl/>
              <w:jc w:val="left"/>
              <w:rPr>
                <w:rFonts w:ascii="宋体" w:hAnsi="宋体" w:cs="宋体"/>
                <w:color w:val="auto"/>
                <w:szCs w:val="21"/>
                <w:highlight w:val="none"/>
              </w:rPr>
            </w:pPr>
          </w:p>
        </w:tc>
        <w:tc>
          <w:tcPr>
            <w:tcW w:w="1496" w:type="dxa"/>
            <w:tcBorders>
              <w:top w:val="single" w:color="auto" w:sz="4" w:space="0"/>
              <w:left w:val="single" w:color="auto" w:sz="4" w:space="0"/>
              <w:bottom w:val="single" w:color="auto" w:sz="4" w:space="0"/>
              <w:right w:val="single" w:color="auto" w:sz="4" w:space="0"/>
            </w:tcBorders>
            <w:vAlign w:val="center"/>
          </w:tcPr>
          <w:p w14:paraId="31F2D379">
            <w:pPr>
              <w:pStyle w:val="262"/>
              <w:spacing w:line="254" w:lineRule="exact"/>
              <w:ind w:left="7"/>
              <w:jc w:val="center"/>
              <w:rPr>
                <w:rFonts w:ascii="宋体" w:hAnsi="宋体" w:cs="宋体"/>
                <w:color w:val="auto"/>
                <w:sz w:val="21"/>
                <w:szCs w:val="21"/>
                <w:highlight w:val="none"/>
              </w:rPr>
            </w:pPr>
            <w:r>
              <w:rPr>
                <w:rFonts w:hint="eastAsia" w:ascii="宋体" w:hAnsi="宋体" w:cs="宋体"/>
                <w:color w:val="auto"/>
                <w:sz w:val="21"/>
                <w:szCs w:val="21"/>
                <w:highlight w:val="none"/>
              </w:rPr>
              <w:t>A02052399其他制冷</w:t>
            </w:r>
          </w:p>
          <w:p w14:paraId="4BA79F6D">
            <w:pPr>
              <w:pStyle w:val="262"/>
              <w:spacing w:line="254" w:lineRule="exact"/>
              <w:ind w:left="7"/>
              <w:jc w:val="center"/>
              <w:rPr>
                <w:rFonts w:ascii="宋体" w:hAnsi="宋体" w:cs="宋体"/>
                <w:color w:val="auto"/>
                <w:sz w:val="21"/>
                <w:szCs w:val="21"/>
                <w:highlight w:val="none"/>
              </w:rPr>
            </w:pPr>
            <w:r>
              <w:rPr>
                <w:rFonts w:hint="eastAsia" w:ascii="宋体" w:hAnsi="宋体" w:cs="宋体"/>
                <w:color w:val="auto"/>
                <w:sz w:val="21"/>
                <w:szCs w:val="21"/>
                <w:highlight w:val="none"/>
              </w:rPr>
              <w:t>空调设备</w:t>
            </w:r>
          </w:p>
        </w:tc>
        <w:tc>
          <w:tcPr>
            <w:tcW w:w="1481" w:type="dxa"/>
            <w:tcBorders>
              <w:top w:val="single" w:color="auto" w:sz="4" w:space="0"/>
              <w:left w:val="single" w:color="auto" w:sz="4" w:space="0"/>
              <w:bottom w:val="single" w:color="auto" w:sz="4" w:space="0"/>
              <w:right w:val="single" w:color="auto" w:sz="4" w:space="0"/>
            </w:tcBorders>
            <w:vAlign w:val="center"/>
          </w:tcPr>
          <w:p w14:paraId="789BE399">
            <w:pPr>
              <w:widowControl/>
              <w:jc w:val="center"/>
              <w:rPr>
                <w:rFonts w:ascii="宋体" w:hAnsi="宋体" w:cs="宋体"/>
                <w:color w:val="auto"/>
                <w:szCs w:val="21"/>
                <w:highlight w:val="none"/>
                <w:lang w:eastAsia="en-US"/>
              </w:rPr>
            </w:pPr>
            <w:r>
              <w:rPr>
                <w:rFonts w:hint="eastAsia" w:ascii="宋体" w:hAnsi="宋体" w:cs="宋体"/>
                <w:color w:val="auto"/>
                <w:szCs w:val="21"/>
                <w:highlight w:val="none"/>
              </w:rPr>
              <w:t>冷却塔</w:t>
            </w:r>
          </w:p>
        </w:tc>
        <w:tc>
          <w:tcPr>
            <w:tcW w:w="3452" w:type="dxa"/>
            <w:tcBorders>
              <w:top w:val="single" w:color="auto" w:sz="4" w:space="0"/>
              <w:left w:val="single" w:color="auto" w:sz="4" w:space="0"/>
              <w:bottom w:val="single" w:color="auto" w:sz="4" w:space="0"/>
              <w:right w:val="single" w:color="auto" w:sz="4" w:space="0"/>
            </w:tcBorders>
          </w:tcPr>
          <w:p w14:paraId="0F775DF8">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《机械通风冷却塔第1部分：中小型开式冷却塔》（GB/T7190.1）</w:t>
            </w:r>
          </w:p>
          <w:p w14:paraId="715CB075">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《机械通风冷却塔第2部分：大型开式冷却塔》（GB/T7190.2）</w:t>
            </w:r>
          </w:p>
        </w:tc>
      </w:tr>
      <w:tr w14:paraId="2DD2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3BC9B93A">
            <w:pPr>
              <w:pStyle w:val="262"/>
              <w:ind w:right="1"/>
              <w:jc w:val="center"/>
              <w:rPr>
                <w:rFonts w:ascii="宋体" w:hAnsi="宋体" w:cs="宋体"/>
                <w:color w:val="auto"/>
                <w:sz w:val="21"/>
                <w:szCs w:val="21"/>
                <w:highlight w:val="none"/>
              </w:rPr>
            </w:pPr>
            <w:r>
              <w:rPr>
                <w:rFonts w:hint="eastAsia" w:ascii="宋体" w:hAnsi="宋体"/>
                <w:color w:val="auto"/>
                <w:sz w:val="21"/>
                <w:szCs w:val="21"/>
                <w:highlight w:val="none"/>
              </w:rPr>
              <w:t>7</w:t>
            </w:r>
          </w:p>
        </w:tc>
        <w:tc>
          <w:tcPr>
            <w:tcW w:w="1422" w:type="dxa"/>
            <w:tcBorders>
              <w:top w:val="single" w:color="auto" w:sz="4" w:space="0"/>
              <w:left w:val="single" w:color="auto" w:sz="4" w:space="0"/>
              <w:bottom w:val="single" w:color="auto" w:sz="4" w:space="0"/>
              <w:right w:val="single" w:color="auto" w:sz="4" w:space="0"/>
            </w:tcBorders>
            <w:vAlign w:val="center"/>
          </w:tcPr>
          <w:p w14:paraId="44D3A6F5">
            <w:pPr>
              <w:pStyle w:val="262"/>
              <w:jc w:val="center"/>
              <w:rPr>
                <w:rFonts w:ascii="宋体" w:hAnsi="宋体" w:cs="宋体"/>
                <w:color w:val="auto"/>
                <w:sz w:val="21"/>
                <w:szCs w:val="21"/>
                <w:highlight w:val="none"/>
              </w:rPr>
            </w:pPr>
            <w:r>
              <w:rPr>
                <w:rFonts w:hint="eastAsia" w:ascii="宋体" w:hAnsi="宋体" w:cs="仿宋_GB2312"/>
                <w:color w:val="auto"/>
                <w:sz w:val="21"/>
                <w:szCs w:val="21"/>
                <w:highlight w:val="none"/>
              </w:rPr>
              <w:t>A02060100</w:t>
            </w:r>
            <w:r>
              <w:rPr>
                <w:rFonts w:hint="eastAsia" w:ascii="宋体" w:hAnsi="宋体" w:cs="宋体"/>
                <w:color w:val="auto"/>
                <w:sz w:val="21"/>
                <w:szCs w:val="21"/>
                <w:highlight w:val="none"/>
              </w:rPr>
              <w:t>电机</w:t>
            </w:r>
          </w:p>
        </w:tc>
        <w:tc>
          <w:tcPr>
            <w:tcW w:w="1496" w:type="dxa"/>
            <w:tcBorders>
              <w:top w:val="single" w:color="auto" w:sz="4" w:space="0"/>
              <w:left w:val="single" w:color="auto" w:sz="4" w:space="0"/>
              <w:bottom w:val="single" w:color="auto" w:sz="4" w:space="0"/>
              <w:right w:val="single" w:color="auto" w:sz="4" w:space="0"/>
            </w:tcBorders>
            <w:vAlign w:val="center"/>
          </w:tcPr>
          <w:p w14:paraId="06B8EA63">
            <w:pPr>
              <w:jc w:val="center"/>
              <w:rPr>
                <w:rFonts w:ascii="宋体" w:hAnsi="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7F048239">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6B04AFA1">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《中小型三相异步电动机能效限定值及能效等级》（GB18613）</w:t>
            </w:r>
          </w:p>
        </w:tc>
      </w:tr>
      <w:tr w14:paraId="1C234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02AF93D1">
            <w:pPr>
              <w:pStyle w:val="262"/>
              <w:ind w:right="1"/>
              <w:jc w:val="center"/>
              <w:rPr>
                <w:rFonts w:ascii="宋体" w:hAnsi="宋体" w:cs="宋体"/>
                <w:color w:val="auto"/>
                <w:sz w:val="21"/>
                <w:szCs w:val="21"/>
                <w:highlight w:val="none"/>
              </w:rPr>
            </w:pPr>
            <w:r>
              <w:rPr>
                <w:rFonts w:hint="eastAsia" w:ascii="宋体" w:hAnsi="宋体"/>
                <w:color w:val="auto"/>
                <w:sz w:val="21"/>
                <w:szCs w:val="21"/>
                <w:highlight w:val="none"/>
              </w:rPr>
              <w:t>8</w:t>
            </w:r>
          </w:p>
        </w:tc>
        <w:tc>
          <w:tcPr>
            <w:tcW w:w="1422" w:type="dxa"/>
            <w:tcBorders>
              <w:top w:val="single" w:color="auto" w:sz="4" w:space="0"/>
              <w:left w:val="single" w:color="auto" w:sz="4" w:space="0"/>
              <w:bottom w:val="single" w:color="auto" w:sz="4" w:space="0"/>
              <w:right w:val="single" w:color="auto" w:sz="4" w:space="0"/>
            </w:tcBorders>
            <w:vAlign w:val="center"/>
          </w:tcPr>
          <w:p w14:paraId="24C66C54">
            <w:pPr>
              <w:pStyle w:val="262"/>
              <w:spacing w:before="30"/>
              <w:ind w:left="7"/>
              <w:jc w:val="center"/>
              <w:rPr>
                <w:rFonts w:ascii="宋体" w:hAnsi="宋体" w:cs="宋体"/>
                <w:color w:val="auto"/>
                <w:sz w:val="21"/>
                <w:szCs w:val="21"/>
                <w:highlight w:val="none"/>
              </w:rPr>
            </w:pPr>
            <w:r>
              <w:rPr>
                <w:rFonts w:hint="eastAsia" w:ascii="宋体" w:hAnsi="宋体" w:cs="仿宋_GB2312"/>
                <w:color w:val="auto"/>
                <w:sz w:val="21"/>
                <w:szCs w:val="21"/>
                <w:highlight w:val="none"/>
              </w:rPr>
              <w:t>A02060200</w:t>
            </w:r>
            <w:r>
              <w:rPr>
                <w:rFonts w:hint="eastAsia" w:ascii="宋体" w:hAnsi="宋体" w:cs="宋体"/>
                <w:color w:val="auto"/>
                <w:sz w:val="21"/>
                <w:szCs w:val="21"/>
                <w:highlight w:val="none"/>
              </w:rPr>
              <w:t>变压</w:t>
            </w:r>
          </w:p>
        </w:tc>
        <w:tc>
          <w:tcPr>
            <w:tcW w:w="1496" w:type="dxa"/>
            <w:tcBorders>
              <w:top w:val="single" w:color="auto" w:sz="4" w:space="0"/>
              <w:left w:val="single" w:color="auto" w:sz="4" w:space="0"/>
              <w:bottom w:val="single" w:color="auto" w:sz="4" w:space="0"/>
              <w:right w:val="single" w:color="auto" w:sz="4" w:space="0"/>
            </w:tcBorders>
            <w:vAlign w:val="center"/>
          </w:tcPr>
          <w:p w14:paraId="6B369D38">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配电变压器</w:t>
            </w:r>
          </w:p>
        </w:tc>
        <w:tc>
          <w:tcPr>
            <w:tcW w:w="1481" w:type="dxa"/>
            <w:tcBorders>
              <w:top w:val="single" w:color="auto" w:sz="4" w:space="0"/>
              <w:left w:val="single" w:color="auto" w:sz="4" w:space="0"/>
              <w:bottom w:val="single" w:color="auto" w:sz="4" w:space="0"/>
              <w:right w:val="single" w:color="auto" w:sz="4" w:space="0"/>
            </w:tcBorders>
            <w:vAlign w:val="center"/>
          </w:tcPr>
          <w:p w14:paraId="293A61DC">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3FC8F9C8">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《三相配电变压器能效限定值及能效等级》（GB 20052）</w:t>
            </w:r>
          </w:p>
        </w:tc>
      </w:tr>
      <w:tr w14:paraId="24576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10104999">
            <w:pPr>
              <w:pStyle w:val="262"/>
              <w:ind w:right="1"/>
              <w:jc w:val="center"/>
              <w:rPr>
                <w:rFonts w:ascii="宋体" w:hAnsi="宋体" w:cs="宋体"/>
                <w:color w:val="auto"/>
                <w:sz w:val="21"/>
                <w:szCs w:val="21"/>
                <w:highlight w:val="none"/>
              </w:rPr>
            </w:pPr>
            <w:r>
              <w:rPr>
                <w:rFonts w:hint="eastAsia" w:ascii="宋体" w:hAnsi="宋体"/>
                <w:color w:val="auto"/>
                <w:sz w:val="21"/>
                <w:szCs w:val="21"/>
                <w:highlight w:val="none"/>
              </w:rPr>
              <w:t>9</w:t>
            </w:r>
          </w:p>
        </w:tc>
        <w:tc>
          <w:tcPr>
            <w:tcW w:w="1422" w:type="dxa"/>
            <w:tcBorders>
              <w:top w:val="single" w:color="auto" w:sz="4" w:space="0"/>
              <w:left w:val="single" w:color="auto" w:sz="4" w:space="0"/>
              <w:bottom w:val="single" w:color="auto" w:sz="4" w:space="0"/>
              <w:right w:val="single" w:color="auto" w:sz="4" w:space="0"/>
            </w:tcBorders>
            <w:vAlign w:val="center"/>
          </w:tcPr>
          <w:p w14:paraId="5BE424A2">
            <w:pPr>
              <w:pStyle w:val="262"/>
              <w:spacing w:before="126"/>
              <w:ind w:left="7"/>
              <w:jc w:val="center"/>
              <w:rPr>
                <w:rFonts w:ascii="宋体" w:hAnsi="宋体" w:cs="宋体"/>
                <w:color w:val="auto"/>
                <w:sz w:val="21"/>
                <w:szCs w:val="21"/>
                <w:highlight w:val="none"/>
              </w:rPr>
            </w:pPr>
            <w:r>
              <w:rPr>
                <w:rFonts w:hint="eastAsia" w:ascii="宋体" w:hAnsi="宋体" w:cs="宋体"/>
                <w:color w:val="auto"/>
                <w:sz w:val="21"/>
                <w:szCs w:val="21"/>
                <w:highlight w:val="none"/>
              </w:rPr>
              <w:t>★A02060900镇流器</w:t>
            </w:r>
          </w:p>
        </w:tc>
        <w:tc>
          <w:tcPr>
            <w:tcW w:w="1496" w:type="dxa"/>
            <w:tcBorders>
              <w:top w:val="single" w:color="auto" w:sz="4" w:space="0"/>
              <w:left w:val="single" w:color="auto" w:sz="4" w:space="0"/>
              <w:bottom w:val="single" w:color="auto" w:sz="4" w:space="0"/>
              <w:right w:val="single" w:color="auto" w:sz="4" w:space="0"/>
            </w:tcBorders>
            <w:vAlign w:val="center"/>
          </w:tcPr>
          <w:p w14:paraId="5A5E4194">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管型荧光灯镇流器</w:t>
            </w:r>
          </w:p>
        </w:tc>
        <w:tc>
          <w:tcPr>
            <w:tcW w:w="1481" w:type="dxa"/>
            <w:tcBorders>
              <w:top w:val="single" w:color="auto" w:sz="4" w:space="0"/>
              <w:left w:val="single" w:color="auto" w:sz="4" w:space="0"/>
              <w:bottom w:val="single" w:color="auto" w:sz="4" w:space="0"/>
              <w:right w:val="single" w:color="auto" w:sz="4" w:space="0"/>
            </w:tcBorders>
            <w:vAlign w:val="center"/>
          </w:tcPr>
          <w:p w14:paraId="6D06A5BA">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3310BE0B">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《管形荧光灯镇流器能效限定值及能效等级》（GB17896）</w:t>
            </w:r>
          </w:p>
        </w:tc>
      </w:tr>
      <w:tr w14:paraId="0184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auto" w:sz="4" w:space="0"/>
              <w:left w:val="single" w:color="auto" w:sz="4" w:space="0"/>
              <w:bottom w:val="single" w:color="auto" w:sz="4" w:space="0"/>
              <w:right w:val="single" w:color="auto" w:sz="4" w:space="0"/>
            </w:tcBorders>
            <w:vAlign w:val="center"/>
          </w:tcPr>
          <w:p w14:paraId="49241D8A">
            <w:pPr>
              <w:pStyle w:val="262"/>
              <w:jc w:val="center"/>
              <w:rPr>
                <w:rFonts w:ascii="宋体" w:hAnsi="宋体" w:cs="宋体"/>
                <w:color w:val="auto"/>
                <w:sz w:val="21"/>
                <w:szCs w:val="21"/>
                <w:highlight w:val="none"/>
              </w:rPr>
            </w:pPr>
            <w:r>
              <w:rPr>
                <w:rFonts w:hint="eastAsia" w:ascii="宋体" w:hAnsi="宋体"/>
                <w:color w:val="auto"/>
                <w:sz w:val="21"/>
                <w:szCs w:val="21"/>
                <w:highlight w:val="none"/>
              </w:rPr>
              <w:t>10</w:t>
            </w:r>
          </w:p>
        </w:tc>
        <w:tc>
          <w:tcPr>
            <w:tcW w:w="1422" w:type="dxa"/>
            <w:vMerge w:val="restart"/>
            <w:tcBorders>
              <w:top w:val="single" w:color="auto" w:sz="4" w:space="0"/>
              <w:left w:val="single" w:color="auto" w:sz="4" w:space="0"/>
              <w:bottom w:val="single" w:color="auto" w:sz="4" w:space="0"/>
              <w:right w:val="single" w:color="auto" w:sz="4" w:space="0"/>
            </w:tcBorders>
            <w:vAlign w:val="center"/>
          </w:tcPr>
          <w:p w14:paraId="098E16AC">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A02061800生活用电器</w:t>
            </w:r>
          </w:p>
        </w:tc>
        <w:tc>
          <w:tcPr>
            <w:tcW w:w="1496" w:type="dxa"/>
            <w:tcBorders>
              <w:top w:val="single" w:color="auto" w:sz="4" w:space="0"/>
              <w:left w:val="single" w:color="auto" w:sz="4" w:space="0"/>
              <w:bottom w:val="single" w:color="auto" w:sz="4" w:space="0"/>
              <w:right w:val="single" w:color="auto" w:sz="4" w:space="0"/>
            </w:tcBorders>
            <w:vAlign w:val="center"/>
          </w:tcPr>
          <w:p w14:paraId="2B08684D">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A02061801电冰箱</w:t>
            </w:r>
          </w:p>
        </w:tc>
        <w:tc>
          <w:tcPr>
            <w:tcW w:w="1481" w:type="dxa"/>
            <w:tcBorders>
              <w:top w:val="single" w:color="auto" w:sz="4" w:space="0"/>
              <w:left w:val="single" w:color="auto" w:sz="4" w:space="0"/>
              <w:bottom w:val="single" w:color="auto" w:sz="4" w:space="0"/>
              <w:right w:val="single" w:color="auto" w:sz="4" w:space="0"/>
            </w:tcBorders>
            <w:vAlign w:val="center"/>
          </w:tcPr>
          <w:p w14:paraId="7C962511">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2718E7E0">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《家用电冰箱耗电量限定值及能效等级》（GB12021.2）</w:t>
            </w:r>
          </w:p>
        </w:tc>
      </w:tr>
      <w:tr w14:paraId="50B6F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4AF2646A">
            <w:pPr>
              <w:widowControl/>
              <w:jc w:val="left"/>
              <w:rPr>
                <w:rFonts w:ascii="宋体" w:hAnsi="宋体" w:cs="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50030C4D">
            <w:pPr>
              <w:widowControl/>
              <w:jc w:val="left"/>
              <w:rPr>
                <w:rFonts w:ascii="宋体" w:hAnsi="宋体" w:cs="宋体"/>
                <w:color w:val="auto"/>
                <w:szCs w:val="21"/>
                <w:highlight w:val="none"/>
              </w:rPr>
            </w:pPr>
          </w:p>
        </w:tc>
        <w:tc>
          <w:tcPr>
            <w:tcW w:w="1496" w:type="dxa"/>
            <w:vMerge w:val="restart"/>
            <w:tcBorders>
              <w:top w:val="single" w:color="auto" w:sz="4" w:space="0"/>
              <w:left w:val="single" w:color="auto" w:sz="4" w:space="0"/>
              <w:bottom w:val="single" w:color="auto" w:sz="4" w:space="0"/>
              <w:right w:val="single" w:color="auto" w:sz="4" w:space="0"/>
            </w:tcBorders>
            <w:vAlign w:val="center"/>
          </w:tcPr>
          <w:p w14:paraId="1FFBCA74">
            <w:pPr>
              <w:pStyle w:val="262"/>
              <w:spacing w:before="171"/>
              <w:jc w:val="center"/>
              <w:rPr>
                <w:rFonts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仿宋_GB2312"/>
                <w:color w:val="auto"/>
                <w:sz w:val="21"/>
                <w:szCs w:val="21"/>
                <w:highlight w:val="none"/>
              </w:rPr>
              <w:t>A02061804</w:t>
            </w:r>
            <w:r>
              <w:rPr>
                <w:rFonts w:hint="eastAsia" w:ascii="宋体" w:hAnsi="宋体" w:cs="宋体"/>
                <w:color w:val="auto"/>
                <w:sz w:val="21"/>
                <w:szCs w:val="21"/>
                <w:highlight w:val="none"/>
              </w:rPr>
              <w:t>空调机</w:t>
            </w:r>
          </w:p>
        </w:tc>
        <w:tc>
          <w:tcPr>
            <w:tcW w:w="1481" w:type="dxa"/>
            <w:tcBorders>
              <w:top w:val="single" w:color="auto" w:sz="4" w:space="0"/>
              <w:left w:val="single" w:color="auto" w:sz="4" w:space="0"/>
              <w:bottom w:val="single" w:color="auto" w:sz="4" w:space="0"/>
              <w:right w:val="single" w:color="auto" w:sz="4" w:space="0"/>
            </w:tcBorders>
            <w:vAlign w:val="center"/>
          </w:tcPr>
          <w:p w14:paraId="19928DDF">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房间空气调节器</w:t>
            </w:r>
          </w:p>
        </w:tc>
        <w:tc>
          <w:tcPr>
            <w:tcW w:w="3452" w:type="dxa"/>
            <w:tcBorders>
              <w:top w:val="single" w:color="auto" w:sz="4" w:space="0"/>
              <w:left w:val="single" w:color="auto" w:sz="4" w:space="0"/>
              <w:bottom w:val="single" w:color="auto" w:sz="4" w:space="0"/>
              <w:right w:val="single" w:color="auto" w:sz="4" w:space="0"/>
            </w:tcBorders>
          </w:tcPr>
          <w:p w14:paraId="265973AA">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《房间空气调节器能效限定值及能效等级》（GB21455-2019）</w:t>
            </w:r>
          </w:p>
        </w:tc>
      </w:tr>
      <w:tr w14:paraId="13C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16400DE9">
            <w:pPr>
              <w:widowControl/>
              <w:jc w:val="left"/>
              <w:rPr>
                <w:rFonts w:ascii="宋体" w:hAnsi="宋体" w:cs="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32626548">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03D4597F">
            <w:pPr>
              <w:widowControl/>
              <w:jc w:val="left"/>
              <w:rPr>
                <w:rFonts w:ascii="宋体" w:hAnsi="宋体" w:cs="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047A048E">
            <w:pPr>
              <w:pStyle w:val="262"/>
              <w:spacing w:before="4" w:line="276" w:lineRule="auto"/>
              <w:ind w:left="7" w:right="7"/>
              <w:jc w:val="center"/>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多联式空调（热泵）机组（制冷量≤ 14000W）</w:t>
            </w:r>
          </w:p>
        </w:tc>
        <w:tc>
          <w:tcPr>
            <w:tcW w:w="3452" w:type="dxa"/>
            <w:tcBorders>
              <w:top w:val="single" w:color="auto" w:sz="4" w:space="0"/>
              <w:left w:val="single" w:color="auto" w:sz="4" w:space="0"/>
              <w:bottom w:val="single" w:color="auto" w:sz="4" w:space="0"/>
              <w:right w:val="single" w:color="auto" w:sz="4" w:space="0"/>
            </w:tcBorders>
          </w:tcPr>
          <w:p w14:paraId="580D5D87">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《多联式空调（热泵）机组能效限定值及能源效率等级》（GB21454）</w:t>
            </w:r>
          </w:p>
        </w:tc>
      </w:tr>
      <w:tr w14:paraId="33FC2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43F2C605">
            <w:pPr>
              <w:widowControl/>
              <w:jc w:val="left"/>
              <w:rPr>
                <w:rFonts w:ascii="宋体" w:hAnsi="宋体" w:cs="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53A39777">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45F68E6A">
            <w:pPr>
              <w:widowControl/>
              <w:jc w:val="left"/>
              <w:rPr>
                <w:rFonts w:ascii="宋体" w:hAnsi="宋体" w:cs="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1EC25EB6">
            <w:pPr>
              <w:pStyle w:val="262"/>
              <w:jc w:val="center"/>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单元式空气调节机（制冷量≤ 14000W）</w:t>
            </w:r>
          </w:p>
        </w:tc>
        <w:tc>
          <w:tcPr>
            <w:tcW w:w="3452" w:type="dxa"/>
            <w:tcBorders>
              <w:top w:val="single" w:color="auto" w:sz="4" w:space="0"/>
              <w:left w:val="single" w:color="auto" w:sz="4" w:space="0"/>
              <w:bottom w:val="single" w:color="auto" w:sz="4" w:space="0"/>
              <w:right w:val="single" w:color="auto" w:sz="4" w:space="0"/>
            </w:tcBorders>
          </w:tcPr>
          <w:p w14:paraId="21B83CAB">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《单元式空气调节机能效限定值及能源效率等级》（GB19576）《风管送风式空调机组能效限定值及能效等级》（GB37479）</w:t>
            </w:r>
          </w:p>
        </w:tc>
      </w:tr>
      <w:tr w14:paraId="59448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6BD910CB">
            <w:pPr>
              <w:widowControl/>
              <w:jc w:val="left"/>
              <w:rPr>
                <w:rFonts w:ascii="宋体" w:hAnsi="宋体" w:cs="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0166283F">
            <w:pPr>
              <w:widowControl/>
              <w:jc w:val="left"/>
              <w:rPr>
                <w:rFonts w:ascii="宋体" w:hAnsi="宋体" w:cs="宋体"/>
                <w:color w:val="auto"/>
                <w:szCs w:val="21"/>
                <w:highlight w:val="none"/>
              </w:rPr>
            </w:pPr>
          </w:p>
        </w:tc>
        <w:tc>
          <w:tcPr>
            <w:tcW w:w="1496" w:type="dxa"/>
            <w:tcBorders>
              <w:top w:val="single" w:color="auto" w:sz="4" w:space="0"/>
              <w:left w:val="single" w:color="auto" w:sz="4" w:space="0"/>
              <w:bottom w:val="single" w:color="auto" w:sz="4" w:space="0"/>
              <w:right w:val="single" w:color="auto" w:sz="4" w:space="0"/>
            </w:tcBorders>
            <w:vAlign w:val="center"/>
          </w:tcPr>
          <w:p w14:paraId="4722ACF6">
            <w:pPr>
              <w:pStyle w:val="262"/>
              <w:spacing w:before="162"/>
              <w:ind w:left="7"/>
              <w:jc w:val="center"/>
              <w:rPr>
                <w:rFonts w:ascii="宋体" w:hAnsi="宋体" w:cs="宋体"/>
                <w:color w:val="auto"/>
                <w:sz w:val="21"/>
                <w:szCs w:val="21"/>
                <w:highlight w:val="none"/>
              </w:rPr>
            </w:pPr>
            <w:r>
              <w:rPr>
                <w:rFonts w:hint="eastAsia" w:ascii="宋体" w:hAnsi="宋体" w:cs="仿宋_GB2312"/>
                <w:color w:val="auto"/>
                <w:sz w:val="21"/>
                <w:szCs w:val="21"/>
                <w:highlight w:val="none"/>
              </w:rPr>
              <w:t>A02061810</w:t>
            </w:r>
            <w:r>
              <w:rPr>
                <w:rFonts w:hint="eastAsia" w:ascii="宋体" w:hAnsi="宋体" w:cs="宋体"/>
                <w:color w:val="auto"/>
                <w:sz w:val="21"/>
                <w:szCs w:val="21"/>
                <w:highlight w:val="none"/>
              </w:rPr>
              <w:t>洗衣机</w:t>
            </w:r>
          </w:p>
        </w:tc>
        <w:tc>
          <w:tcPr>
            <w:tcW w:w="1481" w:type="dxa"/>
            <w:tcBorders>
              <w:top w:val="single" w:color="auto" w:sz="4" w:space="0"/>
              <w:left w:val="single" w:color="auto" w:sz="4" w:space="0"/>
              <w:bottom w:val="single" w:color="auto" w:sz="4" w:space="0"/>
              <w:right w:val="single" w:color="auto" w:sz="4" w:space="0"/>
            </w:tcBorders>
            <w:vAlign w:val="center"/>
          </w:tcPr>
          <w:p w14:paraId="18523C6D">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25E4E57C">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《电动洗衣机能效水效限定值及等级》（GB12021.4）</w:t>
            </w:r>
          </w:p>
        </w:tc>
      </w:tr>
      <w:tr w14:paraId="5E5F7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363875D9">
            <w:pPr>
              <w:widowControl/>
              <w:jc w:val="left"/>
              <w:rPr>
                <w:rFonts w:ascii="宋体" w:hAnsi="宋体" w:cs="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2F0DD961">
            <w:pPr>
              <w:widowControl/>
              <w:jc w:val="left"/>
              <w:rPr>
                <w:rFonts w:ascii="宋体" w:hAnsi="宋体" w:cs="宋体"/>
                <w:color w:val="auto"/>
                <w:szCs w:val="21"/>
                <w:highlight w:val="none"/>
              </w:rPr>
            </w:pPr>
          </w:p>
        </w:tc>
        <w:tc>
          <w:tcPr>
            <w:tcW w:w="1496" w:type="dxa"/>
            <w:vMerge w:val="restart"/>
            <w:tcBorders>
              <w:top w:val="single" w:color="auto" w:sz="4" w:space="0"/>
              <w:left w:val="single" w:color="auto" w:sz="4" w:space="0"/>
              <w:bottom w:val="single" w:color="auto" w:sz="4" w:space="0"/>
              <w:right w:val="single" w:color="auto" w:sz="4" w:space="0"/>
            </w:tcBorders>
            <w:vAlign w:val="center"/>
          </w:tcPr>
          <w:p w14:paraId="41592605">
            <w:pPr>
              <w:pStyle w:val="262"/>
              <w:spacing w:before="161"/>
              <w:jc w:val="center"/>
              <w:rPr>
                <w:rFonts w:ascii="宋体" w:hAnsi="宋体" w:cs="宋体"/>
                <w:color w:val="auto"/>
                <w:sz w:val="21"/>
                <w:szCs w:val="21"/>
                <w:highlight w:val="none"/>
              </w:rPr>
            </w:pPr>
            <w:r>
              <w:rPr>
                <w:rFonts w:hint="eastAsia" w:ascii="宋体" w:hAnsi="宋体" w:cs="仿宋_GB2312"/>
                <w:color w:val="auto"/>
                <w:sz w:val="21"/>
                <w:szCs w:val="21"/>
                <w:highlight w:val="none"/>
              </w:rPr>
              <w:t>A02061819</w:t>
            </w:r>
            <w:r>
              <w:rPr>
                <w:rFonts w:hint="eastAsia" w:ascii="宋体" w:hAnsi="宋体" w:cs="宋体"/>
                <w:color w:val="auto"/>
                <w:sz w:val="21"/>
                <w:szCs w:val="21"/>
                <w:highlight w:val="none"/>
              </w:rPr>
              <w:t>热水器</w:t>
            </w:r>
          </w:p>
        </w:tc>
        <w:tc>
          <w:tcPr>
            <w:tcW w:w="1481" w:type="dxa"/>
            <w:tcBorders>
              <w:top w:val="single" w:color="auto" w:sz="4" w:space="0"/>
              <w:left w:val="single" w:color="auto" w:sz="4" w:space="0"/>
              <w:bottom w:val="single" w:color="auto" w:sz="4" w:space="0"/>
              <w:right w:val="single" w:color="auto" w:sz="4" w:space="0"/>
            </w:tcBorders>
            <w:vAlign w:val="center"/>
          </w:tcPr>
          <w:p w14:paraId="1414681C">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★电热</w:t>
            </w:r>
            <w:r>
              <w:rPr>
                <w:rFonts w:hint="eastAsia" w:ascii="宋体" w:hAnsi="宋体" w:cs="宋体"/>
                <w:color w:val="auto"/>
                <w:spacing w:val="2"/>
                <w:sz w:val="21"/>
                <w:szCs w:val="21"/>
                <w:highlight w:val="none"/>
              </w:rPr>
              <w:t>水</w:t>
            </w:r>
            <w:r>
              <w:rPr>
                <w:rFonts w:hint="eastAsia" w:ascii="宋体" w:hAnsi="宋体" w:cs="宋体"/>
                <w:color w:val="auto"/>
                <w:sz w:val="21"/>
                <w:szCs w:val="21"/>
                <w:highlight w:val="none"/>
              </w:rPr>
              <w:t>器</w:t>
            </w:r>
          </w:p>
        </w:tc>
        <w:tc>
          <w:tcPr>
            <w:tcW w:w="3452" w:type="dxa"/>
            <w:tcBorders>
              <w:top w:val="single" w:color="auto" w:sz="4" w:space="0"/>
              <w:left w:val="single" w:color="auto" w:sz="4" w:space="0"/>
              <w:bottom w:val="single" w:color="auto" w:sz="4" w:space="0"/>
              <w:right w:val="single" w:color="auto" w:sz="4" w:space="0"/>
            </w:tcBorders>
          </w:tcPr>
          <w:p w14:paraId="6DEAA8ED">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《储水式电热水器能效限定值及能效等级》（GB21519）</w:t>
            </w:r>
          </w:p>
        </w:tc>
      </w:tr>
      <w:tr w14:paraId="7097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0ED0632D">
            <w:pPr>
              <w:widowControl/>
              <w:jc w:val="left"/>
              <w:rPr>
                <w:rFonts w:ascii="宋体" w:hAnsi="宋体" w:cs="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6B7972F0">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2D3B46DE">
            <w:pPr>
              <w:widowControl/>
              <w:jc w:val="left"/>
              <w:rPr>
                <w:rFonts w:ascii="宋体" w:hAnsi="宋体" w:cs="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561A78DB">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燃气热</w:t>
            </w:r>
            <w:r>
              <w:rPr>
                <w:rFonts w:hint="eastAsia" w:ascii="宋体" w:hAnsi="宋体" w:cs="宋体"/>
                <w:color w:val="auto"/>
                <w:spacing w:val="2"/>
                <w:sz w:val="21"/>
                <w:szCs w:val="21"/>
                <w:highlight w:val="none"/>
              </w:rPr>
              <w:t>水</w:t>
            </w:r>
            <w:r>
              <w:rPr>
                <w:rFonts w:hint="eastAsia" w:ascii="宋体" w:hAnsi="宋体" w:cs="宋体"/>
                <w:color w:val="auto"/>
                <w:sz w:val="21"/>
                <w:szCs w:val="21"/>
                <w:highlight w:val="none"/>
              </w:rPr>
              <w:t>器</w:t>
            </w:r>
          </w:p>
        </w:tc>
        <w:tc>
          <w:tcPr>
            <w:tcW w:w="3452" w:type="dxa"/>
            <w:tcBorders>
              <w:top w:val="single" w:color="auto" w:sz="4" w:space="0"/>
              <w:left w:val="single" w:color="auto" w:sz="4" w:space="0"/>
              <w:bottom w:val="single" w:color="auto" w:sz="4" w:space="0"/>
              <w:right w:val="single" w:color="auto" w:sz="4" w:space="0"/>
            </w:tcBorders>
          </w:tcPr>
          <w:p w14:paraId="509B4AF7">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《家用燃气快速热水器和燃气采暖热水炉能效限定值及能效等级》（GB20665）</w:t>
            </w:r>
          </w:p>
        </w:tc>
      </w:tr>
      <w:tr w14:paraId="13EA1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09608CEC">
            <w:pPr>
              <w:widowControl/>
              <w:jc w:val="left"/>
              <w:rPr>
                <w:rFonts w:ascii="宋体" w:hAnsi="宋体" w:cs="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580AE138">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346F16FB">
            <w:pPr>
              <w:widowControl/>
              <w:jc w:val="left"/>
              <w:rPr>
                <w:rFonts w:ascii="宋体" w:hAnsi="宋体" w:cs="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24D17BC5">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热泵热</w:t>
            </w:r>
            <w:r>
              <w:rPr>
                <w:rFonts w:hint="eastAsia" w:ascii="宋体" w:hAnsi="宋体" w:cs="宋体"/>
                <w:color w:val="auto"/>
                <w:spacing w:val="2"/>
                <w:sz w:val="21"/>
                <w:szCs w:val="21"/>
                <w:highlight w:val="none"/>
              </w:rPr>
              <w:t>水</w:t>
            </w:r>
            <w:r>
              <w:rPr>
                <w:rFonts w:hint="eastAsia" w:ascii="宋体" w:hAnsi="宋体" w:cs="宋体"/>
                <w:color w:val="auto"/>
                <w:sz w:val="21"/>
                <w:szCs w:val="21"/>
                <w:highlight w:val="none"/>
              </w:rPr>
              <w:t>器</w:t>
            </w:r>
          </w:p>
        </w:tc>
        <w:tc>
          <w:tcPr>
            <w:tcW w:w="3452" w:type="dxa"/>
            <w:tcBorders>
              <w:top w:val="single" w:color="auto" w:sz="4" w:space="0"/>
              <w:left w:val="single" w:color="auto" w:sz="4" w:space="0"/>
              <w:bottom w:val="single" w:color="auto" w:sz="4" w:space="0"/>
              <w:right w:val="single" w:color="auto" w:sz="4" w:space="0"/>
            </w:tcBorders>
          </w:tcPr>
          <w:p w14:paraId="1385ED37">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《热泵热水机（器）能效限定值及能效等级》（GB29541）</w:t>
            </w:r>
          </w:p>
        </w:tc>
      </w:tr>
      <w:tr w14:paraId="4A413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167766F8">
            <w:pPr>
              <w:widowControl/>
              <w:jc w:val="left"/>
              <w:rPr>
                <w:rFonts w:ascii="宋体" w:hAnsi="宋体" w:cs="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7DB5F9CD">
            <w:pPr>
              <w:widowControl/>
              <w:jc w:val="left"/>
              <w:rPr>
                <w:rFonts w:ascii="宋体" w:hAnsi="宋体" w:cs="宋体"/>
                <w:color w:val="auto"/>
                <w:szCs w:val="21"/>
                <w:highlight w:val="none"/>
              </w:rPr>
            </w:pPr>
          </w:p>
        </w:tc>
        <w:tc>
          <w:tcPr>
            <w:tcW w:w="1496" w:type="dxa"/>
            <w:vMerge w:val="continue"/>
            <w:tcBorders>
              <w:top w:val="single" w:color="auto" w:sz="4" w:space="0"/>
              <w:left w:val="single" w:color="auto" w:sz="4" w:space="0"/>
              <w:bottom w:val="single" w:color="auto" w:sz="4" w:space="0"/>
              <w:right w:val="single" w:color="auto" w:sz="4" w:space="0"/>
            </w:tcBorders>
            <w:vAlign w:val="center"/>
          </w:tcPr>
          <w:p w14:paraId="493D3924">
            <w:pPr>
              <w:widowControl/>
              <w:jc w:val="left"/>
              <w:rPr>
                <w:rFonts w:ascii="宋体" w:hAnsi="宋体" w:cs="宋体"/>
                <w:color w:val="auto"/>
                <w:szCs w:val="21"/>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4CC5E3BB">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太阳能</w:t>
            </w:r>
            <w:r>
              <w:rPr>
                <w:rFonts w:hint="eastAsia" w:ascii="宋体" w:hAnsi="宋体" w:cs="宋体"/>
                <w:color w:val="auto"/>
                <w:spacing w:val="2"/>
                <w:sz w:val="21"/>
                <w:szCs w:val="21"/>
                <w:highlight w:val="none"/>
              </w:rPr>
              <w:t>热</w:t>
            </w:r>
            <w:r>
              <w:rPr>
                <w:rFonts w:hint="eastAsia" w:ascii="宋体" w:hAnsi="宋体" w:cs="宋体"/>
                <w:color w:val="auto"/>
                <w:sz w:val="21"/>
                <w:szCs w:val="21"/>
                <w:highlight w:val="none"/>
              </w:rPr>
              <w:t>水系统</w:t>
            </w:r>
          </w:p>
        </w:tc>
        <w:tc>
          <w:tcPr>
            <w:tcW w:w="3452" w:type="dxa"/>
            <w:tcBorders>
              <w:top w:val="single" w:color="auto" w:sz="4" w:space="0"/>
              <w:left w:val="single" w:color="auto" w:sz="4" w:space="0"/>
              <w:bottom w:val="single" w:color="auto" w:sz="4" w:space="0"/>
              <w:right w:val="single" w:color="auto" w:sz="4" w:space="0"/>
            </w:tcBorders>
          </w:tcPr>
          <w:p w14:paraId="5EBE6BFA">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《家用太阳能热水系统能效限定值及能效等级》（GB26969）</w:t>
            </w:r>
          </w:p>
        </w:tc>
      </w:tr>
      <w:tr w14:paraId="6FA88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auto" w:sz="4" w:space="0"/>
              <w:left w:val="single" w:color="auto" w:sz="4" w:space="0"/>
              <w:bottom w:val="single" w:color="auto" w:sz="4" w:space="0"/>
              <w:right w:val="single" w:color="auto" w:sz="4" w:space="0"/>
            </w:tcBorders>
            <w:vAlign w:val="center"/>
          </w:tcPr>
          <w:p w14:paraId="42E7EB65">
            <w:pPr>
              <w:pStyle w:val="262"/>
              <w:jc w:val="center"/>
              <w:rPr>
                <w:rFonts w:ascii="宋体" w:hAnsi="宋体" w:cs="宋体"/>
                <w:color w:val="auto"/>
                <w:sz w:val="21"/>
                <w:szCs w:val="21"/>
                <w:highlight w:val="none"/>
              </w:rPr>
            </w:pPr>
            <w:r>
              <w:rPr>
                <w:rFonts w:hint="eastAsia" w:ascii="宋体" w:hAnsi="宋体"/>
                <w:color w:val="auto"/>
                <w:spacing w:val="1"/>
                <w:sz w:val="21"/>
                <w:szCs w:val="21"/>
                <w:highlight w:val="none"/>
              </w:rPr>
              <w:t>1</w:t>
            </w:r>
            <w:r>
              <w:rPr>
                <w:rFonts w:hint="eastAsia" w:ascii="宋体" w:hAnsi="宋体"/>
                <w:color w:val="auto"/>
                <w:sz w:val="21"/>
                <w:szCs w:val="21"/>
                <w:highlight w:val="none"/>
              </w:rPr>
              <w:t>1</w:t>
            </w:r>
          </w:p>
        </w:tc>
        <w:tc>
          <w:tcPr>
            <w:tcW w:w="1422" w:type="dxa"/>
            <w:vMerge w:val="restart"/>
            <w:tcBorders>
              <w:top w:val="single" w:color="auto" w:sz="4" w:space="0"/>
              <w:left w:val="single" w:color="auto" w:sz="4" w:space="0"/>
              <w:bottom w:val="single" w:color="auto" w:sz="4" w:space="0"/>
              <w:right w:val="single" w:color="auto" w:sz="4" w:space="0"/>
            </w:tcBorders>
            <w:vAlign w:val="center"/>
          </w:tcPr>
          <w:p w14:paraId="563E46D9">
            <w:pPr>
              <w:pStyle w:val="262"/>
              <w:spacing w:before="157"/>
              <w:jc w:val="center"/>
              <w:rPr>
                <w:rFonts w:ascii="宋体" w:hAnsi="宋体" w:cs="宋体"/>
                <w:color w:val="auto"/>
                <w:sz w:val="21"/>
                <w:szCs w:val="21"/>
                <w:highlight w:val="none"/>
              </w:rPr>
            </w:pPr>
            <w:r>
              <w:rPr>
                <w:rFonts w:hint="eastAsia" w:ascii="宋体" w:hAnsi="宋体" w:cs="宋体"/>
                <w:color w:val="auto"/>
                <w:spacing w:val="1"/>
                <w:sz w:val="21"/>
                <w:szCs w:val="21"/>
                <w:highlight w:val="none"/>
              </w:rPr>
              <w:t>A02</w:t>
            </w:r>
            <w:r>
              <w:rPr>
                <w:rFonts w:hint="eastAsia" w:ascii="宋体" w:hAnsi="宋体" w:cs="宋体"/>
                <w:color w:val="auto"/>
                <w:sz w:val="21"/>
                <w:szCs w:val="21"/>
                <w:highlight w:val="none"/>
              </w:rPr>
              <w:t>06</w:t>
            </w:r>
            <w:r>
              <w:rPr>
                <w:rFonts w:hint="eastAsia" w:ascii="宋体" w:hAnsi="宋体" w:cs="宋体"/>
                <w:color w:val="auto"/>
                <w:spacing w:val="1"/>
                <w:sz w:val="21"/>
                <w:szCs w:val="21"/>
                <w:highlight w:val="none"/>
              </w:rPr>
              <w:t>1</w:t>
            </w:r>
            <w:r>
              <w:rPr>
                <w:rFonts w:hint="eastAsia" w:ascii="宋体" w:hAnsi="宋体" w:cs="宋体"/>
                <w:color w:val="auto"/>
                <w:sz w:val="21"/>
                <w:szCs w:val="21"/>
                <w:highlight w:val="none"/>
              </w:rPr>
              <w:t>900照明设备</w:t>
            </w:r>
          </w:p>
        </w:tc>
        <w:tc>
          <w:tcPr>
            <w:tcW w:w="1496" w:type="dxa"/>
            <w:tcBorders>
              <w:top w:val="single" w:color="auto" w:sz="4" w:space="0"/>
              <w:left w:val="single" w:color="auto" w:sz="4" w:space="0"/>
              <w:bottom w:val="single" w:color="auto" w:sz="4" w:space="0"/>
              <w:right w:val="single" w:color="auto" w:sz="4" w:space="0"/>
            </w:tcBorders>
            <w:vAlign w:val="center"/>
          </w:tcPr>
          <w:p w14:paraId="2E30E5C6">
            <w:pPr>
              <w:pStyle w:val="262"/>
              <w:spacing w:before="133" w:line="276" w:lineRule="auto"/>
              <w:ind w:left="7" w:right="7"/>
              <w:jc w:val="center"/>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★普通照明用双端荧光灯</w:t>
            </w:r>
          </w:p>
        </w:tc>
        <w:tc>
          <w:tcPr>
            <w:tcW w:w="1481" w:type="dxa"/>
            <w:tcBorders>
              <w:top w:val="single" w:color="auto" w:sz="4" w:space="0"/>
              <w:left w:val="single" w:color="auto" w:sz="4" w:space="0"/>
              <w:bottom w:val="single" w:color="auto" w:sz="4" w:space="0"/>
              <w:right w:val="single" w:color="auto" w:sz="4" w:space="0"/>
            </w:tcBorders>
            <w:vAlign w:val="center"/>
          </w:tcPr>
          <w:p w14:paraId="24EBA8D6">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7FB8CD4A">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《普通照明用双端荧光灯能效限定值及能效等级》（GB19043）</w:t>
            </w:r>
          </w:p>
        </w:tc>
      </w:tr>
      <w:tr w14:paraId="6610E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307E6FCF">
            <w:pPr>
              <w:widowControl/>
              <w:jc w:val="left"/>
              <w:rPr>
                <w:rFonts w:ascii="宋体" w:hAnsi="宋体" w:cs="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7D942DD7">
            <w:pPr>
              <w:widowControl/>
              <w:jc w:val="left"/>
              <w:rPr>
                <w:rFonts w:ascii="宋体" w:hAnsi="宋体" w:cs="宋体"/>
                <w:color w:val="auto"/>
                <w:szCs w:val="21"/>
                <w:highlight w:val="none"/>
              </w:rPr>
            </w:pPr>
          </w:p>
        </w:tc>
        <w:tc>
          <w:tcPr>
            <w:tcW w:w="1496" w:type="dxa"/>
            <w:tcBorders>
              <w:top w:val="single" w:color="auto" w:sz="4" w:space="0"/>
              <w:left w:val="single" w:color="auto" w:sz="4" w:space="0"/>
              <w:bottom w:val="single" w:color="auto" w:sz="4" w:space="0"/>
              <w:right w:val="single" w:color="auto" w:sz="4" w:space="0"/>
            </w:tcBorders>
            <w:vAlign w:val="center"/>
          </w:tcPr>
          <w:p w14:paraId="38AF828C">
            <w:pPr>
              <w:pStyle w:val="262"/>
              <w:spacing w:before="92" w:line="276" w:lineRule="auto"/>
              <w:ind w:left="7" w:right="2"/>
              <w:jc w:val="center"/>
              <w:rPr>
                <w:rFonts w:ascii="宋体" w:hAnsi="宋体" w:cs="宋体"/>
                <w:color w:val="auto"/>
                <w:sz w:val="21"/>
                <w:szCs w:val="21"/>
                <w:highlight w:val="none"/>
              </w:rPr>
            </w:pPr>
            <w:r>
              <w:rPr>
                <w:rFonts w:hint="eastAsia" w:ascii="宋体" w:hAnsi="宋体" w:cs="宋体"/>
                <w:color w:val="auto"/>
                <w:spacing w:val="1"/>
                <w:sz w:val="21"/>
                <w:szCs w:val="21"/>
                <w:highlight w:val="none"/>
              </w:rPr>
              <w:t>LE</w:t>
            </w:r>
            <w:r>
              <w:rPr>
                <w:rFonts w:hint="eastAsia" w:ascii="宋体" w:hAnsi="宋体" w:cs="宋体"/>
                <w:color w:val="auto"/>
                <w:sz w:val="21"/>
                <w:szCs w:val="21"/>
                <w:highlight w:val="none"/>
              </w:rPr>
              <w:t>D</w:t>
            </w:r>
            <w:r>
              <w:rPr>
                <w:rFonts w:hint="eastAsia" w:ascii="宋体" w:hAnsi="宋体" w:cs="宋体"/>
                <w:color w:val="auto"/>
                <w:spacing w:val="12"/>
                <w:sz w:val="21"/>
                <w:szCs w:val="21"/>
                <w:highlight w:val="none"/>
              </w:rPr>
              <w:t>道</w:t>
            </w:r>
            <w:r>
              <w:rPr>
                <w:rFonts w:hint="eastAsia" w:ascii="宋体" w:hAnsi="宋体" w:cs="宋体"/>
                <w:color w:val="auto"/>
                <w:spacing w:val="9"/>
                <w:sz w:val="21"/>
                <w:szCs w:val="21"/>
                <w:highlight w:val="none"/>
              </w:rPr>
              <w:t>路</w:t>
            </w:r>
            <w:r>
              <w:rPr>
                <w:rFonts w:hint="eastAsia" w:ascii="宋体" w:hAnsi="宋体" w:cs="宋体"/>
                <w:color w:val="auto"/>
                <w:spacing w:val="13"/>
                <w:sz w:val="21"/>
                <w:szCs w:val="21"/>
                <w:highlight w:val="none"/>
              </w:rPr>
              <w:t>/</w:t>
            </w:r>
            <w:r>
              <w:rPr>
                <w:rFonts w:hint="eastAsia" w:ascii="宋体" w:hAnsi="宋体" w:cs="宋体"/>
                <w:color w:val="auto"/>
                <w:spacing w:val="12"/>
                <w:sz w:val="21"/>
                <w:szCs w:val="21"/>
                <w:highlight w:val="none"/>
              </w:rPr>
              <w:t>隧道照</w:t>
            </w:r>
            <w:r>
              <w:rPr>
                <w:rFonts w:hint="eastAsia" w:ascii="宋体" w:hAnsi="宋体" w:cs="宋体"/>
                <w:color w:val="auto"/>
                <w:sz w:val="21"/>
                <w:szCs w:val="21"/>
                <w:highlight w:val="none"/>
              </w:rPr>
              <w:t>明产品</w:t>
            </w:r>
          </w:p>
        </w:tc>
        <w:tc>
          <w:tcPr>
            <w:tcW w:w="1481" w:type="dxa"/>
            <w:tcBorders>
              <w:top w:val="single" w:color="auto" w:sz="4" w:space="0"/>
              <w:left w:val="single" w:color="auto" w:sz="4" w:space="0"/>
              <w:bottom w:val="single" w:color="auto" w:sz="4" w:space="0"/>
              <w:right w:val="single" w:color="auto" w:sz="4" w:space="0"/>
            </w:tcBorders>
            <w:vAlign w:val="center"/>
          </w:tcPr>
          <w:p w14:paraId="40300F00">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0EBC3A2F">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《道路和隧道照明用LED灯具能效限定值及能效等级》（GB37478）</w:t>
            </w:r>
          </w:p>
        </w:tc>
      </w:tr>
      <w:tr w14:paraId="5FE6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31539DE9">
            <w:pPr>
              <w:widowControl/>
              <w:jc w:val="left"/>
              <w:rPr>
                <w:rFonts w:ascii="宋体" w:hAnsi="宋体" w:cs="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6FDDB14F">
            <w:pPr>
              <w:widowControl/>
              <w:jc w:val="left"/>
              <w:rPr>
                <w:rFonts w:ascii="宋体" w:hAnsi="宋体" w:cs="宋体"/>
                <w:color w:val="auto"/>
                <w:szCs w:val="21"/>
                <w:highlight w:val="none"/>
              </w:rPr>
            </w:pPr>
          </w:p>
        </w:tc>
        <w:tc>
          <w:tcPr>
            <w:tcW w:w="1496" w:type="dxa"/>
            <w:tcBorders>
              <w:top w:val="single" w:color="auto" w:sz="4" w:space="0"/>
              <w:left w:val="single" w:color="auto" w:sz="4" w:space="0"/>
              <w:bottom w:val="single" w:color="auto" w:sz="4" w:space="0"/>
              <w:right w:val="single" w:color="auto" w:sz="4" w:space="0"/>
            </w:tcBorders>
            <w:vAlign w:val="center"/>
          </w:tcPr>
          <w:p w14:paraId="26E81059">
            <w:pPr>
              <w:pStyle w:val="262"/>
              <w:jc w:val="center"/>
              <w:rPr>
                <w:rFonts w:ascii="宋体" w:hAnsi="宋体" w:cs="宋体"/>
                <w:color w:val="auto"/>
                <w:sz w:val="21"/>
                <w:szCs w:val="21"/>
                <w:highlight w:val="none"/>
              </w:rPr>
            </w:pPr>
            <w:r>
              <w:rPr>
                <w:rFonts w:hint="eastAsia" w:ascii="宋体" w:hAnsi="宋体" w:cs="宋体"/>
                <w:color w:val="auto"/>
                <w:spacing w:val="1"/>
                <w:sz w:val="21"/>
                <w:szCs w:val="21"/>
                <w:highlight w:val="none"/>
              </w:rPr>
              <w:t>LE</w:t>
            </w:r>
            <w:r>
              <w:rPr>
                <w:rFonts w:hint="eastAsia" w:ascii="宋体" w:hAnsi="宋体" w:cs="宋体"/>
                <w:color w:val="auto"/>
                <w:sz w:val="21"/>
                <w:szCs w:val="21"/>
                <w:highlight w:val="none"/>
              </w:rPr>
              <w:t>D筒灯</w:t>
            </w:r>
          </w:p>
        </w:tc>
        <w:tc>
          <w:tcPr>
            <w:tcW w:w="1481" w:type="dxa"/>
            <w:tcBorders>
              <w:top w:val="single" w:color="auto" w:sz="4" w:space="0"/>
              <w:left w:val="single" w:color="auto" w:sz="4" w:space="0"/>
              <w:bottom w:val="single" w:color="auto" w:sz="4" w:space="0"/>
              <w:right w:val="single" w:color="auto" w:sz="4" w:space="0"/>
            </w:tcBorders>
            <w:vAlign w:val="center"/>
          </w:tcPr>
          <w:p w14:paraId="2FC7E87F">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232F1286">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《室内照明用LED产品能效限定值及能效等级》（GB30255）</w:t>
            </w:r>
          </w:p>
        </w:tc>
      </w:tr>
      <w:tr w14:paraId="0B98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27489C63">
            <w:pPr>
              <w:widowControl/>
              <w:jc w:val="left"/>
              <w:rPr>
                <w:rFonts w:ascii="宋体" w:hAnsi="宋体" w:cs="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27A44E05">
            <w:pPr>
              <w:widowControl/>
              <w:jc w:val="left"/>
              <w:rPr>
                <w:rFonts w:ascii="宋体" w:hAnsi="宋体" w:cs="宋体"/>
                <w:color w:val="auto"/>
                <w:szCs w:val="21"/>
                <w:highlight w:val="none"/>
              </w:rPr>
            </w:pPr>
          </w:p>
        </w:tc>
        <w:tc>
          <w:tcPr>
            <w:tcW w:w="1496" w:type="dxa"/>
            <w:tcBorders>
              <w:top w:val="single" w:color="auto" w:sz="4" w:space="0"/>
              <w:left w:val="single" w:color="auto" w:sz="4" w:space="0"/>
              <w:bottom w:val="single" w:color="auto" w:sz="4" w:space="0"/>
              <w:right w:val="single" w:color="auto" w:sz="4" w:space="0"/>
            </w:tcBorders>
            <w:vAlign w:val="center"/>
          </w:tcPr>
          <w:p w14:paraId="6551D74D">
            <w:pPr>
              <w:pStyle w:val="262"/>
              <w:spacing w:line="276" w:lineRule="auto"/>
              <w:ind w:right="7"/>
              <w:jc w:val="center"/>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普</w:t>
            </w:r>
            <w:r>
              <w:rPr>
                <w:rFonts w:hint="eastAsia" w:ascii="宋体" w:hAnsi="宋体" w:cs="宋体"/>
                <w:color w:val="auto"/>
                <w:spacing w:val="24"/>
                <w:sz w:val="21"/>
                <w:szCs w:val="21"/>
                <w:highlight w:val="none"/>
                <w:lang w:eastAsia="zh-CN"/>
              </w:rPr>
              <w:t>通</w:t>
            </w:r>
            <w:r>
              <w:rPr>
                <w:rFonts w:hint="eastAsia" w:ascii="宋体" w:hAnsi="宋体" w:cs="宋体"/>
                <w:color w:val="auto"/>
                <w:sz w:val="21"/>
                <w:szCs w:val="21"/>
                <w:highlight w:val="none"/>
                <w:lang w:eastAsia="zh-CN"/>
              </w:rPr>
              <w:t>照明用非</w:t>
            </w:r>
            <w:r>
              <w:rPr>
                <w:rFonts w:hint="eastAsia" w:ascii="宋体" w:hAnsi="宋体" w:cs="宋体"/>
                <w:color w:val="auto"/>
                <w:spacing w:val="24"/>
                <w:sz w:val="21"/>
                <w:szCs w:val="21"/>
                <w:highlight w:val="none"/>
                <w:lang w:eastAsia="zh-CN"/>
              </w:rPr>
              <w:t>定</w:t>
            </w:r>
            <w:r>
              <w:rPr>
                <w:rFonts w:hint="eastAsia" w:ascii="宋体" w:hAnsi="宋体" w:cs="宋体"/>
                <w:color w:val="auto"/>
                <w:sz w:val="21"/>
                <w:szCs w:val="21"/>
                <w:highlight w:val="none"/>
                <w:lang w:eastAsia="zh-CN"/>
              </w:rPr>
              <w:t>向自镇流</w:t>
            </w:r>
            <w:r>
              <w:rPr>
                <w:rFonts w:hint="eastAsia" w:ascii="宋体" w:hAnsi="宋体" w:cs="宋体"/>
                <w:color w:val="auto"/>
                <w:spacing w:val="1"/>
                <w:sz w:val="21"/>
                <w:szCs w:val="21"/>
                <w:highlight w:val="none"/>
                <w:lang w:eastAsia="zh-CN"/>
              </w:rPr>
              <w:t>LE</w:t>
            </w:r>
            <w:r>
              <w:rPr>
                <w:rFonts w:hint="eastAsia" w:ascii="宋体" w:hAnsi="宋体" w:cs="宋体"/>
                <w:color w:val="auto"/>
                <w:sz w:val="21"/>
                <w:szCs w:val="21"/>
                <w:highlight w:val="none"/>
                <w:lang w:eastAsia="zh-CN"/>
              </w:rPr>
              <w:t>D灯</w:t>
            </w:r>
          </w:p>
        </w:tc>
        <w:tc>
          <w:tcPr>
            <w:tcW w:w="1481" w:type="dxa"/>
            <w:tcBorders>
              <w:top w:val="single" w:color="auto" w:sz="4" w:space="0"/>
              <w:left w:val="single" w:color="auto" w:sz="4" w:space="0"/>
              <w:bottom w:val="single" w:color="auto" w:sz="4" w:space="0"/>
              <w:right w:val="single" w:color="auto" w:sz="4" w:space="0"/>
            </w:tcBorders>
            <w:vAlign w:val="center"/>
          </w:tcPr>
          <w:p w14:paraId="0FBD9BBD">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780C5150">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《室内照明用LED产品能效限定值及能效等级》（GB30255）</w:t>
            </w:r>
          </w:p>
        </w:tc>
      </w:tr>
      <w:tr w14:paraId="76DED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6E742401">
            <w:pPr>
              <w:pStyle w:val="262"/>
              <w:jc w:val="center"/>
              <w:rPr>
                <w:rFonts w:ascii="宋体" w:hAnsi="宋体" w:cs="宋体"/>
                <w:color w:val="auto"/>
                <w:sz w:val="21"/>
                <w:szCs w:val="21"/>
                <w:highlight w:val="none"/>
              </w:rPr>
            </w:pPr>
            <w:r>
              <w:rPr>
                <w:rFonts w:hint="eastAsia" w:ascii="宋体" w:hAnsi="宋体"/>
                <w:color w:val="auto"/>
                <w:spacing w:val="1"/>
                <w:sz w:val="21"/>
                <w:szCs w:val="21"/>
                <w:highlight w:val="none"/>
              </w:rPr>
              <w:t>1</w:t>
            </w:r>
            <w:r>
              <w:rPr>
                <w:rFonts w:hint="eastAsia" w:ascii="宋体" w:hAnsi="宋体"/>
                <w:color w:val="auto"/>
                <w:sz w:val="21"/>
                <w:szCs w:val="21"/>
                <w:highlight w:val="none"/>
              </w:rPr>
              <w:t>2</w:t>
            </w:r>
          </w:p>
        </w:tc>
        <w:tc>
          <w:tcPr>
            <w:tcW w:w="1422" w:type="dxa"/>
            <w:tcBorders>
              <w:top w:val="single" w:color="auto" w:sz="4" w:space="0"/>
              <w:left w:val="single" w:color="auto" w:sz="4" w:space="0"/>
              <w:bottom w:val="single" w:color="auto" w:sz="4" w:space="0"/>
              <w:right w:val="single" w:color="auto" w:sz="4" w:space="0"/>
            </w:tcBorders>
            <w:vAlign w:val="center"/>
          </w:tcPr>
          <w:p w14:paraId="789622CF">
            <w:pPr>
              <w:pStyle w:val="262"/>
              <w:spacing w:before="81"/>
              <w:ind w:left="7"/>
              <w:jc w:val="center"/>
              <w:rPr>
                <w:rFonts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pacing w:val="1"/>
                <w:sz w:val="21"/>
                <w:szCs w:val="21"/>
                <w:highlight w:val="none"/>
              </w:rPr>
              <w:t>A020</w:t>
            </w:r>
            <w:r>
              <w:rPr>
                <w:rFonts w:hint="eastAsia" w:ascii="宋体" w:hAnsi="宋体" w:cs="宋体"/>
                <w:color w:val="auto"/>
                <w:sz w:val="21"/>
                <w:szCs w:val="21"/>
                <w:highlight w:val="none"/>
              </w:rPr>
              <w:t>91000电视设备</w:t>
            </w:r>
          </w:p>
        </w:tc>
        <w:tc>
          <w:tcPr>
            <w:tcW w:w="1496" w:type="dxa"/>
            <w:tcBorders>
              <w:top w:val="single" w:color="auto" w:sz="4" w:space="0"/>
              <w:left w:val="single" w:color="auto" w:sz="4" w:space="0"/>
              <w:bottom w:val="single" w:color="auto" w:sz="4" w:space="0"/>
              <w:right w:val="single" w:color="auto" w:sz="4" w:space="0"/>
            </w:tcBorders>
            <w:vAlign w:val="center"/>
          </w:tcPr>
          <w:p w14:paraId="32C2677F">
            <w:pPr>
              <w:pStyle w:val="262"/>
              <w:spacing w:before="81" w:line="276" w:lineRule="auto"/>
              <w:ind w:left="7" w:right="5"/>
              <w:jc w:val="center"/>
              <w:rPr>
                <w:rFonts w:ascii="宋体" w:hAnsi="宋体" w:cs="宋体"/>
                <w:color w:val="auto"/>
                <w:sz w:val="21"/>
                <w:szCs w:val="21"/>
                <w:highlight w:val="none"/>
                <w:lang w:eastAsia="zh-CN"/>
              </w:rPr>
            </w:pPr>
            <w:r>
              <w:rPr>
                <w:rFonts w:hint="eastAsia" w:ascii="宋体" w:hAnsi="宋体" w:cs="宋体"/>
                <w:color w:val="auto"/>
                <w:spacing w:val="1"/>
                <w:sz w:val="21"/>
                <w:szCs w:val="21"/>
                <w:highlight w:val="none"/>
                <w:lang w:eastAsia="zh-CN"/>
              </w:rPr>
              <w:t>A02</w:t>
            </w:r>
            <w:r>
              <w:rPr>
                <w:rFonts w:hint="eastAsia" w:ascii="宋体" w:hAnsi="宋体" w:cs="宋体"/>
                <w:color w:val="auto"/>
                <w:sz w:val="21"/>
                <w:szCs w:val="21"/>
                <w:highlight w:val="none"/>
                <w:lang w:eastAsia="zh-CN"/>
              </w:rPr>
              <w:t>09</w:t>
            </w:r>
            <w:r>
              <w:rPr>
                <w:rFonts w:hint="eastAsia" w:ascii="宋体" w:hAnsi="宋体" w:cs="宋体"/>
                <w:color w:val="auto"/>
                <w:spacing w:val="1"/>
                <w:sz w:val="21"/>
                <w:szCs w:val="21"/>
                <w:highlight w:val="none"/>
                <w:lang w:eastAsia="zh-CN"/>
              </w:rPr>
              <w:t>1</w:t>
            </w:r>
            <w:r>
              <w:rPr>
                <w:rFonts w:hint="eastAsia" w:ascii="宋体" w:hAnsi="宋体" w:cs="宋体"/>
                <w:color w:val="auto"/>
                <w:sz w:val="21"/>
                <w:szCs w:val="21"/>
                <w:highlight w:val="none"/>
                <w:lang w:eastAsia="zh-CN"/>
              </w:rPr>
              <w:t>001普通电视设备（</w:t>
            </w:r>
            <w:r>
              <w:rPr>
                <w:rFonts w:hint="eastAsia" w:ascii="宋体" w:hAnsi="宋体" w:cs="宋体"/>
                <w:color w:val="auto"/>
                <w:spacing w:val="2"/>
                <w:sz w:val="21"/>
                <w:szCs w:val="21"/>
                <w:highlight w:val="none"/>
                <w:lang w:eastAsia="zh-CN"/>
              </w:rPr>
              <w:t>电</w:t>
            </w:r>
            <w:r>
              <w:rPr>
                <w:rFonts w:hint="eastAsia" w:ascii="宋体" w:hAnsi="宋体" w:cs="宋体"/>
                <w:color w:val="auto"/>
                <w:sz w:val="21"/>
                <w:szCs w:val="21"/>
                <w:highlight w:val="none"/>
                <w:lang w:eastAsia="zh-CN"/>
              </w:rPr>
              <w:t>视机）</w:t>
            </w:r>
          </w:p>
        </w:tc>
        <w:tc>
          <w:tcPr>
            <w:tcW w:w="1481" w:type="dxa"/>
            <w:tcBorders>
              <w:top w:val="single" w:color="auto" w:sz="4" w:space="0"/>
              <w:left w:val="single" w:color="auto" w:sz="4" w:space="0"/>
              <w:bottom w:val="single" w:color="auto" w:sz="4" w:space="0"/>
              <w:right w:val="single" w:color="auto" w:sz="4" w:space="0"/>
            </w:tcBorders>
            <w:vAlign w:val="center"/>
          </w:tcPr>
          <w:p w14:paraId="67093632">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67710BCE">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《平板电视能效限定值及能效等级》（GB24850）</w:t>
            </w:r>
          </w:p>
        </w:tc>
      </w:tr>
      <w:tr w14:paraId="2E70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5CEDCED7">
            <w:pPr>
              <w:pStyle w:val="262"/>
              <w:jc w:val="center"/>
              <w:rPr>
                <w:rFonts w:ascii="宋体" w:hAnsi="宋体" w:cs="宋体"/>
                <w:color w:val="auto"/>
                <w:sz w:val="21"/>
                <w:szCs w:val="21"/>
                <w:highlight w:val="none"/>
              </w:rPr>
            </w:pPr>
            <w:r>
              <w:rPr>
                <w:rFonts w:hint="eastAsia" w:ascii="宋体" w:hAnsi="宋体"/>
                <w:color w:val="auto"/>
                <w:spacing w:val="1"/>
                <w:sz w:val="21"/>
                <w:szCs w:val="21"/>
                <w:highlight w:val="none"/>
              </w:rPr>
              <w:t>1</w:t>
            </w:r>
            <w:r>
              <w:rPr>
                <w:rFonts w:hint="eastAsia" w:ascii="宋体" w:hAnsi="宋体"/>
                <w:color w:val="auto"/>
                <w:sz w:val="21"/>
                <w:szCs w:val="21"/>
                <w:highlight w:val="none"/>
              </w:rPr>
              <w:t>3</w:t>
            </w:r>
          </w:p>
        </w:tc>
        <w:tc>
          <w:tcPr>
            <w:tcW w:w="1422" w:type="dxa"/>
            <w:tcBorders>
              <w:top w:val="single" w:color="auto" w:sz="4" w:space="0"/>
              <w:left w:val="single" w:color="auto" w:sz="4" w:space="0"/>
              <w:bottom w:val="single" w:color="auto" w:sz="4" w:space="0"/>
              <w:right w:val="single" w:color="auto" w:sz="4" w:space="0"/>
            </w:tcBorders>
            <w:vAlign w:val="center"/>
          </w:tcPr>
          <w:p w14:paraId="2A24FCA0">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pacing w:val="1"/>
                <w:sz w:val="21"/>
                <w:szCs w:val="21"/>
                <w:highlight w:val="none"/>
              </w:rPr>
              <w:t>A020</w:t>
            </w:r>
            <w:r>
              <w:rPr>
                <w:rFonts w:hint="eastAsia" w:ascii="宋体" w:hAnsi="宋体" w:cs="宋体"/>
                <w:color w:val="auto"/>
                <w:sz w:val="21"/>
                <w:szCs w:val="21"/>
                <w:highlight w:val="none"/>
              </w:rPr>
              <w:t>91100视频设备</w:t>
            </w:r>
          </w:p>
        </w:tc>
        <w:tc>
          <w:tcPr>
            <w:tcW w:w="1496" w:type="dxa"/>
            <w:tcBorders>
              <w:top w:val="single" w:color="auto" w:sz="4" w:space="0"/>
              <w:left w:val="single" w:color="auto" w:sz="4" w:space="0"/>
              <w:bottom w:val="single" w:color="auto" w:sz="4" w:space="0"/>
              <w:right w:val="single" w:color="auto" w:sz="4" w:space="0"/>
            </w:tcBorders>
            <w:vAlign w:val="center"/>
          </w:tcPr>
          <w:p w14:paraId="67FC5CE4">
            <w:pPr>
              <w:pStyle w:val="262"/>
              <w:spacing w:line="276" w:lineRule="auto"/>
              <w:ind w:right="5"/>
              <w:jc w:val="center"/>
              <w:rPr>
                <w:rFonts w:ascii="宋体" w:hAnsi="宋体" w:cs="宋体"/>
                <w:color w:val="auto"/>
                <w:sz w:val="21"/>
                <w:szCs w:val="21"/>
                <w:highlight w:val="none"/>
              </w:rPr>
            </w:pPr>
            <w:r>
              <w:rPr>
                <w:rFonts w:hint="eastAsia" w:ascii="宋体" w:hAnsi="宋体" w:cs="宋体"/>
                <w:color w:val="auto"/>
                <w:spacing w:val="1"/>
                <w:sz w:val="21"/>
                <w:szCs w:val="21"/>
                <w:highlight w:val="none"/>
              </w:rPr>
              <w:t>A02</w:t>
            </w:r>
            <w:r>
              <w:rPr>
                <w:rFonts w:hint="eastAsia" w:ascii="宋体" w:hAnsi="宋体" w:cs="宋体"/>
                <w:color w:val="auto"/>
                <w:sz w:val="21"/>
                <w:szCs w:val="21"/>
                <w:highlight w:val="none"/>
              </w:rPr>
              <w:t>09</w:t>
            </w:r>
            <w:r>
              <w:rPr>
                <w:rFonts w:hint="eastAsia" w:ascii="宋体" w:hAnsi="宋体" w:cs="宋体"/>
                <w:color w:val="auto"/>
                <w:spacing w:val="1"/>
                <w:sz w:val="21"/>
                <w:szCs w:val="21"/>
                <w:highlight w:val="none"/>
              </w:rPr>
              <w:t>1</w:t>
            </w:r>
            <w:r>
              <w:rPr>
                <w:rFonts w:hint="eastAsia" w:ascii="宋体" w:hAnsi="宋体" w:cs="宋体"/>
                <w:color w:val="auto"/>
                <w:sz w:val="21"/>
                <w:szCs w:val="21"/>
                <w:highlight w:val="none"/>
              </w:rPr>
              <w:t>107视频监控设备</w:t>
            </w:r>
          </w:p>
        </w:tc>
        <w:tc>
          <w:tcPr>
            <w:tcW w:w="1481" w:type="dxa"/>
            <w:tcBorders>
              <w:top w:val="single" w:color="auto" w:sz="4" w:space="0"/>
              <w:left w:val="single" w:color="auto" w:sz="4" w:space="0"/>
              <w:bottom w:val="single" w:color="auto" w:sz="4" w:space="0"/>
              <w:right w:val="single" w:color="auto" w:sz="4" w:space="0"/>
            </w:tcBorders>
            <w:vAlign w:val="center"/>
          </w:tcPr>
          <w:p w14:paraId="57847DB4">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监视器</w:t>
            </w:r>
          </w:p>
        </w:tc>
        <w:tc>
          <w:tcPr>
            <w:tcW w:w="3452" w:type="dxa"/>
            <w:tcBorders>
              <w:top w:val="single" w:color="auto" w:sz="4" w:space="0"/>
              <w:left w:val="single" w:color="auto" w:sz="4" w:space="0"/>
              <w:bottom w:val="single" w:color="auto" w:sz="4" w:space="0"/>
              <w:right w:val="single" w:color="auto" w:sz="4" w:space="0"/>
            </w:tcBorders>
          </w:tcPr>
          <w:p w14:paraId="10D74B4B">
            <w:pPr>
              <w:pStyle w:val="262"/>
              <w:spacing w:before="131" w:line="276" w:lineRule="auto"/>
              <w:ind w:left="7" w:right="4"/>
              <w:rPr>
                <w:rFonts w:ascii="宋体" w:hAnsi="宋体" w:cs="宋体"/>
                <w:color w:val="auto"/>
                <w:spacing w:val="10"/>
                <w:sz w:val="21"/>
                <w:szCs w:val="21"/>
                <w:highlight w:val="none"/>
                <w:lang w:eastAsia="zh-CN"/>
              </w:rPr>
            </w:pPr>
            <w:r>
              <w:rPr>
                <w:rFonts w:hint="eastAsia" w:ascii="宋体" w:hAnsi="宋体" w:cs="宋体"/>
                <w:color w:val="auto"/>
                <w:spacing w:val="10"/>
                <w:sz w:val="21"/>
                <w:szCs w:val="21"/>
                <w:highlight w:val="none"/>
                <w:lang w:eastAsia="zh-CN"/>
              </w:rPr>
              <w:t>以射频信号为主要信号输入的监视器应符合《平板电视能效限定值及能效等级》（GB24850），以数字信号为主要信号输入的监视器应符合《计算机显示器能效限定值及能效等级》（GB21520）</w:t>
            </w:r>
          </w:p>
        </w:tc>
      </w:tr>
      <w:tr w14:paraId="26FD1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22988A39">
            <w:pPr>
              <w:pStyle w:val="262"/>
              <w:jc w:val="center"/>
              <w:rPr>
                <w:rFonts w:ascii="宋体" w:hAnsi="宋体" w:cs="宋体"/>
                <w:color w:val="auto"/>
                <w:sz w:val="21"/>
                <w:szCs w:val="21"/>
                <w:highlight w:val="none"/>
              </w:rPr>
            </w:pPr>
            <w:r>
              <w:rPr>
                <w:rFonts w:hint="eastAsia" w:ascii="宋体" w:hAnsi="宋体"/>
                <w:color w:val="auto"/>
                <w:spacing w:val="1"/>
                <w:sz w:val="21"/>
                <w:szCs w:val="21"/>
                <w:highlight w:val="none"/>
              </w:rPr>
              <w:t>1</w:t>
            </w:r>
            <w:r>
              <w:rPr>
                <w:rFonts w:hint="eastAsia" w:ascii="宋体" w:hAnsi="宋体"/>
                <w:color w:val="auto"/>
                <w:sz w:val="21"/>
                <w:szCs w:val="21"/>
                <w:highlight w:val="none"/>
              </w:rPr>
              <w:t>4</w:t>
            </w:r>
          </w:p>
        </w:tc>
        <w:tc>
          <w:tcPr>
            <w:tcW w:w="1422" w:type="dxa"/>
            <w:tcBorders>
              <w:top w:val="single" w:color="auto" w:sz="4" w:space="0"/>
              <w:left w:val="single" w:color="auto" w:sz="4" w:space="0"/>
              <w:bottom w:val="single" w:color="auto" w:sz="4" w:space="0"/>
              <w:right w:val="single" w:color="auto" w:sz="4" w:space="0"/>
            </w:tcBorders>
            <w:vAlign w:val="center"/>
          </w:tcPr>
          <w:p w14:paraId="50FB7982">
            <w:pPr>
              <w:pStyle w:val="262"/>
              <w:spacing w:before="76"/>
              <w:ind w:left="7"/>
              <w:jc w:val="center"/>
              <w:rPr>
                <w:rFonts w:ascii="宋体" w:hAnsi="宋体" w:cs="宋体"/>
                <w:color w:val="auto"/>
                <w:sz w:val="21"/>
                <w:szCs w:val="21"/>
                <w:highlight w:val="none"/>
              </w:rPr>
            </w:pPr>
            <w:r>
              <w:rPr>
                <w:rFonts w:hint="eastAsia" w:ascii="宋体" w:hAnsi="宋体" w:cs="仿宋_GB2312"/>
                <w:color w:val="auto"/>
                <w:sz w:val="21"/>
                <w:szCs w:val="21"/>
                <w:highlight w:val="none"/>
              </w:rPr>
              <w:t>A02241000</w:t>
            </w:r>
            <w:r>
              <w:rPr>
                <w:rFonts w:hint="eastAsia" w:ascii="宋体" w:hAnsi="宋体" w:cs="宋体"/>
                <w:color w:val="auto"/>
                <w:sz w:val="21"/>
                <w:szCs w:val="21"/>
                <w:highlight w:val="none"/>
              </w:rPr>
              <w:t>饮食炊事机械</w:t>
            </w:r>
          </w:p>
        </w:tc>
        <w:tc>
          <w:tcPr>
            <w:tcW w:w="1496" w:type="dxa"/>
            <w:tcBorders>
              <w:top w:val="single" w:color="auto" w:sz="4" w:space="0"/>
              <w:left w:val="single" w:color="auto" w:sz="4" w:space="0"/>
              <w:bottom w:val="single" w:color="auto" w:sz="4" w:space="0"/>
              <w:right w:val="single" w:color="auto" w:sz="4" w:space="0"/>
            </w:tcBorders>
            <w:vAlign w:val="center"/>
          </w:tcPr>
          <w:p w14:paraId="5A715108">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商用燃</w:t>
            </w:r>
            <w:r>
              <w:rPr>
                <w:rFonts w:hint="eastAsia" w:ascii="宋体" w:hAnsi="宋体" w:cs="宋体"/>
                <w:color w:val="auto"/>
                <w:spacing w:val="2"/>
                <w:sz w:val="21"/>
                <w:szCs w:val="21"/>
                <w:highlight w:val="none"/>
              </w:rPr>
              <w:t>气</w:t>
            </w:r>
            <w:r>
              <w:rPr>
                <w:rFonts w:hint="eastAsia" w:ascii="宋体" w:hAnsi="宋体" w:cs="宋体"/>
                <w:color w:val="auto"/>
                <w:sz w:val="21"/>
                <w:szCs w:val="21"/>
                <w:highlight w:val="none"/>
              </w:rPr>
              <w:t>灶具</w:t>
            </w:r>
          </w:p>
        </w:tc>
        <w:tc>
          <w:tcPr>
            <w:tcW w:w="1481" w:type="dxa"/>
            <w:tcBorders>
              <w:top w:val="single" w:color="auto" w:sz="4" w:space="0"/>
              <w:left w:val="single" w:color="auto" w:sz="4" w:space="0"/>
              <w:bottom w:val="single" w:color="auto" w:sz="4" w:space="0"/>
              <w:right w:val="single" w:color="auto" w:sz="4" w:space="0"/>
            </w:tcBorders>
            <w:vAlign w:val="center"/>
          </w:tcPr>
          <w:p w14:paraId="483E93D2">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23B9B90E">
            <w:pPr>
              <w:pStyle w:val="262"/>
              <w:spacing w:before="131" w:line="276" w:lineRule="auto"/>
              <w:ind w:left="7" w:right="4"/>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《商用燃气灶具能效限定值及能效等级》（GB30531）</w:t>
            </w:r>
          </w:p>
        </w:tc>
      </w:tr>
      <w:tr w14:paraId="5D282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auto" w:sz="4" w:space="0"/>
              <w:left w:val="single" w:color="auto" w:sz="4" w:space="0"/>
              <w:bottom w:val="single" w:color="auto" w:sz="4" w:space="0"/>
              <w:right w:val="single" w:color="auto" w:sz="4" w:space="0"/>
            </w:tcBorders>
            <w:vAlign w:val="center"/>
          </w:tcPr>
          <w:p w14:paraId="56ACDAE4">
            <w:pPr>
              <w:jc w:val="center"/>
              <w:rPr>
                <w:rFonts w:ascii="宋体" w:hAnsi="宋体"/>
                <w:color w:val="auto"/>
                <w:szCs w:val="21"/>
                <w:highlight w:val="none"/>
              </w:rPr>
            </w:pPr>
            <w:r>
              <w:rPr>
                <w:rFonts w:hint="eastAsia" w:ascii="宋体" w:hAnsi="宋体"/>
                <w:color w:val="auto"/>
                <w:szCs w:val="21"/>
                <w:highlight w:val="none"/>
              </w:rPr>
              <w:t>15</w:t>
            </w:r>
          </w:p>
        </w:tc>
        <w:tc>
          <w:tcPr>
            <w:tcW w:w="1422" w:type="dxa"/>
            <w:vMerge w:val="restart"/>
            <w:tcBorders>
              <w:top w:val="single" w:color="auto" w:sz="4" w:space="0"/>
              <w:left w:val="single" w:color="auto" w:sz="4" w:space="0"/>
              <w:bottom w:val="single" w:color="auto" w:sz="4" w:space="0"/>
              <w:right w:val="single" w:color="auto" w:sz="4" w:space="0"/>
            </w:tcBorders>
            <w:vAlign w:val="center"/>
          </w:tcPr>
          <w:p w14:paraId="4056510B">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仿宋_GB2312"/>
                <w:color w:val="auto"/>
                <w:sz w:val="21"/>
                <w:szCs w:val="21"/>
                <w:highlight w:val="none"/>
              </w:rPr>
              <w:t>A05020105</w:t>
            </w:r>
            <w:r>
              <w:rPr>
                <w:rFonts w:hint="eastAsia" w:ascii="宋体" w:hAnsi="宋体" w:cs="宋体"/>
                <w:color w:val="auto"/>
                <w:sz w:val="21"/>
                <w:szCs w:val="21"/>
                <w:highlight w:val="none"/>
              </w:rPr>
              <w:t>便器</w:t>
            </w:r>
          </w:p>
        </w:tc>
        <w:tc>
          <w:tcPr>
            <w:tcW w:w="1496" w:type="dxa"/>
            <w:tcBorders>
              <w:top w:val="single" w:color="auto" w:sz="4" w:space="0"/>
              <w:left w:val="single" w:color="auto" w:sz="4" w:space="0"/>
              <w:bottom w:val="single" w:color="auto" w:sz="4" w:space="0"/>
              <w:right w:val="single" w:color="auto" w:sz="4" w:space="0"/>
            </w:tcBorders>
            <w:vAlign w:val="center"/>
          </w:tcPr>
          <w:p w14:paraId="4A6FE245">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坐便器</w:t>
            </w:r>
          </w:p>
        </w:tc>
        <w:tc>
          <w:tcPr>
            <w:tcW w:w="1481" w:type="dxa"/>
            <w:tcBorders>
              <w:top w:val="single" w:color="auto" w:sz="4" w:space="0"/>
              <w:left w:val="single" w:color="auto" w:sz="4" w:space="0"/>
              <w:bottom w:val="single" w:color="auto" w:sz="4" w:space="0"/>
              <w:right w:val="single" w:color="auto" w:sz="4" w:space="0"/>
            </w:tcBorders>
            <w:vAlign w:val="center"/>
          </w:tcPr>
          <w:p w14:paraId="414851A6">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0E712C51">
            <w:pPr>
              <w:pStyle w:val="262"/>
              <w:spacing w:before="131" w:line="276" w:lineRule="auto"/>
              <w:ind w:left="7" w:right="4"/>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《坐便器水效限定值及水效等级》</w:t>
            </w:r>
          </w:p>
          <w:p w14:paraId="26BDDF31">
            <w:pPr>
              <w:pStyle w:val="262"/>
              <w:spacing w:before="131" w:line="276" w:lineRule="auto"/>
              <w:ind w:left="7" w:right="4"/>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（GB25502）</w:t>
            </w:r>
          </w:p>
        </w:tc>
      </w:tr>
      <w:tr w14:paraId="24228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68088550">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29EF335E">
            <w:pPr>
              <w:widowControl/>
              <w:jc w:val="left"/>
              <w:rPr>
                <w:rFonts w:ascii="宋体" w:hAnsi="宋体" w:cs="宋体"/>
                <w:color w:val="auto"/>
                <w:szCs w:val="21"/>
                <w:highlight w:val="none"/>
                <w:lang w:eastAsia="en-US"/>
              </w:rPr>
            </w:pPr>
          </w:p>
        </w:tc>
        <w:tc>
          <w:tcPr>
            <w:tcW w:w="1496" w:type="dxa"/>
            <w:tcBorders>
              <w:top w:val="single" w:color="auto" w:sz="4" w:space="0"/>
              <w:left w:val="single" w:color="auto" w:sz="4" w:space="0"/>
              <w:bottom w:val="single" w:color="auto" w:sz="4" w:space="0"/>
              <w:right w:val="single" w:color="auto" w:sz="4" w:space="0"/>
            </w:tcBorders>
            <w:vAlign w:val="center"/>
          </w:tcPr>
          <w:p w14:paraId="589266CD">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蹲便器</w:t>
            </w:r>
          </w:p>
        </w:tc>
        <w:tc>
          <w:tcPr>
            <w:tcW w:w="1481" w:type="dxa"/>
            <w:tcBorders>
              <w:top w:val="single" w:color="auto" w:sz="4" w:space="0"/>
              <w:left w:val="single" w:color="auto" w:sz="4" w:space="0"/>
              <w:bottom w:val="single" w:color="auto" w:sz="4" w:space="0"/>
              <w:right w:val="single" w:color="auto" w:sz="4" w:space="0"/>
            </w:tcBorders>
            <w:vAlign w:val="center"/>
          </w:tcPr>
          <w:p w14:paraId="037EB585">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2F066A23">
            <w:pPr>
              <w:pStyle w:val="262"/>
              <w:spacing w:before="131" w:line="276" w:lineRule="auto"/>
              <w:ind w:left="7" w:right="4"/>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《蹲便器用水效率限定值及用水效率等级》（GB30717）</w:t>
            </w:r>
          </w:p>
        </w:tc>
      </w:tr>
      <w:tr w14:paraId="40B98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tcBorders>
              <w:top w:val="single" w:color="auto" w:sz="4" w:space="0"/>
              <w:left w:val="single" w:color="auto" w:sz="4" w:space="0"/>
              <w:bottom w:val="single" w:color="auto" w:sz="4" w:space="0"/>
              <w:right w:val="single" w:color="auto" w:sz="4" w:space="0"/>
            </w:tcBorders>
            <w:vAlign w:val="center"/>
          </w:tcPr>
          <w:p w14:paraId="5C31868B">
            <w:pPr>
              <w:widowControl/>
              <w:jc w:val="left"/>
              <w:rPr>
                <w:rFonts w:ascii="宋体" w:hAnsi="宋体"/>
                <w:color w:val="auto"/>
                <w:szCs w:val="21"/>
                <w:highlight w:val="none"/>
              </w:rPr>
            </w:pPr>
          </w:p>
        </w:tc>
        <w:tc>
          <w:tcPr>
            <w:tcW w:w="1422" w:type="dxa"/>
            <w:vMerge w:val="continue"/>
            <w:tcBorders>
              <w:top w:val="single" w:color="auto" w:sz="4" w:space="0"/>
              <w:left w:val="single" w:color="auto" w:sz="4" w:space="0"/>
              <w:bottom w:val="single" w:color="auto" w:sz="4" w:space="0"/>
              <w:right w:val="single" w:color="auto" w:sz="4" w:space="0"/>
            </w:tcBorders>
            <w:vAlign w:val="center"/>
          </w:tcPr>
          <w:p w14:paraId="7303756F">
            <w:pPr>
              <w:widowControl/>
              <w:jc w:val="left"/>
              <w:rPr>
                <w:rFonts w:ascii="宋体" w:hAnsi="宋体" w:cs="宋体"/>
                <w:color w:val="auto"/>
                <w:szCs w:val="21"/>
                <w:highlight w:val="none"/>
              </w:rPr>
            </w:pPr>
          </w:p>
        </w:tc>
        <w:tc>
          <w:tcPr>
            <w:tcW w:w="1496" w:type="dxa"/>
            <w:tcBorders>
              <w:top w:val="single" w:color="auto" w:sz="4" w:space="0"/>
              <w:left w:val="single" w:color="auto" w:sz="4" w:space="0"/>
              <w:bottom w:val="single" w:color="auto" w:sz="4" w:space="0"/>
              <w:right w:val="single" w:color="auto" w:sz="4" w:space="0"/>
            </w:tcBorders>
            <w:vAlign w:val="center"/>
          </w:tcPr>
          <w:p w14:paraId="66BD1596">
            <w:pPr>
              <w:pStyle w:val="262"/>
              <w:jc w:val="center"/>
              <w:rPr>
                <w:rFonts w:ascii="宋体" w:hAnsi="宋体" w:cs="宋体"/>
                <w:color w:val="auto"/>
                <w:sz w:val="21"/>
                <w:szCs w:val="21"/>
                <w:highlight w:val="none"/>
              </w:rPr>
            </w:pPr>
            <w:r>
              <w:rPr>
                <w:rFonts w:hint="eastAsia" w:ascii="宋体" w:hAnsi="宋体" w:cs="宋体"/>
                <w:color w:val="auto"/>
                <w:sz w:val="21"/>
                <w:szCs w:val="21"/>
                <w:highlight w:val="none"/>
              </w:rPr>
              <w:t>小便器</w:t>
            </w:r>
          </w:p>
        </w:tc>
        <w:tc>
          <w:tcPr>
            <w:tcW w:w="1481" w:type="dxa"/>
            <w:tcBorders>
              <w:top w:val="single" w:color="auto" w:sz="4" w:space="0"/>
              <w:left w:val="single" w:color="auto" w:sz="4" w:space="0"/>
              <w:bottom w:val="single" w:color="auto" w:sz="4" w:space="0"/>
              <w:right w:val="single" w:color="auto" w:sz="4" w:space="0"/>
            </w:tcBorders>
            <w:vAlign w:val="center"/>
          </w:tcPr>
          <w:p w14:paraId="7EF21BD7">
            <w:pPr>
              <w:jc w:val="center"/>
              <w:rPr>
                <w:rFonts w:ascii="宋体" w:hAnsi="宋体"/>
                <w:color w:val="auto"/>
                <w:szCs w:val="21"/>
                <w:highlight w:val="none"/>
              </w:rPr>
            </w:pPr>
          </w:p>
        </w:tc>
        <w:tc>
          <w:tcPr>
            <w:tcW w:w="3452" w:type="dxa"/>
            <w:tcBorders>
              <w:top w:val="single" w:color="auto" w:sz="4" w:space="0"/>
              <w:left w:val="single" w:color="auto" w:sz="4" w:space="0"/>
              <w:bottom w:val="single" w:color="auto" w:sz="4" w:space="0"/>
              <w:right w:val="single" w:color="auto" w:sz="4" w:space="0"/>
            </w:tcBorders>
          </w:tcPr>
          <w:p w14:paraId="29230D14">
            <w:pPr>
              <w:pStyle w:val="262"/>
              <w:spacing w:before="131" w:line="276" w:lineRule="auto"/>
              <w:ind w:left="7" w:right="4"/>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《小便器用水效率限定值及用水效率等级》（GB28377）</w:t>
            </w:r>
          </w:p>
        </w:tc>
      </w:tr>
      <w:tr w14:paraId="6B482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28D9767C">
            <w:pPr>
              <w:pStyle w:val="262"/>
              <w:jc w:val="center"/>
              <w:rPr>
                <w:rFonts w:ascii="宋体" w:hAnsi="宋体" w:cs="宋体"/>
                <w:color w:val="auto"/>
                <w:sz w:val="21"/>
                <w:szCs w:val="21"/>
                <w:highlight w:val="none"/>
              </w:rPr>
            </w:pPr>
            <w:r>
              <w:rPr>
                <w:rFonts w:hint="eastAsia" w:ascii="宋体" w:hAnsi="宋体"/>
                <w:color w:val="auto"/>
                <w:sz w:val="21"/>
                <w:szCs w:val="21"/>
                <w:highlight w:val="none"/>
              </w:rPr>
              <w:t>16</w:t>
            </w:r>
          </w:p>
        </w:tc>
        <w:tc>
          <w:tcPr>
            <w:tcW w:w="1422" w:type="dxa"/>
            <w:tcBorders>
              <w:top w:val="single" w:color="auto" w:sz="4" w:space="0"/>
              <w:left w:val="single" w:color="auto" w:sz="4" w:space="0"/>
              <w:bottom w:val="single" w:color="auto" w:sz="4" w:space="0"/>
              <w:right w:val="single" w:color="auto" w:sz="4" w:space="0"/>
            </w:tcBorders>
            <w:vAlign w:val="center"/>
          </w:tcPr>
          <w:p w14:paraId="39A337C2">
            <w:pPr>
              <w:pStyle w:val="262"/>
              <w:spacing w:before="153"/>
              <w:ind w:left="7"/>
              <w:jc w:val="center"/>
              <w:rPr>
                <w:rFonts w:ascii="宋体" w:hAnsi="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仿宋_GB2312"/>
                <w:color w:val="auto"/>
                <w:sz w:val="21"/>
                <w:szCs w:val="21"/>
                <w:highlight w:val="none"/>
              </w:rPr>
              <w:t>A05020106</w:t>
            </w:r>
            <w:r>
              <w:rPr>
                <w:rFonts w:hint="eastAsia" w:ascii="宋体" w:hAnsi="宋体" w:cs="宋体"/>
                <w:color w:val="auto"/>
                <w:sz w:val="21"/>
                <w:szCs w:val="21"/>
                <w:highlight w:val="none"/>
              </w:rPr>
              <w:t>水嘴</w:t>
            </w:r>
          </w:p>
        </w:tc>
        <w:tc>
          <w:tcPr>
            <w:tcW w:w="1496" w:type="dxa"/>
            <w:tcBorders>
              <w:top w:val="single" w:color="auto" w:sz="4" w:space="0"/>
              <w:left w:val="single" w:color="auto" w:sz="4" w:space="0"/>
              <w:bottom w:val="single" w:color="auto" w:sz="4" w:space="0"/>
              <w:right w:val="single" w:color="auto" w:sz="4" w:space="0"/>
            </w:tcBorders>
            <w:vAlign w:val="center"/>
          </w:tcPr>
          <w:p w14:paraId="459ED69B">
            <w:pPr>
              <w:jc w:val="center"/>
              <w:rPr>
                <w:rFonts w:ascii="宋体" w:hAnsi="宋体"/>
                <w:color w:val="auto"/>
                <w:szCs w:val="21"/>
                <w:highlight w:val="none"/>
                <w:lang w:eastAsia="en-US"/>
              </w:rPr>
            </w:pPr>
          </w:p>
        </w:tc>
        <w:tc>
          <w:tcPr>
            <w:tcW w:w="1481" w:type="dxa"/>
            <w:tcBorders>
              <w:top w:val="single" w:color="auto" w:sz="4" w:space="0"/>
              <w:left w:val="single" w:color="auto" w:sz="4" w:space="0"/>
              <w:bottom w:val="single" w:color="auto" w:sz="4" w:space="0"/>
              <w:right w:val="single" w:color="auto" w:sz="4" w:space="0"/>
            </w:tcBorders>
            <w:vAlign w:val="center"/>
          </w:tcPr>
          <w:p w14:paraId="799BDCEF">
            <w:pPr>
              <w:jc w:val="center"/>
              <w:rPr>
                <w:rFonts w:ascii="宋体" w:hAnsi="宋体"/>
                <w:color w:val="auto"/>
                <w:szCs w:val="21"/>
                <w:highlight w:val="none"/>
                <w:lang w:eastAsia="en-US"/>
              </w:rPr>
            </w:pPr>
          </w:p>
        </w:tc>
        <w:tc>
          <w:tcPr>
            <w:tcW w:w="3452" w:type="dxa"/>
            <w:tcBorders>
              <w:top w:val="single" w:color="auto" w:sz="4" w:space="0"/>
              <w:left w:val="single" w:color="auto" w:sz="4" w:space="0"/>
              <w:bottom w:val="single" w:color="auto" w:sz="4" w:space="0"/>
              <w:right w:val="single" w:color="auto" w:sz="4" w:space="0"/>
            </w:tcBorders>
          </w:tcPr>
          <w:p w14:paraId="6B77BADA">
            <w:pPr>
              <w:pStyle w:val="262"/>
              <w:spacing w:before="153" w:line="276" w:lineRule="auto"/>
              <w:ind w:left="7" w:right="4"/>
              <w:rPr>
                <w:rFonts w:ascii="宋体" w:hAnsi="宋体" w:cs="宋体"/>
                <w:color w:val="auto"/>
                <w:sz w:val="21"/>
                <w:szCs w:val="21"/>
                <w:highlight w:val="none"/>
                <w:lang w:eastAsia="zh-CN"/>
              </w:rPr>
            </w:pPr>
            <w:r>
              <w:rPr>
                <w:rFonts w:hint="eastAsia" w:ascii="宋体" w:hAnsi="宋体" w:cs="宋体"/>
                <w:color w:val="auto"/>
                <w:spacing w:val="10"/>
                <w:sz w:val="21"/>
                <w:szCs w:val="21"/>
                <w:highlight w:val="none"/>
                <w:lang w:eastAsia="zh-CN"/>
              </w:rPr>
              <w:t>《水嘴用水效率限定值及用水效</w:t>
            </w:r>
            <w:r>
              <w:rPr>
                <w:rFonts w:hint="eastAsia" w:ascii="宋体" w:hAnsi="宋体" w:cs="宋体"/>
                <w:color w:val="auto"/>
                <w:sz w:val="21"/>
                <w:szCs w:val="21"/>
                <w:highlight w:val="none"/>
                <w:lang w:eastAsia="zh-CN"/>
              </w:rPr>
              <w:t>率等级》（GB 25501）</w:t>
            </w:r>
          </w:p>
        </w:tc>
      </w:tr>
      <w:tr w14:paraId="0501D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4AAAE35B">
            <w:pPr>
              <w:pStyle w:val="262"/>
              <w:jc w:val="center"/>
              <w:rPr>
                <w:rFonts w:ascii="宋体" w:hAnsi="宋体" w:cs="宋体"/>
                <w:color w:val="auto"/>
                <w:sz w:val="21"/>
                <w:szCs w:val="21"/>
                <w:highlight w:val="none"/>
              </w:rPr>
            </w:pPr>
            <w:r>
              <w:rPr>
                <w:rFonts w:hint="eastAsia" w:ascii="宋体" w:hAnsi="宋体"/>
                <w:color w:val="auto"/>
                <w:sz w:val="21"/>
                <w:szCs w:val="21"/>
                <w:highlight w:val="none"/>
              </w:rPr>
              <w:t>17</w:t>
            </w:r>
          </w:p>
        </w:tc>
        <w:tc>
          <w:tcPr>
            <w:tcW w:w="1422" w:type="dxa"/>
            <w:tcBorders>
              <w:top w:val="single" w:color="auto" w:sz="4" w:space="0"/>
              <w:left w:val="single" w:color="auto" w:sz="4" w:space="0"/>
              <w:bottom w:val="single" w:color="auto" w:sz="4" w:space="0"/>
              <w:right w:val="single" w:color="auto" w:sz="4" w:space="0"/>
            </w:tcBorders>
            <w:vAlign w:val="center"/>
          </w:tcPr>
          <w:p w14:paraId="18E10296">
            <w:pPr>
              <w:pStyle w:val="262"/>
              <w:spacing w:before="112"/>
              <w:ind w:left="7"/>
              <w:jc w:val="center"/>
              <w:rPr>
                <w:rFonts w:ascii="宋体" w:hAnsi="宋体" w:cs="宋体"/>
                <w:color w:val="auto"/>
                <w:sz w:val="21"/>
                <w:szCs w:val="21"/>
                <w:highlight w:val="none"/>
              </w:rPr>
            </w:pPr>
            <w:r>
              <w:rPr>
                <w:rFonts w:hint="eastAsia" w:ascii="宋体" w:hAnsi="宋体" w:cs="仿宋_GB2312"/>
                <w:color w:val="auto"/>
                <w:sz w:val="21"/>
                <w:szCs w:val="21"/>
                <w:highlight w:val="none"/>
              </w:rPr>
              <w:t>A05020107</w:t>
            </w:r>
            <w:r>
              <w:rPr>
                <w:rFonts w:hint="eastAsia" w:ascii="宋体" w:hAnsi="宋体" w:cs="宋体"/>
                <w:color w:val="auto"/>
                <w:sz w:val="21"/>
                <w:szCs w:val="21"/>
                <w:highlight w:val="none"/>
              </w:rPr>
              <w:t>便器冲洗阀</w:t>
            </w:r>
          </w:p>
        </w:tc>
        <w:tc>
          <w:tcPr>
            <w:tcW w:w="1496" w:type="dxa"/>
            <w:tcBorders>
              <w:top w:val="single" w:color="auto" w:sz="4" w:space="0"/>
              <w:left w:val="single" w:color="auto" w:sz="4" w:space="0"/>
              <w:bottom w:val="single" w:color="auto" w:sz="4" w:space="0"/>
              <w:right w:val="single" w:color="auto" w:sz="4" w:space="0"/>
            </w:tcBorders>
            <w:vAlign w:val="center"/>
          </w:tcPr>
          <w:p w14:paraId="0B2CF6E2">
            <w:pPr>
              <w:jc w:val="center"/>
              <w:rPr>
                <w:rFonts w:ascii="宋体" w:hAnsi="宋体"/>
                <w:color w:val="auto"/>
                <w:szCs w:val="21"/>
                <w:highlight w:val="none"/>
                <w:lang w:eastAsia="en-US"/>
              </w:rPr>
            </w:pPr>
          </w:p>
        </w:tc>
        <w:tc>
          <w:tcPr>
            <w:tcW w:w="1481" w:type="dxa"/>
            <w:tcBorders>
              <w:top w:val="single" w:color="auto" w:sz="4" w:space="0"/>
              <w:left w:val="single" w:color="auto" w:sz="4" w:space="0"/>
              <w:bottom w:val="single" w:color="auto" w:sz="4" w:space="0"/>
              <w:right w:val="single" w:color="auto" w:sz="4" w:space="0"/>
            </w:tcBorders>
            <w:vAlign w:val="center"/>
          </w:tcPr>
          <w:p w14:paraId="5707ED07">
            <w:pPr>
              <w:jc w:val="center"/>
              <w:rPr>
                <w:rFonts w:ascii="宋体" w:hAnsi="宋体"/>
                <w:color w:val="auto"/>
                <w:szCs w:val="21"/>
                <w:highlight w:val="none"/>
                <w:lang w:eastAsia="en-US"/>
              </w:rPr>
            </w:pPr>
          </w:p>
        </w:tc>
        <w:tc>
          <w:tcPr>
            <w:tcW w:w="3452" w:type="dxa"/>
            <w:tcBorders>
              <w:top w:val="single" w:color="auto" w:sz="4" w:space="0"/>
              <w:left w:val="single" w:color="auto" w:sz="4" w:space="0"/>
              <w:bottom w:val="single" w:color="auto" w:sz="4" w:space="0"/>
              <w:right w:val="single" w:color="auto" w:sz="4" w:space="0"/>
            </w:tcBorders>
          </w:tcPr>
          <w:p w14:paraId="661D16D5">
            <w:pPr>
              <w:pStyle w:val="262"/>
              <w:spacing w:before="112" w:line="276" w:lineRule="auto"/>
              <w:ind w:left="7" w:right="4"/>
              <w:rPr>
                <w:rFonts w:ascii="宋体" w:hAnsi="宋体" w:cs="宋体"/>
                <w:color w:val="auto"/>
                <w:sz w:val="21"/>
                <w:szCs w:val="21"/>
                <w:highlight w:val="none"/>
                <w:lang w:eastAsia="zh-CN"/>
              </w:rPr>
            </w:pPr>
            <w:r>
              <w:rPr>
                <w:rFonts w:hint="eastAsia" w:ascii="宋体" w:hAnsi="宋体" w:cs="宋体"/>
                <w:color w:val="auto"/>
                <w:spacing w:val="10"/>
                <w:sz w:val="21"/>
                <w:szCs w:val="21"/>
                <w:highlight w:val="none"/>
                <w:lang w:eastAsia="zh-CN"/>
              </w:rPr>
              <w:t>《便器冲洗阀用水效率限定值及</w:t>
            </w:r>
            <w:r>
              <w:rPr>
                <w:rFonts w:hint="eastAsia" w:ascii="宋体" w:hAnsi="宋体" w:cs="宋体"/>
                <w:color w:val="auto"/>
                <w:sz w:val="21"/>
                <w:szCs w:val="21"/>
                <w:highlight w:val="none"/>
                <w:lang w:eastAsia="zh-CN"/>
              </w:rPr>
              <w:t>用水效率等级》（GB28379）</w:t>
            </w:r>
          </w:p>
        </w:tc>
      </w:tr>
      <w:tr w14:paraId="564AC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auto" w:sz="4" w:space="0"/>
              <w:left w:val="single" w:color="auto" w:sz="4" w:space="0"/>
              <w:bottom w:val="single" w:color="auto" w:sz="4" w:space="0"/>
              <w:right w:val="single" w:color="auto" w:sz="4" w:space="0"/>
            </w:tcBorders>
            <w:vAlign w:val="center"/>
          </w:tcPr>
          <w:p w14:paraId="3359E299">
            <w:pPr>
              <w:pStyle w:val="262"/>
              <w:jc w:val="center"/>
              <w:rPr>
                <w:rFonts w:ascii="宋体" w:hAnsi="宋体" w:cs="宋体"/>
                <w:color w:val="auto"/>
                <w:sz w:val="21"/>
                <w:szCs w:val="21"/>
                <w:highlight w:val="none"/>
              </w:rPr>
            </w:pPr>
            <w:r>
              <w:rPr>
                <w:rFonts w:hint="eastAsia" w:ascii="宋体" w:hAnsi="宋体"/>
                <w:color w:val="auto"/>
                <w:sz w:val="21"/>
                <w:szCs w:val="21"/>
                <w:highlight w:val="none"/>
              </w:rPr>
              <w:t>18</w:t>
            </w:r>
          </w:p>
        </w:tc>
        <w:tc>
          <w:tcPr>
            <w:tcW w:w="1422" w:type="dxa"/>
            <w:tcBorders>
              <w:top w:val="single" w:color="auto" w:sz="4" w:space="0"/>
              <w:left w:val="single" w:color="auto" w:sz="4" w:space="0"/>
              <w:bottom w:val="single" w:color="auto" w:sz="4" w:space="0"/>
              <w:right w:val="single" w:color="auto" w:sz="4" w:space="0"/>
            </w:tcBorders>
            <w:vAlign w:val="center"/>
          </w:tcPr>
          <w:p w14:paraId="1A56D7FC">
            <w:pPr>
              <w:pStyle w:val="262"/>
              <w:spacing w:before="131"/>
              <w:ind w:left="7"/>
              <w:jc w:val="center"/>
              <w:rPr>
                <w:rFonts w:ascii="宋体" w:hAnsi="宋体" w:cs="宋体"/>
                <w:color w:val="auto"/>
                <w:sz w:val="21"/>
                <w:szCs w:val="21"/>
                <w:highlight w:val="none"/>
              </w:rPr>
            </w:pPr>
            <w:r>
              <w:rPr>
                <w:rFonts w:hint="eastAsia" w:ascii="宋体" w:hAnsi="宋体" w:cs="仿宋_GB2312"/>
                <w:color w:val="auto"/>
                <w:sz w:val="21"/>
                <w:szCs w:val="21"/>
                <w:highlight w:val="none"/>
              </w:rPr>
              <w:t>A05020110</w:t>
            </w:r>
            <w:r>
              <w:rPr>
                <w:rFonts w:hint="eastAsia" w:ascii="宋体" w:hAnsi="宋体" w:cs="宋体"/>
                <w:color w:val="auto"/>
                <w:sz w:val="21"/>
                <w:szCs w:val="21"/>
                <w:highlight w:val="none"/>
              </w:rPr>
              <w:t>淋浴器</w:t>
            </w:r>
          </w:p>
        </w:tc>
        <w:tc>
          <w:tcPr>
            <w:tcW w:w="1496" w:type="dxa"/>
            <w:tcBorders>
              <w:top w:val="single" w:color="auto" w:sz="4" w:space="0"/>
              <w:left w:val="single" w:color="auto" w:sz="4" w:space="0"/>
              <w:bottom w:val="single" w:color="auto" w:sz="4" w:space="0"/>
              <w:right w:val="single" w:color="auto" w:sz="4" w:space="0"/>
            </w:tcBorders>
            <w:vAlign w:val="center"/>
          </w:tcPr>
          <w:p w14:paraId="10A88E34">
            <w:pPr>
              <w:jc w:val="center"/>
              <w:rPr>
                <w:rFonts w:ascii="宋体" w:hAnsi="宋体"/>
                <w:color w:val="auto"/>
                <w:szCs w:val="21"/>
                <w:highlight w:val="none"/>
                <w:lang w:eastAsia="en-US"/>
              </w:rPr>
            </w:pPr>
          </w:p>
        </w:tc>
        <w:tc>
          <w:tcPr>
            <w:tcW w:w="1481" w:type="dxa"/>
            <w:tcBorders>
              <w:top w:val="single" w:color="auto" w:sz="4" w:space="0"/>
              <w:left w:val="single" w:color="auto" w:sz="4" w:space="0"/>
              <w:bottom w:val="single" w:color="auto" w:sz="4" w:space="0"/>
              <w:right w:val="single" w:color="auto" w:sz="4" w:space="0"/>
            </w:tcBorders>
            <w:vAlign w:val="center"/>
          </w:tcPr>
          <w:p w14:paraId="2D642873">
            <w:pPr>
              <w:jc w:val="center"/>
              <w:rPr>
                <w:rFonts w:ascii="宋体" w:hAnsi="宋体"/>
                <w:color w:val="auto"/>
                <w:szCs w:val="21"/>
                <w:highlight w:val="none"/>
                <w:lang w:eastAsia="en-US"/>
              </w:rPr>
            </w:pPr>
          </w:p>
        </w:tc>
        <w:tc>
          <w:tcPr>
            <w:tcW w:w="3452" w:type="dxa"/>
            <w:tcBorders>
              <w:top w:val="single" w:color="auto" w:sz="4" w:space="0"/>
              <w:left w:val="single" w:color="auto" w:sz="4" w:space="0"/>
              <w:bottom w:val="single" w:color="auto" w:sz="4" w:space="0"/>
              <w:right w:val="single" w:color="auto" w:sz="4" w:space="0"/>
            </w:tcBorders>
          </w:tcPr>
          <w:p w14:paraId="76708928">
            <w:pPr>
              <w:pStyle w:val="262"/>
              <w:spacing w:before="131" w:line="276" w:lineRule="auto"/>
              <w:ind w:left="7" w:right="4"/>
              <w:rPr>
                <w:rFonts w:ascii="宋体" w:hAnsi="宋体" w:cs="宋体"/>
                <w:color w:val="auto"/>
                <w:sz w:val="21"/>
                <w:szCs w:val="21"/>
                <w:highlight w:val="none"/>
                <w:lang w:eastAsia="zh-CN"/>
              </w:rPr>
            </w:pPr>
            <w:r>
              <w:rPr>
                <w:rFonts w:hint="eastAsia" w:ascii="宋体" w:hAnsi="宋体" w:cs="宋体"/>
                <w:color w:val="auto"/>
                <w:spacing w:val="10"/>
                <w:sz w:val="21"/>
                <w:szCs w:val="21"/>
                <w:highlight w:val="none"/>
                <w:lang w:eastAsia="zh-CN"/>
              </w:rPr>
              <w:t>《淋浴器用水效率限定值及用水</w:t>
            </w:r>
            <w:r>
              <w:rPr>
                <w:rFonts w:hint="eastAsia" w:ascii="宋体" w:hAnsi="宋体" w:cs="宋体"/>
                <w:color w:val="auto"/>
                <w:sz w:val="21"/>
                <w:szCs w:val="21"/>
                <w:highlight w:val="none"/>
                <w:lang w:eastAsia="zh-CN"/>
              </w:rPr>
              <w:t>效率等级》（GB28378）</w:t>
            </w:r>
          </w:p>
        </w:tc>
      </w:tr>
    </w:tbl>
    <w:p w14:paraId="0E6907DB">
      <w:pPr>
        <w:pStyle w:val="216"/>
        <w:spacing w:line="360" w:lineRule="auto"/>
        <w:rPr>
          <w:rFonts w:ascii="宋体" w:hAnsi="宋体"/>
          <w:color w:val="auto"/>
          <w:szCs w:val="21"/>
          <w:highlight w:val="none"/>
        </w:rPr>
      </w:pPr>
      <w:r>
        <w:rPr>
          <w:rFonts w:hint="eastAsia" w:ascii="宋体" w:hAnsi="宋体"/>
          <w:color w:val="auto"/>
          <w:spacing w:val="-3"/>
          <w:szCs w:val="21"/>
          <w:highlight w:val="none"/>
        </w:rPr>
        <w:t>注：1.节能产品认证应依据相关国家标准的最新版本，依据国家标准中二级能效（水效）</w:t>
      </w:r>
      <w:r>
        <w:rPr>
          <w:rFonts w:hint="eastAsia" w:ascii="宋体" w:hAnsi="宋体"/>
          <w:color w:val="auto"/>
          <w:szCs w:val="21"/>
          <w:highlight w:val="none"/>
        </w:rPr>
        <w:t>指标。</w:t>
      </w:r>
    </w:p>
    <w:p w14:paraId="6E5F1833">
      <w:pPr>
        <w:pStyle w:val="216"/>
        <w:spacing w:line="360" w:lineRule="auto"/>
        <w:ind w:firstLine="465"/>
        <w:rPr>
          <w:rFonts w:ascii="宋体" w:hAnsi="宋体"/>
          <w:color w:val="auto"/>
          <w:szCs w:val="21"/>
          <w:highlight w:val="none"/>
        </w:rPr>
      </w:pPr>
      <w:r>
        <w:rPr>
          <w:rFonts w:hint="eastAsia" w:ascii="宋体" w:hAnsi="宋体"/>
          <w:color w:val="auto"/>
          <w:szCs w:val="21"/>
          <w:highlight w:val="none"/>
        </w:rPr>
        <w:t>2.以“★”标注的为政府强制采购产品。</w:t>
      </w:r>
    </w:p>
    <w:p w14:paraId="51304CD8">
      <w:pPr>
        <w:pStyle w:val="216"/>
        <w:spacing w:line="360" w:lineRule="auto"/>
        <w:ind w:firstLine="465"/>
        <w:rPr>
          <w:rFonts w:ascii="宋体" w:hAnsi="宋体"/>
          <w:color w:val="auto"/>
          <w:szCs w:val="21"/>
          <w:highlight w:val="none"/>
        </w:rPr>
      </w:pPr>
      <w:r>
        <w:rPr>
          <w:rFonts w:hint="eastAsia" w:ascii="宋体" w:hAnsi="宋体"/>
          <w:color w:val="auto"/>
          <w:szCs w:val="21"/>
          <w:highlight w:val="none"/>
        </w:rPr>
        <w:t>3.本表格原为《关于印发节能产品政府采购品目清单的通知》（财库〔2019〕19号）规定的表格附件，其中名称及编码已根据《财政部关于印发〈政府采购品目分类目录〉的通知》（财库〔2022〕31号）修改。</w:t>
      </w:r>
    </w:p>
    <w:p w14:paraId="4500DF19">
      <w:pPr>
        <w:widowControl/>
        <w:jc w:val="left"/>
        <w:rPr>
          <w:rFonts w:ascii="宋体" w:hAnsi="宋体" w:cs="宋体"/>
          <w:color w:val="auto"/>
          <w:sz w:val="20"/>
          <w:szCs w:val="20"/>
          <w:highlight w:val="none"/>
        </w:rPr>
      </w:pPr>
    </w:p>
    <w:p w14:paraId="4D7B99BF">
      <w:pPr>
        <w:widowControl/>
        <w:jc w:val="left"/>
        <w:rPr>
          <w:rFonts w:ascii="宋体" w:hAnsi="宋体" w:cs="宋体"/>
          <w:color w:val="auto"/>
          <w:sz w:val="20"/>
          <w:szCs w:val="20"/>
          <w:highlight w:val="none"/>
        </w:rPr>
      </w:pPr>
    </w:p>
    <w:p w14:paraId="19C62229">
      <w:pPr>
        <w:widowControl/>
        <w:jc w:val="left"/>
        <w:rPr>
          <w:rFonts w:ascii="黑体" w:hAnsi="黑体" w:eastAsia="黑体" w:cs="黑体"/>
          <w:color w:val="auto"/>
          <w:sz w:val="32"/>
          <w:szCs w:val="32"/>
          <w:highlight w:val="none"/>
        </w:rPr>
      </w:pPr>
      <w:r>
        <w:rPr>
          <w:rFonts w:hint="eastAsia" w:ascii="宋体" w:hAnsi="宋体" w:cs="宋体"/>
          <w:color w:val="auto"/>
          <w:sz w:val="20"/>
          <w:szCs w:val="20"/>
          <w:highlight w:val="none"/>
        </w:rPr>
        <w:br w:type="page" w:clear="all"/>
      </w:r>
      <w:r>
        <w:rPr>
          <w:rFonts w:hint="eastAsia" w:ascii="黑体" w:hAnsi="黑体" w:eastAsia="黑体" w:cs="黑体"/>
          <w:color w:val="auto"/>
          <w:sz w:val="32"/>
          <w:szCs w:val="32"/>
          <w:highlight w:val="none"/>
        </w:rPr>
        <w:t>附件2：</w:t>
      </w:r>
    </w:p>
    <w:p w14:paraId="61193657">
      <w:pPr>
        <w:pStyle w:val="216"/>
        <w:jc w:val="center"/>
        <w:rPr>
          <w:b/>
          <w:color w:val="auto"/>
          <w:sz w:val="28"/>
          <w:szCs w:val="28"/>
          <w:highlight w:val="none"/>
        </w:rPr>
      </w:pPr>
      <w:r>
        <w:rPr>
          <w:rFonts w:hint="eastAsia"/>
          <w:b/>
          <w:color w:val="auto"/>
          <w:sz w:val="28"/>
          <w:szCs w:val="28"/>
          <w:highlight w:val="none"/>
        </w:rPr>
        <w:t>中小企业划型标准规定</w:t>
      </w:r>
    </w:p>
    <w:p w14:paraId="1F469155">
      <w:pPr>
        <w:pStyle w:val="216"/>
        <w:jc w:val="center"/>
        <w:rPr>
          <w:rFonts w:ascii="宋体" w:hAnsi="宋体"/>
          <w:color w:val="auto"/>
          <w:szCs w:val="21"/>
          <w:highlight w:val="none"/>
        </w:rPr>
      </w:pPr>
      <w:r>
        <w:rPr>
          <w:rFonts w:hint="eastAsia" w:ascii="宋体" w:hAnsi="宋体"/>
          <w:color w:val="auto"/>
          <w:szCs w:val="21"/>
          <w:highlight w:val="none"/>
        </w:rPr>
        <w:t>工信部联企业〔2011〕300号</w:t>
      </w:r>
    </w:p>
    <w:p w14:paraId="714228AB">
      <w:pPr>
        <w:pStyle w:val="216"/>
        <w:rPr>
          <w:color w:val="auto"/>
          <w:szCs w:val="21"/>
          <w:highlight w:val="none"/>
        </w:rPr>
      </w:pPr>
    </w:p>
    <w:p w14:paraId="121F0A35">
      <w:pPr>
        <w:pStyle w:val="216"/>
        <w:rPr>
          <w:color w:val="auto"/>
          <w:szCs w:val="21"/>
          <w:highlight w:val="none"/>
        </w:rPr>
      </w:pPr>
      <w:r>
        <w:rPr>
          <w:rFonts w:hint="eastAsia"/>
          <w:color w:val="auto"/>
          <w:szCs w:val="21"/>
          <w:highlight w:val="none"/>
        </w:rPr>
        <w:t>　　一、根据《中华人民共和国中小企业促进法》和《国务院关于进一步促进中小企业发展的若干意见》</w:t>
      </w:r>
      <w:r>
        <w:rPr>
          <w:color w:val="auto"/>
          <w:szCs w:val="21"/>
          <w:highlight w:val="none"/>
        </w:rPr>
        <w:t>(</w:t>
      </w:r>
      <w:r>
        <w:rPr>
          <w:rFonts w:hint="eastAsia"/>
          <w:color w:val="auto"/>
          <w:szCs w:val="21"/>
          <w:highlight w:val="none"/>
        </w:rPr>
        <w:t>国发〔2009〕36号</w:t>
      </w:r>
      <w:r>
        <w:rPr>
          <w:color w:val="auto"/>
          <w:szCs w:val="21"/>
          <w:highlight w:val="none"/>
        </w:rPr>
        <w:t>)</w:t>
      </w:r>
      <w:r>
        <w:rPr>
          <w:rFonts w:hint="eastAsia"/>
          <w:color w:val="auto"/>
          <w:szCs w:val="21"/>
          <w:highlight w:val="none"/>
        </w:rPr>
        <w:t>，制定本规定。</w:t>
      </w:r>
    </w:p>
    <w:p w14:paraId="4BD73DE3">
      <w:pPr>
        <w:pStyle w:val="216"/>
        <w:rPr>
          <w:color w:val="auto"/>
          <w:szCs w:val="21"/>
          <w:highlight w:val="none"/>
        </w:rPr>
      </w:pPr>
      <w:r>
        <w:rPr>
          <w:rFonts w:hint="eastAsia"/>
          <w:color w:val="auto"/>
          <w:szCs w:val="21"/>
          <w:highlight w:val="none"/>
        </w:rPr>
        <w:t>　　二、中小企业划分为中型、小型、微型三种类型，具体标准根据企业从业人员、营业收入、资产总额等指标，结合行业特点制定。</w:t>
      </w:r>
    </w:p>
    <w:p w14:paraId="1B6E14DE">
      <w:pPr>
        <w:pStyle w:val="216"/>
        <w:rPr>
          <w:color w:val="auto"/>
          <w:szCs w:val="21"/>
          <w:highlight w:val="none"/>
        </w:rPr>
      </w:pPr>
      <w:r>
        <w:rPr>
          <w:rFonts w:hint="eastAsia"/>
          <w:color w:val="auto"/>
          <w:szCs w:val="21"/>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9235599">
      <w:pPr>
        <w:pStyle w:val="216"/>
        <w:rPr>
          <w:color w:val="auto"/>
          <w:szCs w:val="21"/>
          <w:highlight w:val="none"/>
        </w:rPr>
      </w:pPr>
      <w:r>
        <w:rPr>
          <w:rFonts w:hint="eastAsia"/>
          <w:color w:val="auto"/>
          <w:szCs w:val="21"/>
          <w:highlight w:val="none"/>
        </w:rPr>
        <w:t>　　四、各行业划型标准为：</w:t>
      </w:r>
    </w:p>
    <w:p w14:paraId="0B97BD54">
      <w:pPr>
        <w:pStyle w:val="216"/>
        <w:rPr>
          <w:color w:val="auto"/>
          <w:szCs w:val="21"/>
          <w:highlight w:val="none"/>
        </w:rPr>
      </w:pPr>
      <w:r>
        <w:rPr>
          <w:rFonts w:hint="eastAsia"/>
          <w:color w:val="auto"/>
          <w:szCs w:val="21"/>
          <w:highlight w:val="none"/>
        </w:rPr>
        <w:t>　　（一）农、林、牧、渔业。营业收入</w:t>
      </w:r>
      <w:r>
        <w:rPr>
          <w:color w:val="auto"/>
          <w:szCs w:val="21"/>
          <w:highlight w:val="none"/>
        </w:rPr>
        <w:t>20000</w:t>
      </w:r>
      <w:r>
        <w:rPr>
          <w:rFonts w:hint="eastAsia"/>
          <w:color w:val="auto"/>
          <w:szCs w:val="21"/>
          <w:highlight w:val="none"/>
        </w:rPr>
        <w:t>万元以下的为中小微型企业。其中，营业收入</w:t>
      </w:r>
      <w:r>
        <w:rPr>
          <w:color w:val="auto"/>
          <w:szCs w:val="21"/>
          <w:highlight w:val="none"/>
        </w:rPr>
        <w:t>500</w:t>
      </w:r>
      <w:r>
        <w:rPr>
          <w:rFonts w:hint="eastAsia"/>
          <w:color w:val="auto"/>
          <w:szCs w:val="21"/>
          <w:highlight w:val="none"/>
        </w:rPr>
        <w:t>万元及以上的为中型企业，营业收入</w:t>
      </w:r>
      <w:r>
        <w:rPr>
          <w:color w:val="auto"/>
          <w:szCs w:val="21"/>
          <w:highlight w:val="none"/>
        </w:rPr>
        <w:t>50</w:t>
      </w:r>
      <w:r>
        <w:rPr>
          <w:rFonts w:hint="eastAsia"/>
          <w:color w:val="auto"/>
          <w:szCs w:val="21"/>
          <w:highlight w:val="none"/>
        </w:rPr>
        <w:t>万元及以上的为小型企业，营业收入</w:t>
      </w:r>
      <w:r>
        <w:rPr>
          <w:color w:val="auto"/>
          <w:szCs w:val="21"/>
          <w:highlight w:val="none"/>
        </w:rPr>
        <w:t>50</w:t>
      </w:r>
      <w:r>
        <w:rPr>
          <w:rFonts w:hint="eastAsia"/>
          <w:color w:val="auto"/>
          <w:szCs w:val="21"/>
          <w:highlight w:val="none"/>
        </w:rPr>
        <w:t>万元以下的为微型企业。</w:t>
      </w:r>
    </w:p>
    <w:p w14:paraId="574704D3">
      <w:pPr>
        <w:pStyle w:val="216"/>
        <w:rPr>
          <w:color w:val="auto"/>
          <w:szCs w:val="21"/>
          <w:highlight w:val="none"/>
        </w:rPr>
      </w:pPr>
      <w:r>
        <w:rPr>
          <w:rFonts w:hint="eastAsia"/>
          <w:color w:val="auto"/>
          <w:szCs w:val="21"/>
          <w:highlight w:val="none"/>
        </w:rPr>
        <w:t>　　（二）工业。从业人员</w:t>
      </w:r>
      <w:r>
        <w:rPr>
          <w:color w:val="auto"/>
          <w:szCs w:val="21"/>
          <w:highlight w:val="none"/>
        </w:rPr>
        <w:t>1000</w:t>
      </w:r>
      <w:r>
        <w:rPr>
          <w:rFonts w:hint="eastAsia"/>
          <w:color w:val="auto"/>
          <w:szCs w:val="21"/>
          <w:highlight w:val="none"/>
        </w:rPr>
        <w:t>人以下或营业收入</w:t>
      </w:r>
      <w:r>
        <w:rPr>
          <w:color w:val="auto"/>
          <w:szCs w:val="21"/>
          <w:highlight w:val="none"/>
        </w:rPr>
        <w:t>40000</w:t>
      </w:r>
      <w:r>
        <w:rPr>
          <w:rFonts w:hint="eastAsia"/>
          <w:color w:val="auto"/>
          <w:szCs w:val="21"/>
          <w:highlight w:val="none"/>
        </w:rPr>
        <w:t>万元以下的为中小微型企业。其中，从业人员</w:t>
      </w:r>
      <w:r>
        <w:rPr>
          <w:color w:val="auto"/>
          <w:szCs w:val="21"/>
          <w:highlight w:val="none"/>
        </w:rPr>
        <w:t>300</w:t>
      </w:r>
      <w:r>
        <w:rPr>
          <w:rFonts w:hint="eastAsia"/>
          <w:color w:val="auto"/>
          <w:szCs w:val="21"/>
          <w:highlight w:val="none"/>
        </w:rPr>
        <w:t>人及以上，且营业收入</w:t>
      </w:r>
      <w:r>
        <w:rPr>
          <w:color w:val="auto"/>
          <w:szCs w:val="21"/>
          <w:highlight w:val="none"/>
        </w:rPr>
        <w:t>2000</w:t>
      </w:r>
      <w:r>
        <w:rPr>
          <w:rFonts w:hint="eastAsia"/>
          <w:color w:val="auto"/>
          <w:szCs w:val="21"/>
          <w:highlight w:val="none"/>
        </w:rPr>
        <w:t>万元及以上的为中型企业；从业人员</w:t>
      </w:r>
      <w:r>
        <w:rPr>
          <w:color w:val="auto"/>
          <w:szCs w:val="21"/>
          <w:highlight w:val="none"/>
        </w:rPr>
        <w:t>20</w:t>
      </w:r>
      <w:r>
        <w:rPr>
          <w:rFonts w:hint="eastAsia"/>
          <w:color w:val="auto"/>
          <w:szCs w:val="21"/>
          <w:highlight w:val="none"/>
        </w:rPr>
        <w:t>人及以上，且营业收入</w:t>
      </w:r>
      <w:r>
        <w:rPr>
          <w:color w:val="auto"/>
          <w:szCs w:val="21"/>
          <w:highlight w:val="none"/>
        </w:rPr>
        <w:t>300</w:t>
      </w:r>
      <w:r>
        <w:rPr>
          <w:rFonts w:hint="eastAsia"/>
          <w:color w:val="auto"/>
          <w:szCs w:val="21"/>
          <w:highlight w:val="none"/>
        </w:rPr>
        <w:t>万元及以上的为小型企业；从业人员</w:t>
      </w:r>
      <w:r>
        <w:rPr>
          <w:color w:val="auto"/>
          <w:szCs w:val="21"/>
          <w:highlight w:val="none"/>
        </w:rPr>
        <w:t>20</w:t>
      </w:r>
      <w:r>
        <w:rPr>
          <w:rFonts w:hint="eastAsia"/>
          <w:color w:val="auto"/>
          <w:szCs w:val="21"/>
          <w:highlight w:val="none"/>
        </w:rPr>
        <w:t>人以下或营业收入</w:t>
      </w:r>
      <w:r>
        <w:rPr>
          <w:color w:val="auto"/>
          <w:szCs w:val="21"/>
          <w:highlight w:val="none"/>
        </w:rPr>
        <w:t>300</w:t>
      </w:r>
      <w:r>
        <w:rPr>
          <w:rFonts w:hint="eastAsia"/>
          <w:color w:val="auto"/>
          <w:szCs w:val="21"/>
          <w:highlight w:val="none"/>
        </w:rPr>
        <w:t>万元以下的为微型企业。</w:t>
      </w:r>
    </w:p>
    <w:p w14:paraId="5A90ED2A">
      <w:pPr>
        <w:pStyle w:val="216"/>
        <w:rPr>
          <w:color w:val="auto"/>
          <w:szCs w:val="21"/>
          <w:highlight w:val="none"/>
        </w:rPr>
      </w:pPr>
      <w:r>
        <w:rPr>
          <w:rFonts w:hint="eastAsia"/>
          <w:color w:val="auto"/>
          <w:szCs w:val="21"/>
          <w:highlight w:val="none"/>
        </w:rPr>
        <w:t>　　（三）建筑业。营业收入</w:t>
      </w:r>
      <w:r>
        <w:rPr>
          <w:color w:val="auto"/>
          <w:szCs w:val="21"/>
          <w:highlight w:val="none"/>
        </w:rPr>
        <w:t>80000</w:t>
      </w:r>
      <w:r>
        <w:rPr>
          <w:rFonts w:hint="eastAsia"/>
          <w:color w:val="auto"/>
          <w:szCs w:val="21"/>
          <w:highlight w:val="none"/>
        </w:rPr>
        <w:t>万元以下或资产总额</w:t>
      </w:r>
      <w:r>
        <w:rPr>
          <w:color w:val="auto"/>
          <w:szCs w:val="21"/>
          <w:highlight w:val="none"/>
        </w:rPr>
        <w:t>80000</w:t>
      </w:r>
      <w:r>
        <w:rPr>
          <w:rFonts w:hint="eastAsia"/>
          <w:color w:val="auto"/>
          <w:szCs w:val="21"/>
          <w:highlight w:val="none"/>
        </w:rPr>
        <w:t>万元以下的为中小微型企业。其中，营业收入</w:t>
      </w:r>
      <w:r>
        <w:rPr>
          <w:color w:val="auto"/>
          <w:szCs w:val="21"/>
          <w:highlight w:val="none"/>
        </w:rPr>
        <w:t>6000</w:t>
      </w:r>
      <w:r>
        <w:rPr>
          <w:rFonts w:hint="eastAsia"/>
          <w:color w:val="auto"/>
          <w:szCs w:val="21"/>
          <w:highlight w:val="none"/>
        </w:rPr>
        <w:t>万元及以上，且资产总额</w:t>
      </w:r>
      <w:r>
        <w:rPr>
          <w:color w:val="auto"/>
          <w:szCs w:val="21"/>
          <w:highlight w:val="none"/>
        </w:rPr>
        <w:t>5000</w:t>
      </w:r>
      <w:r>
        <w:rPr>
          <w:rFonts w:hint="eastAsia"/>
          <w:color w:val="auto"/>
          <w:szCs w:val="21"/>
          <w:highlight w:val="none"/>
        </w:rPr>
        <w:t>万元及以上的为中型企业；营业收入</w:t>
      </w:r>
      <w:r>
        <w:rPr>
          <w:color w:val="auto"/>
          <w:szCs w:val="21"/>
          <w:highlight w:val="none"/>
        </w:rPr>
        <w:t>300</w:t>
      </w:r>
      <w:r>
        <w:rPr>
          <w:rFonts w:hint="eastAsia"/>
          <w:color w:val="auto"/>
          <w:szCs w:val="21"/>
          <w:highlight w:val="none"/>
        </w:rPr>
        <w:t>万元及以上，且资产总额</w:t>
      </w:r>
      <w:r>
        <w:rPr>
          <w:color w:val="auto"/>
          <w:szCs w:val="21"/>
          <w:highlight w:val="none"/>
        </w:rPr>
        <w:t>300</w:t>
      </w:r>
      <w:r>
        <w:rPr>
          <w:rFonts w:hint="eastAsia"/>
          <w:color w:val="auto"/>
          <w:szCs w:val="21"/>
          <w:highlight w:val="none"/>
        </w:rPr>
        <w:t>万元及以上的为小型企业；营业收入</w:t>
      </w:r>
      <w:r>
        <w:rPr>
          <w:color w:val="auto"/>
          <w:szCs w:val="21"/>
          <w:highlight w:val="none"/>
        </w:rPr>
        <w:t>300</w:t>
      </w:r>
      <w:r>
        <w:rPr>
          <w:rFonts w:hint="eastAsia"/>
          <w:color w:val="auto"/>
          <w:szCs w:val="21"/>
          <w:highlight w:val="none"/>
        </w:rPr>
        <w:t>万元以下或资产总额</w:t>
      </w:r>
      <w:r>
        <w:rPr>
          <w:color w:val="auto"/>
          <w:szCs w:val="21"/>
          <w:highlight w:val="none"/>
        </w:rPr>
        <w:t>300</w:t>
      </w:r>
      <w:r>
        <w:rPr>
          <w:rFonts w:hint="eastAsia"/>
          <w:color w:val="auto"/>
          <w:szCs w:val="21"/>
          <w:highlight w:val="none"/>
        </w:rPr>
        <w:t>万元以下的为微型企业。</w:t>
      </w:r>
    </w:p>
    <w:p w14:paraId="04E74E49">
      <w:pPr>
        <w:pStyle w:val="216"/>
        <w:rPr>
          <w:color w:val="auto"/>
          <w:szCs w:val="21"/>
          <w:highlight w:val="none"/>
        </w:rPr>
      </w:pPr>
      <w:r>
        <w:rPr>
          <w:rFonts w:hint="eastAsia"/>
          <w:color w:val="auto"/>
          <w:szCs w:val="21"/>
          <w:highlight w:val="none"/>
        </w:rPr>
        <w:t>　　（四）批发业。从业人员</w:t>
      </w:r>
      <w:r>
        <w:rPr>
          <w:color w:val="auto"/>
          <w:szCs w:val="21"/>
          <w:highlight w:val="none"/>
        </w:rPr>
        <w:t>200</w:t>
      </w:r>
      <w:r>
        <w:rPr>
          <w:rFonts w:hint="eastAsia"/>
          <w:color w:val="auto"/>
          <w:szCs w:val="21"/>
          <w:highlight w:val="none"/>
        </w:rPr>
        <w:t>人以下或营业收入</w:t>
      </w:r>
      <w:r>
        <w:rPr>
          <w:color w:val="auto"/>
          <w:szCs w:val="21"/>
          <w:highlight w:val="none"/>
        </w:rPr>
        <w:t>40000</w:t>
      </w:r>
      <w:r>
        <w:rPr>
          <w:rFonts w:hint="eastAsia"/>
          <w:color w:val="auto"/>
          <w:szCs w:val="21"/>
          <w:highlight w:val="none"/>
        </w:rPr>
        <w:t>万元以下的为中小微型企业。其中，从业人员</w:t>
      </w:r>
      <w:r>
        <w:rPr>
          <w:color w:val="auto"/>
          <w:szCs w:val="21"/>
          <w:highlight w:val="none"/>
        </w:rPr>
        <w:t>20</w:t>
      </w:r>
      <w:r>
        <w:rPr>
          <w:rFonts w:hint="eastAsia"/>
          <w:color w:val="auto"/>
          <w:szCs w:val="21"/>
          <w:highlight w:val="none"/>
        </w:rPr>
        <w:t>人及以上，且营业收入</w:t>
      </w:r>
      <w:r>
        <w:rPr>
          <w:color w:val="auto"/>
          <w:szCs w:val="21"/>
          <w:highlight w:val="none"/>
        </w:rPr>
        <w:t>5000</w:t>
      </w:r>
      <w:r>
        <w:rPr>
          <w:rFonts w:hint="eastAsia"/>
          <w:color w:val="auto"/>
          <w:szCs w:val="21"/>
          <w:highlight w:val="none"/>
        </w:rPr>
        <w:t>万元及以上的为中型企业；从业人员</w:t>
      </w:r>
      <w:r>
        <w:rPr>
          <w:color w:val="auto"/>
          <w:szCs w:val="21"/>
          <w:highlight w:val="none"/>
        </w:rPr>
        <w:t>5</w:t>
      </w:r>
      <w:r>
        <w:rPr>
          <w:rFonts w:hint="eastAsia"/>
          <w:color w:val="auto"/>
          <w:szCs w:val="21"/>
          <w:highlight w:val="none"/>
        </w:rPr>
        <w:t>人及以上，且营业收入</w:t>
      </w:r>
      <w:r>
        <w:rPr>
          <w:color w:val="auto"/>
          <w:szCs w:val="21"/>
          <w:highlight w:val="none"/>
        </w:rPr>
        <w:t>1000</w:t>
      </w:r>
      <w:r>
        <w:rPr>
          <w:rFonts w:hint="eastAsia"/>
          <w:color w:val="auto"/>
          <w:szCs w:val="21"/>
          <w:highlight w:val="none"/>
        </w:rPr>
        <w:t>万元及以上的为小型企业；从业人员</w:t>
      </w:r>
      <w:r>
        <w:rPr>
          <w:color w:val="auto"/>
          <w:szCs w:val="21"/>
          <w:highlight w:val="none"/>
        </w:rPr>
        <w:t>5</w:t>
      </w:r>
      <w:r>
        <w:rPr>
          <w:rFonts w:hint="eastAsia"/>
          <w:color w:val="auto"/>
          <w:szCs w:val="21"/>
          <w:highlight w:val="none"/>
        </w:rPr>
        <w:t>人以下或营业收入</w:t>
      </w:r>
      <w:r>
        <w:rPr>
          <w:color w:val="auto"/>
          <w:szCs w:val="21"/>
          <w:highlight w:val="none"/>
        </w:rPr>
        <w:t>1000</w:t>
      </w:r>
      <w:r>
        <w:rPr>
          <w:rFonts w:hint="eastAsia"/>
          <w:color w:val="auto"/>
          <w:szCs w:val="21"/>
          <w:highlight w:val="none"/>
        </w:rPr>
        <w:t>万元以下的为微型企业。</w:t>
      </w:r>
    </w:p>
    <w:p w14:paraId="38B2FAD2">
      <w:pPr>
        <w:pStyle w:val="216"/>
        <w:rPr>
          <w:color w:val="auto"/>
          <w:szCs w:val="21"/>
          <w:highlight w:val="none"/>
        </w:rPr>
      </w:pPr>
      <w:r>
        <w:rPr>
          <w:rFonts w:hint="eastAsia"/>
          <w:color w:val="auto"/>
          <w:szCs w:val="21"/>
          <w:highlight w:val="none"/>
        </w:rPr>
        <w:t>　　（五）零售业。从业人员</w:t>
      </w:r>
      <w:r>
        <w:rPr>
          <w:color w:val="auto"/>
          <w:szCs w:val="21"/>
          <w:highlight w:val="none"/>
        </w:rPr>
        <w:t>300</w:t>
      </w:r>
      <w:r>
        <w:rPr>
          <w:rFonts w:hint="eastAsia"/>
          <w:color w:val="auto"/>
          <w:szCs w:val="21"/>
          <w:highlight w:val="none"/>
        </w:rPr>
        <w:t>人以下或营业收入</w:t>
      </w:r>
      <w:r>
        <w:rPr>
          <w:color w:val="auto"/>
          <w:szCs w:val="21"/>
          <w:highlight w:val="none"/>
        </w:rPr>
        <w:t>20000</w:t>
      </w:r>
      <w:r>
        <w:rPr>
          <w:rFonts w:hint="eastAsia"/>
          <w:color w:val="auto"/>
          <w:szCs w:val="21"/>
          <w:highlight w:val="none"/>
        </w:rPr>
        <w:t>万元以下的为中小微型企业。其中，从业人员</w:t>
      </w:r>
      <w:r>
        <w:rPr>
          <w:color w:val="auto"/>
          <w:szCs w:val="21"/>
          <w:highlight w:val="none"/>
        </w:rPr>
        <w:t>50</w:t>
      </w:r>
      <w:r>
        <w:rPr>
          <w:rFonts w:hint="eastAsia"/>
          <w:color w:val="auto"/>
          <w:szCs w:val="21"/>
          <w:highlight w:val="none"/>
        </w:rPr>
        <w:t>人及以上，且营业收入</w:t>
      </w:r>
      <w:r>
        <w:rPr>
          <w:color w:val="auto"/>
          <w:szCs w:val="21"/>
          <w:highlight w:val="none"/>
        </w:rPr>
        <w:t>500</w:t>
      </w:r>
      <w:r>
        <w:rPr>
          <w:rFonts w:hint="eastAsia"/>
          <w:color w:val="auto"/>
          <w:szCs w:val="21"/>
          <w:highlight w:val="none"/>
        </w:rPr>
        <w:t>万元及以上的为中型企业；从业人员</w:t>
      </w:r>
      <w:r>
        <w:rPr>
          <w:color w:val="auto"/>
          <w:szCs w:val="21"/>
          <w:highlight w:val="none"/>
        </w:rPr>
        <w:t>10</w:t>
      </w:r>
      <w:r>
        <w:rPr>
          <w:rFonts w:hint="eastAsia"/>
          <w:color w:val="auto"/>
          <w:szCs w:val="21"/>
          <w:highlight w:val="none"/>
        </w:rPr>
        <w:t>人及以上，且营业收入</w:t>
      </w:r>
      <w:r>
        <w:rPr>
          <w:color w:val="auto"/>
          <w:szCs w:val="21"/>
          <w:highlight w:val="none"/>
        </w:rPr>
        <w:t>100</w:t>
      </w:r>
      <w:r>
        <w:rPr>
          <w:rFonts w:hint="eastAsia"/>
          <w:color w:val="auto"/>
          <w:szCs w:val="21"/>
          <w:highlight w:val="none"/>
        </w:rPr>
        <w:t>万元及以上的为小型企业；从业人员</w:t>
      </w:r>
      <w:r>
        <w:rPr>
          <w:color w:val="auto"/>
          <w:szCs w:val="21"/>
          <w:highlight w:val="none"/>
        </w:rPr>
        <w:t>10</w:t>
      </w:r>
      <w:r>
        <w:rPr>
          <w:rFonts w:hint="eastAsia"/>
          <w:color w:val="auto"/>
          <w:szCs w:val="21"/>
          <w:highlight w:val="none"/>
        </w:rPr>
        <w:t>人以下或营业收入</w:t>
      </w:r>
      <w:r>
        <w:rPr>
          <w:color w:val="auto"/>
          <w:szCs w:val="21"/>
          <w:highlight w:val="none"/>
        </w:rPr>
        <w:t>100</w:t>
      </w:r>
      <w:r>
        <w:rPr>
          <w:rFonts w:hint="eastAsia"/>
          <w:color w:val="auto"/>
          <w:szCs w:val="21"/>
          <w:highlight w:val="none"/>
        </w:rPr>
        <w:t>万元以下的为微型企业。</w:t>
      </w:r>
    </w:p>
    <w:p w14:paraId="454D1BE3">
      <w:pPr>
        <w:pStyle w:val="216"/>
        <w:rPr>
          <w:color w:val="auto"/>
          <w:szCs w:val="21"/>
          <w:highlight w:val="none"/>
        </w:rPr>
      </w:pPr>
      <w:r>
        <w:rPr>
          <w:rFonts w:hint="eastAsia"/>
          <w:color w:val="auto"/>
          <w:szCs w:val="21"/>
          <w:highlight w:val="none"/>
        </w:rPr>
        <w:t>　　（六）交通运输业。从业人员</w:t>
      </w:r>
      <w:r>
        <w:rPr>
          <w:color w:val="auto"/>
          <w:szCs w:val="21"/>
          <w:highlight w:val="none"/>
        </w:rPr>
        <w:t>1000</w:t>
      </w:r>
      <w:r>
        <w:rPr>
          <w:rFonts w:hint="eastAsia"/>
          <w:color w:val="auto"/>
          <w:szCs w:val="21"/>
          <w:highlight w:val="none"/>
        </w:rPr>
        <w:t>人以下或营业收入</w:t>
      </w:r>
      <w:r>
        <w:rPr>
          <w:color w:val="auto"/>
          <w:szCs w:val="21"/>
          <w:highlight w:val="none"/>
        </w:rPr>
        <w:t>30000</w:t>
      </w:r>
      <w:r>
        <w:rPr>
          <w:rFonts w:hint="eastAsia"/>
          <w:color w:val="auto"/>
          <w:szCs w:val="21"/>
          <w:highlight w:val="none"/>
        </w:rPr>
        <w:t>万元以下的为中小微型企业。其中，从业人员</w:t>
      </w:r>
      <w:r>
        <w:rPr>
          <w:color w:val="auto"/>
          <w:szCs w:val="21"/>
          <w:highlight w:val="none"/>
        </w:rPr>
        <w:t>300</w:t>
      </w:r>
      <w:r>
        <w:rPr>
          <w:rFonts w:hint="eastAsia"/>
          <w:color w:val="auto"/>
          <w:szCs w:val="21"/>
          <w:highlight w:val="none"/>
        </w:rPr>
        <w:t>人及以上，且营业收入</w:t>
      </w:r>
      <w:r>
        <w:rPr>
          <w:color w:val="auto"/>
          <w:szCs w:val="21"/>
          <w:highlight w:val="none"/>
        </w:rPr>
        <w:t>3000</w:t>
      </w:r>
      <w:r>
        <w:rPr>
          <w:rFonts w:hint="eastAsia"/>
          <w:color w:val="auto"/>
          <w:szCs w:val="21"/>
          <w:highlight w:val="none"/>
        </w:rPr>
        <w:t>万元及以上的为中型企业；从业人员</w:t>
      </w:r>
      <w:r>
        <w:rPr>
          <w:color w:val="auto"/>
          <w:szCs w:val="21"/>
          <w:highlight w:val="none"/>
        </w:rPr>
        <w:t>20</w:t>
      </w:r>
      <w:r>
        <w:rPr>
          <w:rFonts w:hint="eastAsia"/>
          <w:color w:val="auto"/>
          <w:szCs w:val="21"/>
          <w:highlight w:val="none"/>
        </w:rPr>
        <w:t>人及以上，且营业收入</w:t>
      </w:r>
      <w:r>
        <w:rPr>
          <w:color w:val="auto"/>
          <w:szCs w:val="21"/>
          <w:highlight w:val="none"/>
        </w:rPr>
        <w:t>200</w:t>
      </w:r>
      <w:r>
        <w:rPr>
          <w:rFonts w:hint="eastAsia"/>
          <w:color w:val="auto"/>
          <w:szCs w:val="21"/>
          <w:highlight w:val="none"/>
        </w:rPr>
        <w:t>万元及以上的为小型企业；从业人员</w:t>
      </w:r>
      <w:r>
        <w:rPr>
          <w:color w:val="auto"/>
          <w:szCs w:val="21"/>
          <w:highlight w:val="none"/>
        </w:rPr>
        <w:t>20</w:t>
      </w:r>
      <w:r>
        <w:rPr>
          <w:rFonts w:hint="eastAsia"/>
          <w:color w:val="auto"/>
          <w:szCs w:val="21"/>
          <w:highlight w:val="none"/>
        </w:rPr>
        <w:t>人以下或营业收入</w:t>
      </w:r>
      <w:r>
        <w:rPr>
          <w:color w:val="auto"/>
          <w:szCs w:val="21"/>
          <w:highlight w:val="none"/>
        </w:rPr>
        <w:t>200</w:t>
      </w:r>
      <w:r>
        <w:rPr>
          <w:rFonts w:hint="eastAsia"/>
          <w:color w:val="auto"/>
          <w:szCs w:val="21"/>
          <w:highlight w:val="none"/>
        </w:rPr>
        <w:t>万元以下的为微型企业。</w:t>
      </w:r>
    </w:p>
    <w:p w14:paraId="3A33A5E3">
      <w:pPr>
        <w:pStyle w:val="216"/>
        <w:rPr>
          <w:color w:val="auto"/>
          <w:szCs w:val="21"/>
          <w:highlight w:val="none"/>
        </w:rPr>
      </w:pPr>
      <w:r>
        <w:rPr>
          <w:rFonts w:hint="eastAsia"/>
          <w:color w:val="auto"/>
          <w:szCs w:val="21"/>
          <w:highlight w:val="none"/>
        </w:rPr>
        <w:t>　　（七）仓储业。从业人员</w:t>
      </w:r>
      <w:r>
        <w:rPr>
          <w:color w:val="auto"/>
          <w:szCs w:val="21"/>
          <w:highlight w:val="none"/>
        </w:rPr>
        <w:t>200</w:t>
      </w:r>
      <w:r>
        <w:rPr>
          <w:rFonts w:hint="eastAsia"/>
          <w:color w:val="auto"/>
          <w:szCs w:val="21"/>
          <w:highlight w:val="none"/>
        </w:rPr>
        <w:t>人以下或营业收入</w:t>
      </w:r>
      <w:r>
        <w:rPr>
          <w:color w:val="auto"/>
          <w:szCs w:val="21"/>
          <w:highlight w:val="none"/>
        </w:rPr>
        <w:t>30000</w:t>
      </w:r>
      <w:r>
        <w:rPr>
          <w:rFonts w:hint="eastAsia"/>
          <w:color w:val="auto"/>
          <w:szCs w:val="21"/>
          <w:highlight w:val="none"/>
        </w:rPr>
        <w:t>万元以下的为中小微型企业。其中，从业人员</w:t>
      </w:r>
      <w:r>
        <w:rPr>
          <w:color w:val="auto"/>
          <w:szCs w:val="21"/>
          <w:highlight w:val="none"/>
        </w:rPr>
        <w:t>100</w:t>
      </w:r>
      <w:r>
        <w:rPr>
          <w:rFonts w:hint="eastAsia"/>
          <w:color w:val="auto"/>
          <w:szCs w:val="21"/>
          <w:highlight w:val="none"/>
        </w:rPr>
        <w:t>人及以上，且营业收入</w:t>
      </w:r>
      <w:r>
        <w:rPr>
          <w:color w:val="auto"/>
          <w:szCs w:val="21"/>
          <w:highlight w:val="none"/>
        </w:rPr>
        <w:t>1000</w:t>
      </w:r>
      <w:r>
        <w:rPr>
          <w:rFonts w:hint="eastAsia"/>
          <w:color w:val="auto"/>
          <w:szCs w:val="21"/>
          <w:highlight w:val="none"/>
        </w:rPr>
        <w:t>万元及以上的为中型企业；从业人员</w:t>
      </w:r>
      <w:r>
        <w:rPr>
          <w:color w:val="auto"/>
          <w:szCs w:val="21"/>
          <w:highlight w:val="none"/>
        </w:rPr>
        <w:t>20</w:t>
      </w:r>
      <w:r>
        <w:rPr>
          <w:rFonts w:hint="eastAsia"/>
          <w:color w:val="auto"/>
          <w:szCs w:val="21"/>
          <w:highlight w:val="none"/>
        </w:rPr>
        <w:t>人及以上，且营业收入</w:t>
      </w:r>
      <w:r>
        <w:rPr>
          <w:color w:val="auto"/>
          <w:szCs w:val="21"/>
          <w:highlight w:val="none"/>
        </w:rPr>
        <w:t>100</w:t>
      </w:r>
      <w:r>
        <w:rPr>
          <w:rFonts w:hint="eastAsia"/>
          <w:color w:val="auto"/>
          <w:szCs w:val="21"/>
          <w:highlight w:val="none"/>
        </w:rPr>
        <w:t>万元及以上的为小型企业；从业人员</w:t>
      </w:r>
      <w:r>
        <w:rPr>
          <w:color w:val="auto"/>
          <w:szCs w:val="21"/>
          <w:highlight w:val="none"/>
        </w:rPr>
        <w:t>20</w:t>
      </w:r>
      <w:r>
        <w:rPr>
          <w:rFonts w:hint="eastAsia"/>
          <w:color w:val="auto"/>
          <w:szCs w:val="21"/>
          <w:highlight w:val="none"/>
        </w:rPr>
        <w:t>人以下或营业收入</w:t>
      </w:r>
      <w:r>
        <w:rPr>
          <w:color w:val="auto"/>
          <w:szCs w:val="21"/>
          <w:highlight w:val="none"/>
        </w:rPr>
        <w:t>100</w:t>
      </w:r>
      <w:r>
        <w:rPr>
          <w:rFonts w:hint="eastAsia"/>
          <w:color w:val="auto"/>
          <w:szCs w:val="21"/>
          <w:highlight w:val="none"/>
        </w:rPr>
        <w:t>万元以下的为微型企业。</w:t>
      </w:r>
    </w:p>
    <w:p w14:paraId="6A6FC7CF">
      <w:pPr>
        <w:pStyle w:val="216"/>
        <w:rPr>
          <w:color w:val="auto"/>
          <w:szCs w:val="21"/>
          <w:highlight w:val="none"/>
        </w:rPr>
      </w:pPr>
      <w:r>
        <w:rPr>
          <w:rFonts w:hint="eastAsia"/>
          <w:color w:val="auto"/>
          <w:szCs w:val="21"/>
          <w:highlight w:val="none"/>
        </w:rPr>
        <w:t>　　（八）邮政业。从业人员</w:t>
      </w:r>
      <w:r>
        <w:rPr>
          <w:color w:val="auto"/>
          <w:szCs w:val="21"/>
          <w:highlight w:val="none"/>
        </w:rPr>
        <w:t>1000</w:t>
      </w:r>
      <w:r>
        <w:rPr>
          <w:rFonts w:hint="eastAsia"/>
          <w:color w:val="auto"/>
          <w:szCs w:val="21"/>
          <w:highlight w:val="none"/>
        </w:rPr>
        <w:t>人以下或营业收入</w:t>
      </w:r>
      <w:r>
        <w:rPr>
          <w:color w:val="auto"/>
          <w:szCs w:val="21"/>
          <w:highlight w:val="none"/>
        </w:rPr>
        <w:t>30000</w:t>
      </w:r>
      <w:r>
        <w:rPr>
          <w:rFonts w:hint="eastAsia"/>
          <w:color w:val="auto"/>
          <w:szCs w:val="21"/>
          <w:highlight w:val="none"/>
        </w:rPr>
        <w:t>万元以下的为中小微型企业。其中，从业人员</w:t>
      </w:r>
      <w:r>
        <w:rPr>
          <w:color w:val="auto"/>
          <w:szCs w:val="21"/>
          <w:highlight w:val="none"/>
        </w:rPr>
        <w:t>300</w:t>
      </w:r>
      <w:r>
        <w:rPr>
          <w:rFonts w:hint="eastAsia"/>
          <w:color w:val="auto"/>
          <w:szCs w:val="21"/>
          <w:highlight w:val="none"/>
        </w:rPr>
        <w:t>人及以上，且营业收入</w:t>
      </w:r>
      <w:r>
        <w:rPr>
          <w:color w:val="auto"/>
          <w:szCs w:val="21"/>
          <w:highlight w:val="none"/>
        </w:rPr>
        <w:t>2000</w:t>
      </w:r>
      <w:r>
        <w:rPr>
          <w:rFonts w:hint="eastAsia"/>
          <w:color w:val="auto"/>
          <w:szCs w:val="21"/>
          <w:highlight w:val="none"/>
        </w:rPr>
        <w:t>万元及以上的为中型企业；从业人员</w:t>
      </w:r>
      <w:r>
        <w:rPr>
          <w:color w:val="auto"/>
          <w:szCs w:val="21"/>
          <w:highlight w:val="none"/>
        </w:rPr>
        <w:t>20</w:t>
      </w:r>
      <w:r>
        <w:rPr>
          <w:rFonts w:hint="eastAsia"/>
          <w:color w:val="auto"/>
          <w:szCs w:val="21"/>
          <w:highlight w:val="none"/>
        </w:rPr>
        <w:t>人及以上，且营业收入</w:t>
      </w:r>
      <w:r>
        <w:rPr>
          <w:color w:val="auto"/>
          <w:szCs w:val="21"/>
          <w:highlight w:val="none"/>
        </w:rPr>
        <w:t>100</w:t>
      </w:r>
      <w:r>
        <w:rPr>
          <w:rFonts w:hint="eastAsia"/>
          <w:color w:val="auto"/>
          <w:szCs w:val="21"/>
          <w:highlight w:val="none"/>
        </w:rPr>
        <w:t>万元及以上的为小型企业；从业人员</w:t>
      </w:r>
      <w:r>
        <w:rPr>
          <w:color w:val="auto"/>
          <w:szCs w:val="21"/>
          <w:highlight w:val="none"/>
        </w:rPr>
        <w:t>20</w:t>
      </w:r>
      <w:r>
        <w:rPr>
          <w:rFonts w:hint="eastAsia"/>
          <w:color w:val="auto"/>
          <w:szCs w:val="21"/>
          <w:highlight w:val="none"/>
        </w:rPr>
        <w:t>人以下或营业收入</w:t>
      </w:r>
      <w:r>
        <w:rPr>
          <w:color w:val="auto"/>
          <w:szCs w:val="21"/>
          <w:highlight w:val="none"/>
        </w:rPr>
        <w:t>100</w:t>
      </w:r>
      <w:r>
        <w:rPr>
          <w:rFonts w:hint="eastAsia"/>
          <w:color w:val="auto"/>
          <w:szCs w:val="21"/>
          <w:highlight w:val="none"/>
        </w:rPr>
        <w:t>万元以下的为微型企业。</w:t>
      </w:r>
    </w:p>
    <w:p w14:paraId="5D5141F0">
      <w:pPr>
        <w:pStyle w:val="216"/>
        <w:rPr>
          <w:color w:val="auto"/>
          <w:szCs w:val="21"/>
          <w:highlight w:val="none"/>
        </w:rPr>
      </w:pPr>
      <w:r>
        <w:rPr>
          <w:rFonts w:hint="eastAsia"/>
          <w:color w:val="auto"/>
          <w:szCs w:val="21"/>
          <w:highlight w:val="none"/>
        </w:rPr>
        <w:t>　　（九）住宿业。从业人员</w:t>
      </w:r>
      <w:r>
        <w:rPr>
          <w:color w:val="auto"/>
          <w:szCs w:val="21"/>
          <w:highlight w:val="none"/>
        </w:rPr>
        <w:t>300</w:t>
      </w:r>
      <w:r>
        <w:rPr>
          <w:rFonts w:hint="eastAsia"/>
          <w:color w:val="auto"/>
          <w:szCs w:val="21"/>
          <w:highlight w:val="none"/>
        </w:rPr>
        <w:t>人以下或营业收入</w:t>
      </w:r>
      <w:r>
        <w:rPr>
          <w:color w:val="auto"/>
          <w:szCs w:val="21"/>
          <w:highlight w:val="none"/>
        </w:rPr>
        <w:t>10000</w:t>
      </w:r>
      <w:r>
        <w:rPr>
          <w:rFonts w:hint="eastAsia"/>
          <w:color w:val="auto"/>
          <w:szCs w:val="21"/>
          <w:highlight w:val="none"/>
        </w:rPr>
        <w:t>万元以下的为中小微型企业。其中，从业人员</w:t>
      </w:r>
      <w:r>
        <w:rPr>
          <w:color w:val="auto"/>
          <w:szCs w:val="21"/>
          <w:highlight w:val="none"/>
        </w:rPr>
        <w:t>100</w:t>
      </w:r>
      <w:r>
        <w:rPr>
          <w:rFonts w:hint="eastAsia"/>
          <w:color w:val="auto"/>
          <w:szCs w:val="21"/>
          <w:highlight w:val="none"/>
        </w:rPr>
        <w:t>人及以上，且营业收入</w:t>
      </w:r>
      <w:r>
        <w:rPr>
          <w:color w:val="auto"/>
          <w:szCs w:val="21"/>
          <w:highlight w:val="none"/>
        </w:rPr>
        <w:t>2000</w:t>
      </w:r>
      <w:r>
        <w:rPr>
          <w:rFonts w:hint="eastAsia"/>
          <w:color w:val="auto"/>
          <w:szCs w:val="21"/>
          <w:highlight w:val="none"/>
        </w:rPr>
        <w:t>万元及以上的为中型企业；从业人员</w:t>
      </w:r>
      <w:r>
        <w:rPr>
          <w:color w:val="auto"/>
          <w:szCs w:val="21"/>
          <w:highlight w:val="none"/>
        </w:rPr>
        <w:t>10</w:t>
      </w:r>
      <w:r>
        <w:rPr>
          <w:rFonts w:hint="eastAsia"/>
          <w:color w:val="auto"/>
          <w:szCs w:val="21"/>
          <w:highlight w:val="none"/>
        </w:rPr>
        <w:t>人及以上，且营业收入</w:t>
      </w:r>
      <w:r>
        <w:rPr>
          <w:color w:val="auto"/>
          <w:szCs w:val="21"/>
          <w:highlight w:val="none"/>
        </w:rPr>
        <w:t>100</w:t>
      </w:r>
      <w:r>
        <w:rPr>
          <w:rFonts w:hint="eastAsia"/>
          <w:color w:val="auto"/>
          <w:szCs w:val="21"/>
          <w:highlight w:val="none"/>
        </w:rPr>
        <w:t>万元及以上的为小型企业；从业人员</w:t>
      </w:r>
      <w:r>
        <w:rPr>
          <w:color w:val="auto"/>
          <w:szCs w:val="21"/>
          <w:highlight w:val="none"/>
        </w:rPr>
        <w:t>10</w:t>
      </w:r>
      <w:r>
        <w:rPr>
          <w:rFonts w:hint="eastAsia"/>
          <w:color w:val="auto"/>
          <w:szCs w:val="21"/>
          <w:highlight w:val="none"/>
        </w:rPr>
        <w:t>人以下或营业收入</w:t>
      </w:r>
      <w:r>
        <w:rPr>
          <w:color w:val="auto"/>
          <w:szCs w:val="21"/>
          <w:highlight w:val="none"/>
        </w:rPr>
        <w:t>100</w:t>
      </w:r>
      <w:r>
        <w:rPr>
          <w:rFonts w:hint="eastAsia"/>
          <w:color w:val="auto"/>
          <w:szCs w:val="21"/>
          <w:highlight w:val="none"/>
        </w:rPr>
        <w:t>万元以下的为微型企业。</w:t>
      </w:r>
    </w:p>
    <w:p w14:paraId="115B8A0E">
      <w:pPr>
        <w:pStyle w:val="216"/>
        <w:rPr>
          <w:color w:val="auto"/>
          <w:szCs w:val="21"/>
          <w:highlight w:val="none"/>
        </w:rPr>
      </w:pPr>
      <w:r>
        <w:rPr>
          <w:rFonts w:hint="eastAsia"/>
          <w:color w:val="auto"/>
          <w:szCs w:val="21"/>
          <w:highlight w:val="none"/>
        </w:rPr>
        <w:t>　　（十）餐饮业。从业人员</w:t>
      </w:r>
      <w:r>
        <w:rPr>
          <w:color w:val="auto"/>
          <w:szCs w:val="21"/>
          <w:highlight w:val="none"/>
        </w:rPr>
        <w:t>300</w:t>
      </w:r>
      <w:r>
        <w:rPr>
          <w:rFonts w:hint="eastAsia"/>
          <w:color w:val="auto"/>
          <w:szCs w:val="21"/>
          <w:highlight w:val="none"/>
        </w:rPr>
        <w:t>人以下或营业收入</w:t>
      </w:r>
      <w:r>
        <w:rPr>
          <w:color w:val="auto"/>
          <w:szCs w:val="21"/>
          <w:highlight w:val="none"/>
        </w:rPr>
        <w:t>10000</w:t>
      </w:r>
      <w:r>
        <w:rPr>
          <w:rFonts w:hint="eastAsia"/>
          <w:color w:val="auto"/>
          <w:szCs w:val="21"/>
          <w:highlight w:val="none"/>
        </w:rPr>
        <w:t>万元以下的为中小微型企业。其中，从业人员</w:t>
      </w:r>
      <w:r>
        <w:rPr>
          <w:color w:val="auto"/>
          <w:szCs w:val="21"/>
          <w:highlight w:val="none"/>
        </w:rPr>
        <w:t>100</w:t>
      </w:r>
      <w:r>
        <w:rPr>
          <w:rFonts w:hint="eastAsia"/>
          <w:color w:val="auto"/>
          <w:szCs w:val="21"/>
          <w:highlight w:val="none"/>
        </w:rPr>
        <w:t>人及以上，且营业收入</w:t>
      </w:r>
      <w:r>
        <w:rPr>
          <w:color w:val="auto"/>
          <w:szCs w:val="21"/>
          <w:highlight w:val="none"/>
        </w:rPr>
        <w:t>2000</w:t>
      </w:r>
      <w:r>
        <w:rPr>
          <w:rFonts w:hint="eastAsia"/>
          <w:color w:val="auto"/>
          <w:szCs w:val="21"/>
          <w:highlight w:val="none"/>
        </w:rPr>
        <w:t>万元及以上的为中型企业；从业人员</w:t>
      </w:r>
      <w:r>
        <w:rPr>
          <w:color w:val="auto"/>
          <w:szCs w:val="21"/>
          <w:highlight w:val="none"/>
        </w:rPr>
        <w:t>10</w:t>
      </w:r>
      <w:r>
        <w:rPr>
          <w:rFonts w:hint="eastAsia"/>
          <w:color w:val="auto"/>
          <w:szCs w:val="21"/>
          <w:highlight w:val="none"/>
        </w:rPr>
        <w:t>人及以上，且营业收入</w:t>
      </w:r>
      <w:r>
        <w:rPr>
          <w:color w:val="auto"/>
          <w:szCs w:val="21"/>
          <w:highlight w:val="none"/>
        </w:rPr>
        <w:t>100</w:t>
      </w:r>
      <w:r>
        <w:rPr>
          <w:rFonts w:hint="eastAsia"/>
          <w:color w:val="auto"/>
          <w:szCs w:val="21"/>
          <w:highlight w:val="none"/>
        </w:rPr>
        <w:t>万元及以上的为小型企业；从业人员</w:t>
      </w:r>
      <w:r>
        <w:rPr>
          <w:color w:val="auto"/>
          <w:szCs w:val="21"/>
          <w:highlight w:val="none"/>
        </w:rPr>
        <w:t>10</w:t>
      </w:r>
      <w:r>
        <w:rPr>
          <w:rFonts w:hint="eastAsia"/>
          <w:color w:val="auto"/>
          <w:szCs w:val="21"/>
          <w:highlight w:val="none"/>
        </w:rPr>
        <w:t>人以下或营业收入</w:t>
      </w:r>
      <w:r>
        <w:rPr>
          <w:color w:val="auto"/>
          <w:szCs w:val="21"/>
          <w:highlight w:val="none"/>
        </w:rPr>
        <w:t>100</w:t>
      </w:r>
      <w:r>
        <w:rPr>
          <w:rFonts w:hint="eastAsia"/>
          <w:color w:val="auto"/>
          <w:szCs w:val="21"/>
          <w:highlight w:val="none"/>
        </w:rPr>
        <w:t>万元以下的为微型企业。</w:t>
      </w:r>
    </w:p>
    <w:p w14:paraId="7FCBE3D8">
      <w:pPr>
        <w:pStyle w:val="216"/>
        <w:rPr>
          <w:color w:val="auto"/>
          <w:szCs w:val="21"/>
          <w:highlight w:val="none"/>
        </w:rPr>
      </w:pPr>
      <w:r>
        <w:rPr>
          <w:rFonts w:hint="eastAsia"/>
          <w:color w:val="auto"/>
          <w:szCs w:val="21"/>
          <w:highlight w:val="none"/>
        </w:rPr>
        <w:t>　　（十一）信息传输业。从业人员</w:t>
      </w:r>
      <w:r>
        <w:rPr>
          <w:color w:val="auto"/>
          <w:szCs w:val="21"/>
          <w:highlight w:val="none"/>
        </w:rPr>
        <w:t>2000</w:t>
      </w:r>
      <w:r>
        <w:rPr>
          <w:rFonts w:hint="eastAsia"/>
          <w:color w:val="auto"/>
          <w:szCs w:val="21"/>
          <w:highlight w:val="none"/>
        </w:rPr>
        <w:t>人以下或营业收入</w:t>
      </w:r>
      <w:r>
        <w:rPr>
          <w:color w:val="auto"/>
          <w:szCs w:val="21"/>
          <w:highlight w:val="none"/>
        </w:rPr>
        <w:t>100000</w:t>
      </w:r>
      <w:r>
        <w:rPr>
          <w:rFonts w:hint="eastAsia"/>
          <w:color w:val="auto"/>
          <w:szCs w:val="21"/>
          <w:highlight w:val="none"/>
        </w:rPr>
        <w:t>万元以下的为中小微型企业。其中，从业人员</w:t>
      </w:r>
      <w:r>
        <w:rPr>
          <w:color w:val="auto"/>
          <w:szCs w:val="21"/>
          <w:highlight w:val="none"/>
        </w:rPr>
        <w:t>100</w:t>
      </w:r>
      <w:r>
        <w:rPr>
          <w:rFonts w:hint="eastAsia"/>
          <w:color w:val="auto"/>
          <w:szCs w:val="21"/>
          <w:highlight w:val="none"/>
        </w:rPr>
        <w:t>人及以上，且营业收入</w:t>
      </w:r>
      <w:r>
        <w:rPr>
          <w:color w:val="auto"/>
          <w:szCs w:val="21"/>
          <w:highlight w:val="none"/>
        </w:rPr>
        <w:t>1000</w:t>
      </w:r>
      <w:r>
        <w:rPr>
          <w:rFonts w:hint="eastAsia"/>
          <w:color w:val="auto"/>
          <w:szCs w:val="21"/>
          <w:highlight w:val="none"/>
        </w:rPr>
        <w:t>万元及以上的为中型企业；从业人员</w:t>
      </w:r>
      <w:r>
        <w:rPr>
          <w:color w:val="auto"/>
          <w:szCs w:val="21"/>
          <w:highlight w:val="none"/>
        </w:rPr>
        <w:t>10</w:t>
      </w:r>
      <w:r>
        <w:rPr>
          <w:rFonts w:hint="eastAsia"/>
          <w:color w:val="auto"/>
          <w:szCs w:val="21"/>
          <w:highlight w:val="none"/>
        </w:rPr>
        <w:t>人及以上，且营业收入</w:t>
      </w:r>
      <w:r>
        <w:rPr>
          <w:color w:val="auto"/>
          <w:szCs w:val="21"/>
          <w:highlight w:val="none"/>
        </w:rPr>
        <w:t>100</w:t>
      </w:r>
      <w:r>
        <w:rPr>
          <w:rFonts w:hint="eastAsia"/>
          <w:color w:val="auto"/>
          <w:szCs w:val="21"/>
          <w:highlight w:val="none"/>
        </w:rPr>
        <w:t>万元及以上的为小型企业；从业人员</w:t>
      </w:r>
      <w:r>
        <w:rPr>
          <w:color w:val="auto"/>
          <w:szCs w:val="21"/>
          <w:highlight w:val="none"/>
        </w:rPr>
        <w:t>10</w:t>
      </w:r>
      <w:r>
        <w:rPr>
          <w:rFonts w:hint="eastAsia"/>
          <w:color w:val="auto"/>
          <w:szCs w:val="21"/>
          <w:highlight w:val="none"/>
        </w:rPr>
        <w:t>人以下或营业收入</w:t>
      </w:r>
      <w:r>
        <w:rPr>
          <w:color w:val="auto"/>
          <w:szCs w:val="21"/>
          <w:highlight w:val="none"/>
        </w:rPr>
        <w:t>100</w:t>
      </w:r>
      <w:r>
        <w:rPr>
          <w:rFonts w:hint="eastAsia"/>
          <w:color w:val="auto"/>
          <w:szCs w:val="21"/>
          <w:highlight w:val="none"/>
        </w:rPr>
        <w:t>万元以下的为微型企业。</w:t>
      </w:r>
    </w:p>
    <w:p w14:paraId="4BF0CE7A">
      <w:pPr>
        <w:pStyle w:val="216"/>
        <w:rPr>
          <w:color w:val="auto"/>
          <w:szCs w:val="21"/>
          <w:highlight w:val="none"/>
        </w:rPr>
      </w:pPr>
      <w:r>
        <w:rPr>
          <w:rFonts w:hint="eastAsia"/>
          <w:color w:val="auto"/>
          <w:szCs w:val="21"/>
          <w:highlight w:val="none"/>
        </w:rPr>
        <w:t>　　（十二）软件和信息技术服务业。从业人员</w:t>
      </w:r>
      <w:r>
        <w:rPr>
          <w:color w:val="auto"/>
          <w:szCs w:val="21"/>
          <w:highlight w:val="none"/>
        </w:rPr>
        <w:t>300</w:t>
      </w:r>
      <w:r>
        <w:rPr>
          <w:rFonts w:hint="eastAsia"/>
          <w:color w:val="auto"/>
          <w:szCs w:val="21"/>
          <w:highlight w:val="none"/>
        </w:rPr>
        <w:t>人以下或营业收入</w:t>
      </w:r>
      <w:r>
        <w:rPr>
          <w:color w:val="auto"/>
          <w:szCs w:val="21"/>
          <w:highlight w:val="none"/>
        </w:rPr>
        <w:t>10000</w:t>
      </w:r>
      <w:r>
        <w:rPr>
          <w:rFonts w:hint="eastAsia"/>
          <w:color w:val="auto"/>
          <w:szCs w:val="21"/>
          <w:highlight w:val="none"/>
        </w:rPr>
        <w:t>万元以下的为中小微型企业。其中，从业人员</w:t>
      </w:r>
      <w:r>
        <w:rPr>
          <w:color w:val="auto"/>
          <w:szCs w:val="21"/>
          <w:highlight w:val="none"/>
        </w:rPr>
        <w:t>100</w:t>
      </w:r>
      <w:r>
        <w:rPr>
          <w:rFonts w:hint="eastAsia"/>
          <w:color w:val="auto"/>
          <w:szCs w:val="21"/>
          <w:highlight w:val="none"/>
        </w:rPr>
        <w:t>人及以上，且营业收入</w:t>
      </w:r>
      <w:r>
        <w:rPr>
          <w:color w:val="auto"/>
          <w:szCs w:val="21"/>
          <w:highlight w:val="none"/>
        </w:rPr>
        <w:t>1000</w:t>
      </w:r>
      <w:r>
        <w:rPr>
          <w:rFonts w:hint="eastAsia"/>
          <w:color w:val="auto"/>
          <w:szCs w:val="21"/>
          <w:highlight w:val="none"/>
        </w:rPr>
        <w:t>万元及以上的为中型企业；从业人员</w:t>
      </w:r>
      <w:r>
        <w:rPr>
          <w:color w:val="auto"/>
          <w:szCs w:val="21"/>
          <w:highlight w:val="none"/>
        </w:rPr>
        <w:t>10</w:t>
      </w:r>
      <w:r>
        <w:rPr>
          <w:rFonts w:hint="eastAsia"/>
          <w:color w:val="auto"/>
          <w:szCs w:val="21"/>
          <w:highlight w:val="none"/>
        </w:rPr>
        <w:t>人及以上，且营业收入</w:t>
      </w:r>
      <w:r>
        <w:rPr>
          <w:color w:val="auto"/>
          <w:szCs w:val="21"/>
          <w:highlight w:val="none"/>
        </w:rPr>
        <w:t>50</w:t>
      </w:r>
      <w:r>
        <w:rPr>
          <w:rFonts w:hint="eastAsia"/>
          <w:color w:val="auto"/>
          <w:szCs w:val="21"/>
          <w:highlight w:val="none"/>
        </w:rPr>
        <w:t>万元及以上的为小型企业；从业人员</w:t>
      </w:r>
      <w:r>
        <w:rPr>
          <w:color w:val="auto"/>
          <w:szCs w:val="21"/>
          <w:highlight w:val="none"/>
        </w:rPr>
        <w:t>10</w:t>
      </w:r>
      <w:r>
        <w:rPr>
          <w:rFonts w:hint="eastAsia"/>
          <w:color w:val="auto"/>
          <w:szCs w:val="21"/>
          <w:highlight w:val="none"/>
        </w:rPr>
        <w:t>人以下或营业收入</w:t>
      </w:r>
      <w:r>
        <w:rPr>
          <w:color w:val="auto"/>
          <w:szCs w:val="21"/>
          <w:highlight w:val="none"/>
        </w:rPr>
        <w:t>50</w:t>
      </w:r>
      <w:r>
        <w:rPr>
          <w:rFonts w:hint="eastAsia"/>
          <w:color w:val="auto"/>
          <w:szCs w:val="21"/>
          <w:highlight w:val="none"/>
        </w:rPr>
        <w:t>万元以下的为微型企业。</w:t>
      </w:r>
    </w:p>
    <w:p w14:paraId="702E05A5">
      <w:pPr>
        <w:pStyle w:val="216"/>
        <w:rPr>
          <w:color w:val="auto"/>
          <w:szCs w:val="21"/>
          <w:highlight w:val="none"/>
        </w:rPr>
      </w:pPr>
      <w:r>
        <w:rPr>
          <w:rFonts w:hint="eastAsia"/>
          <w:color w:val="auto"/>
          <w:szCs w:val="21"/>
          <w:highlight w:val="none"/>
        </w:rPr>
        <w:t>　　（十三）房地产开发经营。营业收入</w:t>
      </w:r>
      <w:r>
        <w:rPr>
          <w:color w:val="auto"/>
          <w:szCs w:val="21"/>
          <w:highlight w:val="none"/>
        </w:rPr>
        <w:t>200000</w:t>
      </w:r>
      <w:r>
        <w:rPr>
          <w:rFonts w:hint="eastAsia"/>
          <w:color w:val="auto"/>
          <w:szCs w:val="21"/>
          <w:highlight w:val="none"/>
        </w:rPr>
        <w:t>万元以下或资产总额</w:t>
      </w:r>
      <w:r>
        <w:rPr>
          <w:color w:val="auto"/>
          <w:szCs w:val="21"/>
          <w:highlight w:val="none"/>
        </w:rPr>
        <w:t>10000</w:t>
      </w:r>
      <w:r>
        <w:rPr>
          <w:rFonts w:hint="eastAsia"/>
          <w:color w:val="auto"/>
          <w:szCs w:val="21"/>
          <w:highlight w:val="none"/>
        </w:rPr>
        <w:t>万元以下的为中小微型企业。其中，营业收入</w:t>
      </w:r>
      <w:r>
        <w:rPr>
          <w:color w:val="auto"/>
          <w:szCs w:val="21"/>
          <w:highlight w:val="none"/>
        </w:rPr>
        <w:t>1000</w:t>
      </w:r>
      <w:r>
        <w:rPr>
          <w:rFonts w:hint="eastAsia"/>
          <w:color w:val="auto"/>
          <w:szCs w:val="21"/>
          <w:highlight w:val="none"/>
        </w:rPr>
        <w:t>万元及以上，且资产总额</w:t>
      </w:r>
      <w:r>
        <w:rPr>
          <w:color w:val="auto"/>
          <w:szCs w:val="21"/>
          <w:highlight w:val="none"/>
        </w:rPr>
        <w:t>5000</w:t>
      </w:r>
      <w:r>
        <w:rPr>
          <w:rFonts w:hint="eastAsia"/>
          <w:color w:val="auto"/>
          <w:szCs w:val="21"/>
          <w:highlight w:val="none"/>
        </w:rPr>
        <w:t>万元及以上的为中型企业；营业收入</w:t>
      </w:r>
      <w:r>
        <w:rPr>
          <w:color w:val="auto"/>
          <w:szCs w:val="21"/>
          <w:highlight w:val="none"/>
        </w:rPr>
        <w:t>100</w:t>
      </w:r>
      <w:r>
        <w:rPr>
          <w:rFonts w:hint="eastAsia"/>
          <w:color w:val="auto"/>
          <w:szCs w:val="21"/>
          <w:highlight w:val="none"/>
        </w:rPr>
        <w:t>万元及以上，且资产总额</w:t>
      </w:r>
      <w:r>
        <w:rPr>
          <w:color w:val="auto"/>
          <w:szCs w:val="21"/>
          <w:highlight w:val="none"/>
        </w:rPr>
        <w:t>2000</w:t>
      </w:r>
      <w:r>
        <w:rPr>
          <w:rFonts w:hint="eastAsia"/>
          <w:color w:val="auto"/>
          <w:szCs w:val="21"/>
          <w:highlight w:val="none"/>
        </w:rPr>
        <w:t>万元及以上的为小型企业；营业收入</w:t>
      </w:r>
      <w:r>
        <w:rPr>
          <w:color w:val="auto"/>
          <w:szCs w:val="21"/>
          <w:highlight w:val="none"/>
        </w:rPr>
        <w:t>100</w:t>
      </w:r>
      <w:r>
        <w:rPr>
          <w:rFonts w:hint="eastAsia"/>
          <w:color w:val="auto"/>
          <w:szCs w:val="21"/>
          <w:highlight w:val="none"/>
        </w:rPr>
        <w:t>万元以下或资产总额</w:t>
      </w:r>
      <w:r>
        <w:rPr>
          <w:color w:val="auto"/>
          <w:szCs w:val="21"/>
          <w:highlight w:val="none"/>
        </w:rPr>
        <w:t>2000</w:t>
      </w:r>
      <w:r>
        <w:rPr>
          <w:rFonts w:hint="eastAsia"/>
          <w:color w:val="auto"/>
          <w:szCs w:val="21"/>
          <w:highlight w:val="none"/>
        </w:rPr>
        <w:t>万元以下的为微型企业。</w:t>
      </w:r>
    </w:p>
    <w:p w14:paraId="309B774A">
      <w:pPr>
        <w:pStyle w:val="216"/>
        <w:rPr>
          <w:color w:val="auto"/>
          <w:szCs w:val="21"/>
          <w:highlight w:val="none"/>
        </w:rPr>
      </w:pPr>
      <w:r>
        <w:rPr>
          <w:rFonts w:hint="eastAsia"/>
          <w:color w:val="auto"/>
          <w:szCs w:val="21"/>
          <w:highlight w:val="none"/>
        </w:rPr>
        <w:t>　　（十四）物业管理。从业人员</w:t>
      </w:r>
      <w:r>
        <w:rPr>
          <w:color w:val="auto"/>
          <w:szCs w:val="21"/>
          <w:highlight w:val="none"/>
        </w:rPr>
        <w:t>1000</w:t>
      </w:r>
      <w:r>
        <w:rPr>
          <w:rFonts w:hint="eastAsia"/>
          <w:color w:val="auto"/>
          <w:szCs w:val="21"/>
          <w:highlight w:val="none"/>
        </w:rPr>
        <w:t>人以下或营业收入</w:t>
      </w:r>
      <w:r>
        <w:rPr>
          <w:color w:val="auto"/>
          <w:szCs w:val="21"/>
          <w:highlight w:val="none"/>
        </w:rPr>
        <w:t>5000</w:t>
      </w:r>
      <w:r>
        <w:rPr>
          <w:rFonts w:hint="eastAsia"/>
          <w:color w:val="auto"/>
          <w:szCs w:val="21"/>
          <w:highlight w:val="none"/>
        </w:rPr>
        <w:t>万元以下的为中小微型企业。其中，从业人员</w:t>
      </w:r>
      <w:r>
        <w:rPr>
          <w:color w:val="auto"/>
          <w:szCs w:val="21"/>
          <w:highlight w:val="none"/>
        </w:rPr>
        <w:t>300</w:t>
      </w:r>
      <w:r>
        <w:rPr>
          <w:rFonts w:hint="eastAsia"/>
          <w:color w:val="auto"/>
          <w:szCs w:val="21"/>
          <w:highlight w:val="none"/>
        </w:rPr>
        <w:t>人及以上，且营业收入</w:t>
      </w:r>
      <w:r>
        <w:rPr>
          <w:color w:val="auto"/>
          <w:szCs w:val="21"/>
          <w:highlight w:val="none"/>
        </w:rPr>
        <w:t>1000</w:t>
      </w:r>
      <w:r>
        <w:rPr>
          <w:rFonts w:hint="eastAsia"/>
          <w:color w:val="auto"/>
          <w:szCs w:val="21"/>
          <w:highlight w:val="none"/>
        </w:rPr>
        <w:t>万元及以上的为中型企业；从业人员</w:t>
      </w:r>
      <w:r>
        <w:rPr>
          <w:color w:val="auto"/>
          <w:szCs w:val="21"/>
          <w:highlight w:val="none"/>
        </w:rPr>
        <w:t>100</w:t>
      </w:r>
      <w:r>
        <w:rPr>
          <w:rFonts w:hint="eastAsia"/>
          <w:color w:val="auto"/>
          <w:szCs w:val="21"/>
          <w:highlight w:val="none"/>
        </w:rPr>
        <w:t>人及以上，且营业收入</w:t>
      </w:r>
      <w:r>
        <w:rPr>
          <w:color w:val="auto"/>
          <w:szCs w:val="21"/>
          <w:highlight w:val="none"/>
        </w:rPr>
        <w:t>500</w:t>
      </w:r>
      <w:r>
        <w:rPr>
          <w:rFonts w:hint="eastAsia"/>
          <w:color w:val="auto"/>
          <w:szCs w:val="21"/>
          <w:highlight w:val="none"/>
        </w:rPr>
        <w:t>万元及以上的为小型企业；从业人员</w:t>
      </w:r>
      <w:r>
        <w:rPr>
          <w:color w:val="auto"/>
          <w:szCs w:val="21"/>
          <w:highlight w:val="none"/>
        </w:rPr>
        <w:t>100</w:t>
      </w:r>
      <w:r>
        <w:rPr>
          <w:rFonts w:hint="eastAsia"/>
          <w:color w:val="auto"/>
          <w:szCs w:val="21"/>
          <w:highlight w:val="none"/>
        </w:rPr>
        <w:t>人以下或营业收入</w:t>
      </w:r>
      <w:r>
        <w:rPr>
          <w:color w:val="auto"/>
          <w:szCs w:val="21"/>
          <w:highlight w:val="none"/>
        </w:rPr>
        <w:t>500</w:t>
      </w:r>
      <w:r>
        <w:rPr>
          <w:rFonts w:hint="eastAsia"/>
          <w:color w:val="auto"/>
          <w:szCs w:val="21"/>
          <w:highlight w:val="none"/>
        </w:rPr>
        <w:t>万元以下的为微型企业。</w:t>
      </w:r>
    </w:p>
    <w:p w14:paraId="573C1E89">
      <w:pPr>
        <w:pStyle w:val="216"/>
        <w:rPr>
          <w:color w:val="auto"/>
          <w:szCs w:val="21"/>
          <w:highlight w:val="none"/>
        </w:rPr>
      </w:pPr>
      <w:r>
        <w:rPr>
          <w:rFonts w:hint="eastAsia"/>
          <w:color w:val="auto"/>
          <w:szCs w:val="21"/>
          <w:highlight w:val="none"/>
        </w:rPr>
        <w:t>　　（十五）租赁和商务服务业。从业人员</w:t>
      </w:r>
      <w:r>
        <w:rPr>
          <w:color w:val="auto"/>
          <w:szCs w:val="21"/>
          <w:highlight w:val="none"/>
        </w:rPr>
        <w:t>300</w:t>
      </w:r>
      <w:r>
        <w:rPr>
          <w:rFonts w:hint="eastAsia"/>
          <w:color w:val="auto"/>
          <w:szCs w:val="21"/>
          <w:highlight w:val="none"/>
        </w:rPr>
        <w:t>人以下或资产总额</w:t>
      </w:r>
      <w:r>
        <w:rPr>
          <w:color w:val="auto"/>
          <w:szCs w:val="21"/>
          <w:highlight w:val="none"/>
        </w:rPr>
        <w:t>120000</w:t>
      </w:r>
      <w:r>
        <w:rPr>
          <w:rFonts w:hint="eastAsia"/>
          <w:color w:val="auto"/>
          <w:szCs w:val="21"/>
          <w:highlight w:val="none"/>
        </w:rPr>
        <w:t>万元以下的为中小微型企业。其中，从业人员</w:t>
      </w:r>
      <w:r>
        <w:rPr>
          <w:color w:val="auto"/>
          <w:szCs w:val="21"/>
          <w:highlight w:val="none"/>
        </w:rPr>
        <w:t>100</w:t>
      </w:r>
      <w:r>
        <w:rPr>
          <w:rFonts w:hint="eastAsia"/>
          <w:color w:val="auto"/>
          <w:szCs w:val="21"/>
          <w:highlight w:val="none"/>
        </w:rPr>
        <w:t>人及以上，且资产总额</w:t>
      </w:r>
      <w:r>
        <w:rPr>
          <w:color w:val="auto"/>
          <w:szCs w:val="21"/>
          <w:highlight w:val="none"/>
        </w:rPr>
        <w:t>8000</w:t>
      </w:r>
      <w:r>
        <w:rPr>
          <w:rFonts w:hint="eastAsia"/>
          <w:color w:val="auto"/>
          <w:szCs w:val="21"/>
          <w:highlight w:val="none"/>
        </w:rPr>
        <w:t>万元及以上的为中型企业；从业人员</w:t>
      </w:r>
      <w:r>
        <w:rPr>
          <w:color w:val="auto"/>
          <w:szCs w:val="21"/>
          <w:highlight w:val="none"/>
        </w:rPr>
        <w:t>10</w:t>
      </w:r>
      <w:r>
        <w:rPr>
          <w:rFonts w:hint="eastAsia"/>
          <w:color w:val="auto"/>
          <w:szCs w:val="21"/>
          <w:highlight w:val="none"/>
        </w:rPr>
        <w:t>人及以上，且资产总额</w:t>
      </w:r>
      <w:r>
        <w:rPr>
          <w:color w:val="auto"/>
          <w:szCs w:val="21"/>
          <w:highlight w:val="none"/>
        </w:rPr>
        <w:t>100</w:t>
      </w:r>
      <w:r>
        <w:rPr>
          <w:rFonts w:hint="eastAsia"/>
          <w:color w:val="auto"/>
          <w:szCs w:val="21"/>
          <w:highlight w:val="none"/>
        </w:rPr>
        <w:t>万元及以上的为小型企业；从业人员</w:t>
      </w:r>
      <w:r>
        <w:rPr>
          <w:color w:val="auto"/>
          <w:szCs w:val="21"/>
          <w:highlight w:val="none"/>
        </w:rPr>
        <w:t>10</w:t>
      </w:r>
      <w:r>
        <w:rPr>
          <w:rFonts w:hint="eastAsia"/>
          <w:color w:val="auto"/>
          <w:szCs w:val="21"/>
          <w:highlight w:val="none"/>
        </w:rPr>
        <w:t>人以下或资产总额</w:t>
      </w:r>
      <w:r>
        <w:rPr>
          <w:color w:val="auto"/>
          <w:szCs w:val="21"/>
          <w:highlight w:val="none"/>
        </w:rPr>
        <w:t>100</w:t>
      </w:r>
      <w:r>
        <w:rPr>
          <w:rFonts w:hint="eastAsia"/>
          <w:color w:val="auto"/>
          <w:szCs w:val="21"/>
          <w:highlight w:val="none"/>
        </w:rPr>
        <w:t>万元以下的为微型企业。</w:t>
      </w:r>
    </w:p>
    <w:p w14:paraId="386C40A4">
      <w:pPr>
        <w:pStyle w:val="216"/>
        <w:rPr>
          <w:color w:val="auto"/>
          <w:szCs w:val="21"/>
          <w:highlight w:val="none"/>
        </w:rPr>
      </w:pPr>
      <w:r>
        <w:rPr>
          <w:rFonts w:hint="eastAsia"/>
          <w:color w:val="auto"/>
          <w:szCs w:val="21"/>
          <w:highlight w:val="none"/>
        </w:rPr>
        <w:t>　　（十六）其他未列明行业。从业人员</w:t>
      </w:r>
      <w:r>
        <w:rPr>
          <w:color w:val="auto"/>
          <w:szCs w:val="21"/>
          <w:highlight w:val="none"/>
        </w:rPr>
        <w:t>300</w:t>
      </w:r>
      <w:r>
        <w:rPr>
          <w:rFonts w:hint="eastAsia"/>
          <w:color w:val="auto"/>
          <w:szCs w:val="21"/>
          <w:highlight w:val="none"/>
        </w:rPr>
        <w:t>人以下的为中小微型企业。其中，从业人员</w:t>
      </w:r>
      <w:r>
        <w:rPr>
          <w:color w:val="auto"/>
          <w:szCs w:val="21"/>
          <w:highlight w:val="none"/>
        </w:rPr>
        <w:t>100</w:t>
      </w:r>
      <w:r>
        <w:rPr>
          <w:rFonts w:hint="eastAsia"/>
          <w:color w:val="auto"/>
          <w:szCs w:val="21"/>
          <w:highlight w:val="none"/>
        </w:rPr>
        <w:t>人及以上的为中型企业；从业人员</w:t>
      </w:r>
      <w:r>
        <w:rPr>
          <w:color w:val="auto"/>
          <w:szCs w:val="21"/>
          <w:highlight w:val="none"/>
        </w:rPr>
        <w:t>10</w:t>
      </w:r>
      <w:r>
        <w:rPr>
          <w:rFonts w:hint="eastAsia"/>
          <w:color w:val="auto"/>
          <w:szCs w:val="21"/>
          <w:highlight w:val="none"/>
        </w:rPr>
        <w:t>人及以上的为小型企业；从业人员</w:t>
      </w:r>
      <w:r>
        <w:rPr>
          <w:color w:val="auto"/>
          <w:szCs w:val="21"/>
          <w:highlight w:val="none"/>
        </w:rPr>
        <w:t>10</w:t>
      </w:r>
      <w:r>
        <w:rPr>
          <w:rFonts w:hint="eastAsia"/>
          <w:color w:val="auto"/>
          <w:szCs w:val="21"/>
          <w:highlight w:val="none"/>
        </w:rPr>
        <w:t>人以下的为微型企业。</w:t>
      </w:r>
    </w:p>
    <w:p w14:paraId="2BF8A95F">
      <w:pPr>
        <w:pStyle w:val="216"/>
        <w:rPr>
          <w:color w:val="auto"/>
          <w:szCs w:val="21"/>
          <w:highlight w:val="none"/>
        </w:rPr>
      </w:pPr>
      <w:r>
        <w:rPr>
          <w:rFonts w:hint="eastAsia"/>
          <w:color w:val="auto"/>
          <w:szCs w:val="21"/>
          <w:highlight w:val="none"/>
        </w:rPr>
        <w:t>　　五、企业类型的划分以统计部门的统计数据为依据。</w:t>
      </w:r>
    </w:p>
    <w:p w14:paraId="7D867A86">
      <w:pPr>
        <w:pStyle w:val="216"/>
        <w:rPr>
          <w:color w:val="auto"/>
          <w:szCs w:val="21"/>
          <w:highlight w:val="none"/>
        </w:rPr>
      </w:pPr>
      <w:r>
        <w:rPr>
          <w:rFonts w:hint="eastAsia"/>
          <w:color w:val="auto"/>
          <w:szCs w:val="21"/>
          <w:highlight w:val="none"/>
        </w:rPr>
        <w:t>　　六、本规定适用于在中华人民共和国境内依法设立的各类所有制和各种组织形式的企业。个体工商户和本规定以外的行业，参照本规定进行划型。</w:t>
      </w:r>
    </w:p>
    <w:p w14:paraId="2B175ECB">
      <w:pPr>
        <w:pStyle w:val="216"/>
        <w:rPr>
          <w:color w:val="auto"/>
          <w:szCs w:val="21"/>
          <w:highlight w:val="none"/>
        </w:rPr>
      </w:pPr>
      <w:r>
        <w:rPr>
          <w:rFonts w:hint="eastAsia"/>
          <w:color w:val="auto"/>
          <w:szCs w:val="21"/>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3A9C4BD1">
      <w:pPr>
        <w:pStyle w:val="216"/>
        <w:rPr>
          <w:color w:val="auto"/>
          <w:szCs w:val="21"/>
          <w:highlight w:val="none"/>
        </w:rPr>
      </w:pPr>
      <w:r>
        <w:rPr>
          <w:rFonts w:hint="eastAsia"/>
          <w:color w:val="auto"/>
          <w:szCs w:val="21"/>
          <w:highlight w:val="none"/>
        </w:rPr>
        <w:t>　　八、本规定由工业和信息化部、国家统计局会同有关部门根据《国民经济行业分类》修订情况和企业发展变化情况适时修订。</w:t>
      </w:r>
    </w:p>
    <w:p w14:paraId="19156200">
      <w:pPr>
        <w:pStyle w:val="216"/>
        <w:rPr>
          <w:color w:val="auto"/>
          <w:szCs w:val="21"/>
          <w:highlight w:val="none"/>
        </w:rPr>
      </w:pPr>
      <w:r>
        <w:rPr>
          <w:rFonts w:hint="eastAsia"/>
          <w:color w:val="auto"/>
          <w:szCs w:val="21"/>
          <w:highlight w:val="none"/>
        </w:rPr>
        <w:t>　　九、本规定由工业和信息化部、国家统计局会同有关部门负责解释。</w:t>
      </w:r>
    </w:p>
    <w:p w14:paraId="645D6201">
      <w:pPr>
        <w:pStyle w:val="216"/>
        <w:ind w:firstLine="420"/>
        <w:rPr>
          <w:color w:val="auto"/>
          <w:szCs w:val="21"/>
          <w:highlight w:val="none"/>
        </w:rPr>
      </w:pPr>
      <w:r>
        <w:rPr>
          <w:rFonts w:hint="eastAsia"/>
          <w:color w:val="auto"/>
          <w:szCs w:val="21"/>
          <w:highlight w:val="none"/>
        </w:rPr>
        <w:t>十、本规定自发布之日起执行，原国家经贸委、原国家计委、财政部和国家统计局</w:t>
      </w:r>
      <w:r>
        <w:rPr>
          <w:color w:val="auto"/>
          <w:szCs w:val="21"/>
          <w:highlight w:val="none"/>
        </w:rPr>
        <w:t>2003</w:t>
      </w:r>
      <w:r>
        <w:rPr>
          <w:rFonts w:hint="eastAsia"/>
          <w:color w:val="auto"/>
          <w:szCs w:val="21"/>
          <w:highlight w:val="none"/>
        </w:rPr>
        <w:t>年颁布的《中小企业标准暂行规定》同时废止。</w:t>
      </w:r>
    </w:p>
    <w:p w14:paraId="6D85AF8E">
      <w:pPr>
        <w:widowControl/>
        <w:jc w:val="left"/>
        <w:rPr>
          <w:rFonts w:ascii="宋体" w:hAnsi="宋体" w:cs="宋体"/>
          <w:color w:val="auto"/>
          <w:sz w:val="20"/>
          <w:szCs w:val="20"/>
          <w:highlight w:val="none"/>
        </w:rPr>
      </w:pPr>
    </w:p>
    <w:p w14:paraId="3CACC9B5">
      <w:pPr>
        <w:pStyle w:val="201"/>
        <w:spacing w:line="480" w:lineRule="auto"/>
        <w:jc w:val="center"/>
        <w:rPr>
          <w:color w:val="auto"/>
          <w:highlight w:val="none"/>
        </w:rPr>
      </w:pPr>
      <w:r>
        <w:rPr>
          <w:rFonts w:ascii="宋体" w:hAnsi="宋体" w:cs="宋体"/>
          <w:color w:val="auto"/>
          <w:sz w:val="20"/>
          <w:szCs w:val="20"/>
          <w:highlight w:val="none"/>
        </w:rPr>
        <w:br w:type="page" w:clear="all"/>
      </w:r>
      <w:bookmarkStart w:id="71" w:name="_Toc20146"/>
      <w:r>
        <w:rPr>
          <w:rFonts w:hint="eastAsia"/>
          <w:color w:val="auto"/>
          <w:highlight w:val="none"/>
        </w:rPr>
        <w:t>第四章  评审程序和评定成交的标准</w:t>
      </w:r>
      <w:bookmarkEnd w:id="71"/>
    </w:p>
    <w:p w14:paraId="4BC2E69E">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一、评审程序</w:t>
      </w:r>
    </w:p>
    <w:p w14:paraId="0F160847">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1</w:t>
      </w:r>
      <w:r>
        <w:rPr>
          <w:rFonts w:hint="eastAsia" w:ascii="黑体" w:hAnsi="黑体" w:eastAsia="黑体" w:cs="宋体"/>
          <w:b/>
          <w:bCs/>
          <w:color w:val="auto"/>
          <w:sz w:val="24"/>
          <w:highlight w:val="none"/>
        </w:rPr>
        <w:t>.确认谈判文件</w:t>
      </w:r>
    </w:p>
    <w:p w14:paraId="5B484D3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由谈判小组确认谈判文件。</w:t>
      </w:r>
    </w:p>
    <w:p w14:paraId="7FC6B3AE">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2</w:t>
      </w:r>
      <w:r>
        <w:rPr>
          <w:rFonts w:hint="eastAsia" w:ascii="黑体" w:hAnsi="黑体" w:eastAsia="黑体" w:cs="宋体"/>
          <w:b/>
          <w:bCs/>
          <w:color w:val="auto"/>
          <w:sz w:val="24"/>
          <w:highlight w:val="none"/>
        </w:rPr>
        <w:t>.资格审查</w:t>
      </w:r>
    </w:p>
    <w:p w14:paraId="04E81AB8">
      <w:pPr>
        <w:spacing w:line="360" w:lineRule="auto"/>
        <w:ind w:firstLine="420"/>
        <w:rPr>
          <w:rFonts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.1响应文件开启后，谈判小组依法对供应商的资格证明文件进行审查。</w:t>
      </w:r>
    </w:p>
    <w:p w14:paraId="5755A5B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注：</w:t>
      </w:r>
      <w:r>
        <w:rPr>
          <w:rFonts w:hint="eastAsia"/>
          <w:color w:val="auto"/>
          <w:highlight w:val="none"/>
        </w:rPr>
        <w:t>谈判小组</w:t>
      </w:r>
      <w:r>
        <w:rPr>
          <w:rFonts w:hint="eastAsia" w:ascii="宋体" w:hAnsi="宋体" w:cs="宋体"/>
          <w:color w:val="auto"/>
          <w:szCs w:val="21"/>
          <w:highlight w:val="none"/>
        </w:rPr>
        <w:t>在资格审查结束前，对供应商进行信用查询。</w:t>
      </w:r>
    </w:p>
    <w:p w14:paraId="0BC4138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（1）查询渠道：广西政府采购云平台“信用中国”网站（www.creditchina.gov.cn）、中国政府采购网（www.ccgp.gov.cn）。</w:t>
      </w:r>
    </w:p>
    <w:p w14:paraId="7C2E3A5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（2）信用查询截止时点：资格审查结束前。</w:t>
      </w:r>
    </w:p>
    <w:p w14:paraId="148232E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（3）查询记录和证据留存方式：在查询网站中直接查询，截图另存为电子文档作为评审资料保存。</w:t>
      </w:r>
    </w:p>
    <w:p w14:paraId="61E8242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（4）信用信息使用规则：对在“信用中国”网站（www.creditchina.gov.cn） 、中国政府采购网（www.ccgp.gov.cn）被列入失信被执行人、重大税收违法失信主体、政府采购严重违法失信行为记录名单及其他不符合《中华人民共和国政府采购法》第二十二条规定条件的供应商，资格审查不通过，不得参与政府采购活动。</w:t>
      </w:r>
      <w:r>
        <w:rPr>
          <w:rFonts w:hint="eastAsia" w:ascii="宋体" w:hAnsi="宋体"/>
          <w:color w:val="auto"/>
          <w:szCs w:val="21"/>
          <w:highlight w:val="none"/>
        </w:rPr>
        <w:t>两个以上的自然人、法人或者其他组织组成一个联合体，以一个供应商的身份共同参加政府采购活动的，应当对所有联合体成员进行信用记录查询，联合体成员存在不良信用记录（被列入失信被执行人、重大税收违法失信主体、政府采购严重违法失信行为记录名单及其他不符合《中华人民共和国政府采购法》第二十二条规定条件的供应商）的，视同联合体存在不良信用记录</w:t>
      </w:r>
      <w:r>
        <w:rPr>
          <w:rFonts w:hint="eastAsia" w:ascii="宋体" w:hAnsi="宋体" w:cs="宋体"/>
          <w:color w:val="auto"/>
          <w:szCs w:val="21"/>
          <w:highlight w:val="none"/>
        </w:rPr>
        <w:t>。</w:t>
      </w:r>
    </w:p>
    <w:p w14:paraId="21BF0020">
      <w:pPr>
        <w:spacing w:line="360" w:lineRule="auto"/>
        <w:ind w:firstLine="420"/>
        <w:rPr>
          <w:rFonts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.2资格审查标准为本谈判文件中载明对供应商资格要求的条件。本项目资格审查采用合格制，凡符合谈判文件规定的供应商资格要求的供应商均通过资格审查。</w:t>
      </w:r>
    </w:p>
    <w:p w14:paraId="377481F3">
      <w:pPr>
        <w:spacing w:line="360" w:lineRule="auto"/>
        <w:ind w:firstLine="420"/>
        <w:rPr>
          <w:rFonts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.3 供应商有下列情形之一的，资格审查不通过，其响应文件按无效处理：</w:t>
      </w:r>
    </w:p>
    <w:p w14:paraId="0BAA153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）不具备谈判文件中规定的资格要求的；</w:t>
      </w:r>
    </w:p>
    <w:p w14:paraId="16FC422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（2）未按谈判文件规定的方式获取本谈判文件的供应商；</w:t>
      </w:r>
    </w:p>
    <w:p w14:paraId="6681EED0">
      <w:pPr>
        <w:spacing w:line="360" w:lineRule="auto"/>
        <w:ind w:firstLine="420"/>
        <w:contextualSpacing/>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3</w:t>
      </w:r>
      <w:r>
        <w:rPr>
          <w:rFonts w:hint="eastAsia" w:ascii="宋体" w:hAnsi="宋体" w:cs="宋体"/>
          <w:color w:val="auto"/>
          <w:szCs w:val="21"/>
          <w:highlight w:val="none"/>
        </w:rPr>
        <w:t>）响应文件中的资格证明文件缺少任一项“供应商须知前附表”资格证明文件规定的“必须提供”的文件资料的；</w:t>
      </w:r>
    </w:p>
    <w:p w14:paraId="21B380F3">
      <w:pPr>
        <w:spacing w:line="360" w:lineRule="auto"/>
        <w:ind w:firstLine="420"/>
        <w:contextualSpacing/>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4</w:t>
      </w:r>
      <w:r>
        <w:rPr>
          <w:rFonts w:hint="eastAsia" w:ascii="宋体" w:hAnsi="宋体" w:cs="宋体"/>
          <w:color w:val="auto"/>
          <w:szCs w:val="21"/>
          <w:highlight w:val="none"/>
        </w:rPr>
        <w:t>）响应文件中的资格证明文件出现任一项不符合“供应商须知前附表”资格证明文件规定的“必须提供”的文件资料要求或者无效的；</w:t>
      </w:r>
    </w:p>
    <w:p w14:paraId="7E66A68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5</w:t>
      </w:r>
      <w:r>
        <w:rPr>
          <w:rFonts w:hint="eastAsia" w:ascii="宋体" w:hAnsi="宋体" w:cs="宋体"/>
          <w:color w:val="auto"/>
          <w:szCs w:val="21"/>
          <w:highlight w:val="none"/>
        </w:rPr>
        <w:t>）同一合同项下的不同供应商，单位负责人为同一人或者存在直接控股、管理关系的；为本项目提供过整体设计、规范编制或者项目管理、监理、检测等服务的供应商，再参加该采购项目的其他采购活动的。</w:t>
      </w:r>
    </w:p>
    <w:p w14:paraId="430F17A7">
      <w:pPr>
        <w:spacing w:line="360" w:lineRule="auto"/>
        <w:ind w:firstLine="420"/>
        <w:rPr>
          <w:rFonts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.4通过资格审查的合格供应商不足3家（本章</w:t>
      </w:r>
      <w:r>
        <w:rPr>
          <w:rFonts w:ascii="宋体" w:hAnsi="宋体" w:cs="宋体"/>
          <w:color w:val="auto"/>
          <w:szCs w:val="21"/>
          <w:highlight w:val="none"/>
        </w:rPr>
        <w:t>3.7</w:t>
      </w:r>
      <w:r>
        <w:rPr>
          <w:rFonts w:hint="eastAsia" w:ascii="宋体" w:hAnsi="宋体" w:cs="宋体"/>
          <w:color w:val="auto"/>
          <w:szCs w:val="21"/>
          <w:highlight w:val="none"/>
        </w:rPr>
        <w:t>条规定除外）的，不得进入符合性审查环节，应当重新开展采购活动。</w:t>
      </w:r>
    </w:p>
    <w:p w14:paraId="350B4BB1">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3</w:t>
      </w:r>
      <w:r>
        <w:rPr>
          <w:rFonts w:hint="eastAsia" w:ascii="黑体" w:hAnsi="黑体" w:eastAsia="黑体" w:cs="宋体"/>
          <w:b/>
          <w:bCs/>
          <w:color w:val="auto"/>
          <w:sz w:val="24"/>
          <w:highlight w:val="none"/>
        </w:rPr>
        <w:t>.符合性审查</w:t>
      </w:r>
    </w:p>
    <w:p w14:paraId="0D639FF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.1</w:t>
      </w:r>
      <w:r>
        <w:rPr>
          <w:rFonts w:hint="eastAsia" w:ascii="宋体" w:hAnsi="宋体" w:cs="宋体"/>
          <w:color w:val="auto"/>
          <w:szCs w:val="21"/>
          <w:highlight w:val="none"/>
        </w:rPr>
        <w:t>谈判小组应当对符合资格的供应商的响应文件进行竞标报价、商务、技术等实质性要求符合性审查，以确定其是否满足谈判文件的实质性要求。</w:t>
      </w:r>
    </w:p>
    <w:p w14:paraId="41FC985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w:t>
      </w:r>
      <w:r>
        <w:rPr>
          <w:rFonts w:ascii="宋体" w:hAnsi="宋体" w:cs="宋体"/>
          <w:color w:val="auto"/>
          <w:szCs w:val="21"/>
          <w:highlight w:val="none"/>
        </w:rPr>
        <w:t>.2</w:t>
      </w:r>
      <w:r>
        <w:rPr>
          <w:rFonts w:hint="eastAsia" w:ascii="宋体" w:hAnsi="宋体" w:cs="宋体"/>
          <w:color w:val="auto"/>
          <w:szCs w:val="21"/>
          <w:highlight w:val="none"/>
        </w:rPr>
        <w:t>谈判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26CA0F1">
      <w:pPr>
        <w:spacing w:line="360" w:lineRule="auto"/>
        <w:ind w:firstLine="420"/>
        <w:rPr>
          <w:rFonts w:ascii="宋体" w:hAnsi="宋体" w:cs="宋体"/>
          <w:color w:val="auto"/>
          <w:spacing w:val="-6"/>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3谈判小组要求供应商澄清、说明或者更正响应文件应当以电子澄清函形式作出。供应商的澄清、说明或者更正应当以电子回函形式按照谈判小组的要求作出明确的澄清、说明或者更正，未按谈判小组的要求作出明确澄清、说明或者更正的供应商的响应文件将按照有利于采购人的原则由谈判小组进行判定。供应商的澄清、说明或者更正必须加盖电子</w:t>
      </w:r>
      <w:r>
        <w:rPr>
          <w:rFonts w:hint="eastAsia" w:hAnsi="宋体"/>
          <w:color w:val="auto"/>
          <w:highlight w:val="none"/>
        </w:rPr>
        <w:t>签章</w:t>
      </w:r>
      <w:r>
        <w:rPr>
          <w:rFonts w:hint="eastAsia" w:ascii="宋体" w:hAnsi="宋体" w:cs="宋体"/>
          <w:color w:val="auto"/>
          <w:spacing w:val="-6"/>
          <w:szCs w:val="21"/>
          <w:highlight w:val="none"/>
        </w:rPr>
        <w:t>。</w:t>
      </w:r>
    </w:p>
    <w:p w14:paraId="6C66E988">
      <w:pPr>
        <w:spacing w:line="360" w:lineRule="auto"/>
        <w:ind w:firstLine="420"/>
        <w:rPr>
          <w:rFonts w:ascii="宋体" w:hAnsi="宋体" w:cs="Courier New"/>
          <w:color w:val="auto"/>
          <w:szCs w:val="21"/>
          <w:highlight w:val="none"/>
        </w:rPr>
      </w:pPr>
      <w:r>
        <w:rPr>
          <w:rFonts w:hint="eastAsia" w:ascii="宋体" w:hAnsi="宋体" w:cs="Courier New"/>
          <w:color w:val="auto"/>
          <w:szCs w:val="21"/>
          <w:highlight w:val="none"/>
        </w:rPr>
        <w:t>异常情况处理：如遇无法正常使用线上发送澄清函的情况，将启动书面形式办理。启动书面形式办理的情况下，谈判小组以书面形式要求供应商在规定时间内作出必要的澄清、说明或者补正。供应商的澄清、说明或者补正必须采用书面形式，并加盖公章，或者由法定代表人或者其授权的代表签字。</w:t>
      </w:r>
    </w:p>
    <w:p w14:paraId="4319F826">
      <w:pPr>
        <w:spacing w:line="360" w:lineRule="auto"/>
        <w:ind w:firstLine="396"/>
        <w:rPr>
          <w:rFonts w:ascii="宋体" w:hAnsi="宋体" w:cs="宋体"/>
          <w:color w:val="auto"/>
          <w:szCs w:val="21"/>
          <w:highlight w:val="none"/>
        </w:rPr>
      </w:pPr>
      <w:r>
        <w:rPr>
          <w:rFonts w:ascii="宋体" w:hAnsi="宋体" w:cs="宋体"/>
          <w:color w:val="auto"/>
          <w:spacing w:val="-6"/>
          <w:szCs w:val="21"/>
          <w:highlight w:val="none"/>
        </w:rPr>
        <w:t>3.4</w:t>
      </w:r>
      <w:r>
        <w:rPr>
          <w:rFonts w:hint="eastAsia" w:ascii="宋体" w:hAnsi="宋体" w:cs="宋体"/>
          <w:color w:val="auto"/>
          <w:szCs w:val="21"/>
          <w:highlight w:val="none"/>
        </w:rPr>
        <w:t xml:space="preserve">首次响应文件报价出现前后不一致的，按照下列规定修正： </w:t>
      </w:r>
    </w:p>
    <w:p w14:paraId="5651997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（1）响应文件中报价表内容与响应文件中相应内容不一致的，以报价表为准；</w:t>
      </w:r>
    </w:p>
    <w:p w14:paraId="1378D43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（2）大写金额和小写金额不一致的，以大写金额为准；</w:t>
      </w:r>
    </w:p>
    <w:p w14:paraId="1D71994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（3）单价金额小数点或者百分比有明显错位的，以报价表的总价为准，并修改单价；</w:t>
      </w:r>
    </w:p>
    <w:p w14:paraId="2A12BA40">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（4）总价金额与按单价汇总金额不一致的，以单价金额计算结果为准。</w:t>
      </w:r>
    </w:p>
    <w:p w14:paraId="2B7FE13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同时出现两种以上不一致的，按照以上（1）-（4）规定的顺序逐条进行修正。修正后的报价经供应商确认后产生约束力，供应商不确认的，其响应文件按无效响应处理。</w:t>
      </w:r>
    </w:p>
    <w:p w14:paraId="63F0157B">
      <w:pPr>
        <w:spacing w:line="360" w:lineRule="auto"/>
        <w:ind w:firstLine="420"/>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w:t>
      </w:r>
      <w:r>
        <w:rPr>
          <w:rFonts w:ascii="宋体" w:hAnsi="宋体" w:cs="宋体"/>
          <w:color w:val="auto"/>
          <w:szCs w:val="21"/>
          <w:highlight w:val="none"/>
        </w:rPr>
        <w:t>5</w:t>
      </w:r>
      <w:r>
        <w:rPr>
          <w:rFonts w:hint="eastAsia" w:ascii="宋体" w:hAnsi="宋体" w:cs="宋体"/>
          <w:color w:val="auto"/>
          <w:szCs w:val="21"/>
          <w:highlight w:val="none"/>
        </w:rPr>
        <w:t>商务技术报价评审</w:t>
      </w:r>
    </w:p>
    <w:p w14:paraId="0C74FE5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在评审时，如发现下列情形之一的，将被视为响应文件无效处理：</w:t>
      </w:r>
    </w:p>
    <w:p w14:paraId="7F4EA76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（1）商务技术评审</w:t>
      </w:r>
    </w:p>
    <w:p w14:paraId="0778D2B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1）响应文件未按谈判文件要求签署、盖章的；</w:t>
      </w:r>
    </w:p>
    <w:p w14:paraId="413793A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 xml:space="preserve">2）委托代理人未能出具有效身份证或者出具的身份证与授权委托书中的信息不符的； </w:t>
      </w:r>
    </w:p>
    <w:p w14:paraId="0C289F8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3）提交的竞标保证金无效的或者未按照谈判文件的规定提交竞标保证金；</w:t>
      </w:r>
    </w:p>
    <w:p w14:paraId="0D7D9FF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4）响应文件未提供任一项“供应商须知前附表”商务技术文件中 “必须提供”或者“委托时必须提供”的文件资料；响应文件提供的商务技术文件出现任一项不符合“供应商须知前附表”商务技术文件中 “必须提供”或者“委托时必须提供”文件资料要求的规定或者提供的商务技术文件无效；</w:t>
      </w:r>
    </w:p>
    <w:p w14:paraId="276DB17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5）商务要求允许负偏离的条款数超过“供应商须知前附表”规定项数的；</w:t>
      </w:r>
    </w:p>
    <w:p w14:paraId="363E4F6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6）未对</w:t>
      </w:r>
      <w:r>
        <w:rPr>
          <w:rFonts w:hint="eastAsia"/>
          <w:color w:val="auto"/>
          <w:highlight w:val="none"/>
        </w:rPr>
        <w:t>竞标有效期</w:t>
      </w:r>
      <w:r>
        <w:rPr>
          <w:rFonts w:hint="eastAsia" w:ascii="宋体" w:hAnsi="宋体" w:cs="宋体"/>
          <w:color w:val="auto"/>
          <w:szCs w:val="21"/>
          <w:highlight w:val="none"/>
        </w:rPr>
        <w:t>作出响应或者响应文件承诺的竞标有效期不满足谈判文件要求；</w:t>
      </w:r>
    </w:p>
    <w:p w14:paraId="0F788067">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7）响应文件的实质性内容未使用中文表述、使用计量单位不符合谈判文件要求的；</w:t>
      </w:r>
    </w:p>
    <w:p w14:paraId="1CE2B76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8）响应文件中的文件资料因填写不齐全或者内容虚假或者出现其他情形而导致被谈判小组认定无效的；</w:t>
      </w:r>
    </w:p>
    <w:p w14:paraId="40A3996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9）响应文件含有采购人不能接受的附加条件的；</w:t>
      </w:r>
    </w:p>
    <w:p w14:paraId="5F41D9B7">
      <w:pPr>
        <w:spacing w:line="360" w:lineRule="auto"/>
        <w:ind w:firstLine="420"/>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0）属于“供应商须知正文”第7.</w:t>
      </w:r>
      <w:r>
        <w:rPr>
          <w:rFonts w:ascii="宋体" w:hAnsi="宋体" w:cs="宋体"/>
          <w:color w:val="auto"/>
          <w:szCs w:val="21"/>
          <w:highlight w:val="none"/>
        </w:rPr>
        <w:t>5</w:t>
      </w:r>
      <w:r>
        <w:rPr>
          <w:rFonts w:hint="eastAsia" w:ascii="宋体" w:hAnsi="宋体" w:cs="宋体"/>
          <w:color w:val="auto"/>
          <w:szCs w:val="21"/>
          <w:highlight w:val="none"/>
        </w:rPr>
        <w:t>条的情形的；</w:t>
      </w:r>
    </w:p>
    <w:p w14:paraId="7C4A29A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11）技术评审允许负偏离的条款数超过“供应商须知前附表”规定项数的；</w:t>
      </w:r>
    </w:p>
    <w:p w14:paraId="442BF1C2">
      <w:pPr>
        <w:spacing w:line="360" w:lineRule="auto"/>
        <w:ind w:firstLine="420"/>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2）虚假竞标，或者出现其他情形而导致被谈判小组认定无效的；</w:t>
      </w:r>
    </w:p>
    <w:p w14:paraId="64E68B72">
      <w:pPr>
        <w:spacing w:line="360" w:lineRule="auto"/>
        <w:ind w:firstLine="420"/>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3）谈判文件未载明允许提供备选（替代）竞标方案或明确不允许提供备选（替代）竞标方案时，供应商提供了备选（替代）竞标方案的；</w:t>
      </w:r>
    </w:p>
    <w:p w14:paraId="7B808ACC">
      <w:pPr>
        <w:spacing w:line="360" w:lineRule="auto"/>
        <w:ind w:firstLine="420"/>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4）响应文件标注的项目名称或者项目编号与谈判文件标注的项目名称或者项目编号不一致的；</w:t>
      </w:r>
    </w:p>
    <w:p w14:paraId="0D59B404">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15）</w:t>
      </w:r>
      <w:r>
        <w:rPr>
          <w:rFonts w:hint="eastAsia" w:ascii="宋体" w:hAnsi="宋体"/>
          <w:color w:val="auto"/>
          <w:szCs w:val="21"/>
          <w:highlight w:val="none"/>
        </w:rPr>
        <w:t>谈判文件明确不允许分包，响应文件拟分包的；</w:t>
      </w:r>
    </w:p>
    <w:p w14:paraId="455BB354">
      <w:pPr>
        <w:spacing w:line="360" w:lineRule="auto"/>
        <w:ind w:firstLine="420"/>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6）未响应谈判文件实质性要求；</w:t>
      </w:r>
    </w:p>
    <w:p w14:paraId="69FB67F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17）法律、法规和谈判文件规定的其他无效情形。</w:t>
      </w:r>
    </w:p>
    <w:p w14:paraId="6CD16A3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2）报</w:t>
      </w:r>
      <w:r>
        <w:rPr>
          <w:rFonts w:hint="eastAsia" w:ascii="宋体" w:hAnsi="宋体" w:cs="宋体"/>
          <w:color w:val="auto"/>
          <w:szCs w:val="21"/>
          <w:highlight w:val="none"/>
        </w:rPr>
        <w:t>价评审</w:t>
      </w:r>
    </w:p>
    <w:p w14:paraId="38E5A6B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1）响应文件未提供“供应商须知前附表”报价文件中规定的“竞标报价表”的；</w:t>
      </w:r>
    </w:p>
    <w:p w14:paraId="5D3A6EC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2）未采用人民币报价或者未按照谈判文件标明的币种报价的；</w:t>
      </w:r>
    </w:p>
    <w:p w14:paraId="25B9E65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供应商未就所竞标分标进行报价或者存在漏项报价；供应商未就所竞标分标的单项内容作唯一报价；供应商未就所竞标分标的全部内容作完整唯一总价报价；供应商响应文件中存在有选择、有条件报价的（谈判文件允许有备选方案或者其他约定的除外）；</w:t>
      </w:r>
    </w:p>
    <w:p w14:paraId="67C6B46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竞标报价（包含首次报价、最后报价）超过所竞标分标规定的采购预算金额或者最高限价的（如本项目公布了最高限价）；竞标报价（包含首次报价、最后报价）超过谈判文件分项采购预算金额或者最高限价的（如本项目公布了最高限价）；</w:t>
      </w:r>
    </w:p>
    <w:p w14:paraId="4D04C07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修正后的报价，供应商不确认的；或者经供应商确认修正后的竞标报价（包含首次报价、最后报价）超过所竞标分标规定的采购预算金额或者最高限价（如本项目公布了最高限价）；或者经供应商确认修正后竞标报价（包含首次报价、最后报价）超过谈判文件分项采购预算金额或者最高限价的（如本项目公布了最高限价）。</w:t>
      </w:r>
    </w:p>
    <w:p w14:paraId="4A5893A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6）</w:t>
      </w:r>
      <w:r>
        <w:rPr>
          <w:rFonts w:hint="eastAsia" w:ascii="宋体" w:hAnsi="宋体"/>
          <w:color w:val="auto"/>
          <w:szCs w:val="21"/>
          <w:highlight w:val="none"/>
        </w:rPr>
        <w:t>响应文件响应的标的数量及单位与竞争性谈判采购文件要求实质性不一致的。</w:t>
      </w:r>
    </w:p>
    <w:p w14:paraId="4324981A">
      <w:pPr>
        <w:spacing w:line="360" w:lineRule="auto"/>
        <w:ind w:firstLine="420"/>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6谈判小组对响应文件进行评审，未实质性响应谈判文件的响应文件按无效处理。谈判小组应当将资格和符合性不通过的情况告知有关供应商。谈判小组从符合谈判文件规定的相应资格条件的供应商名单中确定不少于3家的供应商参加谈判。</w:t>
      </w:r>
    </w:p>
    <w:p w14:paraId="6DEBE6A6">
      <w:pPr>
        <w:spacing w:line="360" w:lineRule="auto"/>
        <w:ind w:firstLine="420"/>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7公开招标的货物、服务采购项目，招标过程中提交响应文件或者经评审实质性响应谈判文件要求的供应商只有两家时，采购人、采购代理机构按照《政府采购非招标采购方式管理办法》（财政部令第74号）第四条经本级财政部门批准后可以与该两家供应商进行竞争性谈判采购。</w:t>
      </w:r>
    </w:p>
    <w:p w14:paraId="0DFC59E8">
      <w:pPr>
        <w:spacing w:line="360" w:lineRule="auto"/>
        <w:ind w:firstLine="420"/>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.8除本章3.7条规定的情形外，通过符合性审查的合格供应商不足3家的，不得进入谈判环节，应当重新开展采购活动。</w:t>
      </w:r>
    </w:p>
    <w:p w14:paraId="2511C677">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4</w:t>
      </w:r>
      <w:r>
        <w:rPr>
          <w:rFonts w:ascii="黑体" w:hAnsi="黑体" w:eastAsia="黑体" w:cs="宋体"/>
          <w:b/>
          <w:bCs/>
          <w:color w:val="auto"/>
          <w:sz w:val="24"/>
          <w:highlight w:val="none"/>
        </w:rPr>
        <w:t>.</w:t>
      </w:r>
      <w:r>
        <w:rPr>
          <w:rFonts w:hint="eastAsia" w:ascii="黑体" w:hAnsi="黑体" w:eastAsia="黑体" w:cs="宋体"/>
          <w:b/>
          <w:bCs/>
          <w:color w:val="auto"/>
          <w:sz w:val="24"/>
          <w:highlight w:val="none"/>
        </w:rPr>
        <w:t>谈判程序</w:t>
      </w:r>
    </w:p>
    <w:p w14:paraId="35F78B0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rPr>
        <w:t>谈判小组集中与单一供应商分别进行谈判，并给予所有参加谈判的供应商平等的谈判机会。符合谈判资格的供应商必须在接到谈判通知后规定时间内参加谈判，未在规定时间内参加谈判的，视同放弃参加谈判权利，其响应文件按无效处理。</w:t>
      </w:r>
    </w:p>
    <w:p w14:paraId="749CCC60">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.2</w:t>
      </w:r>
      <w:r>
        <w:rPr>
          <w:rFonts w:hint="eastAsia" w:ascii="宋体" w:hAnsi="宋体" w:cs="宋体"/>
          <w:color w:val="auto"/>
          <w:szCs w:val="21"/>
          <w:highlight w:val="none"/>
        </w:rPr>
        <w:t>在谈判过程中，谈判小组可以根据谈判文件和谈判情况实质性变动采购需求中的技术、服务要求以及合同草案条款，但不得变动谈判文件中的其他内容，实质性变动的内容须经采购人代表确认。可能实质性变动的内容为采购需求中的技术、服务要求以及合同草案条款。</w:t>
      </w:r>
    </w:p>
    <w:p w14:paraId="3E597A5B">
      <w:pPr>
        <w:spacing w:line="360" w:lineRule="auto"/>
        <w:ind w:firstLine="420"/>
        <w:rPr>
          <w:rFonts w:ascii="宋体" w:hAnsi="宋体" w:cs="宋体"/>
          <w:color w:val="auto"/>
          <w:szCs w:val="21"/>
          <w:highlight w:val="none"/>
        </w:rPr>
      </w:pPr>
      <w:r>
        <w:rPr>
          <w:rFonts w:ascii="宋体" w:hAnsi="宋体" w:cs="宋体"/>
          <w:color w:val="auto"/>
          <w:szCs w:val="21"/>
          <w:highlight w:val="none"/>
        </w:rPr>
        <w:t>4.3</w:t>
      </w:r>
      <w:r>
        <w:rPr>
          <w:rFonts w:hint="eastAsia" w:ascii="宋体" w:hAnsi="宋体" w:cs="宋体"/>
          <w:color w:val="auto"/>
          <w:szCs w:val="21"/>
          <w:highlight w:val="none"/>
        </w:rPr>
        <w:t>对谈判文件作出的实质性变动是谈判文件的有效组成部分，由谈判小组及时以电子澄清函形式同时通知所有参加谈判的供应商。</w:t>
      </w:r>
    </w:p>
    <w:p w14:paraId="09B7DC17">
      <w:pPr>
        <w:spacing w:line="360" w:lineRule="auto"/>
        <w:ind w:firstLine="420"/>
        <w:rPr>
          <w:rFonts w:ascii="宋体" w:hAnsi="宋体" w:cs="宋体"/>
          <w:color w:val="auto"/>
          <w:szCs w:val="21"/>
          <w:highlight w:val="none"/>
        </w:rPr>
      </w:pPr>
      <w:r>
        <w:rPr>
          <w:rFonts w:ascii="宋体" w:hAnsi="宋体" w:cs="宋体"/>
          <w:color w:val="auto"/>
          <w:szCs w:val="21"/>
          <w:highlight w:val="none"/>
        </w:rPr>
        <w:t>4.4</w:t>
      </w:r>
      <w:r>
        <w:rPr>
          <w:rFonts w:hint="eastAsia" w:ascii="宋体" w:hAnsi="宋体" w:cs="宋体"/>
          <w:color w:val="auto"/>
          <w:szCs w:val="21"/>
          <w:highlight w:val="none"/>
        </w:rPr>
        <w:t>供应商必须按照谈判文件的变动情况和谈判小组的要求以回函的形式重新提交响应文件，并加盖电子签章。参加谈判的供应商未在规定时间内重新提交响应文件的，视同退出谈判，其响应文件按无效处理。</w:t>
      </w:r>
    </w:p>
    <w:p w14:paraId="6D830876">
      <w:pPr>
        <w:spacing w:line="360" w:lineRule="auto"/>
        <w:ind w:firstLine="420"/>
        <w:rPr>
          <w:rFonts w:ascii="宋体" w:hAnsi="宋体" w:cs="宋体"/>
          <w:color w:val="auto"/>
          <w:szCs w:val="21"/>
          <w:highlight w:val="none"/>
        </w:rPr>
      </w:pPr>
      <w:r>
        <w:rPr>
          <w:rFonts w:ascii="宋体" w:hAnsi="宋体" w:cs="宋体"/>
          <w:color w:val="auto"/>
          <w:szCs w:val="21"/>
          <w:highlight w:val="none"/>
        </w:rPr>
        <w:t>4.5</w:t>
      </w:r>
      <w:r>
        <w:rPr>
          <w:rFonts w:hint="eastAsia" w:ascii="宋体" w:hAnsi="宋体" w:cs="宋体"/>
          <w:color w:val="auto"/>
          <w:szCs w:val="21"/>
          <w:highlight w:val="none"/>
        </w:rPr>
        <w:t>谈判中，谈判的任何一方不得透露与谈判有关的其他供应商的技术资料、价格和其他信息。</w:t>
      </w:r>
    </w:p>
    <w:p w14:paraId="56E89A37">
      <w:pPr>
        <w:widowControl/>
        <w:tabs>
          <w:tab w:val="left" w:pos="540"/>
        </w:tabs>
        <w:spacing w:line="360" w:lineRule="auto"/>
        <w:ind w:firstLine="420"/>
        <w:jc w:val="left"/>
        <w:rPr>
          <w:rFonts w:ascii="宋体" w:hAnsi="宋体" w:cs="宋体"/>
          <w:color w:val="auto"/>
          <w:szCs w:val="21"/>
          <w:highlight w:val="none"/>
        </w:rPr>
      </w:pPr>
      <w:r>
        <w:rPr>
          <w:rFonts w:ascii="宋体" w:hAnsi="宋体" w:cs="宋体"/>
          <w:color w:val="auto"/>
          <w:szCs w:val="21"/>
          <w:highlight w:val="none"/>
        </w:rPr>
        <w:t>4.6</w:t>
      </w:r>
      <w:r>
        <w:rPr>
          <w:rFonts w:hint="eastAsia" w:ascii="宋体" w:hAnsi="宋体" w:cs="宋体"/>
          <w:color w:val="auto"/>
          <w:szCs w:val="21"/>
          <w:highlight w:val="none"/>
        </w:rPr>
        <w:t>谈判小组应对谈判过程和重要谈判内容进行记录。</w:t>
      </w:r>
    </w:p>
    <w:p w14:paraId="347119DB">
      <w:pPr>
        <w:tabs>
          <w:tab w:val="left" w:pos="2835"/>
        </w:tabs>
        <w:spacing w:line="360" w:lineRule="auto"/>
        <w:ind w:firstLine="420"/>
        <w:rPr>
          <w:rFonts w:ascii="宋体" w:hAnsi="宋体" w:cs="宋体"/>
          <w:color w:val="auto"/>
          <w:szCs w:val="21"/>
          <w:highlight w:val="none"/>
        </w:rPr>
      </w:pPr>
      <w:r>
        <w:rPr>
          <w:rFonts w:ascii="宋体" w:hAnsi="宋体" w:cs="宋体"/>
          <w:color w:val="auto"/>
          <w:szCs w:val="21"/>
          <w:highlight w:val="none"/>
        </w:rPr>
        <w:t>4.</w:t>
      </w:r>
      <w:r>
        <w:rPr>
          <w:rFonts w:hint="eastAsia" w:ascii="宋体" w:hAnsi="宋体" w:cs="宋体"/>
          <w:color w:val="auto"/>
          <w:szCs w:val="21"/>
          <w:highlight w:val="none"/>
        </w:rPr>
        <w:t>7除本章第3.7条外，</w:t>
      </w:r>
      <w:r>
        <w:rPr>
          <w:rFonts w:hint="eastAsia" w:ascii="宋体" w:hAnsi="宋体"/>
          <w:color w:val="auto"/>
          <w:szCs w:val="21"/>
          <w:highlight w:val="none"/>
        </w:rPr>
        <w:t>对谈判过程提交的响应文件进行有效性、完整性和响应程度审查，通过审查的合格供应商不足3家的，采购人或者采购代理机构应当重新开展采购活动</w:t>
      </w:r>
      <w:r>
        <w:rPr>
          <w:rFonts w:hint="eastAsia" w:ascii="宋体" w:hAnsi="宋体" w:cs="宋体"/>
          <w:color w:val="auto"/>
          <w:szCs w:val="21"/>
          <w:highlight w:val="none"/>
        </w:rPr>
        <w:t>。</w:t>
      </w:r>
    </w:p>
    <w:p w14:paraId="71F9B348">
      <w:pPr>
        <w:spacing w:line="360" w:lineRule="auto"/>
        <w:ind w:firstLine="482"/>
        <w:rPr>
          <w:rFonts w:ascii="黑体" w:hAnsi="黑体" w:eastAsia="黑体" w:cs="宋体"/>
          <w:b/>
          <w:bCs/>
          <w:color w:val="auto"/>
          <w:sz w:val="24"/>
          <w:highlight w:val="none"/>
        </w:rPr>
      </w:pPr>
      <w:r>
        <w:rPr>
          <w:rFonts w:hint="eastAsia" w:ascii="黑体" w:hAnsi="黑体" w:eastAsia="黑体" w:cs="宋体"/>
          <w:b/>
          <w:bCs/>
          <w:color w:val="auto"/>
          <w:sz w:val="24"/>
          <w:highlight w:val="none"/>
        </w:rPr>
        <w:t>5</w:t>
      </w:r>
      <w:r>
        <w:rPr>
          <w:rFonts w:ascii="黑体" w:hAnsi="黑体" w:eastAsia="黑体" w:cs="宋体"/>
          <w:b/>
          <w:bCs/>
          <w:color w:val="auto"/>
          <w:sz w:val="24"/>
          <w:highlight w:val="none"/>
        </w:rPr>
        <w:t>.</w:t>
      </w:r>
      <w:r>
        <w:rPr>
          <w:rFonts w:hint="eastAsia" w:ascii="黑体" w:hAnsi="黑体" w:eastAsia="黑体" w:cs="宋体"/>
          <w:b/>
          <w:bCs/>
          <w:color w:val="auto"/>
          <w:sz w:val="24"/>
          <w:highlight w:val="none"/>
        </w:rPr>
        <w:t xml:space="preserve"> 最后报价</w:t>
      </w:r>
    </w:p>
    <w:p w14:paraId="135FD15D">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w:t>
      </w:r>
      <w:r>
        <w:rPr>
          <w:rFonts w:ascii="宋体" w:hAnsi="宋体" w:cs="宋体"/>
          <w:color w:val="auto"/>
          <w:szCs w:val="21"/>
          <w:highlight w:val="none"/>
        </w:rPr>
        <w:t>.1</w:t>
      </w:r>
      <w:r>
        <w:rPr>
          <w:rFonts w:hint="eastAsia" w:ascii="宋体" w:hAnsi="宋体" w:cs="宋体"/>
          <w:color w:val="auto"/>
          <w:szCs w:val="21"/>
          <w:highlight w:val="none"/>
        </w:rPr>
        <w:t>谈判文件能够详细列明采购标的的技术、服务要求的，谈判结束后，谈判小组应当要求所有继续参加谈判的供应商在规定时间内在广西政府采购云平台开标大厅提交最后报价，除本章第3.7条外，提交最后报价的供应商不得少于3家，否则应当重新采购。</w:t>
      </w:r>
    </w:p>
    <w:p w14:paraId="5DEF882B">
      <w:pPr>
        <w:spacing w:line="360" w:lineRule="auto"/>
        <w:ind w:firstLine="420"/>
        <w:rPr>
          <w:rFonts w:ascii="宋体" w:hAnsi="宋体" w:cs="宋体"/>
          <w:color w:val="auto"/>
          <w:szCs w:val="21"/>
          <w:highlight w:val="none"/>
        </w:rPr>
      </w:pPr>
      <w:r>
        <w:rPr>
          <w:rFonts w:ascii="宋体" w:hAnsi="宋体" w:cs="宋体"/>
          <w:color w:val="auto"/>
          <w:szCs w:val="21"/>
          <w:highlight w:val="none"/>
        </w:rPr>
        <w:t>5</w:t>
      </w: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谈判文件不能详细列明采购标的的技术、服务要求，需经谈判由供应商提供最后设计方案或者解决方案的，谈判结束后，谈判小组应当按照少数服从多数的原则投票推荐3家以上供应商的设计方案或者解决方案，并要求其在规定时间内在广西政府采购云平台开标大厅提交最后报价。</w:t>
      </w:r>
    </w:p>
    <w:p w14:paraId="4947B9FB">
      <w:pPr>
        <w:spacing w:line="360" w:lineRule="auto"/>
        <w:ind w:firstLine="420"/>
        <w:rPr>
          <w:rFonts w:ascii="宋体" w:hAnsi="宋体" w:cs="宋体"/>
          <w:color w:val="auto"/>
          <w:szCs w:val="21"/>
          <w:highlight w:val="none"/>
        </w:rPr>
      </w:pPr>
      <w:r>
        <w:rPr>
          <w:rFonts w:ascii="宋体" w:hAnsi="宋体" w:cs="宋体"/>
          <w:color w:val="auto"/>
          <w:szCs w:val="21"/>
          <w:highlight w:val="none"/>
        </w:rPr>
        <w:t>5.3</w:t>
      </w:r>
      <w:r>
        <w:rPr>
          <w:rFonts w:hint="eastAsia" w:ascii="宋体" w:hAnsi="宋体" w:cs="宋体"/>
          <w:color w:val="auto"/>
          <w:szCs w:val="21"/>
          <w:highlight w:val="none"/>
        </w:rPr>
        <w:t>最后报价是供应商响应文件的有效组成部分。</w:t>
      </w:r>
    </w:p>
    <w:p w14:paraId="5FB69C49">
      <w:pPr>
        <w:spacing w:line="360" w:lineRule="auto"/>
        <w:ind w:firstLine="420"/>
        <w:rPr>
          <w:rFonts w:ascii="宋体" w:hAnsi="宋体" w:cs="宋体"/>
          <w:color w:val="auto"/>
          <w:szCs w:val="21"/>
          <w:highlight w:val="none"/>
        </w:rPr>
      </w:pPr>
      <w:r>
        <w:rPr>
          <w:rFonts w:ascii="宋体" w:hAnsi="宋体" w:cs="宋体"/>
          <w:color w:val="auto"/>
          <w:szCs w:val="21"/>
          <w:highlight w:val="none"/>
        </w:rPr>
        <w:t>5.4</w:t>
      </w:r>
      <w:r>
        <w:rPr>
          <w:rFonts w:hint="eastAsia" w:ascii="宋体" w:hAnsi="宋体" w:cs="宋体"/>
          <w:color w:val="auto"/>
          <w:szCs w:val="21"/>
          <w:highlight w:val="none"/>
        </w:rPr>
        <w:t>已经提交响应文件的供应商，在提交最后报价之前，可以根据谈判情况退出谈判，退出谈判的供应商的响应文件按无效响应处理。采购人、采购代理机构将退还退出谈判的供应商的保证金。</w:t>
      </w:r>
    </w:p>
    <w:p w14:paraId="7B968F02">
      <w:pPr>
        <w:spacing w:line="360" w:lineRule="auto"/>
        <w:ind w:firstLine="420"/>
        <w:rPr>
          <w:rFonts w:ascii="宋体" w:hAnsi="宋体" w:cs="宋体"/>
          <w:color w:val="auto"/>
          <w:szCs w:val="21"/>
          <w:highlight w:val="none"/>
        </w:rPr>
      </w:pPr>
      <w:r>
        <w:rPr>
          <w:rFonts w:ascii="宋体" w:hAnsi="宋体" w:cs="宋体"/>
          <w:color w:val="auto"/>
          <w:szCs w:val="21"/>
          <w:highlight w:val="none"/>
        </w:rPr>
        <w:t>5.5</w:t>
      </w:r>
      <w:r>
        <w:rPr>
          <w:rFonts w:hint="eastAsia" w:ascii="宋体" w:hAnsi="宋体" w:cs="宋体"/>
          <w:color w:val="auto"/>
          <w:szCs w:val="21"/>
          <w:highlight w:val="none"/>
        </w:rPr>
        <w:t>供应商未在规定时间内提交最后报价的，视为退出谈判，其响应文件按无效处理。</w:t>
      </w:r>
    </w:p>
    <w:p w14:paraId="59F92E8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w:t>
      </w:r>
      <w:r>
        <w:rPr>
          <w:rFonts w:ascii="宋体" w:hAnsi="宋体" w:cs="宋体"/>
          <w:color w:val="auto"/>
          <w:szCs w:val="21"/>
          <w:highlight w:val="none"/>
        </w:rPr>
        <w:t>.6</w:t>
      </w:r>
      <w:r>
        <w:rPr>
          <w:rFonts w:hint="eastAsia" w:ascii="宋体" w:hAnsi="宋体" w:cs="宋体"/>
          <w:color w:val="auto"/>
          <w:szCs w:val="21"/>
          <w:highlight w:val="none"/>
        </w:rPr>
        <w:t>最后报价统一开启后，谈判小组对最后报价进行有效性、完整性和响应程度的审查。</w:t>
      </w:r>
    </w:p>
    <w:p w14:paraId="477B7D36">
      <w:pPr>
        <w:spacing w:line="360" w:lineRule="auto"/>
        <w:ind w:firstLine="420"/>
        <w:rPr>
          <w:rFonts w:ascii="宋体" w:hAnsi="宋体" w:cs="宋体"/>
          <w:color w:val="auto"/>
          <w:szCs w:val="21"/>
          <w:highlight w:val="none"/>
        </w:rPr>
      </w:pPr>
      <w:r>
        <w:rPr>
          <w:rFonts w:ascii="宋体" w:hAnsi="宋体" w:cs="宋体"/>
          <w:color w:val="auto"/>
          <w:szCs w:val="21"/>
          <w:highlight w:val="none"/>
        </w:rPr>
        <w:t>5.7</w:t>
      </w:r>
      <w:r>
        <w:rPr>
          <w:rFonts w:hint="eastAsia" w:ascii="宋体" w:hAnsi="宋体" w:cs="宋体"/>
          <w:color w:val="auto"/>
          <w:szCs w:val="21"/>
          <w:highlight w:val="none"/>
        </w:rPr>
        <w:t>最后报价出现前后不一致的，按照本章第</w:t>
      </w:r>
      <w:r>
        <w:rPr>
          <w:rFonts w:ascii="宋体" w:hAnsi="宋体" w:cs="宋体"/>
          <w:color w:val="auto"/>
          <w:szCs w:val="21"/>
          <w:highlight w:val="none"/>
        </w:rPr>
        <w:t>3.4</w:t>
      </w:r>
      <w:r>
        <w:rPr>
          <w:rFonts w:hint="eastAsia" w:ascii="宋体" w:hAnsi="宋体" w:cs="宋体"/>
          <w:color w:val="auto"/>
          <w:szCs w:val="21"/>
          <w:highlight w:val="none"/>
        </w:rPr>
        <w:t xml:space="preserve">条的规定修正。 </w:t>
      </w:r>
    </w:p>
    <w:p w14:paraId="677F5DFA">
      <w:pPr>
        <w:spacing w:line="360" w:lineRule="auto"/>
        <w:ind w:firstLine="420"/>
        <w:rPr>
          <w:rFonts w:ascii="宋体" w:hAnsi="宋体" w:cs="宋体"/>
          <w:color w:val="auto"/>
          <w:szCs w:val="21"/>
          <w:highlight w:val="none"/>
        </w:rPr>
      </w:pPr>
      <w:r>
        <w:rPr>
          <w:rFonts w:ascii="宋体" w:hAnsi="宋体" w:cs="宋体"/>
          <w:color w:val="auto"/>
          <w:szCs w:val="21"/>
          <w:highlight w:val="none"/>
        </w:rPr>
        <w:t>5.8</w:t>
      </w:r>
      <w:r>
        <w:rPr>
          <w:rFonts w:hint="eastAsia" w:ascii="宋体" w:hAnsi="宋体" w:cs="宋体"/>
          <w:color w:val="auto"/>
          <w:szCs w:val="21"/>
          <w:highlight w:val="none"/>
        </w:rPr>
        <w:t>修正后的报价出现下列情形的，按无效响应处理：</w:t>
      </w:r>
    </w:p>
    <w:p w14:paraId="1C45261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（1）供应商不确认的（全流程电子化评标采取在线确认）；</w:t>
      </w:r>
    </w:p>
    <w:p w14:paraId="23D3649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（2）经供应商确认修正后的竞标报价（包含首次报价、最后报价）超过所竞标分标规定的采购预算金额或者最高限价的（如本项目公布了最高限价）；</w:t>
      </w:r>
    </w:p>
    <w:p w14:paraId="7FC7216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（3）经供应商确认修正后的竞标报价（包含首次报价、最后报价）超过分项采购预算金额或者最高限价的（如本项目公布了最高限价）。</w:t>
      </w:r>
    </w:p>
    <w:p w14:paraId="1559C590">
      <w:pPr>
        <w:spacing w:line="360" w:lineRule="auto"/>
        <w:ind w:firstLine="420"/>
        <w:rPr>
          <w:rFonts w:ascii="宋体" w:hAnsi="宋体" w:cs="宋体"/>
          <w:color w:val="auto"/>
          <w:szCs w:val="21"/>
          <w:highlight w:val="none"/>
        </w:rPr>
      </w:pPr>
      <w:r>
        <w:rPr>
          <w:rFonts w:ascii="宋体" w:hAnsi="宋体" w:cs="宋体"/>
          <w:color w:val="auto"/>
          <w:szCs w:val="21"/>
          <w:highlight w:val="none"/>
        </w:rPr>
        <w:t>5.9</w:t>
      </w:r>
      <w:r>
        <w:rPr>
          <w:rFonts w:hint="eastAsia" w:ascii="宋体" w:hAnsi="宋体" w:cs="宋体"/>
          <w:color w:val="auto"/>
          <w:szCs w:val="21"/>
          <w:highlight w:val="none"/>
        </w:rPr>
        <w:t>经供应商确认修正后的最后报价作为评审及签订合同的依据。</w:t>
      </w:r>
    </w:p>
    <w:p w14:paraId="2FFCE81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5.10供应商出现最后报价按无效响应处理或者响应文件按无效处理时</w:t>
      </w:r>
      <w:r>
        <w:rPr>
          <w:rFonts w:hint="eastAsia" w:ascii="宋体" w:hAnsi="宋体"/>
          <w:color w:val="auto"/>
          <w:sz w:val="22"/>
          <w:szCs w:val="22"/>
          <w:highlight w:val="none"/>
        </w:rPr>
        <w:t>，谈判小组应当告知有关供应商</w:t>
      </w:r>
      <w:r>
        <w:rPr>
          <w:rFonts w:hint="eastAsia" w:ascii="宋体" w:hAnsi="宋体" w:cs="宋体"/>
          <w:color w:val="auto"/>
          <w:szCs w:val="21"/>
          <w:highlight w:val="none"/>
        </w:rPr>
        <w:t>。</w:t>
      </w:r>
    </w:p>
    <w:p w14:paraId="145FF4AD">
      <w:pPr>
        <w:spacing w:line="360" w:lineRule="auto"/>
        <w:ind w:firstLine="420"/>
        <w:rPr>
          <w:rFonts w:ascii="宋体" w:hAnsi="宋体" w:cs="宋体"/>
          <w:color w:val="auto"/>
          <w:szCs w:val="21"/>
          <w:highlight w:val="none"/>
        </w:rPr>
      </w:pPr>
      <w:r>
        <w:rPr>
          <w:rFonts w:ascii="宋体" w:hAnsi="宋体" w:cs="宋体"/>
          <w:color w:val="auto"/>
          <w:szCs w:val="21"/>
          <w:highlight w:val="none"/>
        </w:rPr>
        <w:t>5.1</w:t>
      </w:r>
      <w:r>
        <w:rPr>
          <w:rFonts w:hint="eastAsia" w:ascii="宋体" w:hAnsi="宋体" w:cs="宋体"/>
          <w:color w:val="auto"/>
          <w:szCs w:val="21"/>
          <w:highlight w:val="none"/>
        </w:rPr>
        <w:t>1最后报价结束后，谈判小组不得再与供应商进行任何形式的商谈。</w:t>
      </w:r>
    </w:p>
    <w:p w14:paraId="403A472C">
      <w:pPr>
        <w:spacing w:line="360" w:lineRule="auto"/>
        <w:ind w:firstLine="472"/>
        <w:rPr>
          <w:rFonts w:ascii="黑体" w:hAnsi="黑体" w:eastAsia="黑体" w:cs="宋体"/>
          <w:b/>
          <w:bCs/>
          <w:color w:val="auto"/>
          <w:sz w:val="24"/>
          <w:highlight w:val="none"/>
        </w:rPr>
      </w:pPr>
      <w:r>
        <w:rPr>
          <w:rFonts w:ascii="黑体" w:hAnsi="黑体" w:eastAsia="黑体" w:cs="宋体"/>
          <w:b/>
          <w:bCs/>
          <w:color w:val="auto"/>
          <w:sz w:val="24"/>
          <w:highlight w:val="none"/>
        </w:rPr>
        <w:t>6.</w:t>
      </w:r>
      <w:r>
        <w:rPr>
          <w:rFonts w:hint="eastAsia" w:ascii="黑体" w:hAnsi="黑体" w:eastAsia="黑体" w:cs="宋体"/>
          <w:b/>
          <w:bCs/>
          <w:color w:val="auto"/>
          <w:sz w:val="24"/>
          <w:highlight w:val="none"/>
        </w:rPr>
        <w:t xml:space="preserve"> 最后报价及政府采购政策性扣除</w:t>
      </w:r>
    </w:p>
    <w:p w14:paraId="16C930E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6</w:t>
      </w:r>
      <w:r>
        <w:rPr>
          <w:rFonts w:ascii="宋体" w:hAnsi="宋体" w:cs="宋体"/>
          <w:color w:val="auto"/>
          <w:szCs w:val="21"/>
          <w:highlight w:val="none"/>
        </w:rPr>
        <w:t>.1</w:t>
      </w:r>
      <w:r>
        <w:rPr>
          <w:rFonts w:hint="eastAsia" w:ascii="宋体" w:hAnsi="宋体" w:cs="宋体"/>
          <w:color w:val="auto"/>
          <w:szCs w:val="21"/>
          <w:highlight w:val="none"/>
        </w:rPr>
        <w:t>评审价为供应商的最后报价进行政策性扣除后的价格，评审价只是作为评审时使用。最终成交供应商的成交金额等于最后报价（如有修正，以确认修正后的最后报价为准）。</w:t>
      </w:r>
    </w:p>
    <w:p w14:paraId="3F6630E3">
      <w:pPr>
        <w:spacing w:line="360" w:lineRule="auto"/>
        <w:ind w:firstLine="424"/>
        <w:jc w:val="left"/>
        <w:rPr>
          <w:rFonts w:ascii="宋体" w:hAnsi="宋体"/>
          <w:color w:val="auto"/>
          <w:spacing w:val="-6"/>
          <w:szCs w:val="21"/>
          <w:highlight w:val="none"/>
        </w:rPr>
      </w:pPr>
      <w:r>
        <w:rPr>
          <w:rFonts w:ascii="宋体" w:hAnsi="宋体" w:cs="宋体"/>
          <w:color w:val="auto"/>
          <w:szCs w:val="21"/>
          <w:highlight w:val="none"/>
        </w:rPr>
        <w:t>6.2</w:t>
      </w:r>
      <w:r>
        <w:rPr>
          <w:rFonts w:hint="eastAsia" w:ascii="宋体" w:hAnsi="宋体"/>
          <w:color w:val="auto"/>
          <w:szCs w:val="21"/>
          <w:highlight w:val="none"/>
        </w:rPr>
        <w:t>异常低价响应审查</w:t>
      </w:r>
    </w:p>
    <w:p w14:paraId="4E6E50ED">
      <w:pPr>
        <w:spacing w:line="360" w:lineRule="auto"/>
        <w:ind w:firstLine="420"/>
        <w:rPr>
          <w:rFonts w:ascii="宋体" w:hAnsi="宋体"/>
          <w:color w:val="auto"/>
          <w:szCs w:val="21"/>
          <w:highlight w:val="none"/>
        </w:rPr>
      </w:pPr>
      <w:r>
        <w:rPr>
          <w:rFonts w:hint="eastAsia" w:ascii="宋体" w:hAnsi="宋体"/>
          <w:color w:val="auto"/>
          <w:szCs w:val="21"/>
          <w:highlight w:val="none"/>
        </w:rPr>
        <w:t>（1）谈判小组在评审中发现下列情形之一的，应当启动异常低价响应审查程序：</w:t>
      </w:r>
    </w:p>
    <w:p w14:paraId="7923737A">
      <w:pPr>
        <w:spacing w:line="360" w:lineRule="auto"/>
        <w:ind w:firstLine="420"/>
        <w:rPr>
          <w:rFonts w:ascii="宋体" w:hAnsi="宋体"/>
          <w:color w:val="auto"/>
          <w:szCs w:val="21"/>
          <w:highlight w:val="none"/>
        </w:rPr>
      </w:pPr>
      <w:r>
        <w:rPr>
          <w:rFonts w:hint="eastAsia" w:ascii="宋体" w:hAnsi="宋体"/>
          <w:color w:val="auto"/>
          <w:szCs w:val="21"/>
          <w:highlight w:val="none"/>
        </w:rPr>
        <w:t>①响应报价低于全部通过符合性审查供应商响应报价平均值</w:t>
      </w:r>
      <w:r>
        <w:rPr>
          <w:rFonts w:ascii="宋体" w:hAnsi="宋体"/>
          <w:color w:val="auto"/>
          <w:szCs w:val="21"/>
          <w:highlight w:val="none"/>
          <w:u w:val="single"/>
        </w:rPr>
        <w:t>65%</w:t>
      </w:r>
      <w:r>
        <w:rPr>
          <w:rFonts w:hint="eastAsia" w:ascii="宋体" w:hAnsi="宋体"/>
          <w:color w:val="auto"/>
          <w:szCs w:val="21"/>
          <w:highlight w:val="none"/>
        </w:rPr>
        <w:t>的，即响应报价＜全部通过符合性审查供应商响应报价平均值×</w:t>
      </w:r>
      <w:r>
        <w:rPr>
          <w:rFonts w:ascii="宋体" w:hAnsi="宋体"/>
          <w:color w:val="auto"/>
          <w:szCs w:val="21"/>
          <w:highlight w:val="none"/>
          <w:u w:val="single"/>
        </w:rPr>
        <w:t>65%</w:t>
      </w:r>
      <w:r>
        <w:rPr>
          <w:rFonts w:hint="eastAsia" w:ascii="宋体" w:hAnsi="宋体"/>
          <w:color w:val="auto"/>
          <w:szCs w:val="21"/>
          <w:highlight w:val="none"/>
        </w:rPr>
        <w:t>；</w:t>
      </w:r>
    </w:p>
    <w:p w14:paraId="6012184A">
      <w:pPr>
        <w:spacing w:line="360" w:lineRule="auto"/>
        <w:ind w:firstLine="420"/>
        <w:rPr>
          <w:rFonts w:ascii="宋体" w:hAnsi="宋体"/>
          <w:color w:val="auto"/>
          <w:szCs w:val="21"/>
          <w:highlight w:val="none"/>
        </w:rPr>
      </w:pPr>
      <w:r>
        <w:rPr>
          <w:rFonts w:hint="eastAsia" w:ascii="宋体" w:hAnsi="宋体"/>
          <w:color w:val="auto"/>
          <w:szCs w:val="21"/>
          <w:highlight w:val="none"/>
        </w:rPr>
        <w:t>②响应报价低于通过符合性审查的次低报价供应商响应报价</w:t>
      </w:r>
      <w:r>
        <w:rPr>
          <w:rFonts w:ascii="宋体" w:hAnsi="宋体"/>
          <w:color w:val="auto"/>
          <w:szCs w:val="21"/>
          <w:highlight w:val="none"/>
          <w:u w:val="single"/>
        </w:rPr>
        <w:t>65%</w:t>
      </w:r>
      <w:r>
        <w:rPr>
          <w:rFonts w:hint="eastAsia" w:ascii="宋体" w:hAnsi="宋体"/>
          <w:color w:val="auto"/>
          <w:szCs w:val="21"/>
          <w:highlight w:val="none"/>
        </w:rPr>
        <w:t>的，即响应报价＜通过符合性审查的次低报价供应商响应报价×</w:t>
      </w:r>
      <w:r>
        <w:rPr>
          <w:rFonts w:ascii="宋体" w:hAnsi="宋体"/>
          <w:color w:val="auto"/>
          <w:szCs w:val="21"/>
          <w:highlight w:val="none"/>
          <w:u w:val="single"/>
        </w:rPr>
        <w:t>65%</w:t>
      </w:r>
      <w:r>
        <w:rPr>
          <w:rFonts w:hint="eastAsia" w:ascii="宋体" w:hAnsi="宋体"/>
          <w:color w:val="auto"/>
          <w:szCs w:val="21"/>
          <w:highlight w:val="none"/>
        </w:rPr>
        <w:t>；</w:t>
      </w:r>
    </w:p>
    <w:p w14:paraId="313AAA39">
      <w:pPr>
        <w:spacing w:line="360" w:lineRule="auto"/>
        <w:ind w:firstLine="420"/>
        <w:rPr>
          <w:rFonts w:ascii="宋体" w:hAnsi="宋体"/>
          <w:color w:val="auto"/>
          <w:szCs w:val="21"/>
          <w:highlight w:val="none"/>
        </w:rPr>
      </w:pPr>
      <w:r>
        <w:rPr>
          <w:rFonts w:hint="eastAsia" w:ascii="宋体" w:hAnsi="宋体"/>
          <w:color w:val="auto"/>
          <w:szCs w:val="21"/>
          <w:highlight w:val="none"/>
        </w:rPr>
        <w:t>③响应报价低于采购项目最高限价</w:t>
      </w:r>
      <w:r>
        <w:rPr>
          <w:rFonts w:ascii="宋体" w:hAnsi="宋体"/>
          <w:color w:val="auto"/>
          <w:szCs w:val="21"/>
          <w:highlight w:val="none"/>
          <w:u w:val="single"/>
        </w:rPr>
        <w:t>65%</w:t>
      </w:r>
      <w:r>
        <w:rPr>
          <w:rFonts w:hint="eastAsia" w:ascii="宋体" w:hAnsi="宋体"/>
          <w:color w:val="auto"/>
          <w:szCs w:val="21"/>
          <w:highlight w:val="none"/>
        </w:rPr>
        <w:t>的，即响应报价＜采购项目最高限价×</w:t>
      </w:r>
      <w:r>
        <w:rPr>
          <w:rFonts w:ascii="宋体" w:hAnsi="宋体"/>
          <w:color w:val="auto"/>
          <w:szCs w:val="21"/>
          <w:highlight w:val="none"/>
          <w:u w:val="single"/>
        </w:rPr>
        <w:t>65%</w:t>
      </w:r>
      <w:r>
        <w:rPr>
          <w:rFonts w:hint="eastAsia" w:ascii="宋体" w:hAnsi="宋体"/>
          <w:color w:val="auto"/>
          <w:szCs w:val="21"/>
          <w:highlight w:val="none"/>
        </w:rPr>
        <w:t>；</w:t>
      </w:r>
    </w:p>
    <w:p w14:paraId="32A1104B">
      <w:pPr>
        <w:spacing w:line="360" w:lineRule="auto"/>
        <w:ind w:firstLine="420"/>
        <w:rPr>
          <w:rFonts w:ascii="宋体" w:hAnsi="宋体"/>
          <w:color w:val="auto"/>
          <w:szCs w:val="21"/>
          <w:highlight w:val="none"/>
        </w:rPr>
      </w:pPr>
      <w:r>
        <w:rPr>
          <w:rFonts w:hint="eastAsia" w:ascii="宋体" w:hAnsi="宋体"/>
          <w:color w:val="auto"/>
          <w:szCs w:val="21"/>
          <w:highlight w:val="none"/>
        </w:rPr>
        <w:t>④谈判小组基于专业判断，认为供应商报价过低，有可能影响产品质量或者不能诚信履约的其他情形。</w:t>
      </w:r>
    </w:p>
    <w:p w14:paraId="67FAE0F0">
      <w:pPr>
        <w:spacing w:line="360" w:lineRule="auto"/>
        <w:ind w:firstLine="420"/>
        <w:rPr>
          <w:rFonts w:ascii="宋体" w:hAnsi="宋体"/>
          <w:color w:val="auto"/>
          <w:szCs w:val="21"/>
          <w:highlight w:val="none"/>
        </w:rPr>
      </w:pPr>
      <w:r>
        <w:rPr>
          <w:rFonts w:hint="eastAsia" w:ascii="宋体" w:hAnsi="宋体"/>
          <w:color w:val="auto"/>
          <w:szCs w:val="21"/>
          <w:highlight w:val="none"/>
        </w:rPr>
        <w:t>（2）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响应文件一并提交相关书面说明及必要的证明材料的，可不再重复提交。</w:t>
      </w:r>
    </w:p>
    <w:p w14:paraId="1E945345">
      <w:pPr>
        <w:spacing w:line="360" w:lineRule="auto"/>
        <w:ind w:firstLine="420"/>
        <w:rPr>
          <w:rFonts w:ascii="宋体" w:hAnsi="宋体"/>
          <w:color w:val="auto"/>
          <w:szCs w:val="21"/>
          <w:highlight w:val="none"/>
        </w:rPr>
      </w:pPr>
      <w:r>
        <w:rPr>
          <w:rFonts w:hint="eastAsia" w:ascii="宋体" w:hAnsi="宋体"/>
          <w:color w:val="auto"/>
          <w:szCs w:val="21"/>
          <w:highlight w:val="none"/>
        </w:rPr>
        <w:t>谈判小组依据专业经验，参考同类项目中标（成交）价格、类似产品市场价格水平、行业人工费用标准、国家有关部门指导行业协会发布的行业平均成本等情况，对报价合理性进行判断。</w:t>
      </w:r>
      <w:r>
        <w:rPr>
          <w:rFonts w:hint="eastAsia" w:ascii="宋体" w:hAnsi="宋体"/>
          <w:b/>
          <w:color w:val="auto"/>
          <w:szCs w:val="21"/>
          <w:highlight w:val="none"/>
        </w:rPr>
        <w:t>相关供应商不能提供书面说明、证明材料，或者提供的书面说明、证明材料不能证明其报价合理性的，谈判小组应当将其作为无效响应处理。</w:t>
      </w:r>
    </w:p>
    <w:p w14:paraId="3B4B501D">
      <w:pPr>
        <w:spacing w:line="360" w:lineRule="auto"/>
        <w:ind w:firstLine="420"/>
        <w:rPr>
          <w:rFonts w:ascii="宋体" w:hAnsi="宋体"/>
          <w:color w:val="auto"/>
          <w:szCs w:val="21"/>
          <w:highlight w:val="none"/>
        </w:rPr>
      </w:pPr>
      <w:r>
        <w:rPr>
          <w:rFonts w:hint="eastAsia" w:ascii="宋体" w:hAnsi="宋体"/>
          <w:color w:val="auto"/>
          <w:szCs w:val="21"/>
          <w:highlight w:val="none"/>
        </w:rPr>
        <w:t>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534D3E67">
      <w:pPr>
        <w:spacing w:line="360" w:lineRule="auto"/>
        <w:ind w:firstLine="420"/>
        <w:rPr>
          <w:rFonts w:ascii="宋体" w:hAnsi="宋体" w:cs="宋体"/>
          <w:color w:val="auto"/>
          <w:szCs w:val="21"/>
          <w:highlight w:val="none"/>
        </w:rPr>
      </w:pPr>
      <w:r>
        <w:rPr>
          <w:rFonts w:hint="eastAsia" w:ascii="宋体" w:hAnsi="宋体"/>
          <w:color w:val="auto"/>
          <w:szCs w:val="21"/>
          <w:highlight w:val="none"/>
        </w:rPr>
        <w:t>异常低价响应审查的启动原因、审查意见和审查结果应当在评审报告中记录，并随供应商提供的相关书面说明及证明材料，以及谈判小组有关互联网浏览、查询历史一并归档。</w:t>
      </w:r>
    </w:p>
    <w:p w14:paraId="555FD566">
      <w:pPr>
        <w:spacing w:line="360" w:lineRule="auto"/>
        <w:ind w:firstLine="420"/>
        <w:rPr>
          <w:rFonts w:ascii="宋体" w:hAnsi="宋体" w:cs="宋体"/>
          <w:color w:val="auto"/>
          <w:highlight w:val="none"/>
        </w:rPr>
      </w:pPr>
      <w:r>
        <w:rPr>
          <w:rFonts w:hint="eastAsia" w:ascii="宋体" w:hAnsi="宋体" w:cs="宋体"/>
          <w:color w:val="auto"/>
          <w:szCs w:val="21"/>
          <w:highlight w:val="none"/>
        </w:rPr>
        <w:t>6.3</w:t>
      </w:r>
      <w:r>
        <w:rPr>
          <w:rFonts w:hint="eastAsia" w:hAnsi="宋体" w:cs="Courier New"/>
          <w:bCs/>
          <w:color w:val="auto"/>
          <w:highlight w:val="none"/>
        </w:rPr>
        <w:t>中小企业政策性扣除计算方法</w:t>
      </w:r>
      <w:r>
        <w:rPr>
          <w:rFonts w:hint="eastAsia" w:ascii="宋体" w:hAnsi="宋体" w:cs="宋体"/>
          <w:color w:val="auto"/>
          <w:highlight w:val="none"/>
        </w:rPr>
        <w:t>（如专门面向中小企业采购则不再享受价格扣除）</w:t>
      </w:r>
    </w:p>
    <w:p w14:paraId="588A9E0B">
      <w:pPr>
        <w:spacing w:line="360" w:lineRule="auto"/>
        <w:ind w:firstLine="420"/>
        <w:rPr>
          <w:rFonts w:ascii="宋体" w:hAnsi="宋体" w:cs="宋体"/>
          <w:color w:val="auto"/>
          <w:highlight w:val="none"/>
        </w:rPr>
      </w:pPr>
      <w:r>
        <w:rPr>
          <w:rFonts w:hint="eastAsia" w:ascii="宋体" w:hAnsi="宋体" w:cs="宋体"/>
          <w:color w:val="auto"/>
          <w:szCs w:val="21"/>
          <w:highlight w:val="none"/>
        </w:rPr>
        <w:t>根据《政府采购促进中小企业发展管理办法》（财库〔2020〕46号）</w:t>
      </w:r>
      <w:r>
        <w:rPr>
          <w:rFonts w:hint="eastAsia" w:ascii="宋体" w:hAnsi="宋体"/>
          <w:bCs/>
          <w:color w:val="auto"/>
          <w:szCs w:val="21"/>
          <w:highlight w:val="none"/>
        </w:rPr>
        <w:t>及《广西壮族自治区财政厅关于持续优化政府采购营商环境推动高质量发展的通知》（桂财采〔2024〕55号）的规定，供应商在其响应文件中提供《中小企业声明函》，且货物全部由小微企业制造，对供应商的竞标报价给予</w:t>
      </w:r>
      <w:r>
        <w:rPr>
          <w:rFonts w:hint="eastAsia" w:ascii="宋体" w:hAnsi="宋体"/>
          <w:bCs/>
          <w:color w:val="auto"/>
          <w:szCs w:val="21"/>
          <w:highlight w:val="none"/>
          <w:u w:val="single"/>
        </w:rPr>
        <w:t xml:space="preserve"> 10% </w:t>
      </w:r>
      <w:r>
        <w:rPr>
          <w:rFonts w:hint="eastAsia" w:ascii="宋体" w:hAnsi="宋体"/>
          <w:bCs/>
          <w:color w:val="auto"/>
          <w:szCs w:val="21"/>
          <w:highlight w:val="none"/>
        </w:rPr>
        <w:t>的扣除，扣除后的价格为评审价，即中小企业政策性折扣=竞标报价×</w:t>
      </w:r>
      <w:r>
        <w:rPr>
          <w:rFonts w:hint="eastAsia" w:ascii="宋体" w:hAnsi="宋体"/>
          <w:bCs/>
          <w:color w:val="auto"/>
          <w:szCs w:val="21"/>
          <w:highlight w:val="none"/>
          <w:u w:val="single"/>
        </w:rPr>
        <w:t>10</w:t>
      </w:r>
      <w:r>
        <w:rPr>
          <w:rFonts w:hint="eastAsia" w:ascii="宋体" w:hAnsi="宋体"/>
          <w:bCs/>
          <w:color w:val="auto"/>
          <w:szCs w:val="21"/>
          <w:highlight w:val="none"/>
        </w:rPr>
        <w:t>%。接受大中型企业与小微企业组成联合体或者允许大中型企业向一家或者多家小微企业分包的采购项目，联合协议或者分包意向协议约定小微企业的合同份额占到合同总金额30%以上的，采购人、采购代理机构应当对联合体或者大中型企业的报价给予</w:t>
      </w:r>
      <w:r>
        <w:rPr>
          <w:rFonts w:hint="eastAsia" w:ascii="宋体" w:hAnsi="宋体"/>
          <w:bCs/>
          <w:color w:val="auto"/>
          <w:szCs w:val="21"/>
          <w:highlight w:val="none"/>
          <w:u w:val="single"/>
        </w:rPr>
        <w:t xml:space="preserve"> 4% </w:t>
      </w:r>
      <w:r>
        <w:rPr>
          <w:rFonts w:hint="eastAsia" w:ascii="宋体" w:hAnsi="宋体"/>
          <w:bCs/>
          <w:color w:val="auto"/>
          <w:szCs w:val="21"/>
          <w:highlight w:val="none"/>
        </w:rPr>
        <w:t>的扣除，用扣除后的价格参加评审，扣除后的价格为评审价，即中小企业政策性折扣=竞标报价×</w:t>
      </w:r>
      <w:r>
        <w:rPr>
          <w:rFonts w:hint="eastAsia" w:ascii="宋体" w:hAnsi="宋体"/>
          <w:bCs/>
          <w:color w:val="auto"/>
          <w:szCs w:val="21"/>
          <w:highlight w:val="none"/>
          <w:u w:val="single"/>
        </w:rPr>
        <w:t xml:space="preserve"> 4 </w:t>
      </w:r>
      <w:r>
        <w:rPr>
          <w:rFonts w:hint="eastAsia" w:ascii="宋体" w:hAnsi="宋体"/>
          <w:bCs/>
          <w:color w:val="auto"/>
          <w:szCs w:val="21"/>
          <w:highlight w:val="none"/>
        </w:rPr>
        <w:t>%。除上述情况外，评审价=竞标报价。</w:t>
      </w:r>
    </w:p>
    <w:p w14:paraId="58DDECBA">
      <w:pPr>
        <w:spacing w:line="360" w:lineRule="auto"/>
        <w:ind w:firstLine="420"/>
        <w:rPr>
          <w:rFonts w:ascii="宋体" w:hAnsi="宋体" w:cs="宋体"/>
          <w:color w:val="auto"/>
          <w:szCs w:val="21"/>
          <w:highlight w:val="none"/>
        </w:rPr>
      </w:pPr>
      <w:r>
        <w:rPr>
          <w:rFonts w:ascii="宋体" w:hAnsi="宋体" w:cs="宋体"/>
          <w:color w:val="auto"/>
          <w:szCs w:val="21"/>
          <w:highlight w:val="none"/>
        </w:rPr>
        <w:t>6.</w:t>
      </w:r>
      <w:r>
        <w:rPr>
          <w:rFonts w:hint="eastAsia" w:ascii="宋体" w:hAnsi="宋体" w:cs="宋体"/>
          <w:color w:val="auto"/>
          <w:szCs w:val="21"/>
          <w:highlight w:val="none"/>
        </w:rPr>
        <w:t>4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w:t>
      </w:r>
      <w:r>
        <w:rPr>
          <w:rFonts w:hint="eastAsia" w:ascii="宋体" w:hAnsi="宋体"/>
          <w:bCs/>
          <w:color w:val="auto"/>
          <w:szCs w:val="21"/>
          <w:highlight w:val="none"/>
        </w:rPr>
        <w:t>监狱企业属于小型、微型企业的，</w:t>
      </w:r>
      <w:r>
        <w:rPr>
          <w:rFonts w:hint="eastAsia" w:ascii="宋体" w:hAnsi="宋体" w:cs="宋体"/>
          <w:color w:val="auto"/>
          <w:szCs w:val="21"/>
          <w:highlight w:val="none"/>
        </w:rPr>
        <w:t>不重复享受政策。</w:t>
      </w:r>
    </w:p>
    <w:p w14:paraId="54CF8884">
      <w:pPr>
        <w:spacing w:line="360" w:lineRule="auto"/>
        <w:ind w:firstLine="420"/>
        <w:rPr>
          <w:rFonts w:ascii="宋体" w:hAnsi="宋体" w:cs="宋体"/>
          <w:color w:val="auto"/>
          <w:highlight w:val="none"/>
        </w:rPr>
      </w:pPr>
      <w:r>
        <w:rPr>
          <w:rFonts w:ascii="宋体" w:hAnsi="宋体" w:cs="宋体"/>
          <w:color w:val="auto"/>
          <w:szCs w:val="21"/>
          <w:highlight w:val="none"/>
        </w:rPr>
        <w:t>6.</w:t>
      </w:r>
      <w:r>
        <w:rPr>
          <w:rFonts w:hint="eastAsia" w:ascii="宋体" w:hAnsi="宋体" w:cs="宋体"/>
          <w:color w:val="auto"/>
          <w:szCs w:val="21"/>
          <w:highlight w:val="none"/>
        </w:rPr>
        <w:t>5按照《关于促进残疾人就业政府采购政策的通知》（财库〔2017〕141号）的规定，残疾人福利性单位视同小型、微型企业，享受预留份额、评审中价格扣除等</w:t>
      </w:r>
      <w:r>
        <w:rPr>
          <w:rFonts w:hint="eastAsia" w:ascii="宋体" w:hAnsi="宋体" w:cs="宋体"/>
          <w:color w:val="auto"/>
          <w:highlight w:val="none"/>
        </w:rPr>
        <w:t>促进中小企业发展的政府采购政策。残疾人福利性单位参加政府采购活动时，应当提供该通知规定的《残疾人福利性单位声明函》，并对声明的真实性负责。残疾人福利性单位属于小型、微型企业的，不重复享受政策。</w:t>
      </w:r>
    </w:p>
    <w:p w14:paraId="38B50DD7">
      <w:pPr>
        <w:spacing w:line="360" w:lineRule="auto"/>
        <w:ind w:firstLine="42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w:t>
      </w:r>
      <w:r>
        <w:rPr>
          <w:rFonts w:hint="eastAsia" w:ascii="宋体" w:hAnsi="宋体"/>
          <w:color w:val="auto"/>
          <w:szCs w:val="21"/>
          <w:highlight w:val="none"/>
        </w:rPr>
        <w:t>6本国产品政策性扣除计算方法。</w:t>
      </w:r>
    </w:p>
    <w:p w14:paraId="14E0BB70">
      <w:pPr>
        <w:spacing w:line="360" w:lineRule="auto"/>
        <w:ind w:firstLine="420"/>
        <w:rPr>
          <w:rFonts w:ascii="宋体" w:hAnsi="宋体"/>
          <w:color w:val="auto"/>
          <w:szCs w:val="21"/>
          <w:highlight w:val="none"/>
        </w:rPr>
      </w:pPr>
      <w:r>
        <w:rPr>
          <w:rFonts w:hint="eastAsia" w:ascii="宋体" w:hAnsi="宋体"/>
          <w:color w:val="auto"/>
          <w:szCs w:val="21"/>
          <w:highlight w:val="none"/>
        </w:rPr>
        <w:t>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w:t>
      </w:r>
    </w:p>
    <w:p w14:paraId="0C83725C">
      <w:pPr>
        <w:spacing w:line="360" w:lineRule="auto"/>
        <w:ind w:firstLine="420"/>
        <w:rPr>
          <w:rFonts w:ascii="宋体" w:hAnsi="宋体"/>
          <w:color w:val="auto"/>
          <w:szCs w:val="21"/>
          <w:highlight w:val="none"/>
        </w:rPr>
      </w:pPr>
      <w:r>
        <w:rPr>
          <w:rFonts w:hint="eastAsia" w:ascii="宋体" w:hAnsi="宋体"/>
          <w:color w:val="auto"/>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hAnsi="宋体"/>
          <w:color w:val="auto"/>
          <w:highlight w:val="none"/>
        </w:rPr>
        <w:t>未达到80%，不享受价格评审优惠。</w:t>
      </w:r>
    </w:p>
    <w:p w14:paraId="29C6EF84">
      <w:pPr>
        <w:spacing w:line="360" w:lineRule="auto"/>
        <w:ind w:firstLine="420"/>
        <w:rPr>
          <w:rFonts w:ascii="宋体" w:hAnsi="宋体"/>
          <w:color w:val="auto"/>
          <w:szCs w:val="21"/>
          <w:highlight w:val="none"/>
        </w:rPr>
      </w:pPr>
      <w:r>
        <w:rPr>
          <w:rFonts w:hint="eastAsia" w:hAnsi="宋体"/>
          <w:color w:val="auto"/>
          <w:highlight w:val="none"/>
        </w:rPr>
        <w:t>如果所有参与竞争的供应商均可享受本国产品价格评审优惠，则统一不进行价格扣除。</w:t>
      </w:r>
    </w:p>
    <w:p w14:paraId="4FDF685A">
      <w:pPr>
        <w:spacing w:line="360" w:lineRule="auto"/>
        <w:ind w:firstLine="420"/>
        <w:rPr>
          <w:rFonts w:ascii="宋体" w:hAnsi="宋体"/>
          <w:color w:val="auto"/>
          <w:szCs w:val="21"/>
          <w:highlight w:val="none"/>
        </w:rPr>
      </w:pPr>
      <w:r>
        <w:rPr>
          <w:rFonts w:hint="eastAsia" w:ascii="宋体" w:hAnsi="宋体"/>
          <w:color w:val="auto"/>
          <w:szCs w:val="21"/>
          <w:highlight w:val="none"/>
        </w:rPr>
        <w:t>供应商在其响应文件中提供《关于符合本国产品标准的声明函》或财政部会同有关部门规定的有关证明文件，出具符合要求的《声明函》或有关证明文件的，该产品视为本国产品。</w:t>
      </w:r>
    </w:p>
    <w:p w14:paraId="48B336E3">
      <w:pPr>
        <w:spacing w:line="360" w:lineRule="auto"/>
        <w:ind w:firstLine="42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w:t>
      </w:r>
      <w:r>
        <w:rPr>
          <w:rFonts w:hint="eastAsia" w:ascii="宋体" w:hAnsi="宋体"/>
          <w:color w:val="auto"/>
          <w:szCs w:val="21"/>
          <w:highlight w:val="none"/>
        </w:rPr>
        <w:t>7中小企业政策性折扣与本国产品政策性折扣进行叠加计算，用扣除后的价格参加评审。即评审价=竞标报价-中小企业政策性折扣-本国产品政策性折扣，除上述情况外，评审价=竞标报价。</w:t>
      </w:r>
    </w:p>
    <w:p w14:paraId="1E4D756A">
      <w:pPr>
        <w:spacing w:line="360" w:lineRule="auto"/>
        <w:ind w:firstLine="420"/>
        <w:rPr>
          <w:rFonts w:ascii="宋体" w:hAnsi="宋体" w:cs="宋体"/>
          <w:color w:val="auto"/>
          <w:highlight w:val="none"/>
        </w:rPr>
      </w:pPr>
    </w:p>
    <w:p w14:paraId="1C9E19E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二、评定成交的标准</w:t>
      </w:r>
    </w:p>
    <w:p w14:paraId="7854AE2C">
      <w:pPr>
        <w:spacing w:line="360" w:lineRule="auto"/>
        <w:ind w:firstLine="482"/>
        <w:rPr>
          <w:rFonts w:ascii="黑体" w:hAnsi="黑体" w:eastAsia="黑体" w:cs="宋体"/>
          <w:b/>
          <w:bCs/>
          <w:color w:val="auto"/>
          <w:sz w:val="24"/>
          <w:highlight w:val="none"/>
        </w:rPr>
      </w:pPr>
      <w:r>
        <w:rPr>
          <w:rFonts w:ascii="黑体" w:hAnsi="黑体" w:eastAsia="黑体" w:cs="宋体"/>
          <w:b/>
          <w:bCs/>
          <w:color w:val="auto"/>
          <w:sz w:val="24"/>
          <w:highlight w:val="none"/>
        </w:rPr>
        <w:t>7.</w:t>
      </w:r>
      <w:r>
        <w:rPr>
          <w:rFonts w:hint="eastAsia" w:ascii="黑体" w:hAnsi="黑体" w:eastAsia="黑体" w:cs="宋体"/>
          <w:b/>
          <w:bCs/>
          <w:color w:val="auto"/>
          <w:sz w:val="24"/>
          <w:highlight w:val="none"/>
        </w:rPr>
        <w:t xml:space="preserve"> 成交候选人推荐</w:t>
      </w:r>
    </w:p>
    <w:p w14:paraId="63AAC678">
      <w:pPr>
        <w:spacing w:line="360" w:lineRule="auto"/>
        <w:ind w:firstLine="420"/>
        <w:contextualSpacing/>
        <w:rPr>
          <w:rFonts w:hAnsi="宋体"/>
          <w:color w:val="auto"/>
          <w:highlight w:val="none"/>
        </w:rPr>
      </w:pPr>
      <w:r>
        <w:rPr>
          <w:rFonts w:hint="eastAsia" w:ascii="宋体" w:hAnsi="宋体" w:cs="宋体"/>
          <w:color w:val="auto"/>
          <w:highlight w:val="none"/>
        </w:rPr>
        <w:t>谈判小组应当从质量和服务均能满足谈判文件实质性响应要求的供应商中，按照评审价由低到高的顺序提出3名及以上成交候选人（评审价相同时，按照最后报价由低到高顺序依次推荐；最后报价相同时，由谈判小组按“供应商须知前附表”第2</w:t>
      </w:r>
      <w:r>
        <w:rPr>
          <w:rFonts w:ascii="宋体" w:hAnsi="宋体" w:cs="宋体"/>
          <w:color w:val="auto"/>
          <w:highlight w:val="none"/>
        </w:rPr>
        <w:t>6</w:t>
      </w:r>
      <w:r>
        <w:rPr>
          <w:rFonts w:hint="eastAsia" w:ascii="宋体" w:hAnsi="宋体" w:cs="宋体"/>
          <w:color w:val="auto"/>
          <w:highlight w:val="none"/>
        </w:rPr>
        <w:t>条规定的顺序推荐），并编写评审报告，评审报告</w:t>
      </w:r>
      <w:r>
        <w:rPr>
          <w:rFonts w:hint="eastAsia" w:hAnsi="宋体"/>
          <w:color w:val="auto"/>
          <w:highlight w:val="none"/>
        </w:rPr>
        <w:t>通过电子交易平台向采购人、采购代理机构提交。</w:t>
      </w:r>
    </w:p>
    <w:p w14:paraId="298CC66E">
      <w:pPr>
        <w:spacing w:line="360" w:lineRule="auto"/>
        <w:ind w:firstLine="420"/>
        <w:rPr>
          <w:rFonts w:ascii="宋体" w:hAnsi="宋体" w:cs="宋体"/>
          <w:color w:val="auto"/>
          <w:highlight w:val="none"/>
        </w:rPr>
      </w:pPr>
    </w:p>
    <w:p w14:paraId="18A545D3">
      <w:pPr>
        <w:pStyle w:val="201"/>
        <w:jc w:val="center"/>
        <w:rPr>
          <w:color w:val="auto"/>
          <w:highlight w:val="none"/>
        </w:rPr>
      </w:pPr>
      <w:r>
        <w:rPr>
          <w:color w:val="auto"/>
          <w:highlight w:val="none"/>
        </w:rPr>
        <w:br w:type="page" w:clear="all"/>
      </w:r>
    </w:p>
    <w:p w14:paraId="17747DA8">
      <w:pPr>
        <w:rPr>
          <w:color w:val="auto"/>
          <w:highlight w:val="none"/>
        </w:rPr>
      </w:pPr>
    </w:p>
    <w:p w14:paraId="6B054CE0">
      <w:pPr>
        <w:rPr>
          <w:color w:val="auto"/>
          <w:highlight w:val="none"/>
        </w:rPr>
      </w:pPr>
    </w:p>
    <w:p w14:paraId="45632C14">
      <w:pPr>
        <w:rPr>
          <w:color w:val="auto"/>
          <w:highlight w:val="none"/>
        </w:rPr>
      </w:pPr>
    </w:p>
    <w:p w14:paraId="089EDB1A">
      <w:pPr>
        <w:rPr>
          <w:color w:val="auto"/>
          <w:highlight w:val="none"/>
        </w:rPr>
      </w:pPr>
    </w:p>
    <w:p w14:paraId="51483422">
      <w:pPr>
        <w:rPr>
          <w:color w:val="auto"/>
          <w:highlight w:val="none"/>
        </w:rPr>
      </w:pPr>
    </w:p>
    <w:p w14:paraId="5A04E553">
      <w:pPr>
        <w:rPr>
          <w:color w:val="auto"/>
          <w:highlight w:val="none"/>
        </w:rPr>
      </w:pPr>
    </w:p>
    <w:p w14:paraId="08DE8D5A">
      <w:pPr>
        <w:rPr>
          <w:color w:val="auto"/>
          <w:highlight w:val="none"/>
        </w:rPr>
      </w:pPr>
    </w:p>
    <w:p w14:paraId="5CE17442">
      <w:pPr>
        <w:rPr>
          <w:color w:val="auto"/>
          <w:highlight w:val="none"/>
        </w:rPr>
      </w:pPr>
    </w:p>
    <w:p w14:paraId="5035FB84">
      <w:pPr>
        <w:rPr>
          <w:color w:val="auto"/>
          <w:highlight w:val="none"/>
        </w:rPr>
      </w:pPr>
    </w:p>
    <w:p w14:paraId="41FED43D">
      <w:pPr>
        <w:rPr>
          <w:color w:val="auto"/>
          <w:highlight w:val="none"/>
        </w:rPr>
      </w:pPr>
    </w:p>
    <w:p w14:paraId="68210778">
      <w:pPr>
        <w:rPr>
          <w:color w:val="auto"/>
          <w:highlight w:val="none"/>
        </w:rPr>
      </w:pPr>
    </w:p>
    <w:p w14:paraId="5628623B">
      <w:pPr>
        <w:rPr>
          <w:color w:val="auto"/>
          <w:highlight w:val="none"/>
        </w:rPr>
      </w:pPr>
    </w:p>
    <w:p w14:paraId="664D50E4">
      <w:pPr>
        <w:rPr>
          <w:color w:val="auto"/>
          <w:highlight w:val="none"/>
        </w:rPr>
      </w:pPr>
    </w:p>
    <w:p w14:paraId="3F252467">
      <w:pPr>
        <w:pStyle w:val="201"/>
        <w:jc w:val="center"/>
        <w:rPr>
          <w:color w:val="auto"/>
          <w:highlight w:val="none"/>
        </w:rPr>
      </w:pPr>
      <w:bookmarkStart w:id="72" w:name="_Toc23712"/>
      <w:r>
        <w:rPr>
          <w:rFonts w:hint="eastAsia"/>
          <w:color w:val="auto"/>
          <w:highlight w:val="none"/>
        </w:rPr>
        <w:t>第五章 响应文件格式</w:t>
      </w:r>
      <w:bookmarkEnd w:id="72"/>
    </w:p>
    <w:p w14:paraId="0EF25AA3">
      <w:pPr>
        <w:spacing w:line="240" w:lineRule="atLeast"/>
        <w:rPr>
          <w:rFonts w:ascii="宋体" w:hAnsi="宋体"/>
          <w:b/>
          <w:color w:val="auto"/>
          <w:sz w:val="32"/>
          <w:szCs w:val="32"/>
          <w:highlight w:val="none"/>
        </w:rPr>
      </w:pPr>
    </w:p>
    <w:p w14:paraId="028BE32E">
      <w:pPr>
        <w:spacing w:line="240" w:lineRule="atLeast"/>
        <w:rPr>
          <w:rFonts w:ascii="宋体" w:hAnsi="宋体"/>
          <w:b/>
          <w:color w:val="auto"/>
          <w:sz w:val="32"/>
          <w:szCs w:val="32"/>
          <w:highlight w:val="none"/>
        </w:rPr>
      </w:pPr>
    </w:p>
    <w:p w14:paraId="4B970585">
      <w:pPr>
        <w:spacing w:line="240" w:lineRule="atLeast"/>
        <w:rPr>
          <w:rFonts w:ascii="宋体" w:hAnsi="宋体"/>
          <w:b/>
          <w:color w:val="auto"/>
          <w:sz w:val="32"/>
          <w:szCs w:val="32"/>
          <w:highlight w:val="none"/>
        </w:rPr>
      </w:pPr>
    </w:p>
    <w:p w14:paraId="7BBBA6CB">
      <w:pPr>
        <w:spacing w:line="240" w:lineRule="atLeast"/>
        <w:rPr>
          <w:rFonts w:ascii="宋体" w:hAnsi="宋体"/>
          <w:b/>
          <w:color w:val="auto"/>
          <w:sz w:val="32"/>
          <w:szCs w:val="32"/>
          <w:highlight w:val="none"/>
        </w:rPr>
      </w:pPr>
    </w:p>
    <w:p w14:paraId="68FAA4AB">
      <w:pPr>
        <w:spacing w:line="240" w:lineRule="atLeast"/>
        <w:rPr>
          <w:rFonts w:ascii="宋体" w:hAnsi="宋体"/>
          <w:b/>
          <w:color w:val="auto"/>
          <w:sz w:val="32"/>
          <w:szCs w:val="32"/>
          <w:highlight w:val="none"/>
        </w:rPr>
      </w:pPr>
    </w:p>
    <w:p w14:paraId="728C15C0">
      <w:pPr>
        <w:spacing w:line="240" w:lineRule="atLeast"/>
        <w:rPr>
          <w:rFonts w:ascii="宋体" w:hAnsi="宋体"/>
          <w:b/>
          <w:color w:val="auto"/>
          <w:sz w:val="32"/>
          <w:szCs w:val="32"/>
          <w:highlight w:val="none"/>
        </w:rPr>
      </w:pPr>
    </w:p>
    <w:p w14:paraId="032B5A98">
      <w:pPr>
        <w:spacing w:line="240" w:lineRule="atLeast"/>
        <w:rPr>
          <w:rFonts w:ascii="宋体" w:hAnsi="宋体"/>
          <w:b/>
          <w:color w:val="auto"/>
          <w:sz w:val="32"/>
          <w:szCs w:val="32"/>
          <w:highlight w:val="none"/>
        </w:rPr>
      </w:pPr>
    </w:p>
    <w:p w14:paraId="313F25CD">
      <w:pPr>
        <w:spacing w:line="240" w:lineRule="atLeast"/>
        <w:rPr>
          <w:rFonts w:ascii="宋体" w:hAnsi="宋体"/>
          <w:b/>
          <w:color w:val="auto"/>
          <w:sz w:val="32"/>
          <w:szCs w:val="32"/>
          <w:highlight w:val="none"/>
        </w:rPr>
      </w:pPr>
    </w:p>
    <w:p w14:paraId="5E9A063C">
      <w:pPr>
        <w:spacing w:line="240" w:lineRule="atLeast"/>
        <w:rPr>
          <w:rFonts w:ascii="宋体" w:hAnsi="宋体"/>
          <w:b/>
          <w:color w:val="auto"/>
          <w:sz w:val="32"/>
          <w:szCs w:val="32"/>
          <w:highlight w:val="none"/>
        </w:rPr>
      </w:pPr>
    </w:p>
    <w:p w14:paraId="55EE17B1">
      <w:pPr>
        <w:spacing w:line="240" w:lineRule="atLeast"/>
        <w:rPr>
          <w:rFonts w:ascii="宋体" w:hAnsi="宋体"/>
          <w:b/>
          <w:color w:val="auto"/>
          <w:sz w:val="32"/>
          <w:szCs w:val="32"/>
          <w:highlight w:val="none"/>
        </w:rPr>
      </w:pPr>
    </w:p>
    <w:p w14:paraId="2A0FD0B9">
      <w:pPr>
        <w:spacing w:line="240" w:lineRule="atLeast"/>
        <w:rPr>
          <w:rFonts w:ascii="宋体" w:hAnsi="宋体"/>
          <w:b/>
          <w:color w:val="auto"/>
          <w:sz w:val="32"/>
          <w:szCs w:val="32"/>
          <w:highlight w:val="none"/>
        </w:rPr>
      </w:pPr>
    </w:p>
    <w:p w14:paraId="3BC70081">
      <w:pPr>
        <w:spacing w:line="240" w:lineRule="atLeast"/>
        <w:rPr>
          <w:rFonts w:ascii="宋体" w:hAnsi="宋体"/>
          <w:b/>
          <w:color w:val="auto"/>
          <w:sz w:val="32"/>
          <w:szCs w:val="32"/>
          <w:highlight w:val="none"/>
        </w:rPr>
      </w:pPr>
    </w:p>
    <w:p w14:paraId="5C6B30A6">
      <w:pPr>
        <w:spacing w:line="240" w:lineRule="atLeast"/>
        <w:rPr>
          <w:rFonts w:ascii="宋体" w:hAnsi="宋体"/>
          <w:b/>
          <w:color w:val="auto"/>
          <w:sz w:val="32"/>
          <w:szCs w:val="32"/>
          <w:highlight w:val="none"/>
        </w:rPr>
      </w:pPr>
    </w:p>
    <w:p w14:paraId="17363DB4">
      <w:pPr>
        <w:spacing w:line="240" w:lineRule="atLeast"/>
        <w:rPr>
          <w:rFonts w:ascii="宋体" w:hAnsi="宋体"/>
          <w:b/>
          <w:color w:val="auto"/>
          <w:sz w:val="32"/>
          <w:szCs w:val="32"/>
          <w:highlight w:val="none"/>
        </w:rPr>
      </w:pPr>
    </w:p>
    <w:p w14:paraId="16E9DD5D">
      <w:pPr>
        <w:spacing w:before="50" w:after="50"/>
        <w:outlineLvl w:val="1"/>
        <w:rPr>
          <w:rFonts w:ascii="宋体" w:hAnsi="宋体"/>
          <w:b/>
          <w:bCs/>
          <w:color w:val="auto"/>
          <w:sz w:val="24"/>
          <w:highlight w:val="none"/>
        </w:rPr>
      </w:pPr>
    </w:p>
    <w:p w14:paraId="24DDEA64">
      <w:pPr>
        <w:spacing w:before="50" w:after="50"/>
        <w:outlineLvl w:val="1"/>
        <w:rPr>
          <w:rFonts w:ascii="宋体" w:hAnsi="宋体"/>
          <w:b/>
          <w:bCs/>
          <w:color w:val="auto"/>
          <w:sz w:val="24"/>
          <w:highlight w:val="none"/>
        </w:rPr>
      </w:pPr>
    </w:p>
    <w:p w14:paraId="7075BB3E">
      <w:pPr>
        <w:spacing w:before="50" w:after="50"/>
        <w:outlineLvl w:val="1"/>
        <w:rPr>
          <w:rFonts w:ascii="宋体" w:hAnsi="宋体"/>
          <w:b/>
          <w:bCs/>
          <w:color w:val="auto"/>
          <w:sz w:val="24"/>
          <w:highlight w:val="none"/>
        </w:rPr>
      </w:pPr>
    </w:p>
    <w:p w14:paraId="6F9D2D36">
      <w:pPr>
        <w:rPr>
          <w:b/>
          <w:color w:val="auto"/>
          <w:sz w:val="32"/>
          <w:szCs w:val="32"/>
          <w:highlight w:val="none"/>
        </w:rPr>
      </w:pPr>
      <w:r>
        <w:rPr>
          <w:rFonts w:ascii="宋体" w:hAnsi="宋体"/>
          <w:bCs/>
          <w:color w:val="auto"/>
          <w:sz w:val="24"/>
          <w:highlight w:val="none"/>
        </w:rPr>
        <w:br w:type="page" w:clear="all"/>
      </w:r>
      <w:r>
        <w:rPr>
          <w:rFonts w:hint="eastAsia"/>
          <w:b/>
          <w:color w:val="auto"/>
          <w:sz w:val="32"/>
          <w:szCs w:val="32"/>
          <w:highlight w:val="none"/>
        </w:rPr>
        <w:t>一、资格证明文件格式</w:t>
      </w:r>
    </w:p>
    <w:p w14:paraId="7BDC5BD6">
      <w:pPr>
        <w:spacing w:before="120" w:after="50" w:line="360" w:lineRule="auto"/>
        <w:jc w:val="left"/>
        <w:rPr>
          <w:rFonts w:ascii="宋体" w:hAnsi="宋体"/>
          <w:b/>
          <w:color w:val="auto"/>
          <w:sz w:val="24"/>
          <w:highlight w:val="none"/>
        </w:rPr>
      </w:pPr>
      <w:r>
        <w:rPr>
          <w:rFonts w:hint="eastAsia" w:ascii="宋体" w:hAnsi="宋体"/>
          <w:b/>
          <w:color w:val="auto"/>
          <w:sz w:val="32"/>
          <w:szCs w:val="32"/>
          <w:highlight w:val="none"/>
        </w:rPr>
        <w:t>1.资格证明文件封面格式：</w:t>
      </w:r>
      <w:r>
        <w:rPr>
          <w:rFonts w:hint="eastAsia" w:ascii="宋体" w:hAnsi="宋体"/>
          <w:b/>
          <w:color w:val="auto"/>
          <w:sz w:val="24"/>
          <w:highlight w:val="none"/>
        </w:rPr>
        <w:t xml:space="preserve"> </w:t>
      </w:r>
    </w:p>
    <w:p w14:paraId="4FBC1E3F">
      <w:pPr>
        <w:spacing w:before="120" w:after="50"/>
        <w:rPr>
          <w:rFonts w:ascii="宋体" w:hAnsi="宋体"/>
          <w:bCs/>
          <w:color w:val="auto"/>
          <w:sz w:val="32"/>
          <w:szCs w:val="20"/>
          <w:highlight w:val="none"/>
        </w:rPr>
      </w:pPr>
      <w:r>
        <w:rPr>
          <w:rFonts w:hint="eastAsia" w:ascii="宋体" w:hAnsi="宋体"/>
          <w:color w:val="auto"/>
          <w:sz w:val="24"/>
          <w:highlight w:val="none"/>
        </w:rPr>
        <w:t xml:space="preserve">                                                    </w:t>
      </w:r>
    </w:p>
    <w:p w14:paraId="7EE13A50">
      <w:pPr>
        <w:spacing w:before="120" w:after="50"/>
        <w:jc w:val="center"/>
        <w:rPr>
          <w:rFonts w:ascii="宋体" w:hAnsi="宋体"/>
          <w:color w:val="auto"/>
          <w:sz w:val="44"/>
          <w:szCs w:val="44"/>
          <w:highlight w:val="none"/>
        </w:rPr>
      </w:pPr>
      <w:r>
        <w:rPr>
          <w:rFonts w:hint="eastAsia" w:ascii="宋体" w:hAnsi="宋体"/>
          <w:color w:val="auto"/>
          <w:sz w:val="44"/>
          <w:szCs w:val="44"/>
          <w:highlight w:val="none"/>
        </w:rPr>
        <w:t>电 子 响 应 文 件</w:t>
      </w:r>
    </w:p>
    <w:p w14:paraId="218710B1">
      <w:pPr>
        <w:spacing w:before="120" w:after="50"/>
        <w:rPr>
          <w:rFonts w:ascii="宋体" w:hAnsi="宋体"/>
          <w:color w:val="auto"/>
          <w:sz w:val="24"/>
          <w:szCs w:val="20"/>
          <w:highlight w:val="none"/>
        </w:rPr>
      </w:pPr>
    </w:p>
    <w:p w14:paraId="55981311">
      <w:pPr>
        <w:spacing w:before="120" w:after="50"/>
        <w:jc w:val="center"/>
        <w:rPr>
          <w:rFonts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资  格  证  明  文  件</w:t>
      </w:r>
    </w:p>
    <w:p w14:paraId="462058EE">
      <w:pPr>
        <w:spacing w:before="120" w:after="50"/>
        <w:rPr>
          <w:rFonts w:ascii="宋体" w:hAnsi="宋体"/>
          <w:bCs/>
          <w:color w:val="auto"/>
          <w:sz w:val="24"/>
          <w:szCs w:val="20"/>
          <w:highlight w:val="none"/>
        </w:rPr>
      </w:pPr>
    </w:p>
    <w:p w14:paraId="62006F8F">
      <w:pPr>
        <w:spacing w:before="120" w:after="50"/>
        <w:rPr>
          <w:rFonts w:ascii="宋体" w:hAnsi="宋体"/>
          <w:bCs/>
          <w:color w:val="auto"/>
          <w:sz w:val="24"/>
          <w:szCs w:val="20"/>
          <w:highlight w:val="none"/>
        </w:rPr>
      </w:pPr>
    </w:p>
    <w:p w14:paraId="45C4BDA1">
      <w:pPr>
        <w:spacing w:before="120" w:after="50"/>
        <w:rPr>
          <w:rFonts w:ascii="宋体" w:hAnsi="宋体"/>
          <w:bCs/>
          <w:color w:val="auto"/>
          <w:sz w:val="24"/>
          <w:szCs w:val="20"/>
          <w:highlight w:val="none"/>
        </w:rPr>
      </w:pPr>
    </w:p>
    <w:p w14:paraId="27ABACEC">
      <w:pPr>
        <w:spacing w:before="120" w:after="50"/>
        <w:rPr>
          <w:rFonts w:ascii="宋体" w:hAnsi="宋体"/>
          <w:bCs/>
          <w:color w:val="auto"/>
          <w:sz w:val="24"/>
          <w:szCs w:val="20"/>
          <w:highlight w:val="none"/>
        </w:rPr>
      </w:pPr>
    </w:p>
    <w:p w14:paraId="00158EA3">
      <w:pPr>
        <w:spacing w:before="120" w:after="50"/>
        <w:rPr>
          <w:rFonts w:ascii="宋体" w:hAnsi="宋体"/>
          <w:bCs/>
          <w:color w:val="auto"/>
          <w:sz w:val="24"/>
          <w:szCs w:val="20"/>
          <w:highlight w:val="none"/>
        </w:rPr>
      </w:pPr>
    </w:p>
    <w:p w14:paraId="560DBFD5">
      <w:pPr>
        <w:spacing w:before="120" w:after="50"/>
        <w:ind w:firstLine="640"/>
        <w:rPr>
          <w:rFonts w:ascii="宋体" w:hAnsi="宋体" w:cs="仿宋_GB2312"/>
          <w:bCs/>
          <w:color w:val="auto"/>
          <w:sz w:val="32"/>
          <w:szCs w:val="32"/>
          <w:highlight w:val="none"/>
        </w:rPr>
      </w:pPr>
      <w:r>
        <w:rPr>
          <w:rFonts w:hint="eastAsia" w:ascii="宋体" w:hAnsi="宋体" w:cs="仿宋_GB2312"/>
          <w:bCs/>
          <w:color w:val="auto"/>
          <w:sz w:val="32"/>
          <w:szCs w:val="32"/>
          <w:highlight w:val="none"/>
        </w:rPr>
        <w:t>项目名称：</w:t>
      </w:r>
    </w:p>
    <w:p w14:paraId="68852632">
      <w:pPr>
        <w:spacing w:before="120" w:after="50"/>
        <w:ind w:firstLine="720"/>
        <w:rPr>
          <w:rFonts w:ascii="宋体" w:hAnsi="宋体" w:cs="仿宋_GB2312"/>
          <w:bCs/>
          <w:color w:val="auto"/>
          <w:sz w:val="32"/>
          <w:szCs w:val="32"/>
          <w:highlight w:val="none"/>
        </w:rPr>
      </w:pPr>
    </w:p>
    <w:p w14:paraId="57172F25">
      <w:pPr>
        <w:spacing w:before="120" w:after="50"/>
        <w:ind w:firstLine="720"/>
        <w:rPr>
          <w:rFonts w:ascii="宋体" w:hAnsi="宋体" w:cs="仿宋_GB2312"/>
          <w:bCs/>
          <w:color w:val="auto"/>
          <w:sz w:val="32"/>
          <w:szCs w:val="32"/>
          <w:highlight w:val="none"/>
        </w:rPr>
      </w:pPr>
      <w:r>
        <w:rPr>
          <w:rFonts w:hint="eastAsia" w:ascii="宋体" w:hAnsi="宋体" w:cs="仿宋_GB2312"/>
          <w:bCs/>
          <w:color w:val="auto"/>
          <w:sz w:val="32"/>
          <w:szCs w:val="32"/>
          <w:highlight w:val="none"/>
        </w:rPr>
        <w:t>项目编号：</w:t>
      </w:r>
    </w:p>
    <w:p w14:paraId="2F787642">
      <w:pPr>
        <w:spacing w:before="120" w:after="50"/>
        <w:ind w:firstLine="720"/>
        <w:rPr>
          <w:rFonts w:ascii="宋体" w:hAnsi="宋体" w:cs="仿宋_GB2312"/>
          <w:bCs/>
          <w:color w:val="auto"/>
          <w:sz w:val="32"/>
          <w:szCs w:val="32"/>
          <w:highlight w:val="none"/>
        </w:rPr>
      </w:pPr>
      <w:r>
        <w:rPr>
          <w:rFonts w:hint="eastAsia" w:ascii="宋体" w:hAnsi="宋体" w:cs="仿宋_GB2312"/>
          <w:bCs/>
          <w:color w:val="auto"/>
          <w:sz w:val="32"/>
          <w:szCs w:val="32"/>
          <w:highlight w:val="none"/>
        </w:rPr>
        <w:t xml:space="preserve"> </w:t>
      </w:r>
    </w:p>
    <w:p w14:paraId="3B5D9752">
      <w:pPr>
        <w:spacing w:before="120" w:after="50"/>
        <w:ind w:firstLine="720"/>
        <w:rPr>
          <w:rFonts w:ascii="宋体" w:hAnsi="宋体" w:cs="仿宋_GB2312"/>
          <w:bCs/>
          <w:color w:val="auto"/>
          <w:sz w:val="32"/>
          <w:szCs w:val="32"/>
          <w:highlight w:val="none"/>
        </w:rPr>
      </w:pPr>
      <w:r>
        <w:rPr>
          <w:rFonts w:hint="eastAsia" w:ascii="宋体" w:hAnsi="宋体" w:cs="仿宋_GB2312"/>
          <w:bCs/>
          <w:color w:val="auto"/>
          <w:sz w:val="32"/>
          <w:szCs w:val="32"/>
          <w:highlight w:val="none"/>
        </w:rPr>
        <w:t>所竞分标（如有则填写，无分标时填写“无”或者留空）：</w:t>
      </w:r>
    </w:p>
    <w:p w14:paraId="1082FA5C">
      <w:pPr>
        <w:spacing w:before="120" w:after="50"/>
        <w:ind w:firstLine="720"/>
        <w:rPr>
          <w:rFonts w:ascii="宋体" w:hAnsi="宋体" w:cs="仿宋_GB2312"/>
          <w:bCs/>
          <w:color w:val="auto"/>
          <w:sz w:val="32"/>
          <w:szCs w:val="32"/>
          <w:highlight w:val="none"/>
        </w:rPr>
      </w:pPr>
    </w:p>
    <w:p w14:paraId="0BCB5F89">
      <w:pPr>
        <w:pStyle w:val="205"/>
        <w:spacing w:before="50" w:after="50"/>
        <w:ind w:firstLine="720"/>
        <w:rPr>
          <w:rFonts w:ascii="宋体" w:hAnsi="宋体" w:cs="仿宋_GB2312"/>
          <w:bCs/>
          <w:color w:val="auto"/>
          <w:sz w:val="32"/>
          <w:szCs w:val="32"/>
          <w:highlight w:val="none"/>
        </w:rPr>
      </w:pPr>
      <w:r>
        <w:rPr>
          <w:rFonts w:hint="eastAsia" w:ascii="宋体" w:hAnsi="宋体" w:cs="仿宋_GB2312"/>
          <w:bCs/>
          <w:color w:val="auto"/>
          <w:sz w:val="32"/>
          <w:szCs w:val="32"/>
          <w:highlight w:val="none"/>
        </w:rPr>
        <w:t>供应商名称：</w:t>
      </w:r>
    </w:p>
    <w:p w14:paraId="141CC285">
      <w:pPr>
        <w:spacing w:before="120" w:after="50"/>
        <w:ind w:firstLine="640"/>
        <w:rPr>
          <w:rFonts w:ascii="宋体" w:hAnsi="宋体" w:cs="仿宋_GB2312"/>
          <w:bCs/>
          <w:color w:val="auto"/>
          <w:sz w:val="32"/>
          <w:szCs w:val="32"/>
          <w:highlight w:val="none"/>
        </w:rPr>
      </w:pPr>
    </w:p>
    <w:p w14:paraId="2E5F2130">
      <w:pPr>
        <w:pStyle w:val="205"/>
        <w:spacing w:before="50" w:after="50"/>
        <w:ind w:firstLine="720"/>
        <w:rPr>
          <w:rFonts w:ascii="宋体" w:hAnsi="宋体" w:cs="仿宋_GB2312"/>
          <w:bCs/>
          <w:color w:val="auto"/>
          <w:sz w:val="32"/>
          <w:szCs w:val="32"/>
          <w:highlight w:val="none"/>
        </w:rPr>
      </w:pPr>
    </w:p>
    <w:p w14:paraId="1289031C">
      <w:pPr>
        <w:pStyle w:val="205"/>
        <w:spacing w:before="50" w:after="50"/>
        <w:ind w:firstLine="720"/>
        <w:rPr>
          <w:rFonts w:ascii="宋体" w:hAnsi="宋体" w:cs="仿宋_GB2312"/>
          <w:bCs/>
          <w:color w:val="auto"/>
          <w:sz w:val="32"/>
          <w:szCs w:val="32"/>
          <w:highlight w:val="none"/>
        </w:rPr>
      </w:pPr>
    </w:p>
    <w:p w14:paraId="2D490664">
      <w:pPr>
        <w:pStyle w:val="205"/>
        <w:spacing w:before="50" w:after="50"/>
        <w:ind w:firstLine="1280"/>
        <w:rPr>
          <w:rFonts w:ascii="宋体" w:hAnsi="宋体" w:cs="仿宋_GB2312"/>
          <w:bCs/>
          <w:color w:val="auto"/>
          <w:sz w:val="32"/>
          <w:szCs w:val="32"/>
          <w:highlight w:val="none"/>
        </w:rPr>
      </w:pPr>
    </w:p>
    <w:p w14:paraId="6586ED2A">
      <w:pPr>
        <w:spacing w:before="120" w:after="50"/>
        <w:jc w:val="center"/>
        <w:rPr>
          <w:rFonts w:ascii="宋体" w:hAnsi="宋体" w:cs="仿宋_GB2312"/>
          <w:color w:val="auto"/>
          <w:sz w:val="32"/>
          <w:szCs w:val="32"/>
          <w:highlight w:val="none"/>
        </w:rPr>
      </w:pPr>
      <w:r>
        <w:rPr>
          <w:rFonts w:hint="eastAsia" w:ascii="宋体" w:hAnsi="宋体" w:cs="仿宋_GB2312"/>
          <w:color w:val="auto"/>
          <w:sz w:val="32"/>
          <w:szCs w:val="32"/>
          <w:highlight w:val="none"/>
        </w:rPr>
        <w:t>年    月    日</w:t>
      </w:r>
    </w:p>
    <w:p w14:paraId="04453F00">
      <w:pPr>
        <w:spacing w:before="120" w:after="50" w:line="360" w:lineRule="auto"/>
        <w:ind w:left="142"/>
        <w:jc w:val="left"/>
        <w:rPr>
          <w:rFonts w:ascii="宋体" w:hAnsi="宋体"/>
          <w:b/>
          <w:bCs/>
          <w:color w:val="auto"/>
          <w:sz w:val="32"/>
          <w:szCs w:val="32"/>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2.资格证明文件目录</w:t>
      </w:r>
    </w:p>
    <w:p w14:paraId="6F8E9533">
      <w:pPr>
        <w:spacing w:before="120" w:after="50" w:line="360" w:lineRule="auto"/>
        <w:ind w:firstLine="645"/>
        <w:rPr>
          <w:rFonts w:ascii="宋体" w:hAnsi="宋体"/>
          <w:color w:val="auto"/>
          <w:sz w:val="32"/>
          <w:szCs w:val="32"/>
          <w:highlight w:val="none"/>
        </w:rPr>
      </w:pPr>
      <w:r>
        <w:rPr>
          <w:rFonts w:hint="eastAsia" w:ascii="宋体" w:hAnsi="宋体"/>
          <w:color w:val="auto"/>
          <w:sz w:val="32"/>
          <w:szCs w:val="32"/>
          <w:highlight w:val="none"/>
        </w:rPr>
        <w:t>根据谈判文件规定及供应商提供的材料自行编写目录（部分格式后附）。</w:t>
      </w:r>
    </w:p>
    <w:p w14:paraId="4BFEBA31">
      <w:pPr>
        <w:spacing w:before="120" w:after="50" w:line="360" w:lineRule="auto"/>
        <w:rPr>
          <w:rFonts w:ascii="宋体" w:hAnsi="宋体"/>
          <w:color w:val="auto"/>
          <w:sz w:val="24"/>
          <w:szCs w:val="20"/>
          <w:highlight w:val="none"/>
        </w:rPr>
      </w:pPr>
      <w:r>
        <w:rPr>
          <w:rFonts w:ascii="宋体" w:hAnsi="宋体"/>
          <w:color w:val="auto"/>
          <w:sz w:val="24"/>
          <w:szCs w:val="20"/>
          <w:highlight w:val="none"/>
        </w:rPr>
        <w:t xml:space="preserve"> </w:t>
      </w:r>
    </w:p>
    <w:p w14:paraId="0639BC9A">
      <w:pPr>
        <w:spacing w:line="360" w:lineRule="auto"/>
        <w:rPr>
          <w:rFonts w:ascii="宋体" w:hAnsi="宋体"/>
          <w:color w:val="auto"/>
          <w:szCs w:val="21"/>
          <w:highlight w:val="none"/>
        </w:rPr>
      </w:pPr>
    </w:p>
    <w:p w14:paraId="70050867">
      <w:pPr>
        <w:spacing w:line="360" w:lineRule="auto"/>
        <w:rPr>
          <w:rFonts w:ascii="宋体" w:hAnsi="宋体"/>
          <w:color w:val="auto"/>
          <w:szCs w:val="21"/>
          <w:highlight w:val="none"/>
        </w:rPr>
      </w:pPr>
    </w:p>
    <w:p w14:paraId="0C205AEC">
      <w:pPr>
        <w:spacing w:line="360" w:lineRule="auto"/>
        <w:rPr>
          <w:rFonts w:ascii="宋体" w:hAnsi="宋体"/>
          <w:color w:val="auto"/>
          <w:szCs w:val="21"/>
          <w:highlight w:val="none"/>
        </w:rPr>
      </w:pPr>
    </w:p>
    <w:p w14:paraId="504CBAD1">
      <w:pPr>
        <w:spacing w:line="360" w:lineRule="auto"/>
        <w:rPr>
          <w:rFonts w:ascii="宋体" w:hAnsi="宋体"/>
          <w:color w:val="auto"/>
          <w:szCs w:val="21"/>
          <w:highlight w:val="none"/>
        </w:rPr>
      </w:pPr>
    </w:p>
    <w:p w14:paraId="2AA7CEC6">
      <w:pPr>
        <w:spacing w:line="300" w:lineRule="auto"/>
        <w:rPr>
          <w:rFonts w:ascii="宋体" w:hAnsi="宋体"/>
          <w:color w:val="auto"/>
          <w:szCs w:val="21"/>
          <w:highlight w:val="none"/>
        </w:rPr>
      </w:pPr>
    </w:p>
    <w:p w14:paraId="02B45C86">
      <w:pPr>
        <w:spacing w:line="300" w:lineRule="auto"/>
        <w:rPr>
          <w:rFonts w:ascii="宋体" w:hAnsi="宋体"/>
          <w:color w:val="auto"/>
          <w:szCs w:val="21"/>
          <w:highlight w:val="none"/>
        </w:rPr>
      </w:pPr>
    </w:p>
    <w:p w14:paraId="5C4E24F2">
      <w:pPr>
        <w:spacing w:line="300" w:lineRule="auto"/>
        <w:rPr>
          <w:rFonts w:ascii="宋体" w:hAnsi="宋体"/>
          <w:color w:val="auto"/>
          <w:szCs w:val="21"/>
          <w:highlight w:val="none"/>
        </w:rPr>
      </w:pPr>
    </w:p>
    <w:p w14:paraId="3CEC2E76">
      <w:pPr>
        <w:spacing w:line="300" w:lineRule="auto"/>
        <w:rPr>
          <w:rFonts w:ascii="宋体" w:hAnsi="宋体"/>
          <w:color w:val="auto"/>
          <w:szCs w:val="21"/>
          <w:highlight w:val="none"/>
        </w:rPr>
      </w:pPr>
    </w:p>
    <w:p w14:paraId="4BBF277A">
      <w:pPr>
        <w:spacing w:line="300" w:lineRule="auto"/>
        <w:rPr>
          <w:rFonts w:ascii="宋体" w:hAnsi="宋体"/>
          <w:color w:val="auto"/>
          <w:szCs w:val="21"/>
          <w:highlight w:val="none"/>
        </w:rPr>
      </w:pPr>
    </w:p>
    <w:p w14:paraId="7F5A5F83">
      <w:pPr>
        <w:spacing w:line="300" w:lineRule="auto"/>
        <w:rPr>
          <w:rFonts w:ascii="宋体" w:hAnsi="宋体"/>
          <w:color w:val="auto"/>
          <w:szCs w:val="21"/>
          <w:highlight w:val="none"/>
        </w:rPr>
      </w:pPr>
    </w:p>
    <w:p w14:paraId="490F2FE2">
      <w:pPr>
        <w:spacing w:line="300" w:lineRule="auto"/>
        <w:rPr>
          <w:rFonts w:ascii="宋体" w:hAnsi="宋体"/>
          <w:color w:val="auto"/>
          <w:szCs w:val="21"/>
          <w:highlight w:val="none"/>
        </w:rPr>
      </w:pPr>
    </w:p>
    <w:p w14:paraId="66ACBE5A">
      <w:pPr>
        <w:spacing w:line="300" w:lineRule="auto"/>
        <w:rPr>
          <w:rFonts w:ascii="宋体" w:hAnsi="宋体"/>
          <w:color w:val="auto"/>
          <w:szCs w:val="21"/>
          <w:highlight w:val="none"/>
        </w:rPr>
      </w:pPr>
    </w:p>
    <w:p w14:paraId="0C0F66F4">
      <w:pPr>
        <w:spacing w:line="300" w:lineRule="auto"/>
        <w:rPr>
          <w:rFonts w:ascii="宋体" w:hAnsi="宋体"/>
          <w:color w:val="auto"/>
          <w:szCs w:val="21"/>
          <w:highlight w:val="none"/>
        </w:rPr>
      </w:pPr>
    </w:p>
    <w:p w14:paraId="45ED5377">
      <w:pPr>
        <w:spacing w:line="300" w:lineRule="auto"/>
        <w:rPr>
          <w:rFonts w:ascii="宋体" w:hAnsi="宋体"/>
          <w:color w:val="auto"/>
          <w:szCs w:val="21"/>
          <w:highlight w:val="none"/>
        </w:rPr>
      </w:pPr>
    </w:p>
    <w:p w14:paraId="3CA7D83E">
      <w:pPr>
        <w:spacing w:line="300" w:lineRule="auto"/>
        <w:rPr>
          <w:rFonts w:ascii="宋体" w:hAnsi="宋体"/>
          <w:color w:val="auto"/>
          <w:szCs w:val="21"/>
          <w:highlight w:val="none"/>
        </w:rPr>
      </w:pPr>
    </w:p>
    <w:p w14:paraId="0E1F9E77">
      <w:pPr>
        <w:spacing w:line="320" w:lineRule="exact"/>
        <w:jc w:val="left"/>
        <w:rPr>
          <w:rFonts w:ascii="宋体" w:hAnsi="宋体"/>
          <w:color w:val="auto"/>
          <w:szCs w:val="21"/>
          <w:highlight w:val="none"/>
        </w:rPr>
      </w:pPr>
    </w:p>
    <w:p w14:paraId="6E0EE9D5">
      <w:pPr>
        <w:spacing w:before="120" w:after="50"/>
        <w:jc w:val="center"/>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 </w:t>
      </w:r>
    </w:p>
    <w:p w14:paraId="4D2D8FD5">
      <w:pPr>
        <w:spacing w:before="120" w:after="50"/>
        <w:jc w:val="center"/>
        <w:rPr>
          <w:rFonts w:ascii="宋体" w:hAnsi="宋体"/>
          <w:b/>
          <w:color w:val="auto"/>
          <w:sz w:val="32"/>
          <w:szCs w:val="32"/>
          <w:highlight w:val="none"/>
        </w:rPr>
      </w:pPr>
    </w:p>
    <w:p w14:paraId="67F3B72B">
      <w:pPr>
        <w:spacing w:before="120" w:after="50"/>
        <w:jc w:val="center"/>
        <w:rPr>
          <w:rFonts w:ascii="宋体" w:hAnsi="宋体"/>
          <w:b/>
          <w:color w:val="auto"/>
          <w:sz w:val="32"/>
          <w:szCs w:val="32"/>
          <w:highlight w:val="none"/>
        </w:rPr>
      </w:pPr>
      <w:r>
        <w:rPr>
          <w:rFonts w:hint="eastAsia" w:ascii="宋体" w:hAnsi="宋体"/>
          <w:b/>
          <w:color w:val="auto"/>
          <w:sz w:val="32"/>
          <w:szCs w:val="32"/>
          <w:highlight w:val="none"/>
        </w:rPr>
        <w:t>供应商直接控股股东信息表</w:t>
      </w:r>
    </w:p>
    <w:p w14:paraId="0BC6CFD4">
      <w:pPr>
        <w:spacing w:before="50" w:after="120"/>
        <w:jc w:val="center"/>
        <w:rPr>
          <w:rFonts w:ascii="宋体" w:hAnsi="宋体"/>
          <w:b/>
          <w:color w:val="auto"/>
          <w:sz w:val="32"/>
          <w:szCs w:val="32"/>
          <w:highlight w:val="none"/>
        </w:rPr>
      </w:pPr>
    </w:p>
    <w:tbl>
      <w:tblPr>
        <w:tblStyle w:val="38"/>
        <w:tblW w:w="10147" w:type="dxa"/>
        <w:jc w:val="center"/>
        <w:shd w:val="clear" w:color="auto" w:fill="FBFBFB"/>
        <w:tblLayout w:type="fixed"/>
        <w:tblCellMar>
          <w:top w:w="120" w:type="dxa"/>
          <w:left w:w="120" w:type="dxa"/>
          <w:bottom w:w="120" w:type="dxa"/>
          <w:right w:w="120" w:type="dxa"/>
        </w:tblCellMar>
      </w:tblPr>
      <w:tblGrid>
        <w:gridCol w:w="880"/>
        <w:gridCol w:w="2655"/>
        <w:gridCol w:w="1455"/>
        <w:gridCol w:w="4287"/>
        <w:gridCol w:w="870"/>
      </w:tblGrid>
      <w:tr w14:paraId="0FEC1D14">
        <w:tblPrEx>
          <w:shd w:val="clear" w:color="auto" w:fill="FBFBFB"/>
          <w:tblCellMar>
            <w:top w:w="120" w:type="dxa"/>
            <w:left w:w="120" w:type="dxa"/>
            <w:bottom w:w="120" w:type="dxa"/>
            <w:right w:w="120" w:type="dxa"/>
          </w:tblCellMar>
        </w:tblPrEx>
        <w:trPr>
          <w:tblHeader/>
          <w:jc w:val="center"/>
        </w:trPr>
        <w:tc>
          <w:tcPr>
            <w:tcW w:w="880"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651FBE5F">
            <w:pPr>
              <w:widowControl/>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序号</w:t>
            </w:r>
          </w:p>
        </w:tc>
        <w:tc>
          <w:tcPr>
            <w:tcW w:w="2655"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0DD731DC">
            <w:pPr>
              <w:widowControl/>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直接控股股东名称</w:t>
            </w:r>
          </w:p>
        </w:tc>
        <w:tc>
          <w:tcPr>
            <w:tcW w:w="1455"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13A07541">
            <w:pPr>
              <w:widowControl/>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出资比例</w:t>
            </w:r>
            <w:r>
              <w:rPr>
                <w:rFonts w:hint="eastAsia" w:ascii="宋体" w:hAnsi="宋体" w:cs="宋体"/>
                <w:b/>
                <w:bCs/>
                <w:color w:val="auto"/>
                <w:sz w:val="24"/>
                <w:highlight w:val="none"/>
              </w:rPr>
              <w:t>(%)</w:t>
            </w:r>
          </w:p>
        </w:tc>
        <w:tc>
          <w:tcPr>
            <w:tcW w:w="4287"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0DBEF829">
            <w:pPr>
              <w:widowControl/>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身份证号码或者统一社会信用代码</w:t>
            </w:r>
          </w:p>
        </w:tc>
        <w:tc>
          <w:tcPr>
            <w:tcW w:w="870"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7243038D">
            <w:pPr>
              <w:widowControl/>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备注</w:t>
            </w:r>
          </w:p>
        </w:tc>
      </w:tr>
      <w:tr w14:paraId="6F330878">
        <w:tblPrEx>
          <w:shd w:val="clear" w:color="auto" w:fill="FBFBFB"/>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0244E9F">
            <w:pPr>
              <w:widowControl/>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26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BE9191B">
            <w:pPr>
              <w:widowControl/>
              <w:spacing w:line="360" w:lineRule="auto"/>
              <w:jc w:val="center"/>
              <w:rPr>
                <w:rFonts w:ascii="宋体" w:hAnsi="宋体" w:cs="宋体"/>
                <w:color w:val="auto"/>
                <w:sz w:val="28"/>
                <w:szCs w:val="28"/>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874F7A6">
            <w:pPr>
              <w:widowControl/>
              <w:spacing w:line="360" w:lineRule="auto"/>
              <w:jc w:val="center"/>
              <w:rPr>
                <w:rFonts w:ascii="宋体" w:hAnsi="宋体" w:cs="宋体"/>
                <w:color w:val="auto"/>
                <w:sz w:val="28"/>
                <w:szCs w:val="28"/>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A4D8926">
            <w:pPr>
              <w:widowControl/>
              <w:spacing w:line="360" w:lineRule="auto"/>
              <w:jc w:val="center"/>
              <w:rPr>
                <w:rFonts w:ascii="宋体" w:hAnsi="宋体" w:cs="宋体"/>
                <w:color w:val="auto"/>
                <w:sz w:val="28"/>
                <w:szCs w:val="28"/>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B935BBC">
            <w:pPr>
              <w:widowControl/>
              <w:spacing w:line="360" w:lineRule="auto"/>
              <w:jc w:val="center"/>
              <w:rPr>
                <w:rFonts w:ascii="宋体" w:hAnsi="宋体" w:cs="宋体"/>
                <w:color w:val="auto"/>
                <w:sz w:val="28"/>
                <w:szCs w:val="28"/>
                <w:highlight w:val="none"/>
              </w:rPr>
            </w:pPr>
          </w:p>
        </w:tc>
      </w:tr>
      <w:tr w14:paraId="318BFE3B">
        <w:tblPrEx>
          <w:shd w:val="clear" w:color="auto" w:fill="FBFBFB"/>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3D8E73F">
            <w:pPr>
              <w:widowControl/>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2</w:t>
            </w:r>
          </w:p>
        </w:tc>
        <w:tc>
          <w:tcPr>
            <w:tcW w:w="26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32C14E9">
            <w:pPr>
              <w:widowControl/>
              <w:spacing w:line="360" w:lineRule="auto"/>
              <w:jc w:val="center"/>
              <w:rPr>
                <w:rFonts w:ascii="宋体" w:hAnsi="宋体" w:cs="宋体"/>
                <w:color w:val="auto"/>
                <w:sz w:val="28"/>
                <w:szCs w:val="28"/>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D2AEAE3">
            <w:pPr>
              <w:widowControl/>
              <w:spacing w:line="360" w:lineRule="auto"/>
              <w:jc w:val="center"/>
              <w:rPr>
                <w:rFonts w:ascii="宋体" w:hAnsi="宋体" w:cs="宋体"/>
                <w:color w:val="auto"/>
                <w:sz w:val="28"/>
                <w:szCs w:val="28"/>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281E1CF">
            <w:pPr>
              <w:widowControl/>
              <w:spacing w:line="360" w:lineRule="auto"/>
              <w:jc w:val="center"/>
              <w:rPr>
                <w:rFonts w:ascii="宋体" w:hAnsi="宋体" w:cs="宋体"/>
                <w:color w:val="auto"/>
                <w:sz w:val="28"/>
                <w:szCs w:val="28"/>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BC0766D">
            <w:pPr>
              <w:widowControl/>
              <w:spacing w:line="360" w:lineRule="auto"/>
              <w:jc w:val="center"/>
              <w:rPr>
                <w:rFonts w:ascii="宋体" w:hAnsi="宋体" w:cs="宋体"/>
                <w:color w:val="auto"/>
                <w:sz w:val="28"/>
                <w:szCs w:val="28"/>
                <w:highlight w:val="none"/>
              </w:rPr>
            </w:pPr>
          </w:p>
        </w:tc>
      </w:tr>
      <w:tr w14:paraId="41C9351B">
        <w:tblPrEx>
          <w:shd w:val="clear" w:color="auto" w:fill="FBFBFB"/>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2A4E49D">
            <w:pPr>
              <w:widowControl/>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3</w:t>
            </w:r>
          </w:p>
        </w:tc>
        <w:tc>
          <w:tcPr>
            <w:tcW w:w="26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AE34A4D">
            <w:pPr>
              <w:widowControl/>
              <w:spacing w:line="360" w:lineRule="auto"/>
              <w:jc w:val="center"/>
              <w:rPr>
                <w:rFonts w:ascii="宋体" w:hAnsi="宋体" w:cs="宋体"/>
                <w:color w:val="auto"/>
                <w:sz w:val="28"/>
                <w:szCs w:val="28"/>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CA66210">
            <w:pPr>
              <w:widowControl/>
              <w:spacing w:line="360" w:lineRule="auto"/>
              <w:jc w:val="center"/>
              <w:rPr>
                <w:rFonts w:ascii="宋体" w:hAnsi="宋体" w:cs="宋体"/>
                <w:color w:val="auto"/>
                <w:sz w:val="28"/>
                <w:szCs w:val="28"/>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60CBD7B">
            <w:pPr>
              <w:widowControl/>
              <w:spacing w:line="360" w:lineRule="auto"/>
              <w:jc w:val="center"/>
              <w:rPr>
                <w:rFonts w:ascii="宋体" w:hAnsi="宋体" w:cs="宋体"/>
                <w:color w:val="auto"/>
                <w:sz w:val="28"/>
                <w:szCs w:val="28"/>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1CDDDF8">
            <w:pPr>
              <w:widowControl/>
              <w:spacing w:line="360" w:lineRule="auto"/>
              <w:jc w:val="center"/>
              <w:rPr>
                <w:rFonts w:ascii="宋体" w:hAnsi="宋体" w:cs="宋体"/>
                <w:color w:val="auto"/>
                <w:sz w:val="28"/>
                <w:szCs w:val="28"/>
                <w:highlight w:val="none"/>
              </w:rPr>
            </w:pPr>
          </w:p>
        </w:tc>
      </w:tr>
      <w:tr w14:paraId="2F620A78">
        <w:tblPrEx>
          <w:shd w:val="clear" w:color="auto" w:fill="FBFBFB"/>
          <w:tblCellMar>
            <w:top w:w="120" w:type="dxa"/>
            <w:left w:w="120" w:type="dxa"/>
            <w:bottom w:w="120" w:type="dxa"/>
            <w:right w:w="12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F07279F">
            <w:pPr>
              <w:widowControl/>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26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087DE4C">
            <w:pPr>
              <w:widowControl/>
              <w:spacing w:line="360" w:lineRule="auto"/>
              <w:jc w:val="center"/>
              <w:rPr>
                <w:rFonts w:ascii="宋体" w:hAnsi="宋体" w:cs="宋体"/>
                <w:color w:val="auto"/>
                <w:sz w:val="28"/>
                <w:szCs w:val="28"/>
                <w:highlight w:val="none"/>
              </w:rPr>
            </w:pPr>
          </w:p>
        </w:tc>
        <w:tc>
          <w:tcPr>
            <w:tcW w:w="14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767D3C9">
            <w:pPr>
              <w:widowControl/>
              <w:spacing w:line="360" w:lineRule="auto"/>
              <w:jc w:val="center"/>
              <w:rPr>
                <w:rFonts w:ascii="宋体" w:hAnsi="宋体" w:cs="宋体"/>
                <w:color w:val="auto"/>
                <w:sz w:val="28"/>
                <w:szCs w:val="28"/>
                <w:highlight w:val="none"/>
              </w:rPr>
            </w:pPr>
          </w:p>
        </w:tc>
        <w:tc>
          <w:tcPr>
            <w:tcW w:w="4287"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534BF7B">
            <w:pPr>
              <w:widowControl/>
              <w:spacing w:line="360" w:lineRule="auto"/>
              <w:jc w:val="center"/>
              <w:rPr>
                <w:rFonts w:ascii="宋体" w:hAnsi="宋体" w:cs="宋体"/>
                <w:color w:val="auto"/>
                <w:sz w:val="28"/>
                <w:szCs w:val="28"/>
                <w:highlight w:val="none"/>
              </w:rPr>
            </w:pPr>
          </w:p>
        </w:tc>
        <w:tc>
          <w:tcPr>
            <w:tcW w:w="87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3A29605">
            <w:pPr>
              <w:widowControl/>
              <w:spacing w:line="360" w:lineRule="auto"/>
              <w:jc w:val="center"/>
              <w:rPr>
                <w:rFonts w:ascii="宋体" w:hAnsi="宋体" w:cs="宋体"/>
                <w:color w:val="auto"/>
                <w:sz w:val="28"/>
                <w:szCs w:val="28"/>
                <w:highlight w:val="none"/>
              </w:rPr>
            </w:pPr>
          </w:p>
        </w:tc>
      </w:tr>
    </w:tbl>
    <w:p w14:paraId="5F387076">
      <w:pPr>
        <w:spacing w:line="360" w:lineRule="auto"/>
        <w:contextualSpacing/>
        <w:jc w:val="left"/>
        <w:rPr>
          <w:rFonts w:ascii="宋体" w:hAnsi="宋体" w:cs="宋体"/>
          <w:color w:val="auto"/>
          <w:sz w:val="24"/>
          <w:highlight w:val="none"/>
        </w:rPr>
      </w:pPr>
      <w:r>
        <w:rPr>
          <w:rFonts w:hint="eastAsia" w:ascii="宋体" w:hAnsi="宋体" w:cs="宋体"/>
          <w:color w:val="auto"/>
          <w:sz w:val="24"/>
          <w:highlight w:val="none"/>
        </w:rPr>
        <w:t>注：</w:t>
      </w:r>
    </w:p>
    <w:p w14:paraId="133F5B07">
      <w:pPr>
        <w:spacing w:line="360" w:lineRule="auto"/>
        <w:ind w:firstLine="480"/>
        <w:contextualSpacing/>
        <w:jc w:val="left"/>
        <w:rPr>
          <w:rFonts w:ascii="宋体" w:hAnsi="宋体" w:cs="宋体"/>
          <w:color w:val="auto"/>
          <w:sz w:val="24"/>
          <w:highlight w:val="none"/>
        </w:rPr>
      </w:pPr>
      <w:r>
        <w:rPr>
          <w:rFonts w:hint="eastAsia" w:ascii="宋体" w:hAnsi="宋体" w:cs="宋体"/>
          <w:color w:val="auto"/>
          <w:sz w:val="24"/>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0093CE33">
      <w:pPr>
        <w:spacing w:line="360" w:lineRule="auto"/>
        <w:ind w:firstLine="480"/>
        <w:contextualSpacing/>
        <w:jc w:val="left"/>
        <w:rPr>
          <w:rFonts w:ascii="宋体" w:hAnsi="宋体" w:cs="宋体"/>
          <w:color w:val="auto"/>
          <w:sz w:val="24"/>
          <w:highlight w:val="none"/>
        </w:rPr>
      </w:pPr>
      <w:r>
        <w:rPr>
          <w:rFonts w:hint="eastAsia" w:ascii="宋体" w:hAnsi="宋体" w:cs="宋体"/>
          <w:color w:val="auto"/>
          <w:sz w:val="24"/>
          <w:highlight w:val="none"/>
        </w:rPr>
        <w:t>2.本表所指的控股关系仅限于直接控股关系，不包括间接的控股关系。公司实际控制人与公司之间的关系不属于本表所指的直接控股关系。</w:t>
      </w:r>
    </w:p>
    <w:p w14:paraId="415A25E9">
      <w:pPr>
        <w:spacing w:line="360" w:lineRule="auto"/>
        <w:ind w:firstLine="480"/>
        <w:contextualSpacing/>
        <w:jc w:val="left"/>
        <w:rPr>
          <w:rFonts w:ascii="宋体" w:hAnsi="宋体" w:cs="宋体"/>
          <w:color w:val="auto"/>
          <w:sz w:val="24"/>
          <w:highlight w:val="none"/>
        </w:rPr>
      </w:pPr>
      <w:r>
        <w:rPr>
          <w:rFonts w:hint="eastAsia" w:ascii="宋体" w:hAnsi="宋体" w:cs="宋体"/>
          <w:color w:val="auto"/>
          <w:sz w:val="24"/>
          <w:highlight w:val="none"/>
        </w:rPr>
        <w:t>3.供应商不存在直接控股股东的，</w:t>
      </w:r>
      <w:r>
        <w:rPr>
          <w:rFonts w:hint="eastAsia" w:ascii="宋体" w:hAnsi="宋体"/>
          <w:color w:val="auto"/>
          <w:sz w:val="24"/>
          <w:highlight w:val="none"/>
        </w:rPr>
        <w:t>则在“直接控股股东名称”填“无”</w:t>
      </w:r>
      <w:r>
        <w:rPr>
          <w:rFonts w:hint="eastAsia" w:ascii="宋体" w:hAnsi="宋体" w:cs="宋体"/>
          <w:color w:val="auto"/>
          <w:sz w:val="24"/>
          <w:highlight w:val="none"/>
        </w:rPr>
        <w:t>。</w:t>
      </w:r>
    </w:p>
    <w:p w14:paraId="3A6D3C01">
      <w:pPr>
        <w:spacing w:line="360" w:lineRule="auto"/>
        <w:ind w:firstLine="420"/>
        <w:contextualSpacing/>
        <w:jc w:val="left"/>
        <w:rPr>
          <w:rFonts w:ascii="宋体" w:hAnsi="宋体" w:cs="宋体"/>
          <w:color w:val="auto"/>
          <w:szCs w:val="21"/>
          <w:highlight w:val="none"/>
        </w:rPr>
      </w:pPr>
    </w:p>
    <w:p w14:paraId="0BA3C7EF">
      <w:pPr>
        <w:spacing w:line="360" w:lineRule="auto"/>
        <w:ind w:firstLine="560"/>
        <w:contextualSpacing/>
        <w:jc w:val="left"/>
        <w:rPr>
          <w:rFonts w:ascii="宋体" w:hAnsi="宋体" w:cs="宋体"/>
          <w:color w:val="auto"/>
          <w:sz w:val="28"/>
          <w:szCs w:val="28"/>
          <w:highlight w:val="none"/>
        </w:rPr>
      </w:pPr>
    </w:p>
    <w:p w14:paraId="2539DFF0">
      <w:pPr>
        <w:spacing w:line="360" w:lineRule="auto"/>
        <w:ind w:right="480"/>
        <w:contextualSpacing/>
        <w:jc w:val="center"/>
        <w:rPr>
          <w:rFonts w:ascii="宋体" w:hAnsi="宋体" w:cs="宋体"/>
          <w:color w:val="auto"/>
          <w:sz w:val="24"/>
          <w:highlight w:val="none"/>
          <w:u w:val="singl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法定代表人或者委托代理人</w:t>
      </w:r>
      <w:r>
        <w:rPr>
          <w:rFonts w:hint="eastAsia" w:ascii="宋体" w:hAnsi="宋体"/>
          <w:color w:val="auto"/>
          <w:sz w:val="24"/>
          <w:highlight w:val="none"/>
        </w:rPr>
        <w:t>（签字或者电子签名）</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3850B1EF">
      <w:pPr>
        <w:spacing w:line="360" w:lineRule="auto"/>
        <w:ind w:right="480" w:firstLine="3000"/>
        <w:contextualSpacing/>
        <w:rPr>
          <w:rFonts w:ascii="宋体" w:hAnsi="宋体" w:cs="宋体"/>
          <w:color w:val="auto"/>
          <w:sz w:val="24"/>
          <w:highlight w:val="none"/>
          <w:u w:val="single"/>
        </w:rPr>
      </w:pPr>
      <w:r>
        <w:rPr>
          <w:rFonts w:hint="eastAsia" w:ascii="宋体" w:hAnsi="宋体" w:cs="宋体"/>
          <w:color w:val="auto"/>
          <w:sz w:val="24"/>
          <w:highlight w:val="none"/>
        </w:rPr>
        <w:t xml:space="preserve">供应商名称（电子签章）： </w:t>
      </w:r>
      <w:r>
        <w:rPr>
          <w:rFonts w:hint="eastAsia" w:ascii="宋体" w:hAnsi="宋体" w:cs="宋体"/>
          <w:color w:val="auto"/>
          <w:sz w:val="24"/>
          <w:highlight w:val="none"/>
          <w:u w:val="single"/>
        </w:rPr>
        <w:t xml:space="preserve">                              </w:t>
      </w:r>
    </w:p>
    <w:p w14:paraId="0AC6FD10">
      <w:pPr>
        <w:spacing w:line="360" w:lineRule="auto"/>
        <w:ind w:right="480" w:firstLine="5280"/>
        <w:contextualSpacing/>
        <w:rPr>
          <w:rFonts w:ascii="宋体" w:hAnsi="宋体" w:cs="宋体"/>
          <w:color w:val="auto"/>
          <w:sz w:val="28"/>
          <w:szCs w:val="28"/>
          <w:highlight w:val="none"/>
        </w:rPr>
      </w:pPr>
      <w:r>
        <w:rPr>
          <w:rFonts w:hint="eastAsia" w:ascii="宋体" w:hAnsi="宋体" w:cs="宋体"/>
          <w:color w:val="auto"/>
          <w:sz w:val="24"/>
          <w:highlight w:val="none"/>
        </w:rPr>
        <w:t>年    月    日</w:t>
      </w:r>
    </w:p>
    <w:p w14:paraId="0EE6FD1F">
      <w:pPr>
        <w:jc w:val="center"/>
        <w:rPr>
          <w:rFonts w:ascii="宋体" w:hAnsi="宋体"/>
          <w:b/>
          <w:color w:val="auto"/>
          <w:sz w:val="28"/>
          <w:szCs w:val="28"/>
          <w:highlight w:val="none"/>
        </w:rPr>
      </w:pPr>
      <w:r>
        <w:rPr>
          <w:rFonts w:ascii="宋体" w:hAnsi="宋体"/>
          <w:b/>
          <w:color w:val="auto"/>
          <w:sz w:val="28"/>
          <w:szCs w:val="28"/>
          <w:highlight w:val="none"/>
        </w:rPr>
        <w:br w:type="page" w:clear="all"/>
      </w:r>
    </w:p>
    <w:p w14:paraId="4E894B7A">
      <w:pPr>
        <w:jc w:val="center"/>
        <w:rPr>
          <w:rFonts w:ascii="宋体" w:hAnsi="宋体"/>
          <w:b/>
          <w:color w:val="auto"/>
          <w:sz w:val="32"/>
          <w:szCs w:val="32"/>
          <w:highlight w:val="none"/>
        </w:rPr>
      </w:pPr>
      <w:r>
        <w:rPr>
          <w:rFonts w:hint="eastAsia" w:ascii="宋体" w:hAnsi="宋体"/>
          <w:b/>
          <w:color w:val="auto"/>
          <w:sz w:val="32"/>
          <w:szCs w:val="32"/>
          <w:highlight w:val="none"/>
        </w:rPr>
        <w:t>供应商直接管理关系信息表</w:t>
      </w:r>
    </w:p>
    <w:p w14:paraId="04217086">
      <w:pPr>
        <w:jc w:val="center"/>
        <w:rPr>
          <w:rFonts w:ascii="宋体" w:hAnsi="宋体"/>
          <w:b/>
          <w:color w:val="auto"/>
          <w:sz w:val="32"/>
          <w:szCs w:val="32"/>
          <w:highlight w:val="none"/>
        </w:rPr>
      </w:pPr>
    </w:p>
    <w:tbl>
      <w:tblPr>
        <w:tblStyle w:val="38"/>
        <w:tblW w:w="9652" w:type="dxa"/>
        <w:jc w:val="center"/>
        <w:shd w:val="clear" w:color="auto" w:fill="FBFBFB"/>
        <w:tblLayout w:type="fixed"/>
        <w:tblCellMar>
          <w:top w:w="120" w:type="dxa"/>
          <w:left w:w="120" w:type="dxa"/>
          <w:bottom w:w="120" w:type="dxa"/>
          <w:right w:w="120" w:type="dxa"/>
        </w:tblCellMar>
      </w:tblPr>
      <w:tblGrid>
        <w:gridCol w:w="808"/>
        <w:gridCol w:w="3600"/>
        <w:gridCol w:w="3555"/>
        <w:gridCol w:w="1689"/>
      </w:tblGrid>
      <w:tr w14:paraId="205E97C9">
        <w:tblPrEx>
          <w:shd w:val="clear" w:color="auto" w:fill="FBFBFB"/>
          <w:tblCellMar>
            <w:top w:w="120" w:type="dxa"/>
            <w:left w:w="120" w:type="dxa"/>
            <w:bottom w:w="120" w:type="dxa"/>
            <w:right w:w="12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11E6790F">
            <w:pPr>
              <w:widowControl/>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序号</w:t>
            </w:r>
          </w:p>
        </w:tc>
        <w:tc>
          <w:tcPr>
            <w:tcW w:w="3600"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51BEE6A7">
            <w:pPr>
              <w:widowControl/>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直接管理关系单位名称</w:t>
            </w:r>
          </w:p>
        </w:tc>
        <w:tc>
          <w:tcPr>
            <w:tcW w:w="3555"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23A362F8">
            <w:pPr>
              <w:widowControl/>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统一社会信用代码</w:t>
            </w:r>
          </w:p>
        </w:tc>
        <w:tc>
          <w:tcPr>
            <w:tcW w:w="1689"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4E1896D0">
            <w:pPr>
              <w:widowControl/>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相互关系</w:t>
            </w:r>
          </w:p>
        </w:tc>
      </w:tr>
      <w:tr w14:paraId="210455FD">
        <w:tblPrEx>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7F1B4E9">
            <w:pPr>
              <w:widowControl/>
              <w:spacing w:line="200" w:lineRule="atLeast"/>
              <w:jc w:val="center"/>
              <w:rPr>
                <w:rFonts w:ascii="宋体" w:hAnsi="宋体" w:cs="宋体"/>
                <w:color w:val="auto"/>
                <w:sz w:val="28"/>
                <w:szCs w:val="28"/>
                <w:highlight w:val="none"/>
              </w:rPr>
            </w:pPr>
            <w:r>
              <w:rPr>
                <w:rFonts w:hint="eastAsia" w:ascii="宋体" w:hAnsi="宋体" w:cs="宋体"/>
                <w:color w:val="auto"/>
                <w:sz w:val="28"/>
                <w:szCs w:val="28"/>
                <w:highlight w:val="none"/>
              </w:rPr>
              <w:t>1</w:t>
            </w:r>
          </w:p>
        </w:tc>
        <w:tc>
          <w:tcPr>
            <w:tcW w:w="360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EB64601">
            <w:pPr>
              <w:widowControl/>
              <w:spacing w:line="200" w:lineRule="atLeast"/>
              <w:jc w:val="center"/>
              <w:rPr>
                <w:rFonts w:ascii="宋体" w:hAnsi="宋体" w:cs="宋体"/>
                <w:color w:val="auto"/>
                <w:sz w:val="28"/>
                <w:szCs w:val="28"/>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1A87BC3">
            <w:pPr>
              <w:widowControl/>
              <w:spacing w:line="200" w:lineRule="atLeast"/>
              <w:jc w:val="center"/>
              <w:rPr>
                <w:rFonts w:ascii="宋体" w:hAnsi="宋体" w:cs="宋体"/>
                <w:color w:val="auto"/>
                <w:sz w:val="28"/>
                <w:szCs w:val="28"/>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7A0DB27">
            <w:pPr>
              <w:widowControl/>
              <w:spacing w:line="200" w:lineRule="atLeast"/>
              <w:jc w:val="center"/>
              <w:rPr>
                <w:rFonts w:ascii="宋体" w:hAnsi="宋体" w:cs="宋体"/>
                <w:color w:val="auto"/>
                <w:sz w:val="28"/>
                <w:szCs w:val="28"/>
                <w:highlight w:val="none"/>
              </w:rPr>
            </w:pPr>
          </w:p>
        </w:tc>
      </w:tr>
      <w:tr w14:paraId="6F3EC9A8">
        <w:tblPrEx>
          <w:shd w:val="clear" w:color="auto" w:fill="FBFBFB"/>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E639730">
            <w:pPr>
              <w:widowControl/>
              <w:spacing w:line="200" w:lineRule="atLeast"/>
              <w:jc w:val="center"/>
              <w:rPr>
                <w:rFonts w:ascii="宋体" w:hAnsi="宋体" w:cs="宋体"/>
                <w:color w:val="auto"/>
                <w:sz w:val="28"/>
                <w:szCs w:val="28"/>
                <w:highlight w:val="none"/>
              </w:rPr>
            </w:pPr>
            <w:r>
              <w:rPr>
                <w:rFonts w:hint="eastAsia" w:ascii="宋体" w:hAnsi="宋体" w:cs="宋体"/>
                <w:color w:val="auto"/>
                <w:sz w:val="28"/>
                <w:szCs w:val="28"/>
                <w:highlight w:val="none"/>
              </w:rPr>
              <w:t>2</w:t>
            </w:r>
          </w:p>
        </w:tc>
        <w:tc>
          <w:tcPr>
            <w:tcW w:w="360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DABE2D5">
            <w:pPr>
              <w:widowControl/>
              <w:spacing w:line="200" w:lineRule="atLeast"/>
              <w:jc w:val="center"/>
              <w:rPr>
                <w:rFonts w:ascii="宋体" w:hAnsi="宋体" w:cs="宋体"/>
                <w:color w:val="auto"/>
                <w:sz w:val="28"/>
                <w:szCs w:val="28"/>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629C96B">
            <w:pPr>
              <w:widowControl/>
              <w:spacing w:line="200" w:lineRule="atLeast"/>
              <w:jc w:val="center"/>
              <w:rPr>
                <w:rFonts w:ascii="宋体" w:hAnsi="宋体" w:cs="宋体"/>
                <w:color w:val="auto"/>
                <w:sz w:val="28"/>
                <w:szCs w:val="28"/>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C20BEA6">
            <w:pPr>
              <w:widowControl/>
              <w:spacing w:line="200" w:lineRule="atLeast"/>
              <w:jc w:val="center"/>
              <w:rPr>
                <w:rFonts w:ascii="宋体" w:hAnsi="宋体" w:cs="宋体"/>
                <w:color w:val="auto"/>
                <w:sz w:val="28"/>
                <w:szCs w:val="28"/>
                <w:highlight w:val="none"/>
              </w:rPr>
            </w:pPr>
          </w:p>
        </w:tc>
      </w:tr>
      <w:tr w14:paraId="5BBC8494">
        <w:tblPrEx>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6CB2CB0">
            <w:pPr>
              <w:widowControl/>
              <w:spacing w:line="200" w:lineRule="atLeast"/>
              <w:jc w:val="center"/>
              <w:rPr>
                <w:rFonts w:ascii="宋体" w:hAnsi="宋体" w:cs="宋体"/>
                <w:color w:val="auto"/>
                <w:sz w:val="28"/>
                <w:szCs w:val="28"/>
                <w:highlight w:val="none"/>
              </w:rPr>
            </w:pPr>
            <w:r>
              <w:rPr>
                <w:rFonts w:hint="eastAsia" w:ascii="宋体" w:hAnsi="宋体" w:cs="宋体"/>
                <w:color w:val="auto"/>
                <w:sz w:val="28"/>
                <w:szCs w:val="28"/>
                <w:highlight w:val="none"/>
              </w:rPr>
              <w:t>3</w:t>
            </w:r>
          </w:p>
        </w:tc>
        <w:tc>
          <w:tcPr>
            <w:tcW w:w="360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B7E431D">
            <w:pPr>
              <w:widowControl/>
              <w:spacing w:line="200" w:lineRule="atLeast"/>
              <w:jc w:val="center"/>
              <w:rPr>
                <w:rFonts w:ascii="宋体" w:hAnsi="宋体" w:cs="宋体"/>
                <w:color w:val="auto"/>
                <w:sz w:val="28"/>
                <w:szCs w:val="28"/>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5E18DF2">
            <w:pPr>
              <w:widowControl/>
              <w:spacing w:line="200" w:lineRule="atLeast"/>
              <w:jc w:val="center"/>
              <w:rPr>
                <w:rFonts w:ascii="宋体" w:hAnsi="宋体" w:cs="宋体"/>
                <w:color w:val="auto"/>
                <w:sz w:val="28"/>
                <w:szCs w:val="28"/>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90F51A8">
            <w:pPr>
              <w:widowControl/>
              <w:spacing w:line="200" w:lineRule="atLeast"/>
              <w:jc w:val="center"/>
              <w:rPr>
                <w:rFonts w:ascii="宋体" w:hAnsi="宋体" w:cs="宋体"/>
                <w:color w:val="auto"/>
                <w:sz w:val="28"/>
                <w:szCs w:val="28"/>
                <w:highlight w:val="none"/>
              </w:rPr>
            </w:pPr>
          </w:p>
        </w:tc>
      </w:tr>
      <w:tr w14:paraId="2ED2F554">
        <w:tblPrEx>
          <w:tblCellMar>
            <w:top w:w="120" w:type="dxa"/>
            <w:left w:w="120" w:type="dxa"/>
            <w:bottom w:w="120" w:type="dxa"/>
            <w:right w:w="12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A3706FE">
            <w:pPr>
              <w:widowControl/>
              <w:spacing w:line="200" w:lineRule="atLeast"/>
              <w:jc w:val="center"/>
              <w:rPr>
                <w:rFonts w:ascii="宋体" w:hAnsi="宋体" w:cs="宋体"/>
                <w:color w:val="auto"/>
                <w:sz w:val="28"/>
                <w:szCs w:val="28"/>
                <w:highlight w:val="none"/>
              </w:rPr>
            </w:pPr>
            <w:r>
              <w:rPr>
                <w:rFonts w:hint="eastAsia" w:ascii="宋体" w:hAnsi="宋体" w:cs="宋体"/>
                <w:color w:val="auto"/>
                <w:sz w:val="28"/>
                <w:szCs w:val="28"/>
                <w:highlight w:val="none"/>
              </w:rPr>
              <w:t>……</w:t>
            </w:r>
          </w:p>
        </w:tc>
        <w:tc>
          <w:tcPr>
            <w:tcW w:w="3600"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C142752">
            <w:pPr>
              <w:widowControl/>
              <w:spacing w:line="200" w:lineRule="atLeast"/>
              <w:jc w:val="center"/>
              <w:rPr>
                <w:rFonts w:ascii="宋体" w:hAnsi="宋体" w:cs="宋体"/>
                <w:color w:val="auto"/>
                <w:sz w:val="28"/>
                <w:szCs w:val="28"/>
                <w:highlight w:val="none"/>
              </w:rPr>
            </w:pPr>
          </w:p>
        </w:tc>
        <w:tc>
          <w:tcPr>
            <w:tcW w:w="3555"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C3567F5">
            <w:pPr>
              <w:widowControl/>
              <w:spacing w:line="200" w:lineRule="atLeast"/>
              <w:jc w:val="center"/>
              <w:rPr>
                <w:rFonts w:ascii="宋体" w:hAnsi="宋体" w:cs="宋体"/>
                <w:color w:val="auto"/>
                <w:sz w:val="28"/>
                <w:szCs w:val="28"/>
                <w:highlight w:val="none"/>
              </w:rPr>
            </w:pPr>
          </w:p>
        </w:tc>
        <w:tc>
          <w:tcPr>
            <w:tcW w:w="168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7E1DC72">
            <w:pPr>
              <w:widowControl/>
              <w:spacing w:line="200" w:lineRule="atLeast"/>
              <w:jc w:val="center"/>
              <w:rPr>
                <w:rFonts w:ascii="宋体" w:hAnsi="宋体" w:cs="宋体"/>
                <w:color w:val="auto"/>
                <w:sz w:val="28"/>
                <w:szCs w:val="28"/>
                <w:highlight w:val="none"/>
              </w:rPr>
            </w:pPr>
          </w:p>
        </w:tc>
      </w:tr>
    </w:tbl>
    <w:p w14:paraId="6E1A715A">
      <w:pPr>
        <w:spacing w:line="360" w:lineRule="auto"/>
        <w:contextualSpacing/>
        <w:jc w:val="left"/>
        <w:rPr>
          <w:rFonts w:ascii="宋体" w:hAnsi="宋体"/>
          <w:color w:val="auto"/>
          <w:sz w:val="24"/>
          <w:highlight w:val="none"/>
        </w:rPr>
      </w:pPr>
      <w:r>
        <w:rPr>
          <w:rFonts w:hint="eastAsia" w:ascii="宋体" w:hAnsi="宋体"/>
          <w:color w:val="auto"/>
          <w:sz w:val="24"/>
          <w:highlight w:val="none"/>
        </w:rPr>
        <w:t>注：</w:t>
      </w:r>
    </w:p>
    <w:p w14:paraId="077B81BC">
      <w:pPr>
        <w:spacing w:line="360" w:lineRule="auto"/>
        <w:ind w:firstLine="480"/>
        <w:contextualSpacing/>
        <w:jc w:val="left"/>
        <w:rPr>
          <w:rFonts w:ascii="宋体" w:hAnsi="宋体"/>
          <w:color w:val="auto"/>
          <w:sz w:val="24"/>
          <w:highlight w:val="none"/>
        </w:rPr>
      </w:pPr>
      <w:r>
        <w:rPr>
          <w:rFonts w:hint="eastAsia" w:ascii="宋体" w:hAnsi="宋体"/>
          <w:color w:val="auto"/>
          <w:sz w:val="24"/>
          <w:highlight w:val="none"/>
        </w:rPr>
        <w:t>1.管理关系：是指不具有出资持股关系的其他单位之间存在的管理与被管理关系，如一些上下级关系的事业单位和团体组织。</w:t>
      </w:r>
    </w:p>
    <w:p w14:paraId="282CBC7A">
      <w:pPr>
        <w:spacing w:line="360" w:lineRule="auto"/>
        <w:ind w:firstLine="480"/>
        <w:contextualSpacing/>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pacing w:val="-6"/>
          <w:sz w:val="24"/>
          <w:highlight w:val="none"/>
        </w:rPr>
        <w:t>本表所指的管理关系仅限于直接管理关系，不包括间接的管理关系。</w:t>
      </w:r>
    </w:p>
    <w:p w14:paraId="57474A1E">
      <w:pPr>
        <w:spacing w:line="360" w:lineRule="auto"/>
        <w:ind w:firstLine="480"/>
        <w:contextualSpacing/>
        <w:jc w:val="left"/>
        <w:rPr>
          <w:rFonts w:ascii="宋体" w:hAnsi="宋体"/>
          <w:color w:val="auto"/>
          <w:sz w:val="24"/>
          <w:highlight w:val="none"/>
        </w:rPr>
      </w:pPr>
      <w:r>
        <w:rPr>
          <w:rFonts w:hint="eastAsia" w:ascii="宋体" w:hAnsi="宋体"/>
          <w:color w:val="auto"/>
          <w:sz w:val="24"/>
          <w:highlight w:val="none"/>
        </w:rPr>
        <w:t>3.供应商不存在直接管理关系的，则在“直接管理关系单位名称”填“无”。</w:t>
      </w:r>
    </w:p>
    <w:p w14:paraId="64F34AC5">
      <w:pPr>
        <w:spacing w:line="360" w:lineRule="auto"/>
        <w:contextualSpacing/>
        <w:jc w:val="left"/>
        <w:rPr>
          <w:rFonts w:ascii="宋体" w:hAnsi="宋体"/>
          <w:color w:val="auto"/>
          <w:sz w:val="28"/>
          <w:szCs w:val="28"/>
          <w:highlight w:val="none"/>
        </w:rPr>
      </w:pPr>
    </w:p>
    <w:p w14:paraId="64885AA8">
      <w:pPr>
        <w:spacing w:line="360" w:lineRule="auto"/>
        <w:contextualSpacing/>
        <w:jc w:val="left"/>
        <w:rPr>
          <w:rFonts w:ascii="宋体" w:hAnsi="宋体"/>
          <w:color w:val="auto"/>
          <w:sz w:val="28"/>
          <w:szCs w:val="28"/>
          <w:highlight w:val="none"/>
        </w:rPr>
      </w:pPr>
    </w:p>
    <w:p w14:paraId="5E0AB8DE">
      <w:pPr>
        <w:spacing w:line="360" w:lineRule="auto"/>
        <w:contextualSpacing/>
        <w:jc w:val="left"/>
        <w:rPr>
          <w:color w:val="auto"/>
          <w:sz w:val="28"/>
          <w:szCs w:val="28"/>
          <w:highlight w:val="none"/>
        </w:rPr>
      </w:pPr>
    </w:p>
    <w:p w14:paraId="5C6314AF">
      <w:pPr>
        <w:spacing w:line="360" w:lineRule="auto"/>
        <w:contextualSpacing/>
        <w:jc w:val="left"/>
        <w:rPr>
          <w:color w:val="auto"/>
          <w:sz w:val="28"/>
          <w:szCs w:val="28"/>
          <w:highlight w:val="none"/>
        </w:rPr>
      </w:pPr>
    </w:p>
    <w:p w14:paraId="601D56F6">
      <w:pPr>
        <w:spacing w:line="360" w:lineRule="auto"/>
        <w:contextualSpacing/>
        <w:jc w:val="left"/>
        <w:rPr>
          <w:color w:val="auto"/>
          <w:sz w:val="28"/>
          <w:szCs w:val="28"/>
          <w:highlight w:val="none"/>
        </w:rPr>
      </w:pPr>
    </w:p>
    <w:p w14:paraId="609E0FF4">
      <w:pPr>
        <w:spacing w:line="360" w:lineRule="auto"/>
        <w:contextualSpacing/>
        <w:jc w:val="left"/>
        <w:rPr>
          <w:rFonts w:ascii="宋体" w:hAnsi="宋体"/>
          <w:color w:val="auto"/>
          <w:sz w:val="28"/>
          <w:szCs w:val="28"/>
          <w:highlight w:val="none"/>
        </w:rPr>
      </w:pPr>
    </w:p>
    <w:p w14:paraId="2AD6F5C2">
      <w:pPr>
        <w:spacing w:line="360" w:lineRule="auto"/>
        <w:ind w:right="480"/>
        <w:contextualSpacing/>
        <w:jc w:val="center"/>
        <w:rPr>
          <w:rFonts w:ascii="宋体" w:hAnsi="宋体"/>
          <w:color w:val="auto"/>
          <w:sz w:val="24"/>
          <w:highlight w:val="none"/>
          <w:u w:val="singl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法定代表人或者委托代理人（签字或者电子签名）：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p>
    <w:p w14:paraId="139EDF75">
      <w:pPr>
        <w:spacing w:line="360" w:lineRule="auto"/>
        <w:ind w:right="480" w:firstLine="3360"/>
        <w:contextualSpacing/>
        <w:rPr>
          <w:rFonts w:ascii="宋体" w:hAnsi="宋体"/>
          <w:color w:val="auto"/>
          <w:sz w:val="24"/>
          <w:highlight w:val="none"/>
        </w:rPr>
      </w:pPr>
      <w:r>
        <w:rPr>
          <w:rFonts w:hint="eastAsia" w:ascii="宋体" w:hAnsi="宋体"/>
          <w:color w:val="auto"/>
          <w:sz w:val="24"/>
          <w:highlight w:val="none"/>
        </w:rPr>
        <w:t>供应商名称（电子签章）：</w:t>
      </w:r>
      <w:r>
        <w:rPr>
          <w:rFonts w:hint="eastAsia" w:ascii="宋体" w:hAnsi="宋体"/>
          <w:color w:val="auto"/>
          <w:sz w:val="24"/>
          <w:highlight w:val="none"/>
          <w:u w:val="single"/>
        </w:rPr>
        <w:t xml:space="preserve">                </w:t>
      </w:r>
    </w:p>
    <w:p w14:paraId="50EF4606">
      <w:pPr>
        <w:spacing w:line="360" w:lineRule="auto"/>
        <w:ind w:right="480" w:firstLine="240"/>
        <w:contextualSpacing/>
        <w:jc w:val="center"/>
        <w:rPr>
          <w:rFonts w:ascii="宋体" w:hAnsi="宋体"/>
          <w:color w:val="auto"/>
          <w:sz w:val="28"/>
          <w:szCs w:val="28"/>
          <w:highlight w:val="none"/>
        </w:rPr>
      </w:pPr>
      <w:r>
        <w:rPr>
          <w:rFonts w:hint="eastAsia" w:ascii="宋体" w:hAnsi="宋体"/>
          <w:color w:val="auto"/>
          <w:sz w:val="24"/>
          <w:highlight w:val="none"/>
        </w:rPr>
        <w:t xml:space="preserve">                                        年    月    日</w:t>
      </w:r>
    </w:p>
    <w:p w14:paraId="065E28B4">
      <w:pPr>
        <w:spacing w:line="500" w:lineRule="exact"/>
        <w:jc w:val="center"/>
        <w:rPr>
          <w:rFonts w:ascii="方正小标宋简体" w:hAnsi="宋体" w:eastAsia="方正小标宋简体"/>
          <w:b/>
          <w:color w:val="auto"/>
          <w:sz w:val="32"/>
          <w:szCs w:val="32"/>
          <w:highlight w:val="none"/>
        </w:rPr>
      </w:pPr>
      <w:r>
        <w:rPr>
          <w:rFonts w:ascii="宋体" w:hAnsi="宋体"/>
          <w:b/>
          <w:color w:val="auto"/>
          <w:sz w:val="32"/>
          <w:szCs w:val="32"/>
          <w:highlight w:val="none"/>
        </w:rPr>
        <w:br w:type="page" w:clear="all"/>
      </w:r>
      <w:r>
        <w:rPr>
          <w:rFonts w:hint="eastAsia" w:ascii="方正小标宋简体" w:hAnsi="宋体" w:eastAsia="方正小标宋简体"/>
          <w:b/>
          <w:color w:val="auto"/>
          <w:sz w:val="32"/>
          <w:szCs w:val="32"/>
          <w:highlight w:val="none"/>
        </w:rPr>
        <w:t>竞标声明</w:t>
      </w:r>
    </w:p>
    <w:p w14:paraId="654C30AB">
      <w:pPr>
        <w:spacing w:line="320" w:lineRule="exact"/>
        <w:jc w:val="center"/>
        <w:rPr>
          <w:rFonts w:ascii="宋体" w:hAnsi="宋体"/>
          <w:color w:val="auto"/>
          <w:sz w:val="24"/>
          <w:szCs w:val="20"/>
          <w:highlight w:val="none"/>
        </w:rPr>
      </w:pPr>
    </w:p>
    <w:p w14:paraId="36F40190">
      <w:pPr>
        <w:spacing w:line="360" w:lineRule="auto"/>
        <w:contextualSpacing/>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（采购人名称）</w:t>
      </w:r>
      <w:r>
        <w:rPr>
          <w:rFonts w:hint="eastAsia" w:ascii="宋体" w:hAnsi="宋体" w:cs="宋体"/>
          <w:color w:val="auto"/>
          <w:sz w:val="24"/>
          <w:highlight w:val="none"/>
        </w:rPr>
        <w:t>：</w:t>
      </w:r>
    </w:p>
    <w:p w14:paraId="49ECCB4D">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我方</w:t>
      </w:r>
      <w:r>
        <w:rPr>
          <w:rFonts w:hint="eastAsia" w:ascii="宋体" w:hAnsi="宋体" w:cs="宋体"/>
          <w:color w:val="auto"/>
          <w:sz w:val="24"/>
          <w:highlight w:val="none"/>
          <w:u w:val="single"/>
        </w:rPr>
        <w:t>（供应商名称）</w:t>
      </w:r>
      <w:r>
        <w:rPr>
          <w:rFonts w:hint="eastAsia" w:ascii="宋体" w:hAnsi="宋体" w:cs="宋体"/>
          <w:color w:val="auto"/>
          <w:sz w:val="24"/>
          <w:highlight w:val="none"/>
        </w:rPr>
        <w:t>系中华人民共和国合法供应商，经营地址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C402895">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我方愿意参加贵方组织的</w:t>
      </w:r>
      <w:r>
        <w:rPr>
          <w:rFonts w:hint="eastAsia" w:ascii="宋体" w:hAnsi="宋体" w:cs="宋体"/>
          <w:color w:val="auto"/>
          <w:sz w:val="24"/>
          <w:highlight w:val="none"/>
          <w:u w:val="single"/>
        </w:rPr>
        <w:t>（项目名称）</w:t>
      </w:r>
      <w:r>
        <w:rPr>
          <w:rFonts w:hint="eastAsia" w:ascii="宋体" w:hAnsi="宋体" w:cs="宋体"/>
          <w:color w:val="auto"/>
          <w:sz w:val="24"/>
          <w:highlight w:val="none"/>
        </w:rPr>
        <w:t>项目的竞标，为便于贵方公正、择优地确定成交供应商及其竞标产品和服务，我方就本次竞标有关事项郑重声明如下：</w:t>
      </w:r>
    </w:p>
    <w:p w14:paraId="6461AD46">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1.我方向贵方提交的所有响应文件、资料都是准确的和真实的。</w:t>
      </w:r>
    </w:p>
    <w:p w14:paraId="12414BC5">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olor w:val="auto"/>
          <w:sz w:val="24"/>
          <w:highlight w:val="none"/>
        </w:rPr>
        <w:t>我方不是为本次采购项目提供整体设计、规范编制或者项目管理、监理、检测等服务的供应商</w:t>
      </w:r>
      <w:r>
        <w:rPr>
          <w:rFonts w:hint="eastAsia" w:ascii="宋体" w:hAnsi="宋体" w:cs="宋体"/>
          <w:color w:val="auto"/>
          <w:sz w:val="24"/>
          <w:highlight w:val="none"/>
        </w:rPr>
        <w:t>。</w:t>
      </w:r>
    </w:p>
    <w:p w14:paraId="6E048946">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3.在此，我方宣布同意如下：</w:t>
      </w:r>
    </w:p>
    <w:p w14:paraId="3F1331EC">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（1）将按谈判文件的约定履行合同责任和义务；</w:t>
      </w:r>
    </w:p>
    <w:p w14:paraId="5E6F0F5D">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（2）已详细审查全部谈判文件，包括补遗文件（如有）；</w:t>
      </w:r>
    </w:p>
    <w:p w14:paraId="65AD3A73">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（3）同意提供按照贵方可能要求的与谈判有关的一切数据或者资料；</w:t>
      </w:r>
    </w:p>
    <w:p w14:paraId="41A83B8C">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（4）响应谈判文件规定的竞标有效期。</w:t>
      </w:r>
    </w:p>
    <w:p w14:paraId="6E0147AB">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4.我方承诺符合《中华人民共和国政府采购法》第二十二条规定：</w:t>
      </w:r>
    </w:p>
    <w:p w14:paraId="422754D8">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（1）具有独立承担民事责任的能力；</w:t>
      </w:r>
    </w:p>
    <w:p w14:paraId="79EEC7B2">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586FE0B6">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570C996E">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1966FFB5">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1F6C8811">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（6）法律、行政法规规定的其他条件。</w:t>
      </w:r>
    </w:p>
    <w:p w14:paraId="21ACA854">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77C2622C">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6.根据《中华人民共和国政府采购法实施条例》第五十条要求对政府采购合同进行公告，但政府采购合同中涉及国家秘密、商业秘密的内容除外。我方就对本次响应文件进行注明如下：（两项内容中必须选择一项）</w:t>
      </w:r>
    </w:p>
    <w:p w14:paraId="773D3302">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□我方本次响应文件内容中未涉及商业秘密；</w:t>
      </w:r>
    </w:p>
    <w:p w14:paraId="01DACBD7">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rPr>
        <w:t>□我方本次响应文件涉及商业秘密的内容有：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1CAB12D">
      <w:pPr>
        <w:pStyle w:val="222"/>
        <w:spacing w:line="360" w:lineRule="auto"/>
        <w:ind w:firstLine="480"/>
        <w:contextualSpacing/>
        <w:rPr>
          <w:rFonts w:hAnsi="宋体" w:cs="宋体"/>
          <w:color w:val="auto"/>
          <w:sz w:val="24"/>
          <w:szCs w:val="24"/>
          <w:highlight w:val="none"/>
          <w:u w:val="single"/>
        </w:rPr>
      </w:pPr>
      <w:r>
        <w:rPr>
          <w:rFonts w:hint="eastAsia" w:hAnsi="宋体" w:cs="宋体"/>
          <w:color w:val="auto"/>
          <w:sz w:val="24"/>
          <w:szCs w:val="24"/>
          <w:highlight w:val="none"/>
        </w:rPr>
        <w:t>7.与本谈判有关的一切正式往来信函请寄：</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邮政编码：</w:t>
      </w:r>
      <w:r>
        <w:rPr>
          <w:rFonts w:hint="eastAsia" w:hAnsi="宋体" w:cs="宋体"/>
          <w:color w:val="auto"/>
          <w:sz w:val="24"/>
          <w:szCs w:val="24"/>
          <w:highlight w:val="none"/>
          <w:u w:val="single"/>
        </w:rPr>
        <w:t xml:space="preserve">    </w:t>
      </w:r>
    </w:p>
    <w:p w14:paraId="17FBDC6D">
      <w:pPr>
        <w:pStyle w:val="222"/>
        <w:spacing w:line="360" w:lineRule="auto"/>
        <w:ind w:firstLine="480"/>
        <w:contextualSpacing/>
        <w:rPr>
          <w:rFonts w:hAnsi="宋体" w:cs="宋体"/>
          <w:color w:val="auto"/>
          <w:sz w:val="24"/>
          <w:szCs w:val="24"/>
          <w:highlight w:val="none"/>
        </w:rPr>
      </w:pPr>
      <w:r>
        <w:rPr>
          <w:rFonts w:hint="eastAsia" w:hAnsi="宋体" w:cs="宋体"/>
          <w:color w:val="auto"/>
          <w:sz w:val="24"/>
          <w:szCs w:val="24"/>
          <w:highlight w:val="none"/>
        </w:rPr>
        <w:t>电话/传真：</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电子邮箱：</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w:t>
      </w:r>
    </w:p>
    <w:p w14:paraId="3443FA3F">
      <w:pPr>
        <w:pStyle w:val="220"/>
        <w:tabs>
          <w:tab w:val="left" w:pos="939"/>
        </w:tabs>
        <w:spacing w:line="360" w:lineRule="auto"/>
        <w:ind w:left="141" w:firstLine="360"/>
        <w:rPr>
          <w:rFonts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账号/行号：</w:t>
      </w:r>
      <w:r>
        <w:rPr>
          <w:rFonts w:hint="eastAsia" w:ascii="宋体" w:hAnsi="宋体" w:cs="宋体"/>
          <w:color w:val="auto"/>
          <w:sz w:val="24"/>
          <w:highlight w:val="none"/>
          <w:u w:val="single"/>
        </w:rPr>
        <w:t xml:space="preserve">           </w:t>
      </w:r>
    </w:p>
    <w:p w14:paraId="2EE402A7">
      <w:pPr>
        <w:pStyle w:val="220"/>
        <w:tabs>
          <w:tab w:val="left" w:pos="939"/>
        </w:tabs>
        <w:spacing w:line="360" w:lineRule="auto"/>
        <w:ind w:left="141" w:firstLine="360"/>
        <w:rPr>
          <w:rFonts w:ascii="宋体" w:hAnsi="宋体" w:cs="宋体"/>
          <w:color w:val="auto"/>
          <w:sz w:val="24"/>
          <w:highlight w:val="none"/>
        </w:rPr>
      </w:pPr>
      <w:r>
        <w:rPr>
          <w:rFonts w:hint="eastAsia" w:ascii="宋体" w:hAnsi="宋体" w:cs="宋体"/>
          <w:color w:val="auto"/>
          <w:sz w:val="24"/>
          <w:highlight w:val="none"/>
        </w:rPr>
        <w:t>8.以上事项如有虚假或者隐瞒，我方愿意承担一切后果，并不再寻求任何旨在减轻或者免除法律责任的辩解。</w:t>
      </w:r>
    </w:p>
    <w:p w14:paraId="7C468A3F">
      <w:pPr>
        <w:pStyle w:val="220"/>
        <w:tabs>
          <w:tab w:val="left" w:pos="939"/>
        </w:tabs>
        <w:spacing w:line="360" w:lineRule="auto"/>
        <w:ind w:left="141" w:firstLine="360"/>
        <w:rPr>
          <w:rFonts w:ascii="宋体" w:hAnsi="宋体" w:cs="宋体"/>
          <w:color w:val="auto"/>
          <w:szCs w:val="21"/>
          <w:highlight w:val="none"/>
        </w:rPr>
      </w:pPr>
      <w:r>
        <w:rPr>
          <w:rFonts w:hint="eastAsia" w:ascii="宋体" w:hAnsi="宋体" w:cs="宋体"/>
          <w:color w:val="auto"/>
          <w:sz w:val="24"/>
          <w:highlight w:val="none"/>
        </w:rPr>
        <w:t>特此承诺。</w:t>
      </w:r>
    </w:p>
    <w:p w14:paraId="39327AF6">
      <w:pPr>
        <w:spacing w:line="360" w:lineRule="auto"/>
        <w:contextualSpacing/>
        <w:jc w:val="left"/>
        <w:rPr>
          <w:rFonts w:ascii="宋体" w:hAnsi="宋体"/>
          <w:b/>
          <w:color w:val="auto"/>
          <w:sz w:val="24"/>
          <w:highlight w:val="none"/>
        </w:rPr>
      </w:pPr>
      <w:r>
        <w:rPr>
          <w:rFonts w:hint="eastAsia" w:ascii="宋体" w:hAnsi="宋体"/>
          <w:b/>
          <w:color w:val="auto"/>
          <w:sz w:val="24"/>
          <w:highlight w:val="none"/>
        </w:rPr>
        <w:t xml:space="preserve">    注：如为联合体竞标，盖章处须加盖联合体牵头人电子签章并由联合体牵头人法定代表人分别签字或者盖章或者电子签名，否则响应文件按无效响应处理。</w:t>
      </w:r>
    </w:p>
    <w:p w14:paraId="60A414BE">
      <w:pPr>
        <w:spacing w:line="360" w:lineRule="auto"/>
        <w:contextualSpacing/>
        <w:jc w:val="left"/>
        <w:rPr>
          <w:rFonts w:ascii="宋体" w:hAnsi="宋体" w:cs="宋体"/>
          <w:color w:val="auto"/>
          <w:szCs w:val="21"/>
          <w:highlight w:val="none"/>
        </w:rPr>
      </w:pPr>
    </w:p>
    <w:p w14:paraId="11BCB403">
      <w:pPr>
        <w:spacing w:line="360" w:lineRule="auto"/>
        <w:ind w:firstLine="1800"/>
        <w:contextualSpacing/>
        <w:rPr>
          <w:color w:val="auto"/>
          <w:highlight w:val="none"/>
        </w:rPr>
      </w:pPr>
      <w:r>
        <w:rPr>
          <w:rFonts w:hint="eastAsia" w:ascii="宋体" w:hAnsi="宋体"/>
          <w:color w:val="auto"/>
          <w:sz w:val="24"/>
          <w:highlight w:val="none"/>
        </w:rPr>
        <w:t>法定代表人（签字或者盖章或者电子签名</w:t>
      </w:r>
      <w:r>
        <w:rPr>
          <w:rFonts w:hint="eastAsia"/>
          <w:color w:val="auto"/>
          <w:highlight w:val="none"/>
        </w:rPr>
        <w:t>）：</w:t>
      </w:r>
      <w:r>
        <w:rPr>
          <w:rFonts w:hint="eastAsia"/>
          <w:color w:val="auto"/>
          <w:highlight w:val="none"/>
          <w:u w:val="single"/>
        </w:rPr>
        <w:t xml:space="preserve">           </w:t>
      </w:r>
      <w:r>
        <w:rPr>
          <w:rFonts w:hint="eastAsia"/>
          <w:color w:val="auto"/>
          <w:highlight w:val="none"/>
        </w:rPr>
        <w:t xml:space="preserve">                                     </w:t>
      </w:r>
    </w:p>
    <w:p w14:paraId="0F529BA7">
      <w:pPr>
        <w:spacing w:line="360" w:lineRule="auto"/>
        <w:ind w:firstLine="4320"/>
        <w:contextualSpacing/>
        <w:rPr>
          <w:rFonts w:ascii="宋体" w:hAnsi="宋体" w:cs="宋体"/>
          <w:color w:val="auto"/>
          <w:szCs w:val="21"/>
          <w:highlight w:val="none"/>
          <w:u w:val="single"/>
        </w:rPr>
      </w:pPr>
      <w:r>
        <w:rPr>
          <w:rFonts w:hint="eastAsia" w:ascii="宋体" w:hAnsi="宋体"/>
          <w:color w:val="auto"/>
          <w:sz w:val="24"/>
          <w:highlight w:val="none"/>
        </w:rPr>
        <w:t>供应商名称（电子签章）</w:t>
      </w:r>
      <w:r>
        <w:rPr>
          <w:rFonts w:hint="eastAsia"/>
          <w:color w:val="auto"/>
          <w:highlight w:val="none"/>
        </w:rPr>
        <w:t>：</w:t>
      </w:r>
      <w:r>
        <w:rPr>
          <w:rFonts w:hint="eastAsia"/>
          <w:color w:val="auto"/>
          <w:highlight w:val="none"/>
          <w:u w:val="single"/>
        </w:rPr>
        <w:t xml:space="preserve">                               </w:t>
      </w:r>
      <w:r>
        <w:rPr>
          <w:rFonts w:hint="eastAsia"/>
          <w:color w:val="auto"/>
          <w:highlight w:val="none"/>
        </w:rPr>
        <w:t xml:space="preserve">       </w:t>
      </w:r>
      <w:r>
        <w:rPr>
          <w:rFonts w:hint="eastAsia" w:ascii="宋体" w:hAnsi="宋体" w:cs="宋体"/>
          <w:color w:val="auto"/>
          <w:szCs w:val="21"/>
          <w:highlight w:val="none"/>
        </w:rPr>
        <w:t xml:space="preserve">    </w:t>
      </w:r>
    </w:p>
    <w:p w14:paraId="6F2A10DC">
      <w:pPr>
        <w:spacing w:line="360" w:lineRule="auto"/>
        <w:ind w:right="482" w:firstLine="210"/>
        <w:contextualSpacing/>
        <w:jc w:val="center"/>
        <w:rPr>
          <w:rFonts w:ascii="宋体" w:hAnsi="宋体"/>
          <w:color w:val="auto"/>
          <w:szCs w:val="21"/>
          <w:highlight w:val="none"/>
        </w:rPr>
      </w:pPr>
      <w:r>
        <w:rPr>
          <w:rFonts w:hint="eastAsia" w:ascii="宋体" w:hAnsi="宋体" w:cs="宋体"/>
          <w:color w:val="auto"/>
          <w:szCs w:val="21"/>
          <w:highlight w:val="none"/>
        </w:rPr>
        <w:t xml:space="preserve">                                                        </w:t>
      </w:r>
      <w:r>
        <w:rPr>
          <w:rFonts w:hint="eastAsia"/>
          <w:color w:val="auto"/>
          <w:highlight w:val="none"/>
        </w:rPr>
        <w:t xml:space="preserve"> 年    月    日 </w:t>
      </w:r>
    </w:p>
    <w:p w14:paraId="3BD5B4CB">
      <w:pPr>
        <w:spacing w:line="360" w:lineRule="auto"/>
        <w:ind w:right="480" w:firstLine="240"/>
        <w:contextualSpacing/>
        <w:jc w:val="center"/>
        <w:rPr>
          <w:rFonts w:ascii="宋体" w:hAnsi="宋体"/>
          <w:b/>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二、</w:t>
      </w:r>
      <w:r>
        <w:rPr>
          <w:rFonts w:hint="eastAsia" w:ascii="宋体" w:hAnsi="宋体"/>
          <w:b/>
          <w:color w:val="auto"/>
          <w:sz w:val="32"/>
          <w:szCs w:val="32"/>
          <w:highlight w:val="none"/>
        </w:rPr>
        <w:t xml:space="preserve">报价文件格式 </w:t>
      </w:r>
    </w:p>
    <w:p w14:paraId="1085A6BE">
      <w:pPr>
        <w:spacing w:before="120" w:after="50" w:line="360" w:lineRule="auto"/>
        <w:jc w:val="left"/>
        <w:rPr>
          <w:rFonts w:ascii="宋体" w:hAnsi="宋体"/>
          <w:b/>
          <w:color w:val="auto"/>
          <w:sz w:val="32"/>
          <w:szCs w:val="32"/>
          <w:highlight w:val="none"/>
        </w:rPr>
      </w:pPr>
      <w:r>
        <w:rPr>
          <w:rFonts w:hint="eastAsia" w:ascii="宋体" w:hAnsi="宋体"/>
          <w:b/>
          <w:color w:val="auto"/>
          <w:sz w:val="32"/>
          <w:szCs w:val="32"/>
          <w:highlight w:val="none"/>
        </w:rPr>
        <w:t>1.报价文件封面格式</w:t>
      </w:r>
    </w:p>
    <w:p w14:paraId="725A7613">
      <w:pPr>
        <w:spacing w:before="120" w:after="50"/>
        <w:rPr>
          <w:rFonts w:ascii="宋体" w:hAnsi="宋体"/>
          <w:bCs/>
          <w:color w:val="auto"/>
          <w:sz w:val="32"/>
          <w:szCs w:val="20"/>
          <w:highlight w:val="none"/>
        </w:rPr>
      </w:pPr>
      <w:r>
        <w:rPr>
          <w:rFonts w:hint="eastAsia" w:ascii="宋体" w:hAnsi="宋体"/>
          <w:color w:val="auto"/>
          <w:sz w:val="24"/>
          <w:highlight w:val="none"/>
        </w:rPr>
        <w:t xml:space="preserve">                                                    </w:t>
      </w:r>
    </w:p>
    <w:p w14:paraId="1370B9CE">
      <w:pPr>
        <w:spacing w:before="120" w:after="50"/>
        <w:jc w:val="center"/>
        <w:rPr>
          <w:rFonts w:ascii="宋体" w:hAnsi="宋体"/>
          <w:color w:val="auto"/>
          <w:sz w:val="24"/>
          <w:szCs w:val="20"/>
          <w:highlight w:val="none"/>
        </w:rPr>
      </w:pPr>
      <w:r>
        <w:rPr>
          <w:rFonts w:hint="eastAsia" w:ascii="宋体" w:hAnsi="宋体"/>
          <w:color w:val="auto"/>
          <w:sz w:val="44"/>
          <w:szCs w:val="44"/>
          <w:highlight w:val="none"/>
        </w:rPr>
        <w:t>电 子 响 应 文 件</w:t>
      </w:r>
    </w:p>
    <w:p w14:paraId="6694D3E6">
      <w:pPr>
        <w:spacing w:before="120" w:after="50"/>
        <w:rPr>
          <w:rFonts w:ascii="宋体" w:hAnsi="宋体"/>
          <w:color w:val="auto"/>
          <w:sz w:val="24"/>
          <w:szCs w:val="20"/>
          <w:highlight w:val="none"/>
        </w:rPr>
      </w:pPr>
    </w:p>
    <w:p w14:paraId="76920401">
      <w:pPr>
        <w:spacing w:before="120" w:after="50"/>
        <w:rPr>
          <w:rFonts w:ascii="宋体" w:hAnsi="宋体"/>
          <w:color w:val="auto"/>
          <w:sz w:val="24"/>
          <w:szCs w:val="20"/>
          <w:highlight w:val="none"/>
        </w:rPr>
      </w:pPr>
    </w:p>
    <w:p w14:paraId="5AB09851">
      <w:pPr>
        <w:spacing w:before="120" w:after="50"/>
        <w:jc w:val="center"/>
        <w:rPr>
          <w:rFonts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报  价  文  件</w:t>
      </w:r>
    </w:p>
    <w:p w14:paraId="43D0424D">
      <w:pPr>
        <w:spacing w:before="120" w:after="50"/>
        <w:rPr>
          <w:rFonts w:ascii="宋体" w:hAnsi="宋体"/>
          <w:bCs/>
          <w:color w:val="auto"/>
          <w:sz w:val="24"/>
          <w:szCs w:val="20"/>
          <w:highlight w:val="none"/>
        </w:rPr>
      </w:pPr>
    </w:p>
    <w:p w14:paraId="278C6CE0">
      <w:pPr>
        <w:spacing w:before="120" w:after="50"/>
        <w:rPr>
          <w:rFonts w:ascii="宋体" w:hAnsi="宋体"/>
          <w:bCs/>
          <w:color w:val="auto"/>
          <w:sz w:val="24"/>
          <w:szCs w:val="20"/>
          <w:highlight w:val="none"/>
        </w:rPr>
      </w:pPr>
    </w:p>
    <w:p w14:paraId="51398C3D">
      <w:pPr>
        <w:spacing w:before="120" w:after="50"/>
        <w:rPr>
          <w:rFonts w:ascii="宋体" w:hAnsi="宋体"/>
          <w:bCs/>
          <w:color w:val="auto"/>
          <w:sz w:val="24"/>
          <w:szCs w:val="20"/>
          <w:highlight w:val="none"/>
        </w:rPr>
      </w:pPr>
    </w:p>
    <w:p w14:paraId="27C5E936">
      <w:pPr>
        <w:spacing w:before="120" w:after="50"/>
        <w:rPr>
          <w:rFonts w:ascii="宋体" w:hAnsi="宋体"/>
          <w:bCs/>
          <w:color w:val="auto"/>
          <w:sz w:val="24"/>
          <w:szCs w:val="20"/>
          <w:highlight w:val="none"/>
        </w:rPr>
      </w:pPr>
    </w:p>
    <w:p w14:paraId="6E90896B">
      <w:pPr>
        <w:spacing w:before="120" w:after="50"/>
        <w:rPr>
          <w:rFonts w:ascii="宋体" w:hAnsi="宋体"/>
          <w:bCs/>
          <w:color w:val="auto"/>
          <w:sz w:val="24"/>
          <w:szCs w:val="20"/>
          <w:highlight w:val="none"/>
        </w:rPr>
      </w:pPr>
    </w:p>
    <w:p w14:paraId="39F4AEAE">
      <w:pPr>
        <w:spacing w:before="120" w:after="50"/>
        <w:ind w:firstLine="640"/>
        <w:rPr>
          <w:rFonts w:ascii="宋体" w:hAnsi="宋体" w:cs="仿宋_GB2312"/>
          <w:bCs/>
          <w:color w:val="auto"/>
          <w:sz w:val="32"/>
          <w:szCs w:val="32"/>
          <w:highlight w:val="none"/>
        </w:rPr>
      </w:pPr>
      <w:r>
        <w:rPr>
          <w:rFonts w:hint="eastAsia" w:ascii="宋体" w:hAnsi="宋体" w:cs="仿宋_GB2312"/>
          <w:bCs/>
          <w:color w:val="auto"/>
          <w:sz w:val="32"/>
          <w:szCs w:val="32"/>
          <w:highlight w:val="none"/>
        </w:rPr>
        <w:t>项目名称：</w:t>
      </w:r>
    </w:p>
    <w:p w14:paraId="7ADE16C2">
      <w:pPr>
        <w:spacing w:before="120" w:after="50"/>
        <w:ind w:firstLine="720"/>
        <w:rPr>
          <w:rFonts w:ascii="宋体" w:hAnsi="宋体" w:cs="仿宋_GB2312"/>
          <w:bCs/>
          <w:color w:val="auto"/>
          <w:sz w:val="32"/>
          <w:szCs w:val="32"/>
          <w:highlight w:val="none"/>
        </w:rPr>
      </w:pPr>
    </w:p>
    <w:p w14:paraId="351C109B">
      <w:pPr>
        <w:spacing w:before="120" w:after="50"/>
        <w:ind w:firstLine="640"/>
        <w:rPr>
          <w:rFonts w:ascii="宋体" w:hAnsi="宋体" w:cs="仿宋_GB2312"/>
          <w:bCs/>
          <w:color w:val="auto"/>
          <w:sz w:val="32"/>
          <w:szCs w:val="32"/>
          <w:highlight w:val="none"/>
        </w:rPr>
      </w:pPr>
      <w:r>
        <w:rPr>
          <w:rFonts w:hint="eastAsia" w:ascii="宋体" w:hAnsi="宋体" w:cs="仿宋_GB2312"/>
          <w:bCs/>
          <w:color w:val="auto"/>
          <w:sz w:val="32"/>
          <w:szCs w:val="32"/>
          <w:highlight w:val="none"/>
        </w:rPr>
        <w:t>项目编号：</w:t>
      </w:r>
    </w:p>
    <w:p w14:paraId="10B5D52A">
      <w:pPr>
        <w:spacing w:before="120" w:after="50"/>
        <w:ind w:firstLine="720"/>
        <w:rPr>
          <w:rFonts w:ascii="宋体" w:hAnsi="宋体" w:cs="仿宋_GB2312"/>
          <w:bCs/>
          <w:color w:val="auto"/>
          <w:sz w:val="32"/>
          <w:szCs w:val="32"/>
          <w:highlight w:val="none"/>
        </w:rPr>
      </w:pPr>
      <w:r>
        <w:rPr>
          <w:rFonts w:hint="eastAsia" w:ascii="宋体" w:hAnsi="宋体" w:cs="仿宋_GB2312"/>
          <w:bCs/>
          <w:color w:val="auto"/>
          <w:sz w:val="32"/>
          <w:szCs w:val="32"/>
          <w:highlight w:val="none"/>
        </w:rPr>
        <w:t xml:space="preserve"> </w:t>
      </w:r>
    </w:p>
    <w:p w14:paraId="2ABF7158">
      <w:pPr>
        <w:spacing w:before="120" w:after="50"/>
        <w:ind w:firstLine="640"/>
        <w:rPr>
          <w:rFonts w:ascii="宋体" w:hAnsi="宋体" w:cs="仿宋_GB2312"/>
          <w:bCs/>
          <w:color w:val="auto"/>
          <w:sz w:val="32"/>
          <w:szCs w:val="32"/>
          <w:highlight w:val="none"/>
        </w:rPr>
      </w:pPr>
      <w:r>
        <w:rPr>
          <w:rFonts w:hint="eastAsia" w:ascii="宋体" w:hAnsi="宋体" w:cs="仿宋_GB2312"/>
          <w:bCs/>
          <w:color w:val="auto"/>
          <w:sz w:val="32"/>
          <w:szCs w:val="32"/>
          <w:highlight w:val="none"/>
        </w:rPr>
        <w:t>所竞分标（如有则填写，无分标时填写“无”或者留空）：</w:t>
      </w:r>
    </w:p>
    <w:p w14:paraId="0D6C0295">
      <w:pPr>
        <w:spacing w:before="120" w:after="50"/>
        <w:ind w:firstLine="720"/>
        <w:rPr>
          <w:rFonts w:ascii="宋体" w:hAnsi="宋体" w:cs="仿宋_GB2312"/>
          <w:bCs/>
          <w:color w:val="auto"/>
          <w:sz w:val="32"/>
          <w:szCs w:val="32"/>
          <w:highlight w:val="none"/>
        </w:rPr>
      </w:pPr>
    </w:p>
    <w:p w14:paraId="03ABB7CB">
      <w:pPr>
        <w:pStyle w:val="205"/>
        <w:spacing w:before="50" w:after="50"/>
        <w:ind w:firstLine="640"/>
        <w:rPr>
          <w:rFonts w:ascii="宋体" w:hAnsi="宋体" w:cs="仿宋_GB2312"/>
          <w:bCs/>
          <w:color w:val="auto"/>
          <w:sz w:val="32"/>
          <w:szCs w:val="32"/>
          <w:highlight w:val="none"/>
        </w:rPr>
      </w:pPr>
      <w:r>
        <w:rPr>
          <w:rFonts w:hint="eastAsia" w:ascii="宋体" w:hAnsi="宋体" w:cs="仿宋_GB2312"/>
          <w:bCs/>
          <w:color w:val="auto"/>
          <w:sz w:val="32"/>
          <w:szCs w:val="32"/>
          <w:highlight w:val="none"/>
        </w:rPr>
        <w:t>供应商名称：</w:t>
      </w:r>
    </w:p>
    <w:p w14:paraId="6DB699EB">
      <w:pPr>
        <w:pStyle w:val="205"/>
        <w:spacing w:before="50" w:after="50"/>
        <w:ind w:firstLine="640"/>
        <w:rPr>
          <w:rFonts w:ascii="宋体" w:hAnsi="宋体" w:cs="仿宋_GB2312"/>
          <w:bCs/>
          <w:color w:val="auto"/>
          <w:sz w:val="32"/>
          <w:szCs w:val="32"/>
          <w:highlight w:val="none"/>
        </w:rPr>
      </w:pPr>
    </w:p>
    <w:p w14:paraId="113BCEE6">
      <w:pPr>
        <w:pStyle w:val="205"/>
        <w:spacing w:before="50" w:after="50"/>
        <w:ind w:firstLine="720"/>
        <w:rPr>
          <w:rFonts w:ascii="宋体" w:hAnsi="宋体" w:cs="仿宋_GB2312"/>
          <w:bCs/>
          <w:color w:val="auto"/>
          <w:sz w:val="32"/>
          <w:szCs w:val="32"/>
          <w:highlight w:val="none"/>
        </w:rPr>
      </w:pPr>
    </w:p>
    <w:p w14:paraId="3E7D1137">
      <w:pPr>
        <w:pStyle w:val="205"/>
        <w:spacing w:before="50" w:after="50"/>
        <w:ind w:firstLine="0"/>
        <w:rPr>
          <w:rFonts w:ascii="宋体" w:hAnsi="宋体" w:cs="仿宋_GB2312"/>
          <w:bCs/>
          <w:color w:val="auto"/>
          <w:sz w:val="32"/>
          <w:szCs w:val="32"/>
          <w:highlight w:val="none"/>
        </w:rPr>
      </w:pPr>
    </w:p>
    <w:p w14:paraId="5F0A45A4">
      <w:pPr>
        <w:pStyle w:val="205"/>
        <w:spacing w:before="50" w:after="50"/>
        <w:ind w:firstLine="1280"/>
        <w:rPr>
          <w:rFonts w:ascii="宋体" w:hAnsi="宋体" w:cs="仿宋_GB2312"/>
          <w:bCs/>
          <w:color w:val="auto"/>
          <w:sz w:val="32"/>
          <w:szCs w:val="32"/>
          <w:highlight w:val="none"/>
        </w:rPr>
      </w:pPr>
    </w:p>
    <w:p w14:paraId="281E9C8A">
      <w:pPr>
        <w:spacing w:before="120" w:after="50"/>
        <w:jc w:val="center"/>
        <w:rPr>
          <w:rFonts w:ascii="宋体" w:hAnsi="宋体" w:cs="仿宋_GB2312"/>
          <w:color w:val="auto"/>
          <w:sz w:val="32"/>
          <w:szCs w:val="32"/>
          <w:highlight w:val="none"/>
        </w:rPr>
      </w:pPr>
      <w:r>
        <w:rPr>
          <w:rFonts w:hint="eastAsia" w:ascii="宋体" w:hAnsi="宋体" w:cs="仿宋_GB2312"/>
          <w:color w:val="auto"/>
          <w:sz w:val="32"/>
          <w:szCs w:val="32"/>
          <w:highlight w:val="none"/>
        </w:rPr>
        <w:t>年    月    日</w:t>
      </w:r>
    </w:p>
    <w:p w14:paraId="39682C8E">
      <w:pPr>
        <w:spacing w:before="120" w:after="50" w:line="360" w:lineRule="auto"/>
        <w:ind w:left="142"/>
        <w:jc w:val="left"/>
        <w:rPr>
          <w:rFonts w:ascii="宋体" w:hAnsi="宋体"/>
          <w:b/>
          <w:bCs/>
          <w:color w:val="auto"/>
          <w:sz w:val="24"/>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2.报价文件目录</w:t>
      </w:r>
    </w:p>
    <w:p w14:paraId="6C8215EE">
      <w:pPr>
        <w:tabs>
          <w:tab w:val="left" w:pos="3479"/>
        </w:tabs>
        <w:spacing w:line="520" w:lineRule="exact"/>
        <w:jc w:val="left"/>
        <w:rPr>
          <w:rFonts w:ascii="宋体" w:hAnsi="宋体"/>
          <w:color w:val="auto"/>
          <w:sz w:val="32"/>
          <w:szCs w:val="32"/>
          <w:highlight w:val="none"/>
        </w:rPr>
      </w:pPr>
      <w:r>
        <w:rPr>
          <w:rFonts w:hint="eastAsia" w:ascii="宋体" w:hAnsi="宋体"/>
          <w:color w:val="auto"/>
          <w:sz w:val="32"/>
          <w:szCs w:val="32"/>
          <w:highlight w:val="none"/>
        </w:rPr>
        <w:t>根据谈判文件规定及供应商提供的材料自行编写目录（部分格式后附）。</w:t>
      </w:r>
    </w:p>
    <w:p w14:paraId="55903D33">
      <w:pPr>
        <w:tabs>
          <w:tab w:val="left" w:pos="3479"/>
        </w:tabs>
        <w:spacing w:line="520" w:lineRule="exact"/>
        <w:jc w:val="center"/>
        <w:rPr>
          <w:rFonts w:ascii="方正小标宋简体" w:hAnsi="方正小标宋简体" w:eastAsia="方正小标宋简体" w:cs="方正小标宋简体"/>
          <w:bCs/>
          <w:color w:val="auto"/>
          <w:sz w:val="32"/>
          <w:szCs w:val="32"/>
          <w:highlight w:val="none"/>
        </w:rPr>
      </w:pPr>
      <w:r>
        <w:rPr>
          <w:rFonts w:ascii="宋体" w:hAnsi="宋体"/>
          <w:color w:val="auto"/>
          <w:szCs w:val="21"/>
          <w:highlight w:val="none"/>
        </w:rPr>
        <w:br w:type="page" w:clear="all"/>
      </w:r>
      <w:r>
        <w:rPr>
          <w:rFonts w:hint="eastAsia" w:ascii="方正小标宋简体" w:hAnsi="方正小标宋简体" w:eastAsia="方正小标宋简体" w:cs="方正小标宋简体"/>
          <w:bCs/>
          <w:color w:val="auto"/>
          <w:sz w:val="44"/>
          <w:szCs w:val="44"/>
          <w:highlight w:val="none"/>
        </w:rPr>
        <w:t>竞  标  报  价  表</w:t>
      </w:r>
    </w:p>
    <w:p w14:paraId="1988C38B">
      <w:pPr>
        <w:spacing w:line="520" w:lineRule="exact"/>
        <w:jc w:val="center"/>
        <w:rPr>
          <w:rFonts w:ascii="方正小标宋简体" w:hAnsi="方正小标宋简体" w:eastAsia="方正小标宋简体" w:cs="方正小标宋简体"/>
          <w:bCs/>
          <w:color w:val="auto"/>
          <w:sz w:val="32"/>
          <w:szCs w:val="32"/>
          <w:highlight w:val="none"/>
        </w:rPr>
      </w:pPr>
    </w:p>
    <w:p w14:paraId="2EC26232">
      <w:pPr>
        <w:spacing w:before="50" w:after="50" w:line="360" w:lineRule="auto"/>
        <w:rPr>
          <w:rFonts w:ascii="宋体" w:hAnsi="宋体" w:cs="仿宋_GB2312"/>
          <w:color w:val="auto"/>
          <w:sz w:val="24"/>
          <w:highlight w:val="none"/>
        </w:rPr>
      </w:pPr>
      <w:r>
        <w:rPr>
          <w:rFonts w:hint="eastAsia" w:ascii="宋体" w:hAnsi="宋体" w:cs="仿宋_GB2312"/>
          <w:color w:val="auto"/>
          <w:sz w:val="24"/>
          <w:highlight w:val="none"/>
        </w:rPr>
        <w:t>项目名称：</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项目编号：</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分标（如有）：</w:t>
      </w:r>
      <w:r>
        <w:rPr>
          <w:rFonts w:hint="eastAsia" w:ascii="宋体" w:hAnsi="宋体" w:cs="仿宋_GB2312"/>
          <w:color w:val="auto"/>
          <w:sz w:val="24"/>
          <w:highlight w:val="none"/>
          <w:u w:val="single"/>
        </w:rPr>
        <w:t xml:space="preserve">            </w:t>
      </w:r>
    </w:p>
    <w:p w14:paraId="723DE291">
      <w:pPr>
        <w:spacing w:before="50" w:after="50" w:line="360" w:lineRule="auto"/>
        <w:rPr>
          <w:rFonts w:ascii="宋体" w:hAnsi="宋体" w:cs="仿宋_GB2312"/>
          <w:color w:val="auto"/>
          <w:sz w:val="24"/>
          <w:highlight w:val="none"/>
        </w:rPr>
      </w:pPr>
      <w:r>
        <w:rPr>
          <w:rFonts w:hint="eastAsia" w:ascii="宋体" w:hAnsi="宋体" w:cs="仿宋_GB2312"/>
          <w:color w:val="auto"/>
          <w:sz w:val="24"/>
          <w:highlight w:val="none"/>
        </w:rPr>
        <w:t>供应商名称：</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w:t>
      </w:r>
    </w:p>
    <w:p w14:paraId="4B29BCAD">
      <w:pPr>
        <w:spacing w:before="50" w:after="50" w:line="360" w:lineRule="auto"/>
        <w:ind w:firstLine="5520"/>
        <w:rPr>
          <w:rFonts w:ascii="宋体" w:hAnsi="宋体" w:cs="仿宋_GB2312"/>
          <w:color w:val="auto"/>
          <w:sz w:val="24"/>
          <w:highlight w:val="none"/>
        </w:rPr>
      </w:pPr>
      <w:r>
        <w:rPr>
          <w:rFonts w:hint="eastAsia" w:ascii="宋体" w:hAnsi="宋体" w:cs="仿宋_GB2312"/>
          <w:color w:val="auto"/>
          <w:sz w:val="24"/>
          <w:highlight w:val="none"/>
        </w:rPr>
        <w:t>单位：元</w:t>
      </w:r>
    </w:p>
    <w:tbl>
      <w:tblPr>
        <w:tblStyle w:val="38"/>
        <w:tblW w:w="111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70"/>
        <w:gridCol w:w="1125"/>
        <w:gridCol w:w="1080"/>
        <w:gridCol w:w="1080"/>
        <w:gridCol w:w="1095"/>
        <w:gridCol w:w="1020"/>
        <w:gridCol w:w="1065"/>
        <w:gridCol w:w="1245"/>
        <w:gridCol w:w="1020"/>
        <w:gridCol w:w="900"/>
        <w:gridCol w:w="345"/>
        <w:gridCol w:w="735"/>
      </w:tblGrid>
      <w:tr w14:paraId="233805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470" w:type="dxa"/>
            <w:tcBorders>
              <w:top w:val="single" w:color="auto" w:sz="4" w:space="0"/>
              <w:left w:val="single" w:color="auto" w:sz="4" w:space="0"/>
              <w:bottom w:val="single" w:color="auto" w:sz="4" w:space="0"/>
              <w:right w:val="single" w:color="auto" w:sz="4" w:space="0"/>
            </w:tcBorders>
            <w:vAlign w:val="center"/>
          </w:tcPr>
          <w:p w14:paraId="1B38172F">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序号</w:t>
            </w:r>
          </w:p>
        </w:tc>
        <w:tc>
          <w:tcPr>
            <w:tcW w:w="1125" w:type="dxa"/>
            <w:tcBorders>
              <w:top w:val="single" w:color="auto" w:sz="4" w:space="0"/>
              <w:left w:val="single" w:color="auto" w:sz="4" w:space="0"/>
              <w:bottom w:val="single" w:color="auto" w:sz="4" w:space="0"/>
              <w:right w:val="single" w:color="auto" w:sz="4" w:space="0"/>
            </w:tcBorders>
            <w:vAlign w:val="center"/>
          </w:tcPr>
          <w:p w14:paraId="51DE33D9">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标的的名称</w:t>
            </w:r>
          </w:p>
        </w:tc>
        <w:tc>
          <w:tcPr>
            <w:tcW w:w="1080" w:type="dxa"/>
            <w:tcBorders>
              <w:top w:val="single" w:color="auto" w:sz="4" w:space="0"/>
              <w:left w:val="single" w:color="auto" w:sz="4" w:space="0"/>
              <w:bottom w:val="single" w:color="auto" w:sz="4" w:space="0"/>
              <w:right w:val="single" w:color="auto" w:sz="4" w:space="0"/>
            </w:tcBorders>
            <w:vAlign w:val="center"/>
          </w:tcPr>
          <w:p w14:paraId="5477FA80">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医疗器械注册证产品名称（如有）</w:t>
            </w:r>
          </w:p>
        </w:tc>
        <w:tc>
          <w:tcPr>
            <w:tcW w:w="1080" w:type="dxa"/>
            <w:tcBorders>
              <w:top w:val="single" w:color="auto" w:sz="4" w:space="0"/>
              <w:left w:val="single" w:color="auto" w:sz="4" w:space="0"/>
              <w:bottom w:val="single" w:color="auto" w:sz="4" w:space="0"/>
              <w:right w:val="single" w:color="auto" w:sz="4" w:space="0"/>
            </w:tcBorders>
            <w:vAlign w:val="center"/>
          </w:tcPr>
          <w:p w14:paraId="19D1E535">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品牌</w:t>
            </w:r>
          </w:p>
        </w:tc>
        <w:tc>
          <w:tcPr>
            <w:tcW w:w="1095" w:type="dxa"/>
            <w:tcBorders>
              <w:top w:val="single" w:color="auto" w:sz="4" w:space="0"/>
              <w:left w:val="single" w:color="auto" w:sz="4" w:space="0"/>
              <w:bottom w:val="single" w:color="auto" w:sz="4" w:space="0"/>
              <w:right w:val="single" w:color="auto" w:sz="4" w:space="0"/>
            </w:tcBorders>
            <w:vAlign w:val="center"/>
          </w:tcPr>
          <w:p w14:paraId="2452DA87">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规格型号</w:t>
            </w:r>
          </w:p>
        </w:tc>
        <w:tc>
          <w:tcPr>
            <w:tcW w:w="1020" w:type="dxa"/>
            <w:tcBorders>
              <w:top w:val="single" w:color="auto" w:sz="4" w:space="0"/>
              <w:left w:val="single" w:color="auto" w:sz="4" w:space="0"/>
              <w:bottom w:val="single" w:color="auto" w:sz="4" w:space="0"/>
              <w:right w:val="single" w:color="auto" w:sz="4" w:space="0"/>
            </w:tcBorders>
            <w:vAlign w:val="center"/>
          </w:tcPr>
          <w:p w14:paraId="19963055">
            <w:pPr>
              <w:spacing w:line="360" w:lineRule="auto"/>
              <w:jc w:val="center"/>
              <w:rPr>
                <w:rFonts w:ascii="宋体" w:hAnsi="宋体"/>
                <w:b/>
                <w:color w:val="auto"/>
                <w:sz w:val="24"/>
                <w:highlight w:val="none"/>
              </w:rPr>
            </w:pPr>
            <w:r>
              <w:rPr>
                <w:rFonts w:hint="eastAsia" w:ascii="宋体" w:hAnsi="宋体" w:cs="仿宋_GB2312"/>
                <w:b/>
                <w:bCs/>
                <w:color w:val="auto"/>
                <w:sz w:val="24"/>
                <w:highlight w:val="none"/>
              </w:rPr>
              <w:t>制造商</w:t>
            </w:r>
          </w:p>
        </w:tc>
        <w:tc>
          <w:tcPr>
            <w:tcW w:w="1065" w:type="dxa"/>
            <w:tcBorders>
              <w:top w:val="single" w:color="auto" w:sz="4" w:space="0"/>
              <w:left w:val="single" w:color="auto" w:sz="4" w:space="0"/>
              <w:bottom w:val="single" w:color="auto" w:sz="4" w:space="0"/>
              <w:right w:val="single" w:color="auto" w:sz="4" w:space="0"/>
            </w:tcBorders>
            <w:vAlign w:val="center"/>
          </w:tcPr>
          <w:p w14:paraId="31C8E4B4">
            <w:pPr>
              <w:spacing w:line="360" w:lineRule="auto"/>
              <w:jc w:val="center"/>
              <w:rPr>
                <w:rFonts w:ascii="宋体" w:hAnsi="宋体"/>
                <w:b/>
                <w:color w:val="auto"/>
                <w:sz w:val="24"/>
                <w:highlight w:val="none"/>
              </w:rPr>
            </w:pPr>
            <w:r>
              <w:rPr>
                <w:rFonts w:hint="eastAsia" w:ascii="宋体" w:hAnsi="宋体" w:cs="仿宋_GB2312"/>
                <w:b/>
                <w:bCs/>
                <w:color w:val="auto"/>
                <w:sz w:val="24"/>
                <w:highlight w:val="none"/>
              </w:rPr>
              <w:t>原产地</w:t>
            </w:r>
          </w:p>
        </w:tc>
        <w:tc>
          <w:tcPr>
            <w:tcW w:w="1245" w:type="dxa"/>
            <w:tcBorders>
              <w:top w:val="single" w:color="auto" w:sz="4" w:space="0"/>
              <w:left w:val="single" w:color="auto" w:sz="4" w:space="0"/>
              <w:bottom w:val="single" w:color="auto" w:sz="4" w:space="0"/>
              <w:right w:val="single" w:color="auto" w:sz="4" w:space="0"/>
            </w:tcBorders>
            <w:vAlign w:val="center"/>
          </w:tcPr>
          <w:p w14:paraId="02FA8D3C">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数量及单位①</w:t>
            </w:r>
          </w:p>
        </w:tc>
        <w:tc>
          <w:tcPr>
            <w:tcW w:w="1020" w:type="dxa"/>
            <w:tcBorders>
              <w:top w:val="single" w:color="auto" w:sz="4" w:space="0"/>
              <w:left w:val="single" w:color="auto" w:sz="4" w:space="0"/>
              <w:bottom w:val="single" w:color="auto" w:sz="4" w:space="0"/>
              <w:right w:val="single" w:color="auto" w:sz="4" w:space="0"/>
            </w:tcBorders>
            <w:vAlign w:val="center"/>
          </w:tcPr>
          <w:p w14:paraId="6108E0FB">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单价</w:t>
            </w:r>
          </w:p>
          <w:p w14:paraId="2CABE124">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②</w:t>
            </w:r>
          </w:p>
        </w:tc>
        <w:tc>
          <w:tcPr>
            <w:tcW w:w="1245" w:type="dxa"/>
            <w:gridSpan w:val="2"/>
            <w:tcBorders>
              <w:top w:val="single" w:color="auto" w:sz="4" w:space="0"/>
              <w:left w:val="single" w:color="auto" w:sz="4" w:space="0"/>
              <w:bottom w:val="single" w:color="auto" w:sz="4" w:space="0"/>
              <w:right w:val="single" w:color="auto" w:sz="4" w:space="0"/>
            </w:tcBorders>
            <w:vAlign w:val="center"/>
          </w:tcPr>
          <w:p w14:paraId="58E8F865">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竞标报价</w:t>
            </w:r>
          </w:p>
          <w:p w14:paraId="7C8E1E1E">
            <w:pPr>
              <w:spacing w:before="50" w:after="50" w:line="360" w:lineRule="auto"/>
              <w:jc w:val="center"/>
              <w:rPr>
                <w:rFonts w:ascii="宋体" w:hAnsi="宋体"/>
                <w:b/>
                <w:color w:val="auto"/>
                <w:sz w:val="24"/>
                <w:highlight w:val="none"/>
              </w:rPr>
            </w:pPr>
            <w:r>
              <w:rPr>
                <w:rFonts w:ascii="宋体" w:hAnsi="宋体"/>
                <w:b/>
                <w:color w:val="auto"/>
                <w:sz w:val="24"/>
                <w:highlight w:val="none"/>
              </w:rPr>
              <w:t>③</w:t>
            </w:r>
            <w:r>
              <w:rPr>
                <w:rFonts w:hint="eastAsia" w:ascii="宋体" w:hAnsi="宋体"/>
                <w:b/>
                <w:color w:val="auto"/>
                <w:sz w:val="24"/>
                <w:highlight w:val="none"/>
              </w:rPr>
              <w:t>=①×②</w:t>
            </w:r>
          </w:p>
        </w:tc>
        <w:tc>
          <w:tcPr>
            <w:tcW w:w="735" w:type="dxa"/>
            <w:tcBorders>
              <w:top w:val="single" w:color="auto" w:sz="4" w:space="0"/>
              <w:left w:val="single" w:color="auto" w:sz="4" w:space="0"/>
              <w:bottom w:val="single" w:color="auto" w:sz="4" w:space="0"/>
              <w:right w:val="single" w:color="auto" w:sz="4" w:space="0"/>
            </w:tcBorders>
            <w:vAlign w:val="center"/>
          </w:tcPr>
          <w:p w14:paraId="73266686">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备注</w:t>
            </w:r>
          </w:p>
        </w:tc>
      </w:tr>
      <w:tr w14:paraId="2FD9D5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1" w:hRule="atLeast"/>
          <w:jc w:val="center"/>
        </w:trPr>
        <w:tc>
          <w:tcPr>
            <w:tcW w:w="470" w:type="dxa"/>
            <w:tcBorders>
              <w:top w:val="single" w:color="auto" w:sz="4" w:space="0"/>
              <w:left w:val="single" w:color="auto" w:sz="4" w:space="0"/>
              <w:bottom w:val="single" w:color="auto" w:sz="4" w:space="0"/>
              <w:right w:val="single" w:color="auto" w:sz="4" w:space="0"/>
            </w:tcBorders>
            <w:vAlign w:val="center"/>
          </w:tcPr>
          <w:p w14:paraId="3743BC07">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1</w:t>
            </w:r>
          </w:p>
        </w:tc>
        <w:tc>
          <w:tcPr>
            <w:tcW w:w="1125" w:type="dxa"/>
            <w:tcBorders>
              <w:top w:val="single" w:color="auto" w:sz="4" w:space="0"/>
              <w:left w:val="single" w:color="auto" w:sz="4" w:space="0"/>
              <w:bottom w:val="single" w:color="auto" w:sz="4" w:space="0"/>
              <w:right w:val="single" w:color="auto" w:sz="4" w:space="0"/>
            </w:tcBorders>
            <w:vAlign w:val="center"/>
          </w:tcPr>
          <w:p w14:paraId="3C912C9D">
            <w:pPr>
              <w:spacing w:before="50" w:after="50" w:line="360" w:lineRule="auto"/>
              <w:jc w:val="center"/>
              <w:rPr>
                <w:rFonts w:ascii="宋体" w:hAnsi="宋体"/>
                <w:b/>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2869553C">
            <w:pPr>
              <w:spacing w:before="50" w:after="50" w:line="360" w:lineRule="auto"/>
              <w:jc w:val="center"/>
              <w:rPr>
                <w:rFonts w:ascii="宋体" w:hAnsi="宋体"/>
                <w:b/>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6BF79C3C">
            <w:pPr>
              <w:spacing w:before="50" w:after="50" w:line="360" w:lineRule="auto"/>
              <w:rPr>
                <w:rFonts w:ascii="宋体" w:hAnsi="宋体"/>
                <w:color w:val="auto"/>
                <w:sz w:val="24"/>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14:paraId="1531A7E7">
            <w:pPr>
              <w:spacing w:before="50" w:after="50" w:line="360" w:lineRule="auto"/>
              <w:rPr>
                <w:rFonts w:ascii="宋体" w:hAnsi="宋体"/>
                <w:color w:val="auto"/>
                <w:sz w:val="24"/>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2D03175F">
            <w:pPr>
              <w:spacing w:before="50" w:after="50" w:line="360" w:lineRule="auto"/>
              <w:rPr>
                <w:rFonts w:ascii="宋体" w:hAnsi="宋体"/>
                <w:color w:val="auto"/>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6AA451CE">
            <w:pPr>
              <w:spacing w:before="50" w:after="50" w:line="360" w:lineRule="auto"/>
              <w:rPr>
                <w:rFonts w:ascii="宋体" w:hAnsi="宋体"/>
                <w:color w:val="auto"/>
                <w:sz w:val="24"/>
                <w:highlight w:val="none"/>
              </w:rPr>
            </w:pPr>
          </w:p>
        </w:tc>
        <w:tc>
          <w:tcPr>
            <w:tcW w:w="1245" w:type="dxa"/>
            <w:tcBorders>
              <w:top w:val="single" w:color="auto" w:sz="4" w:space="0"/>
              <w:left w:val="single" w:color="auto" w:sz="4" w:space="0"/>
              <w:bottom w:val="single" w:color="auto" w:sz="4" w:space="0"/>
              <w:right w:val="single" w:color="auto" w:sz="4" w:space="0"/>
            </w:tcBorders>
            <w:vAlign w:val="center"/>
          </w:tcPr>
          <w:p w14:paraId="3CE331D0">
            <w:pPr>
              <w:spacing w:before="50" w:after="50" w:line="360" w:lineRule="auto"/>
              <w:rPr>
                <w:rFonts w:ascii="宋体" w:hAnsi="宋体"/>
                <w:color w:val="auto"/>
                <w:sz w:val="24"/>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72FADA91">
            <w:pPr>
              <w:spacing w:before="50" w:after="50" w:line="360" w:lineRule="auto"/>
              <w:rPr>
                <w:rFonts w:ascii="宋体" w:hAnsi="宋体"/>
                <w:color w:val="auto"/>
                <w:sz w:val="24"/>
                <w:highlight w:val="none"/>
              </w:rPr>
            </w:pPr>
          </w:p>
        </w:tc>
        <w:tc>
          <w:tcPr>
            <w:tcW w:w="1245" w:type="dxa"/>
            <w:gridSpan w:val="2"/>
            <w:tcBorders>
              <w:top w:val="single" w:color="auto" w:sz="4" w:space="0"/>
              <w:left w:val="single" w:color="auto" w:sz="4" w:space="0"/>
              <w:bottom w:val="single" w:color="auto" w:sz="4" w:space="0"/>
              <w:right w:val="single" w:color="auto" w:sz="4" w:space="0"/>
            </w:tcBorders>
            <w:vAlign w:val="center"/>
          </w:tcPr>
          <w:p w14:paraId="1C9FDCFF">
            <w:pPr>
              <w:spacing w:before="50" w:after="50" w:line="360" w:lineRule="auto"/>
              <w:rPr>
                <w:rFonts w:ascii="宋体" w:hAnsi="宋体"/>
                <w:color w:val="auto"/>
                <w:sz w:val="24"/>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3BEDE0E7">
            <w:pPr>
              <w:spacing w:before="50" w:after="50" w:line="360" w:lineRule="auto"/>
              <w:rPr>
                <w:rFonts w:ascii="宋体" w:hAnsi="宋体"/>
                <w:color w:val="auto"/>
                <w:sz w:val="24"/>
                <w:highlight w:val="none"/>
              </w:rPr>
            </w:pPr>
          </w:p>
        </w:tc>
      </w:tr>
      <w:tr w14:paraId="2BBBE4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2" w:hRule="atLeast"/>
          <w:jc w:val="center"/>
        </w:trPr>
        <w:tc>
          <w:tcPr>
            <w:tcW w:w="470" w:type="dxa"/>
            <w:tcBorders>
              <w:top w:val="single" w:color="auto" w:sz="4" w:space="0"/>
              <w:left w:val="single" w:color="auto" w:sz="4" w:space="0"/>
              <w:bottom w:val="single" w:color="auto" w:sz="4" w:space="0"/>
              <w:right w:val="single" w:color="auto" w:sz="4" w:space="0"/>
            </w:tcBorders>
            <w:vAlign w:val="center"/>
          </w:tcPr>
          <w:p w14:paraId="52E3A2E6">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2</w:t>
            </w:r>
          </w:p>
        </w:tc>
        <w:tc>
          <w:tcPr>
            <w:tcW w:w="1125" w:type="dxa"/>
            <w:tcBorders>
              <w:top w:val="single" w:color="auto" w:sz="4" w:space="0"/>
              <w:left w:val="single" w:color="auto" w:sz="4" w:space="0"/>
              <w:bottom w:val="single" w:color="auto" w:sz="4" w:space="0"/>
              <w:right w:val="single" w:color="auto" w:sz="4" w:space="0"/>
            </w:tcBorders>
            <w:vAlign w:val="center"/>
          </w:tcPr>
          <w:p w14:paraId="01ED2F5E">
            <w:pPr>
              <w:spacing w:before="50" w:after="50" w:line="360" w:lineRule="auto"/>
              <w:jc w:val="center"/>
              <w:rPr>
                <w:rFonts w:ascii="宋体" w:hAnsi="宋体"/>
                <w:b/>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33EEC83">
            <w:pPr>
              <w:spacing w:before="50" w:after="50" w:line="360" w:lineRule="auto"/>
              <w:jc w:val="center"/>
              <w:rPr>
                <w:rFonts w:ascii="宋体" w:hAnsi="宋体"/>
                <w:b/>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20041C62">
            <w:pPr>
              <w:spacing w:before="50" w:after="50" w:line="360" w:lineRule="auto"/>
              <w:rPr>
                <w:rFonts w:ascii="宋体" w:hAnsi="宋体"/>
                <w:color w:val="auto"/>
                <w:sz w:val="24"/>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14:paraId="58C1AE51">
            <w:pPr>
              <w:spacing w:before="50" w:after="50" w:line="360" w:lineRule="auto"/>
              <w:rPr>
                <w:rFonts w:ascii="宋体" w:hAnsi="宋体"/>
                <w:color w:val="auto"/>
                <w:sz w:val="24"/>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19494001">
            <w:pPr>
              <w:spacing w:before="50" w:after="50" w:line="360" w:lineRule="auto"/>
              <w:rPr>
                <w:rFonts w:ascii="宋体" w:hAnsi="宋体"/>
                <w:color w:val="auto"/>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2A293364">
            <w:pPr>
              <w:spacing w:before="50" w:after="50" w:line="360" w:lineRule="auto"/>
              <w:rPr>
                <w:rFonts w:ascii="宋体" w:hAnsi="宋体"/>
                <w:color w:val="auto"/>
                <w:sz w:val="24"/>
                <w:highlight w:val="none"/>
              </w:rPr>
            </w:pPr>
          </w:p>
        </w:tc>
        <w:tc>
          <w:tcPr>
            <w:tcW w:w="1245" w:type="dxa"/>
            <w:tcBorders>
              <w:top w:val="single" w:color="auto" w:sz="4" w:space="0"/>
              <w:left w:val="single" w:color="auto" w:sz="4" w:space="0"/>
              <w:bottom w:val="single" w:color="auto" w:sz="4" w:space="0"/>
              <w:right w:val="single" w:color="auto" w:sz="4" w:space="0"/>
            </w:tcBorders>
            <w:vAlign w:val="center"/>
          </w:tcPr>
          <w:p w14:paraId="09A552AE">
            <w:pPr>
              <w:spacing w:before="50" w:after="50" w:line="360" w:lineRule="auto"/>
              <w:rPr>
                <w:rFonts w:ascii="宋体" w:hAnsi="宋体"/>
                <w:color w:val="auto"/>
                <w:sz w:val="24"/>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26619E67">
            <w:pPr>
              <w:spacing w:before="50" w:after="50" w:line="360" w:lineRule="auto"/>
              <w:rPr>
                <w:rFonts w:ascii="宋体" w:hAnsi="宋体"/>
                <w:color w:val="auto"/>
                <w:sz w:val="24"/>
                <w:highlight w:val="none"/>
              </w:rPr>
            </w:pPr>
          </w:p>
        </w:tc>
        <w:tc>
          <w:tcPr>
            <w:tcW w:w="1245" w:type="dxa"/>
            <w:gridSpan w:val="2"/>
            <w:tcBorders>
              <w:top w:val="single" w:color="auto" w:sz="4" w:space="0"/>
              <w:left w:val="single" w:color="auto" w:sz="4" w:space="0"/>
              <w:bottom w:val="single" w:color="auto" w:sz="4" w:space="0"/>
              <w:right w:val="single" w:color="auto" w:sz="4" w:space="0"/>
            </w:tcBorders>
            <w:vAlign w:val="center"/>
          </w:tcPr>
          <w:p w14:paraId="0A0689F2">
            <w:pPr>
              <w:spacing w:before="50" w:after="50" w:line="360" w:lineRule="auto"/>
              <w:rPr>
                <w:rFonts w:ascii="宋体" w:hAnsi="宋体"/>
                <w:color w:val="auto"/>
                <w:sz w:val="24"/>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37E6C90E">
            <w:pPr>
              <w:spacing w:before="50" w:after="50" w:line="360" w:lineRule="auto"/>
              <w:rPr>
                <w:rFonts w:ascii="宋体" w:hAnsi="宋体"/>
                <w:color w:val="auto"/>
                <w:sz w:val="24"/>
                <w:highlight w:val="none"/>
              </w:rPr>
            </w:pPr>
          </w:p>
        </w:tc>
      </w:tr>
      <w:tr w14:paraId="2B75B5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9" w:hRule="atLeast"/>
          <w:jc w:val="center"/>
        </w:trPr>
        <w:tc>
          <w:tcPr>
            <w:tcW w:w="470" w:type="dxa"/>
            <w:tcBorders>
              <w:top w:val="single" w:color="auto" w:sz="4" w:space="0"/>
              <w:left w:val="single" w:color="auto" w:sz="4" w:space="0"/>
              <w:bottom w:val="single" w:color="auto" w:sz="4" w:space="0"/>
              <w:right w:val="single" w:color="auto" w:sz="4" w:space="0"/>
            </w:tcBorders>
            <w:vAlign w:val="center"/>
          </w:tcPr>
          <w:p w14:paraId="622C32E9">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w:t>
            </w:r>
          </w:p>
        </w:tc>
        <w:tc>
          <w:tcPr>
            <w:tcW w:w="1125" w:type="dxa"/>
            <w:tcBorders>
              <w:top w:val="single" w:color="auto" w:sz="4" w:space="0"/>
              <w:left w:val="single" w:color="auto" w:sz="4" w:space="0"/>
              <w:bottom w:val="single" w:color="auto" w:sz="4" w:space="0"/>
              <w:right w:val="single" w:color="auto" w:sz="4" w:space="0"/>
            </w:tcBorders>
            <w:vAlign w:val="center"/>
          </w:tcPr>
          <w:p w14:paraId="54A9FBD2">
            <w:pPr>
              <w:spacing w:before="50" w:after="50" w:line="360" w:lineRule="auto"/>
              <w:jc w:val="center"/>
              <w:rPr>
                <w:rFonts w:ascii="宋体" w:hAnsi="宋体"/>
                <w:b/>
                <w:color w:val="auto"/>
                <w:sz w:val="24"/>
                <w:highlight w:val="none"/>
              </w:rPr>
            </w:pPr>
            <w:r>
              <w:rPr>
                <w:rFonts w:hint="eastAsia" w:ascii="宋体" w:hAnsi="宋体"/>
                <w:b/>
                <w:color w:val="auto"/>
                <w:sz w:val="24"/>
                <w:highlight w:val="none"/>
              </w:rPr>
              <w:t>……</w:t>
            </w:r>
          </w:p>
        </w:tc>
        <w:tc>
          <w:tcPr>
            <w:tcW w:w="1080" w:type="dxa"/>
            <w:tcBorders>
              <w:top w:val="single" w:color="auto" w:sz="4" w:space="0"/>
              <w:left w:val="single" w:color="auto" w:sz="4" w:space="0"/>
              <w:bottom w:val="single" w:color="auto" w:sz="4" w:space="0"/>
              <w:right w:val="single" w:color="auto" w:sz="4" w:space="0"/>
            </w:tcBorders>
            <w:vAlign w:val="center"/>
          </w:tcPr>
          <w:p w14:paraId="182E85B4">
            <w:pPr>
              <w:spacing w:before="50" w:after="50" w:line="360" w:lineRule="auto"/>
              <w:jc w:val="center"/>
              <w:rPr>
                <w:rFonts w:ascii="宋体" w:hAnsi="宋体"/>
                <w:b/>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4BCBF8C5">
            <w:pPr>
              <w:spacing w:before="50" w:after="50" w:line="360" w:lineRule="auto"/>
              <w:rPr>
                <w:rFonts w:ascii="宋体" w:hAnsi="宋体"/>
                <w:color w:val="auto"/>
                <w:sz w:val="24"/>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14:paraId="6B13881D">
            <w:pPr>
              <w:spacing w:before="50" w:after="50" w:line="360" w:lineRule="auto"/>
              <w:rPr>
                <w:rFonts w:ascii="宋体" w:hAnsi="宋体"/>
                <w:color w:val="auto"/>
                <w:sz w:val="24"/>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6759A59D">
            <w:pPr>
              <w:spacing w:before="50" w:after="50" w:line="360" w:lineRule="auto"/>
              <w:rPr>
                <w:rFonts w:ascii="宋体" w:hAnsi="宋体"/>
                <w:color w:val="auto"/>
                <w:sz w:val="24"/>
                <w:highlight w:val="none"/>
              </w:rPr>
            </w:pPr>
          </w:p>
        </w:tc>
        <w:tc>
          <w:tcPr>
            <w:tcW w:w="1065" w:type="dxa"/>
            <w:tcBorders>
              <w:top w:val="single" w:color="auto" w:sz="4" w:space="0"/>
              <w:left w:val="single" w:color="auto" w:sz="4" w:space="0"/>
              <w:bottom w:val="single" w:color="auto" w:sz="4" w:space="0"/>
              <w:right w:val="single" w:color="auto" w:sz="4" w:space="0"/>
            </w:tcBorders>
            <w:vAlign w:val="center"/>
          </w:tcPr>
          <w:p w14:paraId="75335338">
            <w:pPr>
              <w:spacing w:before="50" w:after="50" w:line="360" w:lineRule="auto"/>
              <w:rPr>
                <w:rFonts w:ascii="宋体" w:hAnsi="宋体"/>
                <w:color w:val="auto"/>
                <w:sz w:val="24"/>
                <w:highlight w:val="none"/>
              </w:rPr>
            </w:pPr>
          </w:p>
        </w:tc>
        <w:tc>
          <w:tcPr>
            <w:tcW w:w="1245" w:type="dxa"/>
            <w:tcBorders>
              <w:top w:val="single" w:color="auto" w:sz="4" w:space="0"/>
              <w:left w:val="single" w:color="auto" w:sz="4" w:space="0"/>
              <w:bottom w:val="single" w:color="auto" w:sz="4" w:space="0"/>
              <w:right w:val="single" w:color="auto" w:sz="4" w:space="0"/>
            </w:tcBorders>
            <w:vAlign w:val="center"/>
          </w:tcPr>
          <w:p w14:paraId="4D0C8DB8">
            <w:pPr>
              <w:spacing w:before="50" w:after="50" w:line="360" w:lineRule="auto"/>
              <w:rPr>
                <w:rFonts w:ascii="宋体" w:hAnsi="宋体"/>
                <w:color w:val="auto"/>
                <w:sz w:val="24"/>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75A5A7C7">
            <w:pPr>
              <w:spacing w:before="50" w:after="50" w:line="360" w:lineRule="auto"/>
              <w:rPr>
                <w:rFonts w:ascii="宋体" w:hAnsi="宋体"/>
                <w:color w:val="auto"/>
                <w:sz w:val="24"/>
                <w:highlight w:val="none"/>
              </w:rPr>
            </w:pPr>
          </w:p>
        </w:tc>
        <w:tc>
          <w:tcPr>
            <w:tcW w:w="1245" w:type="dxa"/>
            <w:gridSpan w:val="2"/>
            <w:tcBorders>
              <w:top w:val="single" w:color="auto" w:sz="4" w:space="0"/>
              <w:left w:val="single" w:color="auto" w:sz="4" w:space="0"/>
              <w:bottom w:val="single" w:color="auto" w:sz="4" w:space="0"/>
              <w:right w:val="single" w:color="auto" w:sz="4" w:space="0"/>
            </w:tcBorders>
            <w:vAlign w:val="center"/>
          </w:tcPr>
          <w:p w14:paraId="6F22789F">
            <w:pPr>
              <w:spacing w:before="50" w:after="50" w:line="360" w:lineRule="auto"/>
              <w:rPr>
                <w:rFonts w:ascii="宋体" w:hAnsi="宋体"/>
                <w:color w:val="auto"/>
                <w:sz w:val="24"/>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14:paraId="187A6B5E">
            <w:pPr>
              <w:spacing w:before="50" w:after="50" w:line="360" w:lineRule="auto"/>
              <w:rPr>
                <w:rFonts w:ascii="宋体" w:hAnsi="宋体"/>
                <w:color w:val="auto"/>
                <w:sz w:val="24"/>
                <w:highlight w:val="none"/>
              </w:rPr>
            </w:pPr>
          </w:p>
        </w:tc>
      </w:tr>
      <w:tr w14:paraId="4E5C69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9" w:hRule="atLeast"/>
          <w:jc w:val="center"/>
        </w:trPr>
        <w:tc>
          <w:tcPr>
            <w:tcW w:w="10100" w:type="dxa"/>
            <w:gridSpan w:val="10"/>
            <w:tcBorders>
              <w:top w:val="single" w:color="auto" w:sz="4" w:space="0"/>
              <w:left w:val="single" w:color="auto" w:sz="4" w:space="0"/>
              <w:bottom w:val="single" w:color="auto" w:sz="4" w:space="0"/>
              <w:right w:val="single" w:color="auto" w:sz="4" w:space="0"/>
            </w:tcBorders>
            <w:vAlign w:val="center"/>
          </w:tcPr>
          <w:p w14:paraId="5DC13D8D">
            <w:pPr>
              <w:spacing w:before="50" w:after="50" w:line="360" w:lineRule="auto"/>
              <w:rPr>
                <w:rFonts w:ascii="宋体" w:hAnsi="宋体" w:cs="仿宋_GB2312"/>
                <w:color w:val="auto"/>
                <w:sz w:val="24"/>
                <w:highlight w:val="none"/>
              </w:rPr>
            </w:pPr>
            <w:r>
              <w:rPr>
                <w:rFonts w:hint="eastAsia" w:ascii="宋体" w:hAnsi="宋体" w:cs="仿宋_GB2312"/>
                <w:color w:val="auto"/>
                <w:sz w:val="24"/>
                <w:highlight w:val="none"/>
              </w:rPr>
              <w:t>合计金额大写：人民币</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w:t>
            </w: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596337B1">
            <w:pPr>
              <w:spacing w:before="50" w:after="50" w:line="360" w:lineRule="auto"/>
              <w:rPr>
                <w:rFonts w:ascii="宋体" w:hAnsi="宋体" w:cs="仿宋_GB2312"/>
                <w:color w:val="auto"/>
                <w:sz w:val="24"/>
                <w:highlight w:val="none"/>
              </w:rPr>
            </w:pPr>
          </w:p>
        </w:tc>
      </w:tr>
      <w:tr w14:paraId="50639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9" w:hRule="atLeast"/>
          <w:jc w:val="center"/>
        </w:trPr>
        <w:tc>
          <w:tcPr>
            <w:tcW w:w="10100" w:type="dxa"/>
            <w:gridSpan w:val="10"/>
            <w:tcBorders>
              <w:top w:val="single" w:color="auto" w:sz="4" w:space="0"/>
              <w:left w:val="single" w:color="auto" w:sz="4" w:space="0"/>
              <w:bottom w:val="single" w:color="auto" w:sz="4" w:space="0"/>
              <w:right w:val="single" w:color="auto" w:sz="4" w:space="0"/>
            </w:tcBorders>
            <w:vAlign w:val="center"/>
          </w:tcPr>
          <w:p w14:paraId="4A4C0CCA">
            <w:pPr>
              <w:spacing w:before="50" w:after="50" w:line="360" w:lineRule="auto"/>
              <w:rPr>
                <w:rFonts w:ascii="宋体" w:hAnsi="宋体" w:cs="仿宋_GB2312"/>
                <w:iCs/>
                <w:color w:val="auto"/>
                <w:sz w:val="24"/>
                <w:highlight w:val="none"/>
                <w:u w:val="single"/>
              </w:rPr>
            </w:pPr>
            <w:r>
              <w:rPr>
                <w:rFonts w:hint="eastAsia" w:ascii="宋体" w:hAnsi="宋体" w:cs="仿宋_GB2312"/>
                <w:iCs/>
                <w:color w:val="auto"/>
                <w:sz w:val="24"/>
                <w:highlight w:val="none"/>
                <w:u w:val="single"/>
              </w:rPr>
              <w:t>竞标产品中，属于本国产品总值为¥       （具体明细详见附表，附表格式自拟），占竞标产品报价的比例为    %。</w:t>
            </w: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62938509">
            <w:pPr>
              <w:spacing w:before="50" w:after="50" w:line="360" w:lineRule="auto"/>
              <w:rPr>
                <w:rFonts w:ascii="宋体" w:hAnsi="宋体" w:cs="仿宋_GB2312"/>
                <w:iCs/>
                <w:color w:val="auto"/>
                <w:sz w:val="24"/>
                <w:highlight w:val="none"/>
                <w:u w:val="single"/>
              </w:rPr>
            </w:pPr>
          </w:p>
        </w:tc>
      </w:tr>
    </w:tbl>
    <w:p w14:paraId="1828914F">
      <w:pPr>
        <w:spacing w:line="360" w:lineRule="auto"/>
        <w:contextualSpacing/>
        <w:jc w:val="left"/>
        <w:rPr>
          <w:rFonts w:ascii="宋体" w:hAnsi="宋体" w:cs="仿宋_GB2312"/>
          <w:color w:val="auto"/>
          <w:sz w:val="24"/>
          <w:highlight w:val="none"/>
        </w:rPr>
      </w:pPr>
      <w:r>
        <w:rPr>
          <w:rFonts w:hint="eastAsia" w:ascii="宋体" w:hAnsi="宋体" w:cs="仿宋_GB2312"/>
          <w:color w:val="auto"/>
          <w:sz w:val="24"/>
          <w:highlight w:val="none"/>
        </w:rPr>
        <w:t xml:space="preserve">注： </w:t>
      </w:r>
    </w:p>
    <w:p w14:paraId="675B3646">
      <w:pPr>
        <w:spacing w:line="360" w:lineRule="auto"/>
        <w:ind w:firstLine="480"/>
        <w:contextualSpacing/>
        <w:jc w:val="left"/>
        <w:rPr>
          <w:rFonts w:ascii="宋体" w:hAnsi="宋体" w:cs="仿宋_GB2312"/>
          <w:color w:val="auto"/>
          <w:sz w:val="24"/>
          <w:highlight w:val="none"/>
        </w:rPr>
      </w:pPr>
      <w:r>
        <w:rPr>
          <w:rFonts w:hint="eastAsia" w:ascii="宋体" w:hAnsi="宋体" w:cs="仿宋_GB2312"/>
          <w:color w:val="auto"/>
          <w:sz w:val="24"/>
          <w:highlight w:val="none"/>
        </w:rPr>
        <w:t>1</w:t>
      </w:r>
      <w:r>
        <w:rPr>
          <w:rFonts w:ascii="宋体" w:hAnsi="宋体" w:cs="仿宋_GB2312"/>
          <w:color w:val="auto"/>
          <w:sz w:val="24"/>
          <w:highlight w:val="none"/>
        </w:rPr>
        <w:t>.</w:t>
      </w:r>
      <w:r>
        <w:rPr>
          <w:rFonts w:hint="eastAsia" w:ascii="宋体" w:hAnsi="宋体"/>
          <w:color w:val="auto"/>
          <w:sz w:val="24"/>
          <w:highlight w:val="none"/>
        </w:rPr>
        <w:t xml:space="preserve"> 以上竞标报价表中“标的的名称、品牌、规格型号、制造商、原产地”必须如实填写完整，品牌、规格型号没有则填无，填写有缺漏</w:t>
      </w:r>
      <w:r>
        <w:rPr>
          <w:rFonts w:hint="eastAsia" w:ascii="宋体" w:hAnsi="宋体"/>
          <w:bCs/>
          <w:color w:val="auto"/>
          <w:sz w:val="24"/>
          <w:highlight w:val="none"/>
        </w:rPr>
        <w:t>的，</w:t>
      </w:r>
      <w:r>
        <w:rPr>
          <w:rFonts w:hint="eastAsia" w:ascii="宋体" w:hAnsi="宋体" w:cs="仿宋_GB2312"/>
          <w:b/>
          <w:color w:val="auto"/>
          <w:sz w:val="24"/>
          <w:highlight w:val="none"/>
        </w:rPr>
        <w:t>其响应文件按无效响应处理</w:t>
      </w:r>
      <w:r>
        <w:rPr>
          <w:rFonts w:hint="eastAsia" w:ascii="宋体" w:hAnsi="宋体"/>
          <w:b/>
          <w:color w:val="auto"/>
          <w:sz w:val="24"/>
          <w:highlight w:val="none"/>
        </w:rPr>
        <w:t>。</w:t>
      </w:r>
    </w:p>
    <w:p w14:paraId="313E0C93">
      <w:pPr>
        <w:spacing w:line="360" w:lineRule="auto"/>
        <w:ind w:firstLine="480"/>
        <w:contextualSpacing/>
        <w:jc w:val="left"/>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.供应商的报价表必须加盖供应商电子签章并由法定代表人或者委托代理人签字或者电子签名，</w:t>
      </w:r>
      <w:r>
        <w:rPr>
          <w:rFonts w:hint="eastAsia" w:ascii="宋体" w:hAnsi="宋体" w:cs="仿宋_GB2312"/>
          <w:b/>
          <w:color w:val="auto"/>
          <w:sz w:val="24"/>
          <w:highlight w:val="none"/>
        </w:rPr>
        <w:t>否则其响应文件按无效处理</w:t>
      </w:r>
      <w:r>
        <w:rPr>
          <w:rFonts w:hint="eastAsia" w:ascii="宋体" w:hAnsi="宋体" w:cs="仿宋_GB2312"/>
          <w:color w:val="auto"/>
          <w:sz w:val="24"/>
          <w:highlight w:val="none"/>
        </w:rPr>
        <w:t>。</w:t>
      </w:r>
    </w:p>
    <w:p w14:paraId="34752185">
      <w:pPr>
        <w:spacing w:line="360" w:lineRule="auto"/>
        <w:ind w:firstLine="480"/>
        <w:contextualSpacing/>
        <w:jc w:val="left"/>
        <w:rPr>
          <w:rFonts w:ascii="宋体" w:hAnsi="宋体" w:cs="仿宋_GB2312"/>
          <w:b/>
          <w:color w:val="auto"/>
          <w:sz w:val="24"/>
          <w:highlight w:val="none"/>
        </w:rPr>
      </w:pPr>
      <w:r>
        <w:rPr>
          <w:rFonts w:ascii="宋体" w:hAnsi="宋体" w:cs="仿宋_GB2312"/>
          <w:bCs/>
          <w:color w:val="auto"/>
          <w:sz w:val="24"/>
          <w:highlight w:val="none"/>
        </w:rPr>
        <w:t>3</w:t>
      </w:r>
      <w:r>
        <w:rPr>
          <w:rFonts w:hint="eastAsia" w:ascii="宋体" w:hAnsi="宋体" w:cs="仿宋_GB2312"/>
          <w:bCs/>
          <w:color w:val="auto"/>
          <w:sz w:val="24"/>
          <w:highlight w:val="none"/>
        </w:rPr>
        <w:t>.</w:t>
      </w:r>
      <w:r>
        <w:rPr>
          <w:rFonts w:hint="eastAsia" w:ascii="宋体" w:hAnsi="宋体" w:cs="仿宋_GB2312"/>
          <w:color w:val="auto"/>
          <w:sz w:val="24"/>
          <w:highlight w:val="none"/>
        </w:rPr>
        <w:t>报价一经涂改，应在涂改处加盖供应商公章或者加盖电子签章或者由法定代表人或者授权委托人签字</w:t>
      </w:r>
      <w:r>
        <w:rPr>
          <w:rFonts w:hint="eastAsia" w:ascii="宋体" w:hAnsi="宋体"/>
          <w:color w:val="auto"/>
          <w:sz w:val="24"/>
          <w:highlight w:val="none"/>
        </w:rPr>
        <w:t>（或者电子签名）</w:t>
      </w:r>
      <w:r>
        <w:rPr>
          <w:rFonts w:hint="eastAsia" w:ascii="宋体" w:hAnsi="宋体" w:cs="仿宋_GB2312"/>
          <w:b/>
          <w:color w:val="auto"/>
          <w:sz w:val="24"/>
          <w:highlight w:val="none"/>
        </w:rPr>
        <w:t>，否则其响应文件按无效处理。</w:t>
      </w:r>
    </w:p>
    <w:p w14:paraId="0C93B50D">
      <w:pPr>
        <w:spacing w:line="360" w:lineRule="auto"/>
        <w:ind w:right="-817" w:firstLine="2640"/>
        <w:contextualSpacing/>
        <w:rPr>
          <w:rFonts w:ascii="宋体" w:hAnsi="宋体" w:cs="仿宋_GB2312"/>
          <w:color w:val="auto"/>
          <w:sz w:val="24"/>
          <w:highlight w:val="none"/>
        </w:rPr>
      </w:pPr>
      <w:r>
        <w:rPr>
          <w:rFonts w:hint="eastAsia" w:ascii="宋体" w:hAnsi="宋体" w:cs="仿宋_GB2312"/>
          <w:color w:val="auto"/>
          <w:sz w:val="24"/>
          <w:highlight w:val="none"/>
        </w:rPr>
        <w:t xml:space="preserve">法定代表人或者委托代理人（签字或者电子签名）：                    </w:t>
      </w:r>
    </w:p>
    <w:p w14:paraId="19955D03">
      <w:pPr>
        <w:spacing w:line="360" w:lineRule="auto"/>
        <w:ind w:right="-817" w:firstLine="2640"/>
        <w:contextualSpacing/>
        <w:rPr>
          <w:rFonts w:ascii="宋体" w:hAnsi="宋体" w:cs="仿宋_GB2312"/>
          <w:color w:val="auto"/>
          <w:sz w:val="24"/>
          <w:highlight w:val="none"/>
        </w:rPr>
      </w:pPr>
      <w:r>
        <w:rPr>
          <w:rFonts w:hint="eastAsia" w:ascii="宋体" w:hAnsi="宋体" w:cs="仿宋_GB2312"/>
          <w:color w:val="auto"/>
          <w:sz w:val="24"/>
          <w:highlight w:val="none"/>
        </w:rPr>
        <w:t xml:space="preserve">供应商名称（电子签章）：      </w:t>
      </w:r>
    </w:p>
    <w:p w14:paraId="121DF2CA">
      <w:pPr>
        <w:spacing w:line="360" w:lineRule="auto"/>
        <w:ind w:right="-817"/>
        <w:contextualSpacing/>
        <w:rPr>
          <w:rFonts w:ascii="仿宋_GB2312" w:hAnsi="仿宋_GB2312" w:eastAsia="仿宋_GB2312" w:cs="仿宋_GB2312"/>
          <w:b/>
          <w:color w:val="auto"/>
          <w:sz w:val="32"/>
          <w:szCs w:val="32"/>
          <w:highlight w:val="none"/>
        </w:rPr>
      </w:pPr>
      <w:r>
        <w:rPr>
          <w:rFonts w:hint="eastAsia" w:ascii="宋体" w:hAnsi="宋体" w:cs="仿宋_GB2312"/>
          <w:color w:val="auto"/>
          <w:sz w:val="24"/>
          <w:highlight w:val="none"/>
        </w:rPr>
        <w:t xml:space="preserve">                      日期：   年   月   日</w:t>
      </w:r>
    </w:p>
    <w:p w14:paraId="21F7F9CA">
      <w:pPr>
        <w:spacing w:line="360" w:lineRule="auto"/>
        <w:ind w:right="420"/>
        <w:contextualSpacing/>
        <w:jc w:val="left"/>
        <w:rPr>
          <w:rFonts w:ascii="宋体" w:hAnsi="宋体"/>
          <w:b/>
          <w:color w:val="auto"/>
          <w:sz w:val="32"/>
          <w:szCs w:val="32"/>
          <w:highlight w:val="none"/>
        </w:rPr>
      </w:pPr>
      <w:r>
        <w:rPr>
          <w:rFonts w:hint="eastAsia" w:ascii="宋体" w:hAnsi="宋体"/>
          <w:b/>
          <w:bCs/>
          <w:color w:val="auto"/>
          <w:sz w:val="32"/>
          <w:szCs w:val="32"/>
          <w:highlight w:val="none"/>
        </w:rPr>
        <w:t>三、</w:t>
      </w:r>
      <w:r>
        <w:rPr>
          <w:rFonts w:hint="eastAsia" w:ascii="宋体" w:hAnsi="宋体"/>
          <w:b/>
          <w:color w:val="auto"/>
          <w:sz w:val="32"/>
          <w:szCs w:val="32"/>
          <w:highlight w:val="none"/>
        </w:rPr>
        <w:t xml:space="preserve">商务技术文件格式 </w:t>
      </w:r>
    </w:p>
    <w:p w14:paraId="41367C05">
      <w:pPr>
        <w:spacing w:before="120" w:after="50" w:line="360" w:lineRule="auto"/>
        <w:jc w:val="left"/>
        <w:rPr>
          <w:rFonts w:ascii="宋体" w:hAnsi="宋体"/>
          <w:b/>
          <w:color w:val="auto"/>
          <w:sz w:val="32"/>
          <w:szCs w:val="32"/>
          <w:highlight w:val="none"/>
        </w:rPr>
      </w:pPr>
      <w:r>
        <w:rPr>
          <w:rFonts w:hint="eastAsia" w:ascii="宋体" w:hAnsi="宋体"/>
          <w:b/>
          <w:color w:val="auto"/>
          <w:sz w:val="32"/>
          <w:szCs w:val="32"/>
          <w:highlight w:val="none"/>
        </w:rPr>
        <w:t>1.商务技术文件封面格式</w:t>
      </w:r>
    </w:p>
    <w:p w14:paraId="6240AA26">
      <w:pPr>
        <w:spacing w:before="120" w:after="50"/>
        <w:rPr>
          <w:rFonts w:ascii="宋体" w:hAnsi="宋体"/>
          <w:bCs/>
          <w:color w:val="auto"/>
          <w:sz w:val="32"/>
          <w:szCs w:val="20"/>
          <w:highlight w:val="none"/>
        </w:rPr>
      </w:pPr>
      <w:r>
        <w:rPr>
          <w:rFonts w:hint="eastAsia" w:ascii="宋体" w:hAnsi="宋体"/>
          <w:color w:val="auto"/>
          <w:sz w:val="24"/>
          <w:highlight w:val="none"/>
        </w:rPr>
        <w:t xml:space="preserve">                                                    </w:t>
      </w:r>
    </w:p>
    <w:p w14:paraId="65CC67F1">
      <w:pPr>
        <w:spacing w:before="120" w:after="50"/>
        <w:jc w:val="center"/>
        <w:rPr>
          <w:rFonts w:ascii="宋体" w:hAnsi="宋体"/>
          <w:color w:val="auto"/>
          <w:sz w:val="24"/>
          <w:szCs w:val="20"/>
          <w:highlight w:val="none"/>
        </w:rPr>
      </w:pPr>
      <w:r>
        <w:rPr>
          <w:rFonts w:hint="eastAsia" w:ascii="宋体" w:hAnsi="宋体"/>
          <w:color w:val="auto"/>
          <w:sz w:val="44"/>
          <w:szCs w:val="44"/>
          <w:highlight w:val="none"/>
        </w:rPr>
        <w:t>电 子 响 应 文 件</w:t>
      </w:r>
    </w:p>
    <w:p w14:paraId="6DBC7738">
      <w:pPr>
        <w:spacing w:before="120" w:after="50"/>
        <w:rPr>
          <w:rFonts w:ascii="宋体" w:hAnsi="宋体"/>
          <w:color w:val="auto"/>
          <w:sz w:val="24"/>
          <w:szCs w:val="20"/>
          <w:highlight w:val="none"/>
        </w:rPr>
      </w:pPr>
    </w:p>
    <w:p w14:paraId="7236840B">
      <w:pPr>
        <w:spacing w:before="120" w:after="50"/>
        <w:rPr>
          <w:rFonts w:ascii="宋体" w:hAnsi="宋体"/>
          <w:color w:val="auto"/>
          <w:sz w:val="24"/>
          <w:szCs w:val="20"/>
          <w:highlight w:val="none"/>
        </w:rPr>
      </w:pPr>
    </w:p>
    <w:p w14:paraId="30749EFF">
      <w:pPr>
        <w:spacing w:before="120" w:after="50"/>
        <w:jc w:val="center"/>
        <w:rPr>
          <w:rFonts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商  务  技  术  文  件</w:t>
      </w:r>
    </w:p>
    <w:p w14:paraId="05046000">
      <w:pPr>
        <w:spacing w:before="120" w:after="50"/>
        <w:rPr>
          <w:rFonts w:ascii="宋体" w:hAnsi="宋体"/>
          <w:bCs/>
          <w:color w:val="auto"/>
          <w:sz w:val="24"/>
          <w:szCs w:val="20"/>
          <w:highlight w:val="none"/>
        </w:rPr>
      </w:pPr>
    </w:p>
    <w:p w14:paraId="13E39ECB">
      <w:pPr>
        <w:spacing w:before="120" w:after="50"/>
        <w:rPr>
          <w:rFonts w:ascii="宋体" w:hAnsi="宋体"/>
          <w:bCs/>
          <w:color w:val="auto"/>
          <w:sz w:val="24"/>
          <w:szCs w:val="20"/>
          <w:highlight w:val="none"/>
        </w:rPr>
      </w:pPr>
    </w:p>
    <w:p w14:paraId="1E4F8D77">
      <w:pPr>
        <w:spacing w:before="120" w:after="50"/>
        <w:rPr>
          <w:rFonts w:ascii="宋体" w:hAnsi="宋体"/>
          <w:bCs/>
          <w:color w:val="auto"/>
          <w:sz w:val="24"/>
          <w:szCs w:val="20"/>
          <w:highlight w:val="none"/>
        </w:rPr>
      </w:pPr>
    </w:p>
    <w:p w14:paraId="6CF2DF27">
      <w:pPr>
        <w:spacing w:before="120" w:after="50"/>
        <w:rPr>
          <w:rFonts w:ascii="宋体" w:hAnsi="宋体"/>
          <w:bCs/>
          <w:color w:val="auto"/>
          <w:sz w:val="24"/>
          <w:szCs w:val="20"/>
          <w:highlight w:val="none"/>
        </w:rPr>
      </w:pPr>
    </w:p>
    <w:p w14:paraId="3C67BB9A">
      <w:pPr>
        <w:spacing w:before="120" w:after="50"/>
        <w:rPr>
          <w:rFonts w:ascii="宋体" w:hAnsi="宋体"/>
          <w:bCs/>
          <w:color w:val="auto"/>
          <w:sz w:val="24"/>
          <w:szCs w:val="20"/>
          <w:highlight w:val="none"/>
        </w:rPr>
      </w:pPr>
    </w:p>
    <w:p w14:paraId="7294D417">
      <w:pPr>
        <w:spacing w:before="120" w:after="50"/>
        <w:ind w:firstLine="640"/>
        <w:rPr>
          <w:rFonts w:ascii="宋体" w:hAnsi="宋体" w:cs="仿宋_GB2312"/>
          <w:bCs/>
          <w:color w:val="auto"/>
          <w:sz w:val="32"/>
          <w:szCs w:val="32"/>
          <w:highlight w:val="none"/>
        </w:rPr>
      </w:pPr>
      <w:r>
        <w:rPr>
          <w:rFonts w:hint="eastAsia" w:ascii="宋体" w:hAnsi="宋体" w:cs="仿宋_GB2312"/>
          <w:bCs/>
          <w:color w:val="auto"/>
          <w:sz w:val="32"/>
          <w:szCs w:val="32"/>
          <w:highlight w:val="none"/>
        </w:rPr>
        <w:t>项目名称：</w:t>
      </w:r>
    </w:p>
    <w:p w14:paraId="52996BB1">
      <w:pPr>
        <w:spacing w:before="120" w:after="50"/>
        <w:ind w:firstLine="720"/>
        <w:rPr>
          <w:rFonts w:ascii="宋体" w:hAnsi="宋体" w:cs="仿宋_GB2312"/>
          <w:bCs/>
          <w:color w:val="auto"/>
          <w:sz w:val="32"/>
          <w:szCs w:val="32"/>
          <w:highlight w:val="none"/>
        </w:rPr>
      </w:pPr>
    </w:p>
    <w:p w14:paraId="62C55085">
      <w:pPr>
        <w:spacing w:before="120" w:after="50"/>
        <w:ind w:firstLine="640"/>
        <w:rPr>
          <w:rFonts w:ascii="宋体" w:hAnsi="宋体" w:cs="仿宋_GB2312"/>
          <w:bCs/>
          <w:color w:val="auto"/>
          <w:sz w:val="32"/>
          <w:szCs w:val="32"/>
          <w:highlight w:val="none"/>
        </w:rPr>
      </w:pPr>
      <w:r>
        <w:rPr>
          <w:rFonts w:hint="eastAsia" w:ascii="宋体" w:hAnsi="宋体" w:cs="仿宋_GB2312"/>
          <w:bCs/>
          <w:color w:val="auto"/>
          <w:sz w:val="32"/>
          <w:szCs w:val="32"/>
          <w:highlight w:val="none"/>
        </w:rPr>
        <w:t>项目编号：</w:t>
      </w:r>
    </w:p>
    <w:p w14:paraId="46AEFBBF">
      <w:pPr>
        <w:spacing w:before="120" w:after="50"/>
        <w:ind w:firstLine="720"/>
        <w:rPr>
          <w:rFonts w:ascii="宋体" w:hAnsi="宋体" w:cs="仿宋_GB2312"/>
          <w:bCs/>
          <w:color w:val="auto"/>
          <w:sz w:val="32"/>
          <w:szCs w:val="32"/>
          <w:highlight w:val="none"/>
        </w:rPr>
      </w:pPr>
      <w:r>
        <w:rPr>
          <w:rFonts w:hint="eastAsia" w:ascii="宋体" w:hAnsi="宋体" w:cs="仿宋_GB2312"/>
          <w:bCs/>
          <w:color w:val="auto"/>
          <w:sz w:val="32"/>
          <w:szCs w:val="32"/>
          <w:highlight w:val="none"/>
        </w:rPr>
        <w:t xml:space="preserve"> </w:t>
      </w:r>
    </w:p>
    <w:p w14:paraId="41FCAAC6">
      <w:pPr>
        <w:spacing w:before="120" w:after="50"/>
        <w:ind w:firstLine="640"/>
        <w:rPr>
          <w:rFonts w:ascii="宋体" w:hAnsi="宋体" w:cs="仿宋_GB2312"/>
          <w:bCs/>
          <w:color w:val="auto"/>
          <w:sz w:val="32"/>
          <w:szCs w:val="32"/>
          <w:highlight w:val="none"/>
        </w:rPr>
      </w:pPr>
      <w:r>
        <w:rPr>
          <w:rFonts w:hint="eastAsia" w:ascii="宋体" w:hAnsi="宋体" w:cs="仿宋_GB2312"/>
          <w:bCs/>
          <w:color w:val="auto"/>
          <w:sz w:val="32"/>
          <w:szCs w:val="32"/>
          <w:highlight w:val="none"/>
        </w:rPr>
        <w:t>所竞分标（如有则填写，无分标时填写“无”或者留空）：</w:t>
      </w:r>
    </w:p>
    <w:p w14:paraId="15304659">
      <w:pPr>
        <w:spacing w:before="120" w:after="50"/>
        <w:ind w:firstLine="720"/>
        <w:rPr>
          <w:rFonts w:ascii="宋体" w:hAnsi="宋体" w:cs="仿宋_GB2312"/>
          <w:bCs/>
          <w:color w:val="auto"/>
          <w:sz w:val="32"/>
          <w:szCs w:val="32"/>
          <w:highlight w:val="none"/>
        </w:rPr>
      </w:pPr>
    </w:p>
    <w:p w14:paraId="780784B1">
      <w:pPr>
        <w:pStyle w:val="205"/>
        <w:spacing w:before="50" w:after="50"/>
        <w:ind w:firstLine="640"/>
        <w:rPr>
          <w:rFonts w:ascii="宋体" w:hAnsi="宋体" w:cs="仿宋_GB2312"/>
          <w:bCs/>
          <w:color w:val="auto"/>
          <w:sz w:val="32"/>
          <w:szCs w:val="32"/>
          <w:highlight w:val="none"/>
        </w:rPr>
      </w:pPr>
      <w:r>
        <w:rPr>
          <w:rFonts w:hint="eastAsia" w:ascii="宋体" w:hAnsi="宋体" w:cs="仿宋_GB2312"/>
          <w:bCs/>
          <w:color w:val="auto"/>
          <w:sz w:val="32"/>
          <w:szCs w:val="32"/>
          <w:highlight w:val="none"/>
        </w:rPr>
        <w:t>供应商名称：</w:t>
      </w:r>
    </w:p>
    <w:p w14:paraId="537A7BA0">
      <w:pPr>
        <w:pStyle w:val="205"/>
        <w:spacing w:before="50" w:after="50"/>
        <w:ind w:firstLine="640"/>
        <w:rPr>
          <w:rFonts w:ascii="宋体" w:hAnsi="宋体" w:cs="仿宋_GB2312"/>
          <w:bCs/>
          <w:color w:val="auto"/>
          <w:sz w:val="32"/>
          <w:szCs w:val="32"/>
          <w:highlight w:val="none"/>
        </w:rPr>
      </w:pPr>
    </w:p>
    <w:p w14:paraId="1CE596BF">
      <w:pPr>
        <w:pStyle w:val="205"/>
        <w:spacing w:before="50" w:after="50"/>
        <w:ind w:firstLine="720"/>
        <w:rPr>
          <w:rFonts w:ascii="宋体" w:hAnsi="宋体" w:cs="仿宋_GB2312"/>
          <w:bCs/>
          <w:color w:val="auto"/>
          <w:sz w:val="32"/>
          <w:szCs w:val="32"/>
          <w:highlight w:val="none"/>
        </w:rPr>
      </w:pPr>
    </w:p>
    <w:p w14:paraId="2ED4ED43">
      <w:pPr>
        <w:pStyle w:val="205"/>
        <w:spacing w:before="50" w:after="50"/>
        <w:ind w:firstLine="0"/>
        <w:rPr>
          <w:rFonts w:ascii="宋体" w:hAnsi="宋体" w:cs="仿宋_GB2312"/>
          <w:bCs/>
          <w:color w:val="auto"/>
          <w:sz w:val="32"/>
          <w:szCs w:val="32"/>
          <w:highlight w:val="none"/>
        </w:rPr>
      </w:pPr>
    </w:p>
    <w:p w14:paraId="399EEEF1">
      <w:pPr>
        <w:pStyle w:val="205"/>
        <w:spacing w:before="50" w:after="50"/>
        <w:ind w:firstLine="1280"/>
        <w:rPr>
          <w:rFonts w:ascii="宋体" w:hAnsi="宋体" w:cs="仿宋_GB2312"/>
          <w:bCs/>
          <w:color w:val="auto"/>
          <w:sz w:val="32"/>
          <w:szCs w:val="32"/>
          <w:highlight w:val="none"/>
        </w:rPr>
      </w:pPr>
    </w:p>
    <w:p w14:paraId="214177F5">
      <w:pPr>
        <w:spacing w:before="120" w:after="50"/>
        <w:jc w:val="center"/>
        <w:rPr>
          <w:rFonts w:ascii="宋体" w:hAnsi="宋体" w:cs="仿宋_GB2312"/>
          <w:color w:val="auto"/>
          <w:sz w:val="32"/>
          <w:szCs w:val="32"/>
          <w:highlight w:val="none"/>
        </w:rPr>
      </w:pPr>
      <w:r>
        <w:rPr>
          <w:rFonts w:hint="eastAsia" w:ascii="宋体" w:hAnsi="宋体" w:cs="仿宋_GB2312"/>
          <w:color w:val="auto"/>
          <w:sz w:val="32"/>
          <w:szCs w:val="32"/>
          <w:highlight w:val="none"/>
        </w:rPr>
        <w:t>年    月    日</w:t>
      </w:r>
    </w:p>
    <w:p w14:paraId="67A3B4C3">
      <w:pPr>
        <w:spacing w:before="120" w:after="50" w:line="360" w:lineRule="auto"/>
        <w:ind w:left="142"/>
        <w:jc w:val="left"/>
        <w:rPr>
          <w:rFonts w:ascii="宋体" w:hAnsi="宋体"/>
          <w:b/>
          <w:bCs/>
          <w:color w:val="auto"/>
          <w:sz w:val="24"/>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2.商务技术文件目录</w:t>
      </w:r>
    </w:p>
    <w:p w14:paraId="0E5A96FA">
      <w:pPr>
        <w:spacing w:before="120" w:after="50" w:line="360" w:lineRule="auto"/>
        <w:ind w:firstLine="640"/>
        <w:rPr>
          <w:rFonts w:ascii="宋体" w:hAnsi="宋体"/>
          <w:color w:val="auto"/>
          <w:sz w:val="32"/>
          <w:szCs w:val="32"/>
          <w:highlight w:val="none"/>
        </w:rPr>
      </w:pPr>
      <w:r>
        <w:rPr>
          <w:rFonts w:hint="eastAsia" w:ascii="宋体" w:hAnsi="宋体"/>
          <w:color w:val="auto"/>
          <w:sz w:val="32"/>
          <w:szCs w:val="32"/>
          <w:highlight w:val="none"/>
        </w:rPr>
        <w:t>根据谈判文件规定及供应商提供的材料自行编写目录（部分格式后附）。</w:t>
      </w:r>
    </w:p>
    <w:p w14:paraId="445EAB25">
      <w:pPr>
        <w:spacing w:line="400" w:lineRule="exact"/>
        <w:rPr>
          <w:rFonts w:ascii="仿宋_GB2312" w:hAnsi="仿宋_GB2312" w:eastAsia="仿宋_GB2312" w:cs="仿宋_GB2312"/>
          <w:color w:val="auto"/>
          <w:sz w:val="32"/>
          <w:szCs w:val="32"/>
          <w:highlight w:val="none"/>
        </w:rPr>
      </w:pPr>
    </w:p>
    <w:p w14:paraId="7ED8785D">
      <w:pPr>
        <w:spacing w:line="520" w:lineRule="exact"/>
        <w:jc w:val="center"/>
        <w:rPr>
          <w:rFonts w:ascii="仿宋_GB2312" w:hAnsi="仿宋_GB2312" w:eastAsia="仿宋_GB2312" w:cs="仿宋_GB2312"/>
          <w:color w:val="auto"/>
          <w:sz w:val="32"/>
          <w:szCs w:val="32"/>
          <w:highlight w:val="none"/>
        </w:rPr>
      </w:pPr>
      <w:r>
        <w:rPr>
          <w:rFonts w:hint="eastAsia" w:ascii="方正小标宋简体" w:hAnsi="方正小标宋简体" w:eastAsia="方正小标宋简体" w:cs="方正小标宋简体"/>
          <w:color w:val="auto"/>
          <w:sz w:val="44"/>
          <w:szCs w:val="44"/>
          <w:highlight w:val="none"/>
        </w:rPr>
        <w:br w:type="page" w:clear="all"/>
      </w:r>
      <w:r>
        <w:rPr>
          <w:rFonts w:hint="eastAsia" w:ascii="方正小标宋简体" w:hAnsi="方正小标宋简体" w:eastAsia="方正小标宋简体" w:cs="方正小标宋简体"/>
          <w:color w:val="auto"/>
          <w:sz w:val="44"/>
          <w:szCs w:val="44"/>
          <w:highlight w:val="none"/>
        </w:rPr>
        <w:t>无串通竞标行为的承诺函</w:t>
      </w:r>
    </w:p>
    <w:p w14:paraId="518E8464">
      <w:pPr>
        <w:spacing w:line="360" w:lineRule="auto"/>
        <w:ind w:firstLine="640"/>
        <w:contextualSpacing/>
        <w:rPr>
          <w:rFonts w:ascii="仿宋_GB2312" w:hAnsi="仿宋_GB2312" w:eastAsia="仿宋_GB2312" w:cs="仿宋_GB2312"/>
          <w:color w:val="auto"/>
          <w:sz w:val="32"/>
          <w:szCs w:val="32"/>
          <w:highlight w:val="none"/>
        </w:rPr>
      </w:pPr>
    </w:p>
    <w:p w14:paraId="6379CCDD">
      <w:pPr>
        <w:spacing w:line="360" w:lineRule="auto"/>
        <w:ind w:firstLine="482"/>
        <w:contextualSpacing/>
        <w:rPr>
          <w:rFonts w:ascii="宋体" w:hAnsi="宋体" w:cs="仿宋_GB2312"/>
          <w:b/>
          <w:bCs/>
          <w:color w:val="auto"/>
          <w:sz w:val="24"/>
          <w:highlight w:val="none"/>
        </w:rPr>
      </w:pPr>
      <w:r>
        <w:rPr>
          <w:rFonts w:hint="eastAsia" w:ascii="宋体" w:hAnsi="宋体" w:cs="仿宋_GB2312"/>
          <w:b/>
          <w:bCs/>
          <w:color w:val="auto"/>
          <w:sz w:val="24"/>
          <w:highlight w:val="none"/>
        </w:rPr>
        <w:t>一、我方承诺无下列相互串通竞标的情形：</w:t>
      </w:r>
    </w:p>
    <w:p w14:paraId="52B520A3">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1.不同供应商的响应文件由同一单位或者个人编制；</w:t>
      </w:r>
      <w:r>
        <w:rPr>
          <w:rFonts w:hint="eastAsia" w:ascii="宋体" w:hAnsi="宋体"/>
          <w:color w:val="auto"/>
          <w:sz w:val="24"/>
          <w:highlight w:val="none"/>
        </w:rPr>
        <w:t>或不同供应商报名的IP地址一致的；或不同供应商竞标设备信息（包括但不限于：IP地址、MAC地址、硬盘号、CPU号、主板号）一致的；</w:t>
      </w:r>
    </w:p>
    <w:p w14:paraId="09B1EBB4">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2.不同供应商委托同一单位或者个人办理竞标事宜；</w:t>
      </w:r>
    </w:p>
    <w:p w14:paraId="09AC0DBE">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3.不同的供应商的响应文件载明的项目管理员为同一个人；</w:t>
      </w:r>
    </w:p>
    <w:p w14:paraId="2897F217">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4.不</w:t>
      </w:r>
      <w:r>
        <w:rPr>
          <w:rFonts w:hint="eastAsia" w:ascii="宋体" w:hAnsi="宋体" w:cs="仿宋_GB2312"/>
          <w:color w:val="auto"/>
          <w:spacing w:val="-6"/>
          <w:sz w:val="24"/>
          <w:highlight w:val="none"/>
        </w:rPr>
        <w:t>同供应商的响应文件异常一致或者竞标报价呈规律性差异；</w:t>
      </w:r>
    </w:p>
    <w:p w14:paraId="682F1B71">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5.不同供应商的响应文件相互混装；</w:t>
      </w:r>
    </w:p>
    <w:p w14:paraId="723CBC01">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6.不同供应商的竞标保证金从同一单位或者个人账户转出。</w:t>
      </w:r>
    </w:p>
    <w:p w14:paraId="1F05592B">
      <w:pPr>
        <w:spacing w:line="360" w:lineRule="auto"/>
        <w:ind w:firstLine="482"/>
        <w:contextualSpacing/>
        <w:rPr>
          <w:rFonts w:ascii="宋体" w:hAnsi="宋体" w:cs="仿宋_GB2312"/>
          <w:b/>
          <w:bCs/>
          <w:color w:val="auto"/>
          <w:sz w:val="24"/>
          <w:highlight w:val="none"/>
        </w:rPr>
      </w:pPr>
      <w:r>
        <w:rPr>
          <w:rFonts w:hint="eastAsia" w:ascii="宋体" w:hAnsi="宋体" w:cs="仿宋_GB2312"/>
          <w:b/>
          <w:bCs/>
          <w:color w:val="auto"/>
          <w:sz w:val="24"/>
          <w:highlight w:val="none"/>
        </w:rPr>
        <w:t>二、我方承诺无下列恶意串通的情形：</w:t>
      </w:r>
    </w:p>
    <w:p w14:paraId="2B3A8231">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1.供应商直接或者间接从采购人或者采购代理机构处获得其他供应商的相关信息并修改其响应文件；</w:t>
      </w:r>
    </w:p>
    <w:p w14:paraId="7EA154C8">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2.供应商按照采购人或者采购代理机构的授意撤换、修改响应文件；</w:t>
      </w:r>
    </w:p>
    <w:p w14:paraId="0E3E8BB3">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3.供</w:t>
      </w:r>
      <w:r>
        <w:rPr>
          <w:rFonts w:hint="eastAsia" w:ascii="宋体" w:hAnsi="宋体" w:cs="仿宋_GB2312"/>
          <w:color w:val="auto"/>
          <w:spacing w:val="-6"/>
          <w:sz w:val="24"/>
          <w:highlight w:val="none"/>
        </w:rPr>
        <w:t>应商之间协商报价、技术方案等响应文件的实质性内容；</w:t>
      </w:r>
    </w:p>
    <w:p w14:paraId="1081FC11">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4.属于同一集团、协会、商会等组织成员的供应商按照该组织要求协同参加政府采购活动；</w:t>
      </w:r>
    </w:p>
    <w:p w14:paraId="65AFC7D4">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5.供应商之间事先约定一致抬高或者压低竞标报价，或者在竞争性谈判项目中事先约定轮流以高价位或者低价位成交，或者事先约定由某一特定供应商成交，然后再参加竞标；</w:t>
      </w:r>
    </w:p>
    <w:p w14:paraId="2391FDF0">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6.供应商之间商定部分供应商放弃参加政府采购活动或者放弃成交；</w:t>
      </w:r>
    </w:p>
    <w:p w14:paraId="32C7A592">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7.供应商与采购人或者采购代理机构之间、供应商相互之间，为</w:t>
      </w:r>
      <w:r>
        <w:rPr>
          <w:rFonts w:hint="eastAsia" w:ascii="宋体" w:hAnsi="宋体" w:cs="仿宋_GB2312"/>
          <w:color w:val="auto"/>
          <w:spacing w:val="-6"/>
          <w:sz w:val="24"/>
          <w:highlight w:val="none"/>
        </w:rPr>
        <w:t>谋求特定供应商成交或者排斥其他供应商的其他串通行为。</w:t>
      </w:r>
    </w:p>
    <w:p w14:paraId="3027B386">
      <w:pPr>
        <w:spacing w:line="360" w:lineRule="auto"/>
        <w:ind w:firstLine="482"/>
        <w:contextualSpacing/>
        <w:rPr>
          <w:rFonts w:ascii="宋体" w:hAnsi="宋体" w:cs="仿宋_GB2312"/>
          <w:b/>
          <w:bCs/>
          <w:color w:val="auto"/>
          <w:sz w:val="24"/>
          <w:highlight w:val="none"/>
        </w:rPr>
      </w:pPr>
    </w:p>
    <w:p w14:paraId="7E1EDB37">
      <w:pPr>
        <w:spacing w:line="360" w:lineRule="auto"/>
        <w:ind w:firstLine="482"/>
        <w:contextualSpacing/>
        <w:rPr>
          <w:rFonts w:ascii="宋体" w:hAnsi="宋体" w:cs="仿宋_GB2312"/>
          <w:b/>
          <w:bCs/>
          <w:color w:val="auto"/>
          <w:sz w:val="24"/>
          <w:highlight w:val="none"/>
        </w:rPr>
      </w:pPr>
      <w:r>
        <w:rPr>
          <w:rFonts w:hint="eastAsia" w:ascii="宋体" w:hAnsi="宋体" w:cs="仿宋_GB2312"/>
          <w:b/>
          <w:bCs/>
          <w:color w:val="auto"/>
          <w:sz w:val="24"/>
          <w:highlight w:val="none"/>
        </w:rPr>
        <w:t>以上情形一经核查属实，我方愿意承担一切后果，并不再寻求任何旨在减轻或者免除法律责任的辩解。</w:t>
      </w:r>
    </w:p>
    <w:p w14:paraId="00CCCE63">
      <w:pPr>
        <w:spacing w:line="360" w:lineRule="auto"/>
        <w:ind w:firstLine="3600"/>
        <w:contextualSpacing/>
        <w:rPr>
          <w:rFonts w:ascii="宋体" w:hAnsi="宋体" w:cs="仿宋_GB2312"/>
          <w:color w:val="auto"/>
          <w:sz w:val="24"/>
          <w:highlight w:val="none"/>
        </w:rPr>
      </w:pPr>
      <w:r>
        <w:rPr>
          <w:rFonts w:hint="eastAsia" w:ascii="宋体" w:hAnsi="宋体" w:cs="仿宋_GB2312"/>
          <w:color w:val="auto"/>
          <w:sz w:val="24"/>
          <w:highlight w:val="none"/>
        </w:rPr>
        <w:t>供应商名称（电子签章）：</w:t>
      </w:r>
    </w:p>
    <w:p w14:paraId="4C1653C0">
      <w:pPr>
        <w:spacing w:line="360" w:lineRule="auto"/>
        <w:ind w:firstLine="480"/>
        <w:contextualSpacing/>
        <w:jc w:val="center"/>
        <w:rPr>
          <w:rFonts w:ascii="宋体" w:hAnsi="宋体" w:cs="仿宋_GB2312"/>
          <w:color w:val="auto"/>
          <w:sz w:val="24"/>
          <w:highlight w:val="none"/>
        </w:rPr>
      </w:pPr>
      <w:r>
        <w:rPr>
          <w:rFonts w:hint="eastAsia" w:ascii="宋体" w:hAnsi="宋体" w:cs="仿宋_GB2312"/>
          <w:color w:val="auto"/>
          <w:sz w:val="24"/>
          <w:highlight w:val="none"/>
        </w:rPr>
        <w:t xml:space="preserve">                               年   月   日</w:t>
      </w:r>
    </w:p>
    <w:p w14:paraId="0F97D7E7">
      <w:pPr>
        <w:spacing w:line="360" w:lineRule="auto"/>
        <w:ind w:firstLine="480"/>
        <w:contextualSpacing/>
        <w:jc w:val="center"/>
        <w:rPr>
          <w:rFonts w:ascii="宋体" w:hAnsi="宋体" w:cs="仿宋_GB2312"/>
          <w:color w:val="auto"/>
          <w:sz w:val="24"/>
          <w:highlight w:val="none"/>
        </w:rPr>
      </w:pPr>
      <w:r>
        <w:rPr>
          <w:rFonts w:hint="eastAsia" w:ascii="宋体" w:hAnsi="宋体" w:cs="仿宋_GB2312"/>
          <w:color w:val="auto"/>
          <w:sz w:val="24"/>
          <w:highlight w:val="none"/>
        </w:rPr>
        <w:br w:type="page" w:clear="all"/>
      </w:r>
    </w:p>
    <w:p w14:paraId="4F426E1E">
      <w:pPr>
        <w:spacing w:before="240" w:after="120" w:line="520" w:lineRule="exact"/>
        <w:ind w:left="540"/>
        <w:jc w:val="center"/>
        <w:rPr>
          <w:rFonts w:ascii="仿宋_GB2312" w:hAnsi="仿宋_GB2312" w:eastAsia="仿宋_GB2312" w:cs="仿宋_GB2312"/>
          <w:color w:val="auto"/>
          <w:sz w:val="32"/>
          <w:szCs w:val="32"/>
          <w:highlight w:val="none"/>
        </w:rPr>
      </w:pPr>
      <w:r>
        <w:rPr>
          <w:rFonts w:hint="eastAsia" w:ascii="方正小标宋简体" w:hAnsi="方正小标宋简体" w:eastAsia="方正小标宋简体" w:cs="方正小标宋简体"/>
          <w:bCs/>
          <w:color w:val="auto"/>
          <w:sz w:val="44"/>
          <w:szCs w:val="44"/>
          <w:highlight w:val="none"/>
        </w:rPr>
        <w:t>法定代表人证明书</w:t>
      </w:r>
    </w:p>
    <w:p w14:paraId="42874D64">
      <w:pPr>
        <w:spacing w:line="360" w:lineRule="auto"/>
        <w:ind w:left="540"/>
        <w:contextualSpacing/>
        <w:rPr>
          <w:rFonts w:ascii="仿宋_GB2312" w:hAnsi="仿宋_GB2312" w:eastAsia="仿宋_GB2312" w:cs="仿宋_GB2312"/>
          <w:color w:val="auto"/>
          <w:sz w:val="32"/>
          <w:szCs w:val="32"/>
          <w:highlight w:val="none"/>
        </w:rPr>
      </w:pPr>
    </w:p>
    <w:p w14:paraId="5BB0BCA9">
      <w:pPr>
        <w:spacing w:line="360" w:lineRule="auto"/>
        <w:ind w:left="540"/>
        <w:contextualSpacing/>
        <w:rPr>
          <w:rFonts w:ascii="宋体" w:hAnsi="宋体" w:cs="仿宋_GB2312"/>
          <w:color w:val="auto"/>
          <w:sz w:val="24"/>
          <w:highlight w:val="none"/>
        </w:rPr>
      </w:pPr>
      <w:r>
        <w:rPr>
          <w:rFonts w:hint="eastAsia" w:ascii="宋体" w:hAnsi="宋体" w:cs="仿宋_GB2312"/>
          <w:color w:val="auto"/>
          <w:sz w:val="24"/>
          <w:highlight w:val="none"/>
        </w:rPr>
        <w:t>供应商名称：</w:t>
      </w:r>
      <w:r>
        <w:rPr>
          <w:rFonts w:hint="eastAsia" w:ascii="宋体" w:hAnsi="宋体" w:cs="仿宋_GB2312"/>
          <w:color w:val="auto"/>
          <w:sz w:val="24"/>
          <w:highlight w:val="none"/>
          <w:u w:val="single"/>
        </w:rPr>
        <w:t xml:space="preserve">                                                        </w:t>
      </w:r>
    </w:p>
    <w:p w14:paraId="2642763D">
      <w:pPr>
        <w:spacing w:line="360" w:lineRule="auto"/>
        <w:ind w:left="540"/>
        <w:contextualSpacing/>
        <w:rPr>
          <w:rFonts w:ascii="宋体" w:hAnsi="宋体" w:cs="仿宋_GB2312"/>
          <w:color w:val="auto"/>
          <w:sz w:val="24"/>
          <w:highlight w:val="none"/>
        </w:rPr>
      </w:pPr>
      <w:r>
        <w:rPr>
          <w:rFonts w:hint="eastAsia" w:ascii="宋体" w:hAnsi="宋体" w:cs="仿宋_GB2312"/>
          <w:color w:val="auto"/>
          <w:sz w:val="24"/>
          <w:highlight w:val="none"/>
        </w:rPr>
        <w:t>地    址：</w:t>
      </w:r>
      <w:r>
        <w:rPr>
          <w:rFonts w:hint="eastAsia" w:ascii="宋体" w:hAnsi="宋体" w:cs="仿宋_GB2312"/>
          <w:color w:val="auto"/>
          <w:sz w:val="24"/>
          <w:highlight w:val="none"/>
          <w:u w:val="single"/>
        </w:rPr>
        <w:t xml:space="preserve">                                                        </w:t>
      </w:r>
    </w:p>
    <w:p w14:paraId="5EBEC9A4">
      <w:pPr>
        <w:spacing w:line="360" w:lineRule="auto"/>
        <w:ind w:left="540"/>
        <w:contextualSpacing/>
        <w:rPr>
          <w:rFonts w:ascii="宋体" w:hAnsi="宋体" w:cs="仿宋_GB2312"/>
          <w:color w:val="auto"/>
          <w:sz w:val="24"/>
          <w:highlight w:val="none"/>
        </w:rPr>
      </w:pPr>
      <w:r>
        <w:rPr>
          <w:rFonts w:hint="eastAsia" w:ascii="宋体" w:hAnsi="宋体" w:cs="仿宋_GB2312"/>
          <w:color w:val="auto"/>
          <w:sz w:val="24"/>
          <w:highlight w:val="none"/>
        </w:rPr>
        <w:t>姓    名：</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性      别：</w:t>
      </w:r>
      <w:r>
        <w:rPr>
          <w:rFonts w:hint="eastAsia" w:ascii="宋体" w:hAnsi="宋体" w:cs="仿宋_GB2312"/>
          <w:color w:val="auto"/>
          <w:sz w:val="24"/>
          <w:highlight w:val="none"/>
          <w:u w:val="single"/>
        </w:rPr>
        <w:t xml:space="preserve">                </w:t>
      </w:r>
    </w:p>
    <w:p w14:paraId="584A7D5B">
      <w:pPr>
        <w:spacing w:line="360" w:lineRule="auto"/>
        <w:ind w:left="540"/>
        <w:contextualSpacing/>
        <w:rPr>
          <w:rFonts w:ascii="宋体" w:hAnsi="宋体" w:cs="仿宋_GB2312"/>
          <w:color w:val="auto"/>
          <w:sz w:val="24"/>
          <w:highlight w:val="none"/>
          <w:u w:val="single"/>
        </w:rPr>
      </w:pPr>
      <w:r>
        <w:rPr>
          <w:rFonts w:hint="eastAsia" w:ascii="宋体" w:hAnsi="宋体" w:cs="仿宋_GB2312"/>
          <w:color w:val="auto"/>
          <w:sz w:val="24"/>
          <w:highlight w:val="none"/>
        </w:rPr>
        <w:t>年    龄：</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职      务：</w:t>
      </w:r>
      <w:r>
        <w:rPr>
          <w:rFonts w:hint="eastAsia" w:ascii="宋体" w:hAnsi="宋体" w:cs="仿宋_GB2312"/>
          <w:color w:val="auto"/>
          <w:sz w:val="24"/>
          <w:highlight w:val="none"/>
          <w:u w:val="single"/>
        </w:rPr>
        <w:t xml:space="preserve">                </w:t>
      </w:r>
    </w:p>
    <w:p w14:paraId="3CB7F1A9">
      <w:pPr>
        <w:spacing w:line="360" w:lineRule="auto"/>
        <w:ind w:left="540"/>
        <w:contextualSpacing/>
        <w:rPr>
          <w:rFonts w:ascii="宋体" w:hAnsi="宋体" w:cs="仿宋_GB2312"/>
          <w:color w:val="auto"/>
          <w:sz w:val="24"/>
          <w:highlight w:val="none"/>
        </w:rPr>
      </w:pPr>
      <w:r>
        <w:rPr>
          <w:rFonts w:hint="eastAsia" w:ascii="宋体" w:hAnsi="宋体" w:cs="仿宋_GB2312"/>
          <w:color w:val="auto"/>
          <w:sz w:val="24"/>
          <w:highlight w:val="none"/>
        </w:rPr>
        <w:t>身份证号码：</w:t>
      </w:r>
      <w:r>
        <w:rPr>
          <w:rFonts w:hint="eastAsia" w:ascii="宋体" w:hAnsi="宋体" w:cs="仿宋_GB2312"/>
          <w:color w:val="auto"/>
          <w:sz w:val="24"/>
          <w:highlight w:val="none"/>
          <w:u w:val="single"/>
        </w:rPr>
        <w:t xml:space="preserve">                                        </w:t>
      </w:r>
    </w:p>
    <w:p w14:paraId="77BEC5EB">
      <w:pPr>
        <w:spacing w:line="360" w:lineRule="auto"/>
        <w:ind w:left="540"/>
        <w:contextualSpacing/>
        <w:rPr>
          <w:rFonts w:ascii="宋体" w:hAnsi="宋体" w:cs="仿宋_GB2312"/>
          <w:color w:val="auto"/>
          <w:sz w:val="24"/>
          <w:highlight w:val="none"/>
        </w:rPr>
      </w:pPr>
      <w:r>
        <w:rPr>
          <w:rFonts w:hint="eastAsia" w:ascii="宋体" w:hAnsi="宋体" w:cs="仿宋_GB2312"/>
          <w:color w:val="auto"/>
          <w:sz w:val="24"/>
          <w:highlight w:val="none"/>
        </w:rPr>
        <w:t>系</w:t>
      </w:r>
      <w:r>
        <w:rPr>
          <w:rFonts w:hint="eastAsia" w:ascii="宋体" w:hAnsi="宋体" w:cs="仿宋_GB2312"/>
          <w:color w:val="auto"/>
          <w:sz w:val="24"/>
          <w:highlight w:val="none"/>
          <w:u w:val="single"/>
        </w:rPr>
        <w:t xml:space="preserve"> </w:t>
      </w:r>
      <w:r>
        <w:rPr>
          <w:rFonts w:ascii="宋体" w:hAnsi="宋体" w:cs="仿宋_GB2312"/>
          <w:color w:val="auto"/>
          <w:sz w:val="24"/>
          <w:highlight w:val="none"/>
          <w:u w:val="single"/>
        </w:rPr>
        <w:t xml:space="preserve">   </w:t>
      </w:r>
      <w:r>
        <w:rPr>
          <w:rFonts w:hint="eastAsia" w:ascii="宋体" w:hAnsi="宋体" w:cs="仿宋_GB2312"/>
          <w:color w:val="auto"/>
          <w:sz w:val="24"/>
          <w:highlight w:val="none"/>
          <w:u w:val="single"/>
        </w:rPr>
        <w:t xml:space="preserve">（供应商名称） </w:t>
      </w:r>
      <w:r>
        <w:rPr>
          <w:rFonts w:ascii="宋体" w:hAnsi="宋体" w:cs="仿宋_GB2312"/>
          <w:color w:val="auto"/>
          <w:sz w:val="24"/>
          <w:highlight w:val="none"/>
          <w:u w:val="single"/>
        </w:rPr>
        <w:t xml:space="preserve">  </w:t>
      </w:r>
      <w:r>
        <w:rPr>
          <w:rFonts w:hint="eastAsia" w:ascii="宋体" w:hAnsi="宋体" w:cs="仿宋_GB2312"/>
          <w:color w:val="auto"/>
          <w:sz w:val="24"/>
          <w:highlight w:val="none"/>
        </w:rPr>
        <w:t>的法定代表人。</w:t>
      </w:r>
    </w:p>
    <w:p w14:paraId="6CBBCD4B">
      <w:pPr>
        <w:spacing w:line="360" w:lineRule="auto"/>
        <w:ind w:left="540"/>
        <w:contextualSpacing/>
        <w:rPr>
          <w:rFonts w:ascii="宋体" w:hAnsi="宋体" w:cs="仿宋_GB2312"/>
          <w:color w:val="auto"/>
          <w:sz w:val="24"/>
          <w:highlight w:val="none"/>
        </w:rPr>
      </w:pPr>
      <w:r>
        <w:rPr>
          <w:rFonts w:hint="eastAsia" w:ascii="宋体" w:hAnsi="宋体" w:cs="仿宋_GB2312"/>
          <w:color w:val="auto"/>
          <w:sz w:val="24"/>
          <w:highlight w:val="none"/>
        </w:rPr>
        <w:t>特此证明。</w:t>
      </w:r>
    </w:p>
    <w:p w14:paraId="7BBF9913">
      <w:pPr>
        <w:spacing w:line="360" w:lineRule="auto"/>
        <w:ind w:left="540"/>
        <w:contextualSpacing/>
        <w:rPr>
          <w:rFonts w:ascii="宋体" w:hAnsi="宋体" w:cs="仿宋_GB2312"/>
          <w:color w:val="auto"/>
          <w:sz w:val="24"/>
          <w:highlight w:val="none"/>
        </w:rPr>
      </w:pPr>
    </w:p>
    <w:p w14:paraId="00605E39">
      <w:pPr>
        <w:spacing w:line="360" w:lineRule="auto"/>
        <w:ind w:left="540"/>
        <w:contextualSpacing/>
        <w:rPr>
          <w:rFonts w:ascii="宋体" w:hAnsi="宋体" w:cs="仿宋_GB2312"/>
          <w:color w:val="auto"/>
          <w:sz w:val="24"/>
          <w:highlight w:val="none"/>
        </w:rPr>
      </w:pPr>
    </w:p>
    <w:p w14:paraId="0C0B6EFA">
      <w:pPr>
        <w:spacing w:line="360" w:lineRule="auto"/>
        <w:ind w:left="540"/>
        <w:contextualSpacing/>
        <w:rPr>
          <w:rFonts w:ascii="宋体" w:hAnsi="宋体" w:cs="仿宋_GB2312"/>
          <w:color w:val="auto"/>
          <w:sz w:val="24"/>
          <w:highlight w:val="none"/>
        </w:rPr>
      </w:pPr>
    </w:p>
    <w:p w14:paraId="2DAD1E20">
      <w:pPr>
        <w:spacing w:line="360" w:lineRule="auto"/>
        <w:ind w:left="540"/>
        <w:contextualSpacing/>
        <w:rPr>
          <w:rFonts w:ascii="宋体" w:hAnsi="宋体" w:cs="仿宋_GB2312"/>
          <w:color w:val="auto"/>
          <w:sz w:val="24"/>
          <w:highlight w:val="none"/>
        </w:rPr>
      </w:pPr>
      <w:r>
        <w:rPr>
          <w:rFonts w:hint="eastAsia" w:ascii="宋体" w:hAnsi="宋体" w:cs="仿宋_GB2312"/>
          <w:color w:val="auto"/>
          <w:sz w:val="24"/>
          <w:highlight w:val="none"/>
        </w:rPr>
        <w:t>附件：法定代表人有效身份证正反面复印件</w:t>
      </w:r>
    </w:p>
    <w:p w14:paraId="65698768">
      <w:pPr>
        <w:spacing w:line="360" w:lineRule="auto"/>
        <w:ind w:left="540"/>
        <w:contextualSpacing/>
        <w:rPr>
          <w:rFonts w:ascii="宋体" w:hAnsi="宋体" w:cs="仿宋_GB2312"/>
          <w:color w:val="auto"/>
          <w:sz w:val="24"/>
          <w:highlight w:val="none"/>
        </w:rPr>
      </w:pPr>
    </w:p>
    <w:p w14:paraId="1C7C90EA">
      <w:pPr>
        <w:spacing w:line="360" w:lineRule="auto"/>
        <w:ind w:left="540"/>
        <w:contextualSpacing/>
        <w:jc w:val="center"/>
        <w:rPr>
          <w:rFonts w:ascii="宋体" w:hAnsi="宋体" w:cs="仿宋_GB2312"/>
          <w:color w:val="auto"/>
          <w:sz w:val="24"/>
          <w:highlight w:val="none"/>
        </w:rPr>
      </w:pPr>
      <w:r>
        <w:rPr>
          <w:rFonts w:hint="eastAsia" w:ascii="宋体" w:hAnsi="宋体" w:cs="仿宋_GB2312"/>
          <w:color w:val="auto"/>
          <w:sz w:val="24"/>
          <w:highlight w:val="none"/>
        </w:rPr>
        <w:t>供应商名称（电子签章）：</w:t>
      </w:r>
      <w:r>
        <w:rPr>
          <w:rFonts w:hint="eastAsia" w:ascii="宋体" w:hAnsi="宋体" w:cs="仿宋_GB2312"/>
          <w:color w:val="auto"/>
          <w:sz w:val="24"/>
          <w:highlight w:val="none"/>
          <w:u w:val="single"/>
        </w:rPr>
        <w:t xml:space="preserve">               </w:t>
      </w:r>
    </w:p>
    <w:p w14:paraId="71D020FE">
      <w:pPr>
        <w:spacing w:line="360" w:lineRule="auto"/>
        <w:ind w:firstLine="4080"/>
        <w:contextualSpacing/>
        <w:rPr>
          <w:rFonts w:ascii="宋体" w:hAnsi="宋体" w:cs="仿宋_GB2312"/>
          <w:color w:val="auto"/>
          <w:sz w:val="24"/>
          <w:highlight w:val="none"/>
        </w:rPr>
      </w:pP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年</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月</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日</w:t>
      </w:r>
    </w:p>
    <w:p w14:paraId="588EB51F">
      <w:pPr>
        <w:spacing w:line="360" w:lineRule="auto"/>
        <w:contextualSpacing/>
        <w:jc w:val="center"/>
        <w:rPr>
          <w:rFonts w:ascii="宋体" w:hAnsi="宋体" w:cs="仿宋_GB2312"/>
          <w:b/>
          <w:color w:val="auto"/>
          <w:sz w:val="24"/>
          <w:highlight w:val="none"/>
        </w:rPr>
      </w:pPr>
    </w:p>
    <w:p w14:paraId="75C7420C">
      <w:pPr>
        <w:spacing w:line="360" w:lineRule="auto"/>
        <w:contextualSpacing/>
        <w:jc w:val="left"/>
        <w:rPr>
          <w:rFonts w:ascii="宋体" w:hAnsi="宋体" w:cs="仿宋_GB2312"/>
          <w:color w:val="auto"/>
          <w:sz w:val="24"/>
          <w:highlight w:val="none"/>
        </w:rPr>
      </w:pPr>
      <w:r>
        <w:rPr>
          <w:rFonts w:hint="eastAsia" w:ascii="宋体" w:hAnsi="宋体" w:cs="仿宋_GB2312"/>
          <w:color w:val="auto"/>
          <w:sz w:val="24"/>
          <w:highlight w:val="none"/>
        </w:rPr>
        <w:t>注：自然人竞标的无需提供，联合体竞标的只需牵头人出具。</w:t>
      </w:r>
    </w:p>
    <w:p w14:paraId="783DB3C0">
      <w:pPr>
        <w:spacing w:line="300" w:lineRule="auto"/>
        <w:jc w:val="left"/>
        <w:rPr>
          <w:rFonts w:ascii="宋体" w:hAnsi="宋体"/>
          <w:b/>
          <w:color w:val="auto"/>
          <w:szCs w:val="21"/>
          <w:highlight w:val="none"/>
        </w:rPr>
      </w:pPr>
    </w:p>
    <w:p w14:paraId="7225D471">
      <w:pPr>
        <w:spacing w:line="520" w:lineRule="exact"/>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br w:type="page" w:clear="all"/>
      </w:r>
      <w:r>
        <w:rPr>
          <w:rFonts w:hint="eastAsia" w:ascii="方正小标宋简体" w:hAnsi="方正小标宋简体" w:eastAsia="方正小标宋简体" w:cs="方正小标宋简体"/>
          <w:color w:val="auto"/>
          <w:sz w:val="44"/>
          <w:szCs w:val="44"/>
          <w:highlight w:val="none"/>
        </w:rPr>
        <w:t>授权委托书</w:t>
      </w:r>
    </w:p>
    <w:p w14:paraId="3053F175">
      <w:pPr>
        <w:spacing w:line="520" w:lineRule="exact"/>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（如有委托时）</w:t>
      </w:r>
    </w:p>
    <w:p w14:paraId="1F62D977">
      <w:pPr>
        <w:spacing w:line="360" w:lineRule="auto"/>
        <w:contextualSpacing/>
        <w:rPr>
          <w:rFonts w:ascii="仿宋_GB2312" w:hAnsi="仿宋_GB2312" w:eastAsia="仿宋_GB2312" w:cs="仿宋_GB2312"/>
          <w:color w:val="auto"/>
          <w:sz w:val="32"/>
          <w:szCs w:val="32"/>
          <w:highlight w:val="none"/>
        </w:rPr>
      </w:pPr>
    </w:p>
    <w:p w14:paraId="2E3D7A68">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致：</w:t>
      </w:r>
      <w:r>
        <w:rPr>
          <w:rFonts w:hint="eastAsia" w:ascii="宋体" w:hAnsi="宋体" w:cs="仿宋_GB2312"/>
          <w:color w:val="auto"/>
          <w:sz w:val="24"/>
          <w:highlight w:val="none"/>
          <w:u w:val="single"/>
        </w:rPr>
        <w:t>（采购人名称）</w:t>
      </w:r>
      <w:r>
        <w:rPr>
          <w:rFonts w:hint="eastAsia" w:ascii="宋体" w:hAnsi="宋体" w:cs="仿宋_GB2312"/>
          <w:color w:val="auto"/>
          <w:sz w:val="24"/>
          <w:highlight w:val="none"/>
        </w:rPr>
        <w:t>：</w:t>
      </w:r>
    </w:p>
    <w:p w14:paraId="078DA8E6">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我</w:t>
      </w:r>
      <w:r>
        <w:rPr>
          <w:rFonts w:hint="eastAsia" w:ascii="宋体" w:hAnsi="宋体" w:cs="仿宋_GB2312"/>
          <w:color w:val="auto"/>
          <w:sz w:val="24"/>
          <w:highlight w:val="none"/>
          <w:u w:val="single"/>
        </w:rPr>
        <w:t xml:space="preserve">  （姓名）  </w:t>
      </w:r>
      <w:r>
        <w:rPr>
          <w:rFonts w:hint="eastAsia" w:ascii="宋体" w:hAnsi="宋体" w:cs="仿宋_GB2312"/>
          <w:color w:val="auto"/>
          <w:sz w:val="24"/>
          <w:highlight w:val="none"/>
        </w:rPr>
        <w:t>系</w:t>
      </w:r>
      <w:r>
        <w:rPr>
          <w:rFonts w:hint="eastAsia" w:ascii="宋体" w:hAnsi="宋体" w:cs="仿宋_GB2312"/>
          <w:color w:val="auto"/>
          <w:sz w:val="24"/>
          <w:highlight w:val="none"/>
          <w:u w:val="single"/>
        </w:rPr>
        <w:t xml:space="preserve">  （供应商名称）  </w:t>
      </w:r>
      <w:r>
        <w:rPr>
          <w:rFonts w:hint="eastAsia" w:ascii="宋体" w:hAnsi="宋体" w:cs="仿宋_GB2312"/>
          <w:color w:val="auto"/>
          <w:sz w:val="24"/>
          <w:highlight w:val="none"/>
        </w:rPr>
        <w:t>的（</w:t>
      </w:r>
      <w:r>
        <w:rPr>
          <w:rFonts w:hint="eastAsia" w:ascii="宋体" w:hAnsi="宋体" w:cs="仿宋_GB2312"/>
          <w:color w:val="auto"/>
          <w:sz w:val="24"/>
          <w:highlight w:val="none"/>
          <w:u w:val="single"/>
        </w:rPr>
        <w:t>□法定代表人/□负责人/□自然人本人</w:t>
      </w:r>
      <w:r>
        <w:rPr>
          <w:rFonts w:hint="eastAsia" w:ascii="宋体" w:hAnsi="宋体" w:cs="仿宋_GB2312"/>
          <w:color w:val="auto"/>
          <w:sz w:val="24"/>
          <w:highlight w:val="none"/>
        </w:rPr>
        <w:t>），现授权</w:t>
      </w:r>
      <w:r>
        <w:rPr>
          <w:rFonts w:hint="eastAsia" w:ascii="宋体" w:hAnsi="宋体" w:cs="仿宋_GB2312"/>
          <w:color w:val="auto"/>
          <w:sz w:val="24"/>
          <w:highlight w:val="none"/>
          <w:u w:val="single"/>
        </w:rPr>
        <w:t xml:space="preserve"> （姓名） </w:t>
      </w:r>
      <w:r>
        <w:rPr>
          <w:rFonts w:hint="eastAsia" w:ascii="宋体" w:hAnsi="宋体" w:cs="仿宋_GB2312"/>
          <w:color w:val="auto"/>
          <w:sz w:val="24"/>
          <w:highlight w:val="none"/>
        </w:rPr>
        <w:t>以我方的名义参加</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项目的竞标活动，并代表我方全权办理针对上述项目的所有采购程序和环节的具体事务和签署相关文件。</w:t>
      </w:r>
    </w:p>
    <w:p w14:paraId="60952D1C">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 xml:space="preserve">    我方对委托代理人的</w:t>
      </w:r>
      <w:r>
        <w:rPr>
          <w:rFonts w:hint="eastAsia" w:ascii="宋体" w:hAnsi="宋体"/>
          <w:color w:val="auto"/>
          <w:sz w:val="24"/>
          <w:highlight w:val="none"/>
        </w:rPr>
        <w:t>签字或者电子签名</w:t>
      </w:r>
      <w:r>
        <w:rPr>
          <w:rFonts w:hint="eastAsia" w:ascii="宋体" w:hAnsi="宋体" w:cs="仿宋_GB2312"/>
          <w:color w:val="auto"/>
          <w:sz w:val="24"/>
          <w:highlight w:val="none"/>
        </w:rPr>
        <w:t>事项负全部责任。</w:t>
      </w:r>
    </w:p>
    <w:p w14:paraId="55F075CB">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本授权书自签署之日起生效，在撤销授权的书面通知以前，本授权书一直有效。委托代理人在授权书有效期内签署的所有文件不因授权的撤销而失效。</w:t>
      </w:r>
    </w:p>
    <w:p w14:paraId="04E3D8CC">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委托代理人无转委托权，特此委托。</w:t>
      </w:r>
    </w:p>
    <w:p w14:paraId="3400BABD">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附：法定代表人身份证明书及委托代理人有效身份证正反面复印件</w:t>
      </w:r>
    </w:p>
    <w:p w14:paraId="1B08BA15">
      <w:pPr>
        <w:spacing w:line="360" w:lineRule="auto"/>
        <w:contextualSpacing/>
        <w:rPr>
          <w:rFonts w:ascii="宋体" w:hAnsi="宋体" w:cs="仿宋_GB2312"/>
          <w:color w:val="auto"/>
          <w:sz w:val="24"/>
          <w:highlight w:val="none"/>
        </w:rPr>
      </w:pPr>
    </w:p>
    <w:p w14:paraId="38D76DCE">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委托代理人（</w:t>
      </w:r>
      <w:r>
        <w:rPr>
          <w:rFonts w:hint="eastAsia" w:ascii="宋体" w:hAnsi="宋体"/>
          <w:color w:val="auto"/>
          <w:sz w:val="24"/>
          <w:highlight w:val="none"/>
        </w:rPr>
        <w:t>签字或者电子签名</w:t>
      </w:r>
      <w:r>
        <w:rPr>
          <w:rFonts w:hint="eastAsia" w:ascii="宋体" w:hAnsi="宋体" w:cs="仿宋_GB2312"/>
          <w:color w:val="auto"/>
          <w:sz w:val="24"/>
          <w:highlight w:val="none"/>
        </w:rPr>
        <w:t xml:space="preserve">）：     法定代表人（签字或者盖章或者电子签名）：                    </w:t>
      </w:r>
    </w:p>
    <w:p w14:paraId="3B9C37D3">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 xml:space="preserve">委托代理人身份证号码：                              </w:t>
      </w:r>
    </w:p>
    <w:p w14:paraId="73167822">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 xml:space="preserve">                                </w:t>
      </w:r>
    </w:p>
    <w:p w14:paraId="400BB26D">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 xml:space="preserve">                         供应商名称（电子签章）： </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w:t>
      </w:r>
    </w:p>
    <w:p w14:paraId="1BC8E607">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 xml:space="preserve">                                         年    月    日</w:t>
      </w:r>
    </w:p>
    <w:p w14:paraId="052D59A3">
      <w:pPr>
        <w:spacing w:line="360" w:lineRule="auto"/>
        <w:contextualSpacing/>
        <w:rPr>
          <w:rFonts w:ascii="宋体" w:hAnsi="宋体" w:cs="仿宋_GB2312"/>
          <w:color w:val="auto"/>
          <w:sz w:val="24"/>
          <w:highlight w:val="none"/>
        </w:rPr>
      </w:pPr>
    </w:p>
    <w:p w14:paraId="37D47372">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注：1. 法定代表人必须在授权委托书上签字或者盖章</w:t>
      </w:r>
      <w:r>
        <w:rPr>
          <w:rFonts w:hint="eastAsia" w:ascii="宋体" w:hAnsi="宋体"/>
          <w:color w:val="auto"/>
          <w:sz w:val="24"/>
          <w:highlight w:val="none"/>
        </w:rPr>
        <w:t>或者电子签名</w:t>
      </w:r>
      <w:r>
        <w:rPr>
          <w:rFonts w:hint="eastAsia" w:ascii="宋体" w:hAnsi="宋体" w:cs="仿宋_GB2312"/>
          <w:color w:val="auto"/>
          <w:sz w:val="24"/>
          <w:highlight w:val="none"/>
        </w:rPr>
        <w:t>，委托代理人必须在授权委托书上签字或者电子签名，</w:t>
      </w:r>
      <w:r>
        <w:rPr>
          <w:rFonts w:hint="eastAsia" w:ascii="宋体" w:hAnsi="宋体" w:cs="仿宋_GB2312"/>
          <w:b/>
          <w:color w:val="auto"/>
          <w:sz w:val="24"/>
          <w:highlight w:val="none"/>
        </w:rPr>
        <w:t>否则其响应文件按无效响应处理。</w:t>
      </w:r>
    </w:p>
    <w:p w14:paraId="6C5D9CDA">
      <w:pPr>
        <w:spacing w:line="360" w:lineRule="auto"/>
        <w:ind w:firstLine="480"/>
        <w:contextualSpacing/>
        <w:jc w:val="left"/>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法人、其他组织竞标时“我方”是指“我单位”，自然人竞标时“我方”是指“本人”。</w:t>
      </w:r>
    </w:p>
    <w:p w14:paraId="5E573920">
      <w:pPr>
        <w:spacing w:line="360" w:lineRule="auto"/>
        <w:ind w:firstLine="420"/>
        <w:contextualSpacing/>
        <w:jc w:val="left"/>
        <w:rPr>
          <w:rFonts w:ascii="仿宋_GB2312" w:hAnsi="仿宋_GB2312" w:eastAsia="仿宋_GB2312" w:cs="仿宋_GB2312"/>
          <w:color w:val="auto"/>
          <w:szCs w:val="21"/>
          <w:highlight w:val="none"/>
        </w:rPr>
      </w:pPr>
    </w:p>
    <w:p w14:paraId="53376A0C">
      <w:pPr>
        <w:spacing w:line="360" w:lineRule="auto"/>
        <w:ind w:firstLine="480"/>
        <w:contextualSpacing/>
        <w:jc w:val="center"/>
        <w:rPr>
          <w:rFonts w:ascii="方正小标宋简体" w:hAnsi="方正小标宋简体" w:eastAsia="方正小标宋简体" w:cs="方正小标宋简体"/>
          <w:bCs/>
          <w:color w:val="auto"/>
          <w:sz w:val="44"/>
          <w:szCs w:val="44"/>
          <w:highlight w:val="none"/>
        </w:rPr>
      </w:pPr>
      <w:r>
        <w:rPr>
          <w:rFonts w:ascii="仿宋_GB2312" w:hAnsi="仿宋_GB2312" w:eastAsia="仿宋_GB2312" w:cs="仿宋_GB2312"/>
          <w:color w:val="auto"/>
          <w:szCs w:val="21"/>
          <w:highlight w:val="none"/>
        </w:rPr>
        <w:br w:type="page" w:clear="all"/>
      </w:r>
      <w:r>
        <w:rPr>
          <w:rFonts w:hint="eastAsia" w:ascii="方正小标宋简体" w:hAnsi="方正小标宋简体" w:eastAsia="方正小标宋简体" w:cs="方正小标宋简体"/>
          <w:bCs/>
          <w:color w:val="auto"/>
          <w:sz w:val="44"/>
          <w:szCs w:val="44"/>
          <w:highlight w:val="none"/>
        </w:rPr>
        <w:t>商务要求偏离表格式</w:t>
      </w:r>
    </w:p>
    <w:p w14:paraId="0FEC3E01">
      <w:pPr>
        <w:spacing w:before="50"/>
        <w:jc w:val="left"/>
        <w:rPr>
          <w:rFonts w:ascii="宋体" w:hAnsi="宋体"/>
          <w:color w:val="auto"/>
          <w:sz w:val="24"/>
          <w:highlight w:val="none"/>
        </w:rPr>
      </w:pPr>
    </w:p>
    <w:p w14:paraId="75137890">
      <w:pPr>
        <w:pStyle w:val="222"/>
        <w:spacing w:line="360" w:lineRule="auto"/>
        <w:rPr>
          <w:rFonts w:hAnsi="宋体" w:cs="仿宋_GB2312"/>
          <w:color w:val="auto"/>
          <w:sz w:val="24"/>
          <w:szCs w:val="24"/>
          <w:highlight w:val="none"/>
        </w:rPr>
      </w:pPr>
      <w:r>
        <w:rPr>
          <w:rFonts w:hint="eastAsia" w:hAnsi="宋体" w:cs="仿宋_GB2312"/>
          <w:color w:val="auto"/>
          <w:sz w:val="24"/>
          <w:szCs w:val="24"/>
          <w:highlight w:val="none"/>
        </w:rPr>
        <w:t>所竞分标：</w:t>
      </w:r>
      <w:r>
        <w:rPr>
          <w:rFonts w:hint="eastAsia" w:hAnsi="宋体" w:cs="仿宋_GB2312"/>
          <w:color w:val="auto"/>
          <w:sz w:val="24"/>
          <w:szCs w:val="24"/>
          <w:highlight w:val="none"/>
          <w:u w:val="single"/>
        </w:rPr>
        <w:t xml:space="preserve">              </w:t>
      </w:r>
    </w:p>
    <w:tbl>
      <w:tblPr>
        <w:tblStyle w:val="38"/>
        <w:tblpPr w:leftFromText="180" w:rightFromText="180" w:vertAnchor="text" w:horzAnchor="margin" w:tblpY="311"/>
        <w:tblOverlap w:val="never"/>
        <w:tblW w:w="93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78"/>
        <w:gridCol w:w="2668"/>
        <w:gridCol w:w="2633"/>
        <w:gridCol w:w="1829"/>
      </w:tblGrid>
      <w:tr w14:paraId="09A791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2178" w:type="dxa"/>
            <w:tcBorders>
              <w:top w:val="single" w:color="auto" w:sz="4" w:space="0"/>
              <w:left w:val="single" w:color="auto" w:sz="4" w:space="0"/>
              <w:bottom w:val="single" w:color="auto" w:sz="4" w:space="0"/>
              <w:right w:val="single" w:color="auto" w:sz="4" w:space="0"/>
            </w:tcBorders>
            <w:vAlign w:val="center"/>
          </w:tcPr>
          <w:p w14:paraId="0705221B">
            <w:pPr>
              <w:spacing w:before="120" w:line="360" w:lineRule="auto"/>
              <w:jc w:val="center"/>
              <w:rPr>
                <w:rFonts w:ascii="宋体" w:hAnsi="宋体" w:cs="仿宋_GB2312"/>
                <w:color w:val="auto"/>
                <w:sz w:val="24"/>
                <w:highlight w:val="none"/>
              </w:rPr>
            </w:pPr>
            <w:r>
              <w:rPr>
                <w:rFonts w:hint="eastAsia" w:ascii="宋体" w:hAnsi="宋体" w:cs="仿宋_GB2312"/>
                <w:color w:val="auto"/>
                <w:sz w:val="24"/>
                <w:highlight w:val="none"/>
              </w:rPr>
              <w:t>项目</w:t>
            </w:r>
          </w:p>
        </w:tc>
        <w:tc>
          <w:tcPr>
            <w:tcW w:w="2668" w:type="dxa"/>
            <w:tcBorders>
              <w:top w:val="single" w:color="auto" w:sz="4" w:space="0"/>
              <w:left w:val="single" w:color="auto" w:sz="4" w:space="0"/>
              <w:bottom w:val="single" w:color="auto" w:sz="4" w:space="0"/>
              <w:right w:val="single" w:color="auto" w:sz="4" w:space="0"/>
            </w:tcBorders>
            <w:vAlign w:val="center"/>
          </w:tcPr>
          <w:p w14:paraId="6AFA0799">
            <w:pPr>
              <w:spacing w:before="120" w:line="360" w:lineRule="auto"/>
              <w:jc w:val="center"/>
              <w:rPr>
                <w:rFonts w:ascii="宋体" w:hAnsi="宋体" w:cs="仿宋_GB2312"/>
                <w:color w:val="auto"/>
                <w:sz w:val="24"/>
                <w:highlight w:val="none"/>
              </w:rPr>
            </w:pPr>
            <w:r>
              <w:rPr>
                <w:rFonts w:hint="eastAsia" w:ascii="宋体" w:hAnsi="宋体" w:cs="仿宋_GB2312"/>
                <w:color w:val="auto"/>
                <w:sz w:val="24"/>
                <w:highlight w:val="none"/>
              </w:rPr>
              <w:t>谈判文件商务要求</w:t>
            </w:r>
          </w:p>
        </w:tc>
        <w:tc>
          <w:tcPr>
            <w:tcW w:w="2633" w:type="dxa"/>
            <w:tcBorders>
              <w:top w:val="single" w:color="auto" w:sz="4" w:space="0"/>
              <w:left w:val="single" w:color="auto" w:sz="4" w:space="0"/>
              <w:bottom w:val="single" w:color="auto" w:sz="4" w:space="0"/>
              <w:right w:val="single" w:color="auto" w:sz="4" w:space="0"/>
            </w:tcBorders>
            <w:vAlign w:val="center"/>
          </w:tcPr>
          <w:p w14:paraId="150275B7">
            <w:pPr>
              <w:spacing w:before="120" w:line="360" w:lineRule="auto"/>
              <w:jc w:val="center"/>
              <w:rPr>
                <w:rFonts w:ascii="宋体" w:hAnsi="宋体" w:cs="仿宋_GB2312"/>
                <w:color w:val="auto"/>
                <w:sz w:val="24"/>
                <w:highlight w:val="none"/>
              </w:rPr>
            </w:pPr>
            <w:r>
              <w:rPr>
                <w:rFonts w:hint="eastAsia" w:ascii="宋体" w:hAnsi="宋体" w:cs="仿宋_GB2312"/>
                <w:color w:val="auto"/>
                <w:sz w:val="24"/>
                <w:highlight w:val="none"/>
              </w:rPr>
              <w:t>供应商的响应</w:t>
            </w:r>
          </w:p>
        </w:tc>
        <w:tc>
          <w:tcPr>
            <w:tcW w:w="1829" w:type="dxa"/>
            <w:tcBorders>
              <w:top w:val="single" w:color="auto" w:sz="4" w:space="0"/>
              <w:left w:val="single" w:color="auto" w:sz="4" w:space="0"/>
              <w:bottom w:val="single" w:color="auto" w:sz="4" w:space="0"/>
              <w:right w:val="single" w:color="auto" w:sz="4" w:space="0"/>
            </w:tcBorders>
            <w:vAlign w:val="center"/>
          </w:tcPr>
          <w:p w14:paraId="1A6AAE25">
            <w:pPr>
              <w:spacing w:before="120" w:line="360" w:lineRule="auto"/>
              <w:jc w:val="center"/>
              <w:rPr>
                <w:rFonts w:ascii="宋体" w:hAnsi="宋体" w:cs="仿宋_GB2312"/>
                <w:color w:val="auto"/>
                <w:sz w:val="24"/>
                <w:highlight w:val="none"/>
              </w:rPr>
            </w:pPr>
            <w:r>
              <w:rPr>
                <w:rFonts w:hint="eastAsia" w:ascii="宋体" w:hAnsi="宋体" w:cs="仿宋_GB2312"/>
                <w:color w:val="auto"/>
                <w:sz w:val="24"/>
                <w:highlight w:val="none"/>
              </w:rPr>
              <w:t>偏离说明</w:t>
            </w:r>
          </w:p>
        </w:tc>
      </w:tr>
      <w:tr w14:paraId="5C90EB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178" w:type="dxa"/>
            <w:tcBorders>
              <w:top w:val="single" w:color="auto" w:sz="4" w:space="0"/>
              <w:left w:val="single" w:color="auto" w:sz="4" w:space="0"/>
              <w:bottom w:val="single" w:color="auto" w:sz="4" w:space="0"/>
              <w:right w:val="single" w:color="auto" w:sz="4" w:space="0"/>
            </w:tcBorders>
            <w:vAlign w:val="center"/>
          </w:tcPr>
          <w:p w14:paraId="7C959AFE">
            <w:pPr>
              <w:spacing w:before="120" w:line="360" w:lineRule="auto"/>
              <w:jc w:val="center"/>
              <w:rPr>
                <w:rFonts w:ascii="宋体" w:hAnsi="宋体" w:cs="仿宋_GB2312"/>
                <w:color w:val="auto"/>
                <w:sz w:val="24"/>
                <w:highlight w:val="none"/>
              </w:rPr>
            </w:pPr>
            <w:r>
              <w:rPr>
                <w:rFonts w:hint="eastAsia" w:ascii="宋体" w:hAnsi="宋体" w:cs="仿宋_GB2312"/>
                <w:color w:val="auto"/>
                <w:sz w:val="24"/>
                <w:highlight w:val="none"/>
              </w:rPr>
              <w:t>合同履行期限和地点</w:t>
            </w:r>
          </w:p>
        </w:tc>
        <w:tc>
          <w:tcPr>
            <w:tcW w:w="2668" w:type="dxa"/>
            <w:tcBorders>
              <w:top w:val="single" w:color="auto" w:sz="4" w:space="0"/>
              <w:left w:val="single" w:color="auto" w:sz="4" w:space="0"/>
              <w:bottom w:val="single" w:color="auto" w:sz="4" w:space="0"/>
              <w:right w:val="single" w:color="auto" w:sz="4" w:space="0"/>
            </w:tcBorders>
            <w:vAlign w:val="center"/>
          </w:tcPr>
          <w:p w14:paraId="1267EC13">
            <w:pPr>
              <w:jc w:val="center"/>
              <w:rPr>
                <w:rFonts w:ascii="宋体" w:hAnsi="宋体"/>
                <w:color w:val="auto"/>
                <w:sz w:val="24"/>
                <w:highlight w:val="none"/>
              </w:rPr>
            </w:pPr>
          </w:p>
        </w:tc>
        <w:tc>
          <w:tcPr>
            <w:tcW w:w="2633" w:type="dxa"/>
            <w:tcBorders>
              <w:top w:val="single" w:color="auto" w:sz="4" w:space="0"/>
              <w:left w:val="single" w:color="auto" w:sz="4" w:space="0"/>
              <w:bottom w:val="single" w:color="auto" w:sz="4" w:space="0"/>
              <w:right w:val="single" w:color="auto" w:sz="4" w:space="0"/>
            </w:tcBorders>
            <w:vAlign w:val="center"/>
          </w:tcPr>
          <w:p w14:paraId="37D85AA9">
            <w:pPr>
              <w:spacing w:before="120" w:line="360" w:lineRule="auto"/>
              <w:jc w:val="center"/>
              <w:rPr>
                <w:rFonts w:ascii="宋体" w:hAnsi="宋体" w:cs="仿宋_GB2312"/>
                <w:color w:val="auto"/>
                <w:sz w:val="24"/>
                <w:highlight w:val="none"/>
              </w:rPr>
            </w:pPr>
          </w:p>
        </w:tc>
        <w:tc>
          <w:tcPr>
            <w:tcW w:w="1829" w:type="dxa"/>
            <w:tcBorders>
              <w:top w:val="single" w:color="auto" w:sz="4" w:space="0"/>
              <w:left w:val="single" w:color="auto" w:sz="4" w:space="0"/>
              <w:bottom w:val="single" w:color="auto" w:sz="4" w:space="0"/>
              <w:right w:val="single" w:color="auto" w:sz="4" w:space="0"/>
            </w:tcBorders>
            <w:vAlign w:val="center"/>
          </w:tcPr>
          <w:p w14:paraId="021AE35C">
            <w:pPr>
              <w:spacing w:before="120" w:line="360" w:lineRule="auto"/>
              <w:jc w:val="center"/>
              <w:rPr>
                <w:rFonts w:ascii="宋体" w:hAnsi="宋体" w:cs="仿宋_GB2312"/>
                <w:color w:val="auto"/>
                <w:sz w:val="24"/>
                <w:highlight w:val="none"/>
              </w:rPr>
            </w:pPr>
          </w:p>
        </w:tc>
      </w:tr>
      <w:tr w14:paraId="65F90B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2178" w:type="dxa"/>
            <w:tcBorders>
              <w:top w:val="single" w:color="auto" w:sz="4" w:space="0"/>
              <w:left w:val="single" w:color="auto" w:sz="4" w:space="0"/>
              <w:bottom w:val="single" w:color="auto" w:sz="4" w:space="0"/>
              <w:right w:val="single" w:color="auto" w:sz="4" w:space="0"/>
            </w:tcBorders>
            <w:vAlign w:val="center"/>
          </w:tcPr>
          <w:p w14:paraId="3EA1DEF9">
            <w:pPr>
              <w:spacing w:before="120" w:line="360" w:lineRule="auto"/>
              <w:jc w:val="center"/>
              <w:rPr>
                <w:rFonts w:ascii="宋体" w:hAnsi="宋体" w:cs="仿宋_GB2312"/>
                <w:color w:val="auto"/>
                <w:sz w:val="24"/>
                <w:highlight w:val="none"/>
              </w:rPr>
            </w:pPr>
            <w:r>
              <w:rPr>
                <w:rFonts w:hint="eastAsia" w:ascii="宋体" w:hAnsi="宋体" w:cs="仿宋_GB2312"/>
                <w:color w:val="auto"/>
                <w:sz w:val="24"/>
                <w:highlight w:val="none"/>
              </w:rPr>
              <w:t>合同签订时间</w:t>
            </w:r>
          </w:p>
        </w:tc>
        <w:tc>
          <w:tcPr>
            <w:tcW w:w="2668" w:type="dxa"/>
            <w:tcBorders>
              <w:top w:val="single" w:color="auto" w:sz="4" w:space="0"/>
              <w:left w:val="single" w:color="auto" w:sz="4" w:space="0"/>
              <w:bottom w:val="single" w:color="auto" w:sz="4" w:space="0"/>
              <w:right w:val="single" w:color="auto" w:sz="4" w:space="0"/>
            </w:tcBorders>
            <w:vAlign w:val="center"/>
          </w:tcPr>
          <w:p w14:paraId="62F3C9ED">
            <w:pPr>
              <w:jc w:val="center"/>
              <w:rPr>
                <w:rFonts w:ascii="宋体" w:hAnsi="宋体"/>
                <w:color w:val="auto"/>
                <w:sz w:val="24"/>
                <w:highlight w:val="none"/>
              </w:rPr>
            </w:pPr>
          </w:p>
        </w:tc>
        <w:tc>
          <w:tcPr>
            <w:tcW w:w="2633" w:type="dxa"/>
            <w:tcBorders>
              <w:top w:val="single" w:color="auto" w:sz="4" w:space="0"/>
              <w:left w:val="single" w:color="auto" w:sz="4" w:space="0"/>
              <w:bottom w:val="single" w:color="auto" w:sz="4" w:space="0"/>
              <w:right w:val="single" w:color="auto" w:sz="4" w:space="0"/>
            </w:tcBorders>
            <w:vAlign w:val="center"/>
          </w:tcPr>
          <w:p w14:paraId="3D967046">
            <w:pPr>
              <w:spacing w:before="120" w:line="360" w:lineRule="auto"/>
              <w:ind w:left="43"/>
              <w:jc w:val="center"/>
              <w:rPr>
                <w:rFonts w:ascii="宋体" w:hAnsi="宋体" w:cs="仿宋_GB2312"/>
                <w:color w:val="auto"/>
                <w:sz w:val="24"/>
                <w:highlight w:val="none"/>
              </w:rPr>
            </w:pPr>
          </w:p>
        </w:tc>
        <w:tc>
          <w:tcPr>
            <w:tcW w:w="1829" w:type="dxa"/>
            <w:tcBorders>
              <w:top w:val="single" w:color="auto" w:sz="4" w:space="0"/>
              <w:left w:val="single" w:color="auto" w:sz="4" w:space="0"/>
              <w:bottom w:val="single" w:color="auto" w:sz="4" w:space="0"/>
              <w:right w:val="single" w:color="auto" w:sz="4" w:space="0"/>
            </w:tcBorders>
            <w:vAlign w:val="center"/>
          </w:tcPr>
          <w:p w14:paraId="4F5E0BD7">
            <w:pPr>
              <w:spacing w:before="120" w:line="360" w:lineRule="auto"/>
              <w:ind w:left="43"/>
              <w:jc w:val="center"/>
              <w:rPr>
                <w:rFonts w:ascii="宋体" w:hAnsi="宋体" w:cs="仿宋_GB2312"/>
                <w:color w:val="auto"/>
                <w:sz w:val="24"/>
                <w:highlight w:val="none"/>
              </w:rPr>
            </w:pPr>
          </w:p>
        </w:tc>
      </w:tr>
      <w:tr w14:paraId="68B497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178" w:type="dxa"/>
            <w:tcBorders>
              <w:top w:val="single" w:color="auto" w:sz="4" w:space="0"/>
              <w:left w:val="single" w:color="auto" w:sz="4" w:space="0"/>
              <w:bottom w:val="single" w:color="auto" w:sz="4" w:space="0"/>
              <w:right w:val="single" w:color="auto" w:sz="4" w:space="0"/>
            </w:tcBorders>
            <w:vAlign w:val="center"/>
          </w:tcPr>
          <w:p w14:paraId="1E486E62">
            <w:pPr>
              <w:spacing w:before="120" w:line="360" w:lineRule="auto"/>
              <w:jc w:val="center"/>
              <w:rPr>
                <w:rFonts w:ascii="宋体" w:hAnsi="宋体" w:cs="仿宋_GB2312"/>
                <w:color w:val="auto"/>
                <w:sz w:val="24"/>
                <w:highlight w:val="none"/>
              </w:rPr>
            </w:pPr>
            <w:r>
              <w:rPr>
                <w:rFonts w:hint="eastAsia" w:ascii="宋体" w:hAnsi="宋体" w:cs="仿宋_GB2312"/>
                <w:color w:val="auto"/>
                <w:sz w:val="24"/>
                <w:highlight w:val="none"/>
              </w:rPr>
              <w:t>…</w:t>
            </w:r>
          </w:p>
        </w:tc>
        <w:tc>
          <w:tcPr>
            <w:tcW w:w="2668" w:type="dxa"/>
            <w:tcBorders>
              <w:top w:val="single" w:color="auto" w:sz="4" w:space="0"/>
              <w:left w:val="single" w:color="auto" w:sz="4" w:space="0"/>
              <w:bottom w:val="single" w:color="auto" w:sz="4" w:space="0"/>
              <w:right w:val="single" w:color="auto" w:sz="4" w:space="0"/>
            </w:tcBorders>
            <w:vAlign w:val="center"/>
          </w:tcPr>
          <w:p w14:paraId="5BBF6451">
            <w:pPr>
              <w:spacing w:before="120" w:line="360" w:lineRule="auto"/>
              <w:jc w:val="center"/>
              <w:rPr>
                <w:rFonts w:ascii="宋体" w:hAnsi="宋体" w:cs="仿宋_GB2312"/>
                <w:color w:val="auto"/>
                <w:sz w:val="24"/>
                <w:highlight w:val="none"/>
              </w:rPr>
            </w:pPr>
          </w:p>
        </w:tc>
        <w:tc>
          <w:tcPr>
            <w:tcW w:w="2633" w:type="dxa"/>
            <w:tcBorders>
              <w:top w:val="single" w:color="auto" w:sz="4" w:space="0"/>
              <w:left w:val="single" w:color="auto" w:sz="4" w:space="0"/>
              <w:bottom w:val="single" w:color="auto" w:sz="4" w:space="0"/>
              <w:right w:val="single" w:color="auto" w:sz="4" w:space="0"/>
            </w:tcBorders>
            <w:vAlign w:val="center"/>
          </w:tcPr>
          <w:p w14:paraId="5878528A">
            <w:pPr>
              <w:spacing w:before="120" w:line="360" w:lineRule="auto"/>
              <w:jc w:val="center"/>
              <w:rPr>
                <w:rFonts w:ascii="宋体" w:hAnsi="宋体" w:cs="仿宋_GB2312"/>
                <w:color w:val="auto"/>
                <w:sz w:val="24"/>
                <w:highlight w:val="none"/>
              </w:rPr>
            </w:pPr>
          </w:p>
        </w:tc>
        <w:tc>
          <w:tcPr>
            <w:tcW w:w="1829" w:type="dxa"/>
            <w:tcBorders>
              <w:top w:val="single" w:color="auto" w:sz="4" w:space="0"/>
              <w:left w:val="single" w:color="auto" w:sz="4" w:space="0"/>
              <w:bottom w:val="single" w:color="auto" w:sz="4" w:space="0"/>
              <w:right w:val="single" w:color="auto" w:sz="4" w:space="0"/>
            </w:tcBorders>
            <w:vAlign w:val="center"/>
          </w:tcPr>
          <w:p w14:paraId="1B034D2E">
            <w:pPr>
              <w:spacing w:before="120" w:line="360" w:lineRule="auto"/>
              <w:jc w:val="center"/>
              <w:rPr>
                <w:rFonts w:ascii="宋体" w:hAnsi="宋体" w:cs="仿宋_GB2312"/>
                <w:color w:val="auto"/>
                <w:sz w:val="24"/>
                <w:highlight w:val="none"/>
              </w:rPr>
            </w:pPr>
          </w:p>
        </w:tc>
      </w:tr>
    </w:tbl>
    <w:p w14:paraId="7321455F">
      <w:pPr>
        <w:pStyle w:val="214"/>
        <w:spacing w:after="0" w:line="360" w:lineRule="auto"/>
        <w:contextualSpacing/>
        <w:rPr>
          <w:rFonts w:ascii="宋体" w:hAnsi="宋体"/>
          <w:color w:val="auto"/>
          <w:sz w:val="24"/>
          <w:szCs w:val="24"/>
          <w:highlight w:val="none"/>
        </w:rPr>
      </w:pPr>
      <w:r>
        <w:rPr>
          <w:rFonts w:hint="eastAsia" w:ascii="宋体" w:hAnsi="宋体"/>
          <w:color w:val="auto"/>
          <w:sz w:val="24"/>
          <w:szCs w:val="24"/>
          <w:highlight w:val="none"/>
        </w:rPr>
        <w:t>注：</w:t>
      </w:r>
    </w:p>
    <w:p w14:paraId="5E6F507C">
      <w:pPr>
        <w:pStyle w:val="214"/>
        <w:spacing w:after="0" w:line="360" w:lineRule="auto"/>
        <w:contextualSpacing/>
        <w:rPr>
          <w:rFonts w:ascii="宋体" w:hAnsi="宋体"/>
          <w:color w:val="auto"/>
          <w:sz w:val="24"/>
          <w:szCs w:val="24"/>
          <w:highlight w:val="none"/>
        </w:rPr>
      </w:pPr>
      <w:r>
        <w:rPr>
          <w:rFonts w:hint="eastAsia" w:ascii="宋体" w:hAnsi="宋体"/>
          <w:color w:val="auto"/>
          <w:sz w:val="24"/>
          <w:szCs w:val="24"/>
          <w:highlight w:val="none"/>
        </w:rPr>
        <w:t>1. 说明：应对照谈判文件“第三章 采购需求”中的商务要求逐条明确响应，并作出偏离说明。</w:t>
      </w:r>
    </w:p>
    <w:p w14:paraId="6F6F925D">
      <w:pPr>
        <w:pStyle w:val="214"/>
        <w:spacing w:after="0" w:line="360" w:lineRule="auto"/>
        <w:contextualSpacing/>
        <w:rPr>
          <w:rFonts w:ascii="宋体" w:hAnsi="宋体"/>
          <w:color w:val="auto"/>
          <w:sz w:val="24"/>
          <w:szCs w:val="24"/>
          <w:highlight w:val="none"/>
        </w:rPr>
      </w:pPr>
      <w:r>
        <w:rPr>
          <w:rFonts w:hint="eastAsia" w:ascii="宋体" w:hAnsi="宋体"/>
          <w:color w:val="auto"/>
          <w:sz w:val="24"/>
          <w:szCs w:val="24"/>
          <w:highlight w:val="none"/>
        </w:rPr>
        <w:t>2.供应商应根据自身的承诺，对照谈判文件要求在“偏离说明”中注明“正偏离”“负偏离”或者“无偏离”。既不属于“正偏离”也不属于“负偏离”即为“无偏离”。</w:t>
      </w:r>
    </w:p>
    <w:p w14:paraId="264EFA84">
      <w:pPr>
        <w:spacing w:line="360" w:lineRule="auto"/>
        <w:contextualSpacing/>
        <w:jc w:val="left"/>
        <w:rPr>
          <w:rFonts w:ascii="宋体" w:hAnsi="宋体" w:cs="仿宋_GB2312"/>
          <w:i/>
          <w:color w:val="auto"/>
          <w:sz w:val="24"/>
          <w:highlight w:val="none"/>
        </w:rPr>
      </w:pPr>
      <w:r>
        <w:rPr>
          <w:rFonts w:hint="eastAsia" w:ascii="宋体" w:hAnsi="宋体" w:cs="仿宋_GB2312"/>
          <w:color w:val="auto"/>
          <w:sz w:val="24"/>
          <w:highlight w:val="none"/>
        </w:rPr>
        <w:t>3.如为联合体竞标，“供应商名称”处必须列明联合体各方名称，标注联合体牵头人名称，</w:t>
      </w:r>
      <w:r>
        <w:rPr>
          <w:rFonts w:hint="eastAsia" w:ascii="宋体" w:hAnsi="宋体" w:cs="仿宋_GB2312"/>
          <w:b/>
          <w:color w:val="auto"/>
          <w:sz w:val="24"/>
          <w:highlight w:val="none"/>
        </w:rPr>
        <w:t>否则其响应文件按无效处理。</w:t>
      </w:r>
    </w:p>
    <w:p w14:paraId="3EED4FD4">
      <w:pPr>
        <w:spacing w:line="360" w:lineRule="auto"/>
        <w:contextualSpacing/>
        <w:jc w:val="left"/>
        <w:rPr>
          <w:rFonts w:ascii="宋体" w:hAnsi="宋体" w:cs="仿宋_GB2312"/>
          <w:color w:val="auto"/>
          <w:sz w:val="24"/>
          <w:highlight w:val="none"/>
        </w:rPr>
      </w:pPr>
      <w:r>
        <w:rPr>
          <w:rFonts w:hint="eastAsia" w:ascii="宋体" w:hAnsi="宋体" w:cs="仿宋_GB2312"/>
          <w:color w:val="auto"/>
          <w:sz w:val="24"/>
          <w:highlight w:val="none"/>
        </w:rPr>
        <w:t>4.如为联合体竞标，</w:t>
      </w:r>
      <w:r>
        <w:rPr>
          <w:rFonts w:hint="eastAsia" w:ascii="宋体" w:hAnsi="宋体"/>
          <w:color w:val="auto"/>
          <w:spacing w:val="-6"/>
          <w:sz w:val="24"/>
          <w:highlight w:val="none"/>
        </w:rPr>
        <w:t>盖章处须加盖联合体牵头人电子签章</w:t>
      </w:r>
      <w:r>
        <w:rPr>
          <w:rFonts w:hint="eastAsia" w:ascii="宋体" w:hAnsi="宋体" w:cs="仿宋_GB2312"/>
          <w:color w:val="auto"/>
          <w:sz w:val="24"/>
          <w:highlight w:val="none"/>
        </w:rPr>
        <w:t>，</w:t>
      </w:r>
      <w:r>
        <w:rPr>
          <w:rFonts w:hint="eastAsia" w:ascii="宋体" w:hAnsi="宋体" w:cs="仿宋_GB2312"/>
          <w:b/>
          <w:color w:val="auto"/>
          <w:sz w:val="24"/>
          <w:highlight w:val="none"/>
        </w:rPr>
        <w:t>否则其响应文件按无效处理。</w:t>
      </w:r>
    </w:p>
    <w:p w14:paraId="311C427F">
      <w:pPr>
        <w:spacing w:line="360" w:lineRule="auto"/>
        <w:contextualSpacing/>
        <w:jc w:val="left"/>
        <w:rPr>
          <w:rFonts w:ascii="宋体" w:hAnsi="宋体" w:cs="仿宋_GB2312"/>
          <w:color w:val="auto"/>
          <w:sz w:val="24"/>
          <w:highlight w:val="none"/>
          <w:u w:val="single"/>
        </w:rPr>
      </w:pPr>
    </w:p>
    <w:p w14:paraId="242FCABF">
      <w:pPr>
        <w:spacing w:line="360" w:lineRule="auto"/>
        <w:contextualSpacing/>
        <w:jc w:val="left"/>
        <w:rPr>
          <w:rFonts w:ascii="宋体" w:hAnsi="宋体" w:cs="仿宋_GB2312"/>
          <w:color w:val="auto"/>
          <w:sz w:val="24"/>
          <w:highlight w:val="none"/>
          <w:u w:val="single"/>
        </w:rPr>
      </w:pPr>
    </w:p>
    <w:p w14:paraId="5881B53C">
      <w:pPr>
        <w:spacing w:line="360" w:lineRule="auto"/>
        <w:ind w:right="-817"/>
        <w:contextualSpacing/>
        <w:rPr>
          <w:rFonts w:ascii="宋体" w:hAnsi="宋体" w:cs="仿宋_GB2312"/>
          <w:color w:val="auto"/>
          <w:sz w:val="24"/>
          <w:highlight w:val="none"/>
        </w:rPr>
      </w:pPr>
    </w:p>
    <w:p w14:paraId="0312B350">
      <w:pPr>
        <w:spacing w:line="360" w:lineRule="auto"/>
        <w:ind w:right="-817" w:firstLine="480"/>
        <w:contextualSpacing/>
        <w:rPr>
          <w:rFonts w:ascii="宋体" w:hAnsi="宋体" w:cs="仿宋_GB2312"/>
          <w:color w:val="auto"/>
          <w:sz w:val="24"/>
          <w:highlight w:val="none"/>
          <w:u w:val="single"/>
        </w:rPr>
      </w:pPr>
      <w:r>
        <w:rPr>
          <w:rFonts w:hint="eastAsia" w:ascii="宋体" w:hAnsi="宋体" w:cs="仿宋_GB2312"/>
          <w:color w:val="auto"/>
          <w:sz w:val="24"/>
          <w:highlight w:val="none"/>
        </w:rPr>
        <w:t>法定代表人或者委托代理人（签字或者电子签名）：</w:t>
      </w:r>
      <w:r>
        <w:rPr>
          <w:rFonts w:hint="eastAsia" w:ascii="宋体" w:hAnsi="宋体" w:cs="仿宋_GB2312"/>
          <w:color w:val="auto"/>
          <w:sz w:val="24"/>
          <w:highlight w:val="none"/>
          <w:u w:val="single"/>
        </w:rPr>
        <w:t xml:space="preserve">             </w:t>
      </w:r>
    </w:p>
    <w:p w14:paraId="7F75C8D8">
      <w:pPr>
        <w:spacing w:line="360" w:lineRule="auto"/>
        <w:ind w:right="-817" w:firstLine="2880"/>
        <w:contextualSpacing/>
        <w:rPr>
          <w:rFonts w:ascii="宋体" w:hAnsi="宋体" w:cs="仿宋_GB2312"/>
          <w:color w:val="auto"/>
          <w:sz w:val="24"/>
          <w:highlight w:val="none"/>
        </w:rPr>
      </w:pPr>
      <w:r>
        <w:rPr>
          <w:rFonts w:hint="eastAsia" w:ascii="宋体" w:hAnsi="宋体" w:cs="仿宋_GB2312"/>
          <w:color w:val="auto"/>
          <w:sz w:val="24"/>
          <w:highlight w:val="none"/>
        </w:rPr>
        <w:t>供应商名称（电子签章）：</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 xml:space="preserve">      </w:t>
      </w:r>
    </w:p>
    <w:p w14:paraId="64A6FCEE">
      <w:pPr>
        <w:spacing w:line="360" w:lineRule="auto"/>
        <w:ind w:right="-817" w:firstLine="2880"/>
        <w:contextualSpacing/>
        <w:rPr>
          <w:rFonts w:ascii="宋体" w:hAnsi="宋体" w:cs="仿宋_GB2312"/>
          <w:color w:val="auto"/>
          <w:sz w:val="24"/>
          <w:highlight w:val="none"/>
        </w:rPr>
      </w:pPr>
      <w:r>
        <w:rPr>
          <w:rFonts w:hint="eastAsia" w:ascii="宋体" w:hAnsi="宋体" w:cs="仿宋_GB2312"/>
          <w:color w:val="auto"/>
          <w:sz w:val="24"/>
          <w:highlight w:val="none"/>
        </w:rPr>
        <w:t>日期：   年   月   日</w:t>
      </w:r>
    </w:p>
    <w:p w14:paraId="75422DF8">
      <w:pPr>
        <w:spacing w:line="520" w:lineRule="exact"/>
        <w:ind w:firstLine="7040"/>
        <w:jc w:val="center"/>
        <w:rPr>
          <w:rFonts w:ascii="方正小标宋简体" w:hAnsi="方正小标宋简体" w:eastAsia="方正小标宋简体" w:cs="方正小标宋简体"/>
          <w:bCs/>
          <w:color w:val="auto"/>
          <w:sz w:val="44"/>
          <w:szCs w:val="44"/>
          <w:highlight w:val="none"/>
        </w:rPr>
      </w:pPr>
    </w:p>
    <w:p w14:paraId="06EA786F">
      <w:pPr>
        <w:spacing w:line="300" w:lineRule="auto"/>
        <w:rPr>
          <w:rFonts w:ascii="宋体" w:hAnsi="宋体"/>
          <w:color w:val="auto"/>
          <w:szCs w:val="21"/>
          <w:highlight w:val="none"/>
          <w:u w:val="single"/>
        </w:rPr>
      </w:pPr>
    </w:p>
    <w:p w14:paraId="6C1AFF2E">
      <w:pPr>
        <w:spacing w:line="300" w:lineRule="auto"/>
        <w:rPr>
          <w:rFonts w:ascii="宋体" w:hAnsi="宋体"/>
          <w:color w:val="auto"/>
          <w:szCs w:val="21"/>
          <w:highlight w:val="none"/>
          <w:u w:val="single"/>
        </w:rPr>
      </w:pPr>
    </w:p>
    <w:p w14:paraId="62BC8524">
      <w:pPr>
        <w:spacing w:line="300" w:lineRule="auto"/>
        <w:rPr>
          <w:rFonts w:ascii="宋体" w:hAnsi="宋体"/>
          <w:color w:val="auto"/>
          <w:szCs w:val="21"/>
          <w:highlight w:val="none"/>
          <w:u w:val="single"/>
        </w:rPr>
      </w:pPr>
    </w:p>
    <w:p w14:paraId="754C929D">
      <w:pPr>
        <w:spacing w:line="300" w:lineRule="auto"/>
        <w:rPr>
          <w:rFonts w:ascii="宋体" w:hAnsi="宋体"/>
          <w:color w:val="auto"/>
          <w:szCs w:val="21"/>
          <w:highlight w:val="none"/>
          <w:u w:val="single"/>
        </w:rPr>
      </w:pPr>
    </w:p>
    <w:p w14:paraId="15A17764">
      <w:pPr>
        <w:spacing w:line="300" w:lineRule="auto"/>
        <w:rPr>
          <w:rFonts w:ascii="宋体" w:hAnsi="宋体"/>
          <w:color w:val="auto"/>
          <w:szCs w:val="21"/>
          <w:highlight w:val="none"/>
          <w:u w:val="single"/>
        </w:rPr>
      </w:pPr>
    </w:p>
    <w:p w14:paraId="6E6DEF99">
      <w:pPr>
        <w:spacing w:line="300" w:lineRule="auto"/>
        <w:jc w:val="center"/>
        <w:rPr>
          <w:rFonts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技术要求偏离表</w:t>
      </w:r>
    </w:p>
    <w:p w14:paraId="0A8DAA3C">
      <w:pPr>
        <w:spacing w:line="520" w:lineRule="exact"/>
        <w:rPr>
          <w:rFonts w:ascii="仿宋_GB2312" w:hAnsi="仿宋_GB2312" w:eastAsia="仿宋_GB2312" w:cs="仿宋_GB2312"/>
          <w:color w:val="auto"/>
          <w:sz w:val="32"/>
          <w:szCs w:val="32"/>
          <w:highlight w:val="none"/>
        </w:rPr>
      </w:pPr>
    </w:p>
    <w:p w14:paraId="77C877C4">
      <w:pPr>
        <w:spacing w:line="360" w:lineRule="auto"/>
        <w:rPr>
          <w:rFonts w:ascii="宋体" w:hAnsi="宋体" w:cs="仿宋_GB2312"/>
          <w:color w:val="auto"/>
          <w:sz w:val="24"/>
          <w:highlight w:val="none"/>
          <w:u w:val="single"/>
        </w:rPr>
      </w:pPr>
      <w:r>
        <w:rPr>
          <w:rFonts w:hint="eastAsia" w:ascii="宋体" w:hAnsi="宋体" w:cs="仿宋_GB2312"/>
          <w:color w:val="auto"/>
          <w:sz w:val="24"/>
          <w:highlight w:val="none"/>
        </w:rPr>
        <w:t>采购项目编号：</w:t>
      </w:r>
      <w:r>
        <w:rPr>
          <w:rFonts w:hint="eastAsia" w:ascii="宋体" w:hAnsi="宋体" w:cs="仿宋_GB2312"/>
          <w:color w:val="auto"/>
          <w:sz w:val="24"/>
          <w:highlight w:val="none"/>
          <w:u w:val="single"/>
        </w:rPr>
        <w:t xml:space="preserve">                 </w:t>
      </w:r>
    </w:p>
    <w:p w14:paraId="60A78E57">
      <w:pPr>
        <w:spacing w:line="360" w:lineRule="auto"/>
        <w:rPr>
          <w:rFonts w:ascii="宋体" w:hAnsi="宋体" w:cs="仿宋_GB2312"/>
          <w:color w:val="auto"/>
          <w:sz w:val="24"/>
          <w:highlight w:val="none"/>
        </w:rPr>
      </w:pPr>
      <w:r>
        <w:rPr>
          <w:rFonts w:hint="eastAsia" w:ascii="宋体" w:hAnsi="宋体" w:cs="仿宋_GB2312"/>
          <w:color w:val="auto"/>
          <w:sz w:val="24"/>
          <w:highlight w:val="none"/>
        </w:rPr>
        <w:t>采购项目名称：</w:t>
      </w:r>
      <w:r>
        <w:rPr>
          <w:rFonts w:hint="eastAsia" w:ascii="宋体" w:hAnsi="宋体" w:cs="仿宋_GB2312"/>
          <w:color w:val="auto"/>
          <w:sz w:val="24"/>
          <w:highlight w:val="none"/>
          <w:u w:val="single"/>
        </w:rPr>
        <w:t xml:space="preserve">                 </w:t>
      </w:r>
    </w:p>
    <w:p w14:paraId="170C8E6D">
      <w:pPr>
        <w:spacing w:line="360" w:lineRule="auto"/>
        <w:rPr>
          <w:rFonts w:ascii="宋体" w:hAnsi="宋体" w:cs="仿宋_GB2312"/>
          <w:color w:val="auto"/>
          <w:sz w:val="24"/>
          <w:highlight w:val="none"/>
          <w:u w:val="single"/>
        </w:rPr>
      </w:pPr>
      <w:r>
        <w:rPr>
          <w:rFonts w:hint="eastAsia" w:ascii="宋体" w:hAnsi="宋体" w:cs="仿宋_GB2312"/>
          <w:color w:val="auto"/>
          <w:sz w:val="24"/>
          <w:highlight w:val="none"/>
        </w:rPr>
        <w:t>分标号：</w:t>
      </w:r>
      <w:r>
        <w:rPr>
          <w:rFonts w:hint="eastAsia" w:ascii="宋体" w:hAnsi="宋体" w:cs="仿宋_GB2312"/>
          <w:color w:val="auto"/>
          <w:sz w:val="24"/>
          <w:highlight w:val="none"/>
          <w:u w:val="single"/>
        </w:rPr>
        <w:t xml:space="preserve">                       </w:t>
      </w:r>
    </w:p>
    <w:tbl>
      <w:tblPr>
        <w:tblStyle w:val="38"/>
        <w:tblW w:w="894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00"/>
        <w:gridCol w:w="900"/>
        <w:gridCol w:w="2989"/>
        <w:gridCol w:w="2690"/>
        <w:gridCol w:w="1467"/>
      </w:tblGrid>
      <w:tr w14:paraId="1DA3AF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7C0B7E0">
            <w:pPr>
              <w:pStyle w:val="218"/>
              <w:spacing w:line="360" w:lineRule="auto"/>
              <w:ind w:firstLine="0"/>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序号</w:t>
            </w:r>
          </w:p>
        </w:tc>
        <w:tc>
          <w:tcPr>
            <w:tcW w:w="900" w:type="dxa"/>
            <w:tcBorders>
              <w:top w:val="single" w:color="auto" w:sz="4" w:space="0"/>
              <w:left w:val="single" w:color="auto" w:sz="4" w:space="0"/>
              <w:bottom w:val="single" w:color="auto" w:sz="4" w:space="0"/>
              <w:right w:val="single" w:color="auto" w:sz="4" w:space="0"/>
            </w:tcBorders>
            <w:vAlign w:val="center"/>
          </w:tcPr>
          <w:p w14:paraId="175AE2C5">
            <w:pPr>
              <w:pStyle w:val="218"/>
              <w:spacing w:line="360" w:lineRule="auto"/>
              <w:ind w:firstLine="0"/>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名称</w:t>
            </w:r>
          </w:p>
        </w:tc>
        <w:tc>
          <w:tcPr>
            <w:tcW w:w="2989" w:type="dxa"/>
            <w:tcBorders>
              <w:top w:val="single" w:color="auto" w:sz="4" w:space="0"/>
              <w:left w:val="single" w:color="auto" w:sz="4" w:space="0"/>
              <w:bottom w:val="single" w:color="auto" w:sz="4" w:space="0"/>
              <w:right w:val="single" w:color="auto" w:sz="4" w:space="0"/>
            </w:tcBorders>
            <w:vAlign w:val="center"/>
          </w:tcPr>
          <w:p w14:paraId="14BA639B">
            <w:pPr>
              <w:pStyle w:val="218"/>
              <w:spacing w:line="360" w:lineRule="auto"/>
              <w:ind w:firstLine="0"/>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谈判文件要求</w:t>
            </w:r>
          </w:p>
        </w:tc>
        <w:tc>
          <w:tcPr>
            <w:tcW w:w="2690" w:type="dxa"/>
            <w:tcBorders>
              <w:top w:val="single" w:color="auto" w:sz="4" w:space="0"/>
              <w:left w:val="single" w:color="auto" w:sz="4" w:space="0"/>
              <w:bottom w:val="single" w:color="auto" w:sz="4" w:space="0"/>
              <w:right w:val="single" w:color="auto" w:sz="4" w:space="0"/>
            </w:tcBorders>
            <w:vAlign w:val="center"/>
          </w:tcPr>
          <w:p w14:paraId="4D8BE216">
            <w:pPr>
              <w:pStyle w:val="218"/>
              <w:spacing w:line="360" w:lineRule="auto"/>
              <w:ind w:firstLine="0"/>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竞标响应</w:t>
            </w:r>
          </w:p>
        </w:tc>
        <w:tc>
          <w:tcPr>
            <w:tcW w:w="1467" w:type="dxa"/>
            <w:tcBorders>
              <w:top w:val="single" w:color="auto" w:sz="4" w:space="0"/>
              <w:left w:val="single" w:color="auto" w:sz="4" w:space="0"/>
              <w:bottom w:val="single" w:color="auto" w:sz="4" w:space="0"/>
              <w:right w:val="single" w:color="auto" w:sz="4" w:space="0"/>
            </w:tcBorders>
            <w:vAlign w:val="center"/>
          </w:tcPr>
          <w:p w14:paraId="0A6D495A">
            <w:pPr>
              <w:pStyle w:val="218"/>
              <w:spacing w:line="360" w:lineRule="auto"/>
              <w:ind w:firstLine="0"/>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偏离说明</w:t>
            </w:r>
          </w:p>
        </w:tc>
      </w:tr>
      <w:tr w14:paraId="2FDFEE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B95743A">
            <w:pPr>
              <w:pStyle w:val="218"/>
              <w:spacing w:line="360" w:lineRule="auto"/>
              <w:ind w:firstLine="0"/>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1</w:t>
            </w:r>
          </w:p>
        </w:tc>
        <w:tc>
          <w:tcPr>
            <w:tcW w:w="900" w:type="dxa"/>
            <w:tcBorders>
              <w:top w:val="single" w:color="auto" w:sz="4" w:space="0"/>
              <w:left w:val="single" w:color="auto" w:sz="4" w:space="0"/>
              <w:bottom w:val="single" w:color="auto" w:sz="4" w:space="0"/>
              <w:right w:val="single" w:color="auto" w:sz="4" w:space="0"/>
            </w:tcBorders>
            <w:vAlign w:val="center"/>
          </w:tcPr>
          <w:p w14:paraId="1F98AC84">
            <w:pPr>
              <w:pStyle w:val="218"/>
              <w:spacing w:line="360" w:lineRule="auto"/>
              <w:ind w:firstLine="0"/>
              <w:jc w:val="center"/>
              <w:rPr>
                <w:rFonts w:ascii="宋体" w:hAnsi="宋体" w:eastAsia="宋体" w:cs="仿宋_GB2312"/>
                <w:color w:val="auto"/>
                <w:sz w:val="24"/>
                <w:szCs w:val="24"/>
                <w:highlight w:val="none"/>
              </w:rPr>
            </w:pPr>
          </w:p>
        </w:tc>
        <w:tc>
          <w:tcPr>
            <w:tcW w:w="2989" w:type="dxa"/>
            <w:tcBorders>
              <w:top w:val="single" w:color="auto" w:sz="4" w:space="0"/>
              <w:left w:val="single" w:color="auto" w:sz="4" w:space="0"/>
              <w:bottom w:val="single" w:color="auto" w:sz="4" w:space="0"/>
              <w:right w:val="single" w:color="auto" w:sz="4" w:space="0"/>
            </w:tcBorders>
            <w:vAlign w:val="center"/>
          </w:tcPr>
          <w:p w14:paraId="3F1EF675">
            <w:pPr>
              <w:pStyle w:val="218"/>
              <w:spacing w:line="360" w:lineRule="auto"/>
              <w:ind w:firstLine="0"/>
              <w:jc w:val="center"/>
              <w:rPr>
                <w:rFonts w:ascii="宋体" w:hAnsi="宋体" w:eastAsia="宋体" w:cs="仿宋_GB2312"/>
                <w:color w:val="auto"/>
                <w:sz w:val="24"/>
                <w:szCs w:val="24"/>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14:paraId="21E1AA51">
            <w:pPr>
              <w:pStyle w:val="218"/>
              <w:spacing w:line="360" w:lineRule="auto"/>
              <w:ind w:firstLine="0"/>
              <w:jc w:val="center"/>
              <w:rPr>
                <w:rFonts w:ascii="宋体" w:hAnsi="宋体" w:eastAsia="宋体" w:cs="仿宋_GB2312"/>
                <w:color w:val="auto"/>
                <w:sz w:val="24"/>
                <w:szCs w:val="24"/>
                <w:highlight w:val="none"/>
              </w:rPr>
            </w:pPr>
          </w:p>
        </w:tc>
        <w:tc>
          <w:tcPr>
            <w:tcW w:w="1467" w:type="dxa"/>
            <w:tcBorders>
              <w:top w:val="single" w:color="auto" w:sz="4" w:space="0"/>
              <w:left w:val="single" w:color="auto" w:sz="4" w:space="0"/>
              <w:bottom w:val="single" w:color="auto" w:sz="4" w:space="0"/>
              <w:right w:val="single" w:color="auto" w:sz="4" w:space="0"/>
            </w:tcBorders>
            <w:vAlign w:val="center"/>
          </w:tcPr>
          <w:p w14:paraId="694FA7A9">
            <w:pPr>
              <w:pStyle w:val="218"/>
              <w:spacing w:line="360" w:lineRule="auto"/>
              <w:ind w:firstLine="0"/>
              <w:jc w:val="center"/>
              <w:rPr>
                <w:rFonts w:ascii="宋体" w:hAnsi="宋体" w:eastAsia="宋体" w:cs="仿宋_GB2312"/>
                <w:color w:val="auto"/>
                <w:sz w:val="24"/>
                <w:szCs w:val="24"/>
                <w:highlight w:val="none"/>
              </w:rPr>
            </w:pPr>
          </w:p>
        </w:tc>
      </w:tr>
      <w:tr w14:paraId="4339F3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3CBEA1B5">
            <w:pPr>
              <w:pStyle w:val="218"/>
              <w:spacing w:line="360" w:lineRule="auto"/>
              <w:ind w:firstLine="0"/>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2</w:t>
            </w:r>
          </w:p>
        </w:tc>
        <w:tc>
          <w:tcPr>
            <w:tcW w:w="900" w:type="dxa"/>
            <w:tcBorders>
              <w:top w:val="single" w:color="auto" w:sz="4" w:space="0"/>
              <w:left w:val="single" w:color="auto" w:sz="4" w:space="0"/>
              <w:bottom w:val="single" w:color="auto" w:sz="4" w:space="0"/>
              <w:right w:val="single" w:color="auto" w:sz="4" w:space="0"/>
            </w:tcBorders>
            <w:vAlign w:val="center"/>
          </w:tcPr>
          <w:p w14:paraId="784E680E">
            <w:pPr>
              <w:pStyle w:val="218"/>
              <w:spacing w:line="360" w:lineRule="auto"/>
              <w:ind w:firstLine="0"/>
              <w:jc w:val="center"/>
              <w:rPr>
                <w:rFonts w:ascii="宋体" w:hAnsi="宋体" w:eastAsia="宋体" w:cs="仿宋_GB2312"/>
                <w:color w:val="auto"/>
                <w:sz w:val="24"/>
                <w:szCs w:val="24"/>
                <w:highlight w:val="none"/>
              </w:rPr>
            </w:pPr>
          </w:p>
        </w:tc>
        <w:tc>
          <w:tcPr>
            <w:tcW w:w="2989" w:type="dxa"/>
            <w:tcBorders>
              <w:top w:val="single" w:color="auto" w:sz="4" w:space="0"/>
              <w:left w:val="single" w:color="auto" w:sz="4" w:space="0"/>
              <w:bottom w:val="single" w:color="auto" w:sz="4" w:space="0"/>
              <w:right w:val="single" w:color="auto" w:sz="4" w:space="0"/>
            </w:tcBorders>
            <w:vAlign w:val="center"/>
          </w:tcPr>
          <w:p w14:paraId="72FACFFA">
            <w:pPr>
              <w:pStyle w:val="218"/>
              <w:spacing w:line="360" w:lineRule="auto"/>
              <w:ind w:firstLine="0"/>
              <w:jc w:val="center"/>
              <w:rPr>
                <w:rFonts w:ascii="宋体" w:hAnsi="宋体" w:eastAsia="宋体" w:cs="仿宋_GB2312"/>
                <w:color w:val="auto"/>
                <w:sz w:val="24"/>
                <w:szCs w:val="24"/>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14:paraId="1B09A36E">
            <w:pPr>
              <w:pStyle w:val="218"/>
              <w:spacing w:line="360" w:lineRule="auto"/>
              <w:ind w:firstLine="0"/>
              <w:jc w:val="center"/>
              <w:rPr>
                <w:rFonts w:ascii="宋体" w:hAnsi="宋体" w:eastAsia="宋体" w:cs="仿宋_GB2312"/>
                <w:color w:val="auto"/>
                <w:sz w:val="24"/>
                <w:szCs w:val="24"/>
                <w:highlight w:val="none"/>
              </w:rPr>
            </w:pPr>
          </w:p>
        </w:tc>
        <w:tc>
          <w:tcPr>
            <w:tcW w:w="1467" w:type="dxa"/>
            <w:tcBorders>
              <w:top w:val="single" w:color="auto" w:sz="4" w:space="0"/>
              <w:left w:val="single" w:color="auto" w:sz="4" w:space="0"/>
              <w:bottom w:val="single" w:color="auto" w:sz="4" w:space="0"/>
              <w:right w:val="single" w:color="auto" w:sz="4" w:space="0"/>
            </w:tcBorders>
            <w:vAlign w:val="center"/>
          </w:tcPr>
          <w:p w14:paraId="5BCF854E">
            <w:pPr>
              <w:pStyle w:val="218"/>
              <w:spacing w:line="360" w:lineRule="auto"/>
              <w:ind w:firstLine="0"/>
              <w:jc w:val="center"/>
              <w:rPr>
                <w:rFonts w:ascii="宋体" w:hAnsi="宋体" w:eastAsia="宋体" w:cs="仿宋_GB2312"/>
                <w:color w:val="auto"/>
                <w:sz w:val="24"/>
                <w:szCs w:val="24"/>
                <w:highlight w:val="none"/>
              </w:rPr>
            </w:pPr>
          </w:p>
        </w:tc>
      </w:tr>
      <w:tr w14:paraId="57CA70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212F15C4">
            <w:pPr>
              <w:pStyle w:val="218"/>
              <w:spacing w:line="360" w:lineRule="auto"/>
              <w:ind w:firstLine="0"/>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3</w:t>
            </w:r>
          </w:p>
        </w:tc>
        <w:tc>
          <w:tcPr>
            <w:tcW w:w="900" w:type="dxa"/>
            <w:tcBorders>
              <w:top w:val="single" w:color="auto" w:sz="4" w:space="0"/>
              <w:left w:val="single" w:color="auto" w:sz="4" w:space="0"/>
              <w:bottom w:val="single" w:color="auto" w:sz="4" w:space="0"/>
              <w:right w:val="single" w:color="auto" w:sz="4" w:space="0"/>
            </w:tcBorders>
            <w:vAlign w:val="center"/>
          </w:tcPr>
          <w:p w14:paraId="2662CF54">
            <w:pPr>
              <w:pStyle w:val="218"/>
              <w:spacing w:line="360" w:lineRule="auto"/>
              <w:ind w:firstLine="0"/>
              <w:jc w:val="center"/>
              <w:rPr>
                <w:rFonts w:ascii="宋体" w:hAnsi="宋体" w:eastAsia="宋体" w:cs="仿宋_GB2312"/>
                <w:color w:val="auto"/>
                <w:sz w:val="24"/>
                <w:szCs w:val="24"/>
                <w:highlight w:val="none"/>
              </w:rPr>
            </w:pPr>
          </w:p>
        </w:tc>
        <w:tc>
          <w:tcPr>
            <w:tcW w:w="2989" w:type="dxa"/>
            <w:tcBorders>
              <w:top w:val="single" w:color="auto" w:sz="4" w:space="0"/>
              <w:left w:val="single" w:color="auto" w:sz="4" w:space="0"/>
              <w:bottom w:val="single" w:color="auto" w:sz="4" w:space="0"/>
              <w:right w:val="single" w:color="auto" w:sz="4" w:space="0"/>
            </w:tcBorders>
            <w:vAlign w:val="center"/>
          </w:tcPr>
          <w:p w14:paraId="37B89C2A">
            <w:pPr>
              <w:pStyle w:val="218"/>
              <w:spacing w:line="360" w:lineRule="auto"/>
              <w:ind w:firstLine="0"/>
              <w:jc w:val="center"/>
              <w:rPr>
                <w:rFonts w:ascii="宋体" w:hAnsi="宋体" w:eastAsia="宋体" w:cs="仿宋_GB2312"/>
                <w:color w:val="auto"/>
                <w:sz w:val="24"/>
                <w:szCs w:val="24"/>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14:paraId="404BB825">
            <w:pPr>
              <w:pStyle w:val="218"/>
              <w:spacing w:line="360" w:lineRule="auto"/>
              <w:ind w:firstLine="0"/>
              <w:jc w:val="center"/>
              <w:rPr>
                <w:rFonts w:ascii="宋体" w:hAnsi="宋体" w:eastAsia="宋体" w:cs="仿宋_GB2312"/>
                <w:color w:val="auto"/>
                <w:sz w:val="24"/>
                <w:szCs w:val="24"/>
                <w:highlight w:val="none"/>
              </w:rPr>
            </w:pPr>
          </w:p>
        </w:tc>
        <w:tc>
          <w:tcPr>
            <w:tcW w:w="1467" w:type="dxa"/>
            <w:tcBorders>
              <w:top w:val="single" w:color="auto" w:sz="4" w:space="0"/>
              <w:left w:val="single" w:color="auto" w:sz="4" w:space="0"/>
              <w:bottom w:val="single" w:color="auto" w:sz="4" w:space="0"/>
              <w:right w:val="single" w:color="auto" w:sz="4" w:space="0"/>
            </w:tcBorders>
            <w:vAlign w:val="center"/>
          </w:tcPr>
          <w:p w14:paraId="33E448D2">
            <w:pPr>
              <w:pStyle w:val="218"/>
              <w:spacing w:line="360" w:lineRule="auto"/>
              <w:ind w:firstLine="0"/>
              <w:jc w:val="center"/>
              <w:rPr>
                <w:rFonts w:ascii="宋体" w:hAnsi="宋体" w:eastAsia="宋体" w:cs="仿宋_GB2312"/>
                <w:color w:val="auto"/>
                <w:sz w:val="24"/>
                <w:szCs w:val="24"/>
                <w:highlight w:val="none"/>
              </w:rPr>
            </w:pPr>
          </w:p>
        </w:tc>
      </w:tr>
      <w:tr w14:paraId="5E0072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0C5A8592">
            <w:pPr>
              <w:pStyle w:val="218"/>
              <w:spacing w:line="360" w:lineRule="auto"/>
              <w:ind w:firstLine="0"/>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4</w:t>
            </w:r>
          </w:p>
        </w:tc>
        <w:tc>
          <w:tcPr>
            <w:tcW w:w="900" w:type="dxa"/>
            <w:tcBorders>
              <w:top w:val="single" w:color="auto" w:sz="4" w:space="0"/>
              <w:left w:val="single" w:color="auto" w:sz="4" w:space="0"/>
              <w:bottom w:val="single" w:color="auto" w:sz="4" w:space="0"/>
              <w:right w:val="single" w:color="auto" w:sz="4" w:space="0"/>
            </w:tcBorders>
            <w:vAlign w:val="center"/>
          </w:tcPr>
          <w:p w14:paraId="07C2ED3C">
            <w:pPr>
              <w:pStyle w:val="218"/>
              <w:spacing w:line="360" w:lineRule="auto"/>
              <w:ind w:firstLine="0"/>
              <w:jc w:val="center"/>
              <w:rPr>
                <w:rFonts w:ascii="宋体" w:hAnsi="宋体" w:eastAsia="宋体" w:cs="仿宋_GB2312"/>
                <w:color w:val="auto"/>
                <w:sz w:val="24"/>
                <w:szCs w:val="24"/>
                <w:highlight w:val="none"/>
              </w:rPr>
            </w:pPr>
          </w:p>
        </w:tc>
        <w:tc>
          <w:tcPr>
            <w:tcW w:w="2989" w:type="dxa"/>
            <w:tcBorders>
              <w:top w:val="single" w:color="auto" w:sz="4" w:space="0"/>
              <w:left w:val="single" w:color="auto" w:sz="4" w:space="0"/>
              <w:bottom w:val="single" w:color="auto" w:sz="4" w:space="0"/>
              <w:right w:val="single" w:color="auto" w:sz="4" w:space="0"/>
            </w:tcBorders>
            <w:vAlign w:val="center"/>
          </w:tcPr>
          <w:p w14:paraId="5C13DD4E">
            <w:pPr>
              <w:pStyle w:val="218"/>
              <w:spacing w:line="360" w:lineRule="auto"/>
              <w:ind w:firstLine="0"/>
              <w:jc w:val="center"/>
              <w:rPr>
                <w:rFonts w:ascii="宋体" w:hAnsi="宋体" w:eastAsia="宋体" w:cs="仿宋_GB2312"/>
                <w:color w:val="auto"/>
                <w:sz w:val="24"/>
                <w:szCs w:val="24"/>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14:paraId="011DD042">
            <w:pPr>
              <w:pStyle w:val="218"/>
              <w:spacing w:line="360" w:lineRule="auto"/>
              <w:ind w:firstLine="0"/>
              <w:jc w:val="center"/>
              <w:rPr>
                <w:rFonts w:ascii="宋体" w:hAnsi="宋体" w:eastAsia="宋体" w:cs="仿宋_GB2312"/>
                <w:color w:val="auto"/>
                <w:sz w:val="24"/>
                <w:szCs w:val="24"/>
                <w:highlight w:val="none"/>
              </w:rPr>
            </w:pPr>
          </w:p>
        </w:tc>
        <w:tc>
          <w:tcPr>
            <w:tcW w:w="1467" w:type="dxa"/>
            <w:tcBorders>
              <w:top w:val="single" w:color="auto" w:sz="4" w:space="0"/>
              <w:left w:val="single" w:color="auto" w:sz="4" w:space="0"/>
              <w:bottom w:val="single" w:color="auto" w:sz="4" w:space="0"/>
              <w:right w:val="single" w:color="auto" w:sz="4" w:space="0"/>
            </w:tcBorders>
            <w:vAlign w:val="center"/>
          </w:tcPr>
          <w:p w14:paraId="6FCB1C10">
            <w:pPr>
              <w:pStyle w:val="218"/>
              <w:spacing w:line="360" w:lineRule="auto"/>
              <w:ind w:firstLine="0"/>
              <w:jc w:val="center"/>
              <w:rPr>
                <w:rFonts w:ascii="宋体" w:hAnsi="宋体" w:eastAsia="宋体" w:cs="仿宋_GB2312"/>
                <w:color w:val="auto"/>
                <w:sz w:val="24"/>
                <w:szCs w:val="24"/>
                <w:highlight w:val="none"/>
              </w:rPr>
            </w:pPr>
          </w:p>
        </w:tc>
      </w:tr>
      <w:tr w14:paraId="00FCC9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5234571C">
            <w:pPr>
              <w:pStyle w:val="218"/>
              <w:spacing w:line="360" w:lineRule="auto"/>
              <w:ind w:firstLine="0"/>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5</w:t>
            </w:r>
          </w:p>
        </w:tc>
        <w:tc>
          <w:tcPr>
            <w:tcW w:w="900" w:type="dxa"/>
            <w:tcBorders>
              <w:top w:val="single" w:color="auto" w:sz="4" w:space="0"/>
              <w:left w:val="single" w:color="auto" w:sz="4" w:space="0"/>
              <w:bottom w:val="single" w:color="auto" w:sz="4" w:space="0"/>
              <w:right w:val="single" w:color="auto" w:sz="4" w:space="0"/>
            </w:tcBorders>
            <w:vAlign w:val="center"/>
          </w:tcPr>
          <w:p w14:paraId="3CFEAE21">
            <w:pPr>
              <w:pStyle w:val="218"/>
              <w:spacing w:line="360" w:lineRule="auto"/>
              <w:ind w:firstLine="0"/>
              <w:jc w:val="center"/>
              <w:rPr>
                <w:rFonts w:ascii="宋体" w:hAnsi="宋体" w:eastAsia="宋体" w:cs="仿宋_GB2312"/>
                <w:color w:val="auto"/>
                <w:sz w:val="24"/>
                <w:szCs w:val="24"/>
                <w:highlight w:val="none"/>
              </w:rPr>
            </w:pPr>
          </w:p>
        </w:tc>
        <w:tc>
          <w:tcPr>
            <w:tcW w:w="2989" w:type="dxa"/>
            <w:tcBorders>
              <w:top w:val="single" w:color="auto" w:sz="4" w:space="0"/>
              <w:left w:val="single" w:color="auto" w:sz="4" w:space="0"/>
              <w:bottom w:val="single" w:color="auto" w:sz="4" w:space="0"/>
              <w:right w:val="single" w:color="auto" w:sz="4" w:space="0"/>
            </w:tcBorders>
            <w:vAlign w:val="center"/>
          </w:tcPr>
          <w:p w14:paraId="116B037B">
            <w:pPr>
              <w:pStyle w:val="218"/>
              <w:spacing w:line="360" w:lineRule="auto"/>
              <w:ind w:firstLine="0"/>
              <w:jc w:val="center"/>
              <w:rPr>
                <w:rFonts w:ascii="宋体" w:hAnsi="宋体" w:eastAsia="宋体" w:cs="仿宋_GB2312"/>
                <w:color w:val="auto"/>
                <w:sz w:val="24"/>
                <w:szCs w:val="24"/>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14:paraId="517130D7">
            <w:pPr>
              <w:pStyle w:val="218"/>
              <w:spacing w:line="360" w:lineRule="auto"/>
              <w:ind w:firstLine="0"/>
              <w:jc w:val="center"/>
              <w:rPr>
                <w:rFonts w:ascii="宋体" w:hAnsi="宋体" w:eastAsia="宋体" w:cs="仿宋_GB2312"/>
                <w:color w:val="auto"/>
                <w:sz w:val="24"/>
                <w:szCs w:val="24"/>
                <w:highlight w:val="none"/>
              </w:rPr>
            </w:pPr>
          </w:p>
        </w:tc>
        <w:tc>
          <w:tcPr>
            <w:tcW w:w="1467" w:type="dxa"/>
            <w:tcBorders>
              <w:top w:val="single" w:color="auto" w:sz="4" w:space="0"/>
              <w:left w:val="single" w:color="auto" w:sz="4" w:space="0"/>
              <w:bottom w:val="single" w:color="auto" w:sz="4" w:space="0"/>
              <w:right w:val="single" w:color="auto" w:sz="4" w:space="0"/>
            </w:tcBorders>
            <w:vAlign w:val="center"/>
          </w:tcPr>
          <w:p w14:paraId="7E6B99EB">
            <w:pPr>
              <w:pStyle w:val="218"/>
              <w:spacing w:line="360" w:lineRule="auto"/>
              <w:ind w:firstLine="0"/>
              <w:jc w:val="center"/>
              <w:rPr>
                <w:rFonts w:ascii="宋体" w:hAnsi="宋体" w:eastAsia="宋体" w:cs="仿宋_GB2312"/>
                <w:color w:val="auto"/>
                <w:sz w:val="24"/>
                <w:szCs w:val="24"/>
                <w:highlight w:val="none"/>
              </w:rPr>
            </w:pPr>
          </w:p>
        </w:tc>
      </w:tr>
      <w:tr w14:paraId="012870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900" w:type="dxa"/>
            <w:tcBorders>
              <w:top w:val="single" w:color="auto" w:sz="4" w:space="0"/>
              <w:left w:val="single" w:color="auto" w:sz="4" w:space="0"/>
              <w:bottom w:val="single" w:color="auto" w:sz="4" w:space="0"/>
              <w:right w:val="single" w:color="auto" w:sz="4" w:space="0"/>
            </w:tcBorders>
            <w:vAlign w:val="center"/>
          </w:tcPr>
          <w:p w14:paraId="7CBF9B0A">
            <w:pPr>
              <w:pStyle w:val="218"/>
              <w:spacing w:line="360" w:lineRule="auto"/>
              <w:ind w:firstLine="0"/>
              <w:jc w:val="center"/>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w:t>
            </w:r>
          </w:p>
        </w:tc>
        <w:tc>
          <w:tcPr>
            <w:tcW w:w="900" w:type="dxa"/>
            <w:tcBorders>
              <w:top w:val="single" w:color="auto" w:sz="4" w:space="0"/>
              <w:left w:val="single" w:color="auto" w:sz="4" w:space="0"/>
              <w:bottom w:val="single" w:color="auto" w:sz="4" w:space="0"/>
              <w:right w:val="single" w:color="auto" w:sz="4" w:space="0"/>
            </w:tcBorders>
            <w:vAlign w:val="center"/>
          </w:tcPr>
          <w:p w14:paraId="5DABD5F4">
            <w:pPr>
              <w:pStyle w:val="218"/>
              <w:spacing w:line="360" w:lineRule="auto"/>
              <w:ind w:firstLine="0"/>
              <w:jc w:val="center"/>
              <w:rPr>
                <w:rFonts w:ascii="宋体" w:hAnsi="宋体" w:eastAsia="宋体" w:cs="仿宋_GB2312"/>
                <w:color w:val="auto"/>
                <w:sz w:val="24"/>
                <w:szCs w:val="24"/>
                <w:highlight w:val="none"/>
              </w:rPr>
            </w:pPr>
          </w:p>
        </w:tc>
        <w:tc>
          <w:tcPr>
            <w:tcW w:w="2989" w:type="dxa"/>
            <w:tcBorders>
              <w:top w:val="single" w:color="auto" w:sz="4" w:space="0"/>
              <w:left w:val="single" w:color="auto" w:sz="4" w:space="0"/>
              <w:bottom w:val="single" w:color="auto" w:sz="4" w:space="0"/>
              <w:right w:val="single" w:color="auto" w:sz="4" w:space="0"/>
            </w:tcBorders>
            <w:vAlign w:val="center"/>
          </w:tcPr>
          <w:p w14:paraId="243BD8AB">
            <w:pPr>
              <w:pStyle w:val="218"/>
              <w:spacing w:line="360" w:lineRule="auto"/>
              <w:ind w:firstLine="0"/>
              <w:jc w:val="center"/>
              <w:rPr>
                <w:rFonts w:ascii="宋体" w:hAnsi="宋体" w:eastAsia="宋体" w:cs="仿宋_GB2312"/>
                <w:color w:val="auto"/>
                <w:sz w:val="24"/>
                <w:szCs w:val="24"/>
                <w:highlight w:val="none"/>
              </w:rPr>
            </w:pPr>
          </w:p>
        </w:tc>
        <w:tc>
          <w:tcPr>
            <w:tcW w:w="2690" w:type="dxa"/>
            <w:tcBorders>
              <w:top w:val="single" w:color="auto" w:sz="4" w:space="0"/>
              <w:left w:val="single" w:color="auto" w:sz="4" w:space="0"/>
              <w:bottom w:val="single" w:color="auto" w:sz="4" w:space="0"/>
              <w:right w:val="single" w:color="auto" w:sz="4" w:space="0"/>
            </w:tcBorders>
            <w:vAlign w:val="center"/>
          </w:tcPr>
          <w:p w14:paraId="26F3E899">
            <w:pPr>
              <w:pStyle w:val="218"/>
              <w:spacing w:line="360" w:lineRule="auto"/>
              <w:ind w:firstLine="0"/>
              <w:jc w:val="center"/>
              <w:rPr>
                <w:rFonts w:ascii="宋体" w:hAnsi="宋体" w:eastAsia="宋体" w:cs="仿宋_GB2312"/>
                <w:color w:val="auto"/>
                <w:sz w:val="24"/>
                <w:szCs w:val="24"/>
                <w:highlight w:val="none"/>
              </w:rPr>
            </w:pPr>
          </w:p>
        </w:tc>
        <w:tc>
          <w:tcPr>
            <w:tcW w:w="1467" w:type="dxa"/>
            <w:tcBorders>
              <w:top w:val="single" w:color="auto" w:sz="4" w:space="0"/>
              <w:left w:val="single" w:color="auto" w:sz="4" w:space="0"/>
              <w:bottom w:val="single" w:color="auto" w:sz="4" w:space="0"/>
              <w:right w:val="single" w:color="auto" w:sz="4" w:space="0"/>
            </w:tcBorders>
            <w:vAlign w:val="center"/>
          </w:tcPr>
          <w:p w14:paraId="762EEC34">
            <w:pPr>
              <w:pStyle w:val="218"/>
              <w:spacing w:line="360" w:lineRule="auto"/>
              <w:ind w:firstLine="0"/>
              <w:jc w:val="center"/>
              <w:rPr>
                <w:rFonts w:ascii="宋体" w:hAnsi="宋体" w:eastAsia="宋体" w:cs="仿宋_GB2312"/>
                <w:color w:val="auto"/>
                <w:sz w:val="24"/>
                <w:szCs w:val="24"/>
                <w:highlight w:val="none"/>
              </w:rPr>
            </w:pPr>
          </w:p>
        </w:tc>
      </w:tr>
    </w:tbl>
    <w:p w14:paraId="0777FC10">
      <w:pPr>
        <w:pStyle w:val="218"/>
        <w:spacing w:line="360" w:lineRule="auto"/>
        <w:ind w:firstLine="0"/>
        <w:contextualSpacing/>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注：</w:t>
      </w:r>
    </w:p>
    <w:p w14:paraId="210DA96A">
      <w:pPr>
        <w:pStyle w:val="218"/>
        <w:spacing w:line="360" w:lineRule="auto"/>
        <w:ind w:firstLine="0"/>
        <w:contextualSpacing/>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1. 说明：应对照谈判文件“第三章 采购需求”中的技术要求逐条实质性响应，并作出偏离说明。</w:t>
      </w:r>
    </w:p>
    <w:p w14:paraId="2428FDF2">
      <w:pPr>
        <w:pStyle w:val="16"/>
        <w:spacing w:line="360" w:lineRule="auto"/>
        <w:ind w:firstLine="0"/>
        <w:contextualSpacing/>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2.</w:t>
      </w:r>
      <w:r>
        <w:rPr>
          <w:rFonts w:hint="eastAsia" w:ascii="宋体" w:hAnsi="宋体" w:eastAsia="宋体"/>
          <w:color w:val="auto"/>
          <w:sz w:val="24"/>
          <w:szCs w:val="24"/>
          <w:highlight w:val="none"/>
        </w:rPr>
        <w:t xml:space="preserve"> </w:t>
      </w:r>
      <w:r>
        <w:rPr>
          <w:rFonts w:hint="eastAsia" w:ascii="宋体" w:hAnsi="宋体" w:eastAsia="宋体" w:cs="仿宋_GB2312"/>
          <w:color w:val="auto"/>
          <w:sz w:val="24"/>
          <w:szCs w:val="24"/>
          <w:highlight w:val="none"/>
        </w:rPr>
        <w:t>供应商应根据自身的承诺，对照谈判文件要求，在“偏离说明”中注明“正偏离”“负偏离”或者“无偏离”。既不属于“正偏离”也不属于“负偏离”即为“无偏离”。</w:t>
      </w:r>
    </w:p>
    <w:p w14:paraId="53A2F21C">
      <w:pPr>
        <w:spacing w:line="360" w:lineRule="auto"/>
        <w:contextualSpacing/>
        <w:jc w:val="left"/>
        <w:rPr>
          <w:rFonts w:ascii="宋体" w:hAnsi="宋体" w:cs="仿宋_GB2312"/>
          <w:i/>
          <w:color w:val="auto"/>
          <w:sz w:val="24"/>
          <w:highlight w:val="none"/>
        </w:rPr>
      </w:pPr>
      <w:r>
        <w:rPr>
          <w:rFonts w:hint="eastAsia" w:ascii="宋体" w:hAnsi="宋体" w:cs="仿宋_GB2312"/>
          <w:color w:val="auto"/>
          <w:sz w:val="24"/>
          <w:highlight w:val="none"/>
        </w:rPr>
        <w:t>3.如为联合体竞标，“供应商名称”处必须列明联合体各方名称，标注联合体牵头人名称，</w:t>
      </w:r>
      <w:r>
        <w:rPr>
          <w:rFonts w:hint="eastAsia" w:ascii="宋体" w:hAnsi="宋体" w:cs="仿宋_GB2312"/>
          <w:b/>
          <w:color w:val="auto"/>
          <w:sz w:val="24"/>
          <w:highlight w:val="none"/>
        </w:rPr>
        <w:t>否则其响应文件按无效处理。</w:t>
      </w:r>
    </w:p>
    <w:p w14:paraId="2D2EFF6A">
      <w:pPr>
        <w:spacing w:line="360" w:lineRule="auto"/>
        <w:contextualSpacing/>
        <w:jc w:val="left"/>
        <w:rPr>
          <w:rFonts w:ascii="宋体" w:hAnsi="宋体" w:cs="仿宋_GB2312"/>
          <w:color w:val="auto"/>
          <w:sz w:val="24"/>
          <w:highlight w:val="none"/>
        </w:rPr>
      </w:pPr>
      <w:r>
        <w:rPr>
          <w:rFonts w:hint="eastAsia" w:ascii="宋体" w:hAnsi="宋体" w:cs="仿宋_GB2312"/>
          <w:color w:val="auto"/>
          <w:sz w:val="24"/>
          <w:highlight w:val="none"/>
        </w:rPr>
        <w:t>4.如为联合体竞标，</w:t>
      </w:r>
      <w:r>
        <w:rPr>
          <w:rFonts w:hint="eastAsia" w:ascii="宋体" w:hAnsi="宋体"/>
          <w:color w:val="auto"/>
          <w:spacing w:val="-6"/>
          <w:sz w:val="24"/>
          <w:highlight w:val="none"/>
        </w:rPr>
        <w:t>盖章处须加盖联合体牵头人电子签章</w:t>
      </w:r>
      <w:r>
        <w:rPr>
          <w:rFonts w:hint="eastAsia" w:ascii="宋体" w:hAnsi="宋体" w:cs="仿宋_GB2312"/>
          <w:color w:val="auto"/>
          <w:sz w:val="24"/>
          <w:highlight w:val="none"/>
        </w:rPr>
        <w:t>，</w:t>
      </w:r>
      <w:r>
        <w:rPr>
          <w:rFonts w:hint="eastAsia" w:ascii="宋体" w:hAnsi="宋体" w:cs="仿宋_GB2312"/>
          <w:b/>
          <w:color w:val="auto"/>
          <w:sz w:val="24"/>
          <w:highlight w:val="none"/>
        </w:rPr>
        <w:t>否则其响应文件按无效处理。</w:t>
      </w:r>
    </w:p>
    <w:p w14:paraId="7F096291">
      <w:pPr>
        <w:pStyle w:val="218"/>
        <w:spacing w:line="360" w:lineRule="auto"/>
        <w:ind w:firstLine="0"/>
        <w:contextualSpacing/>
        <w:rPr>
          <w:rFonts w:ascii="宋体" w:hAnsi="宋体" w:eastAsia="宋体"/>
          <w:color w:val="auto"/>
          <w:sz w:val="24"/>
          <w:szCs w:val="24"/>
          <w:highlight w:val="none"/>
        </w:rPr>
      </w:pPr>
    </w:p>
    <w:p w14:paraId="26174572">
      <w:pPr>
        <w:pStyle w:val="218"/>
        <w:spacing w:line="360" w:lineRule="auto"/>
        <w:ind w:firstLine="0"/>
        <w:contextualSpacing/>
        <w:rPr>
          <w:rFonts w:ascii="宋体" w:hAnsi="宋体" w:eastAsia="宋体" w:cs="仿宋_GB2312"/>
          <w:color w:val="auto"/>
          <w:sz w:val="24"/>
          <w:szCs w:val="24"/>
          <w:highlight w:val="none"/>
        </w:rPr>
      </w:pPr>
    </w:p>
    <w:p w14:paraId="65CFE820">
      <w:pPr>
        <w:spacing w:line="360" w:lineRule="auto"/>
        <w:ind w:right="-817"/>
        <w:contextualSpacing/>
        <w:rPr>
          <w:rFonts w:ascii="宋体" w:hAnsi="宋体" w:cs="仿宋_GB2312"/>
          <w:color w:val="auto"/>
          <w:sz w:val="24"/>
          <w:highlight w:val="none"/>
        </w:rPr>
      </w:pPr>
    </w:p>
    <w:p w14:paraId="7408F8ED">
      <w:pPr>
        <w:spacing w:line="360" w:lineRule="auto"/>
        <w:ind w:right="-817"/>
        <w:contextualSpacing/>
        <w:jc w:val="center"/>
        <w:rPr>
          <w:rFonts w:ascii="宋体" w:hAnsi="宋体" w:cs="仿宋_GB2312"/>
          <w:color w:val="auto"/>
          <w:sz w:val="24"/>
          <w:highlight w:val="none"/>
        </w:rPr>
      </w:pPr>
      <w:r>
        <w:rPr>
          <w:rFonts w:hint="eastAsia" w:ascii="宋体" w:hAnsi="宋体" w:cs="仿宋_GB2312"/>
          <w:color w:val="auto"/>
          <w:sz w:val="24"/>
          <w:highlight w:val="none"/>
        </w:rPr>
        <w:t>法定代表人或者委托代理人（签字或者电子签名）：</w:t>
      </w:r>
    </w:p>
    <w:p w14:paraId="17428C1E">
      <w:pPr>
        <w:spacing w:line="360" w:lineRule="auto"/>
        <w:ind w:right="-817" w:firstLine="2880"/>
        <w:contextualSpacing/>
        <w:rPr>
          <w:rFonts w:ascii="宋体" w:hAnsi="宋体" w:cs="仿宋_GB2312"/>
          <w:color w:val="auto"/>
          <w:sz w:val="24"/>
          <w:highlight w:val="none"/>
        </w:rPr>
      </w:pPr>
      <w:r>
        <w:rPr>
          <w:rFonts w:hint="eastAsia" w:ascii="宋体" w:hAnsi="宋体" w:cs="仿宋_GB2312"/>
          <w:color w:val="auto"/>
          <w:sz w:val="24"/>
          <w:highlight w:val="none"/>
        </w:rPr>
        <w:t xml:space="preserve">供应商名称（电子签章）：      </w:t>
      </w:r>
    </w:p>
    <w:p w14:paraId="6F0623A7">
      <w:pPr>
        <w:spacing w:line="360" w:lineRule="auto"/>
        <w:ind w:right="-817" w:firstLine="2880"/>
        <w:contextualSpacing/>
        <w:rPr>
          <w:rFonts w:ascii="宋体" w:hAnsi="宋体" w:cs="仿宋_GB2312"/>
          <w:color w:val="auto"/>
          <w:sz w:val="24"/>
          <w:highlight w:val="none"/>
        </w:rPr>
      </w:pPr>
      <w:r>
        <w:rPr>
          <w:rFonts w:hint="eastAsia" w:ascii="宋体" w:hAnsi="宋体" w:cs="仿宋_GB2312"/>
          <w:color w:val="auto"/>
          <w:sz w:val="24"/>
          <w:highlight w:val="none"/>
        </w:rPr>
        <w:t>日期：   年   月   日</w:t>
      </w:r>
    </w:p>
    <w:p w14:paraId="5992A5D1">
      <w:pPr>
        <w:spacing w:before="120" w:after="50"/>
        <w:jc w:val="left"/>
        <w:rPr>
          <w:rFonts w:ascii="方正小标宋简体" w:hAnsi="方正小标宋简体" w:eastAsia="方正小标宋简体" w:cs="方正小标宋简体"/>
          <w:bCs/>
          <w:color w:val="auto"/>
          <w:szCs w:val="21"/>
          <w:highlight w:val="none"/>
        </w:rPr>
      </w:pPr>
      <w:r>
        <w:rPr>
          <w:rFonts w:ascii="宋体" w:hAnsi="宋体" w:cs="仿宋_GB2312"/>
          <w:color w:val="auto"/>
          <w:sz w:val="24"/>
          <w:highlight w:val="none"/>
        </w:rPr>
        <w:br w:type="page" w:clear="all"/>
      </w:r>
    </w:p>
    <w:p w14:paraId="69F02F58">
      <w:pPr>
        <w:spacing w:before="120" w:after="50"/>
        <w:jc w:val="left"/>
        <w:rPr>
          <w:rFonts w:ascii="方正小标宋简体" w:hAnsi="方正小标宋简体" w:eastAsia="方正小标宋简体" w:cs="方正小标宋简体"/>
          <w:bCs/>
          <w:color w:val="auto"/>
          <w:szCs w:val="21"/>
          <w:highlight w:val="none"/>
        </w:rPr>
      </w:pPr>
    </w:p>
    <w:p w14:paraId="3E553CCD">
      <w:pPr>
        <w:spacing w:before="120" w:after="50"/>
        <w:jc w:val="center"/>
        <w:rPr>
          <w:rFonts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采购代理费承诺书</w:t>
      </w:r>
    </w:p>
    <w:p w14:paraId="670A6BA6">
      <w:pPr>
        <w:spacing w:before="120" w:after="50"/>
        <w:jc w:val="center"/>
        <w:rPr>
          <w:rFonts w:ascii="宋体" w:hAnsi="宋体"/>
          <w:b/>
          <w:color w:val="auto"/>
          <w:sz w:val="24"/>
          <w:highlight w:val="none"/>
        </w:rPr>
      </w:pPr>
    </w:p>
    <w:p w14:paraId="15D09DB8">
      <w:pPr>
        <w:spacing w:line="360" w:lineRule="auto"/>
        <w:rPr>
          <w:rFonts w:ascii="宋体" w:hAnsi="宋体"/>
          <w:b/>
          <w:bCs/>
          <w:color w:val="auto"/>
          <w:sz w:val="24"/>
          <w:highlight w:val="none"/>
        </w:rPr>
      </w:pPr>
      <w:r>
        <w:rPr>
          <w:rFonts w:hint="eastAsia" w:ascii="宋体" w:hAnsi="宋体"/>
          <w:bCs/>
          <w:color w:val="auto"/>
          <w:sz w:val="24"/>
          <w:highlight w:val="none"/>
        </w:rPr>
        <w:t>致：</w:t>
      </w:r>
      <w:r>
        <w:rPr>
          <w:rFonts w:hint="eastAsia" w:ascii="宋体" w:hAnsi="宋体"/>
          <w:color w:val="auto"/>
          <w:sz w:val="24"/>
          <w:highlight w:val="none"/>
          <w:u w:val="single"/>
        </w:rPr>
        <w:t>代理机构名称</w:t>
      </w:r>
      <w:r>
        <w:rPr>
          <w:rFonts w:hint="eastAsia" w:ascii="宋体" w:hAnsi="宋体"/>
          <w:color w:val="auto"/>
          <w:sz w:val="24"/>
          <w:highlight w:val="none"/>
        </w:rPr>
        <w:t>：</w:t>
      </w:r>
    </w:p>
    <w:p w14:paraId="7F3F4A39">
      <w:pPr>
        <w:spacing w:line="360" w:lineRule="auto"/>
        <w:ind w:firstLine="480"/>
        <w:rPr>
          <w:rFonts w:ascii="宋体" w:hAnsi="宋体"/>
          <w:color w:val="auto"/>
          <w:sz w:val="24"/>
          <w:highlight w:val="none"/>
        </w:rPr>
      </w:pPr>
      <w:r>
        <w:rPr>
          <w:rFonts w:hint="eastAsia" w:ascii="宋体" w:hAnsi="宋体"/>
          <w:color w:val="auto"/>
          <w:sz w:val="24"/>
          <w:highlight w:val="none"/>
        </w:rPr>
        <w:t>本单位参加了贵方组织的</w:t>
      </w:r>
      <w:r>
        <w:rPr>
          <w:rFonts w:hint="eastAsia" w:ascii="宋体" w:hAnsi="宋体"/>
          <w:color w:val="auto"/>
          <w:sz w:val="24"/>
          <w:highlight w:val="none"/>
          <w:u w:val="single"/>
        </w:rPr>
        <w:t xml:space="preserve">  项目名称（项目编号）  </w:t>
      </w:r>
      <w:r>
        <w:rPr>
          <w:rFonts w:hint="eastAsia" w:ascii="宋体" w:hAnsi="宋体"/>
          <w:color w:val="auto"/>
          <w:sz w:val="24"/>
          <w:highlight w:val="none"/>
        </w:rPr>
        <w:t>项目， 在此说明如下：</w:t>
      </w:r>
    </w:p>
    <w:p w14:paraId="3A0F5741">
      <w:pPr>
        <w:spacing w:line="360" w:lineRule="auto"/>
        <w:ind w:firstLine="360"/>
        <w:rPr>
          <w:rFonts w:ascii="宋体" w:hAnsi="宋体"/>
          <w:color w:val="auto"/>
          <w:sz w:val="24"/>
          <w:highlight w:val="none"/>
        </w:rPr>
      </w:pPr>
      <w:r>
        <w:rPr>
          <w:rFonts w:hint="eastAsia" w:ascii="宋体" w:hAnsi="宋体"/>
          <w:color w:val="auto"/>
          <w:sz w:val="24"/>
          <w:highlight w:val="none"/>
        </w:rPr>
        <w:t>1.我方承诺，若本单位成交，保证在发出成交通知书之后，按本项目采购文件的规定标准向贵单位一次性足额支付采购代理费，在领取成交通知书后，由于被质疑、投诉或者其他原因而导致成交结果改变，我方将放弃对已缴纳的采购代理费追还的一切权利。</w:t>
      </w:r>
    </w:p>
    <w:p w14:paraId="79933DD7">
      <w:pPr>
        <w:spacing w:line="360" w:lineRule="auto"/>
        <w:ind w:firstLine="360"/>
        <w:rPr>
          <w:rFonts w:ascii="宋体" w:hAnsi="宋体"/>
          <w:color w:val="auto"/>
          <w:sz w:val="24"/>
          <w:highlight w:val="none"/>
        </w:rPr>
      </w:pPr>
      <w:r>
        <w:rPr>
          <w:rFonts w:hint="eastAsia" w:ascii="宋体" w:hAnsi="宋体"/>
          <w:color w:val="auto"/>
          <w:sz w:val="24"/>
          <w:highlight w:val="none"/>
        </w:rPr>
        <w:t>2.本单位选择第</w:t>
      </w:r>
      <w:r>
        <w:rPr>
          <w:rFonts w:hint="eastAsia" w:ascii="宋体" w:hAnsi="宋体"/>
          <w:color w:val="auto"/>
          <w:sz w:val="24"/>
          <w:highlight w:val="none"/>
          <w:u w:val="single"/>
        </w:rPr>
        <w:t xml:space="preserve">     </w:t>
      </w:r>
      <w:r>
        <w:rPr>
          <w:rFonts w:hint="eastAsia" w:ascii="宋体" w:hAnsi="宋体"/>
          <w:color w:val="auto"/>
          <w:sz w:val="24"/>
          <w:highlight w:val="none"/>
        </w:rPr>
        <w:t>种方式作为采购代理费开票类型：</w:t>
      </w:r>
    </w:p>
    <w:p w14:paraId="20B84A28">
      <w:pPr>
        <w:spacing w:line="360" w:lineRule="auto"/>
        <w:ind w:firstLine="360"/>
        <w:rPr>
          <w:rFonts w:ascii="宋体" w:hAnsi="宋体"/>
          <w:color w:val="auto"/>
          <w:sz w:val="24"/>
          <w:highlight w:val="none"/>
        </w:rPr>
      </w:pPr>
      <w:r>
        <w:rPr>
          <w:rFonts w:hint="eastAsia" w:ascii="宋体" w:hAnsi="宋体"/>
          <w:color w:val="auto"/>
          <w:sz w:val="24"/>
          <w:highlight w:val="none"/>
        </w:rPr>
        <w:t>第一种方式：开具增值税普通发票。开票信息如下：</w:t>
      </w:r>
    </w:p>
    <w:p w14:paraId="5901AD7B">
      <w:pPr>
        <w:spacing w:line="360" w:lineRule="auto"/>
        <w:ind w:firstLine="360"/>
        <w:rPr>
          <w:rFonts w:ascii="宋体" w:hAnsi="宋体"/>
          <w:color w:val="auto"/>
          <w:sz w:val="24"/>
          <w:highlight w:val="none"/>
        </w:rPr>
      </w:pPr>
      <w:r>
        <w:rPr>
          <w:rFonts w:hint="eastAsia" w:ascii="宋体" w:hAnsi="宋体"/>
          <w:color w:val="auto"/>
          <w:sz w:val="24"/>
          <w:highlight w:val="none"/>
        </w:rPr>
        <w:t>（1）公司名称_</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069366E">
      <w:pPr>
        <w:spacing w:line="360" w:lineRule="auto"/>
        <w:ind w:firstLine="360"/>
        <w:rPr>
          <w:rFonts w:ascii="宋体" w:hAnsi="宋体"/>
          <w:color w:val="auto"/>
          <w:sz w:val="24"/>
          <w:highlight w:val="none"/>
        </w:rPr>
      </w:pPr>
      <w:r>
        <w:rPr>
          <w:rFonts w:hint="eastAsia" w:ascii="宋体" w:hAnsi="宋体"/>
          <w:color w:val="auto"/>
          <w:sz w:val="24"/>
          <w:highlight w:val="none"/>
        </w:rPr>
        <w:t>（2）纳税人识别号_</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F59DF45">
      <w:pPr>
        <w:spacing w:line="360" w:lineRule="auto"/>
        <w:ind w:firstLine="360"/>
        <w:rPr>
          <w:rFonts w:ascii="宋体" w:hAnsi="宋体"/>
          <w:color w:val="auto"/>
          <w:sz w:val="24"/>
          <w:highlight w:val="none"/>
        </w:rPr>
      </w:pPr>
      <w:r>
        <w:rPr>
          <w:rFonts w:hint="eastAsia" w:ascii="宋体" w:hAnsi="宋体"/>
          <w:color w:val="auto"/>
          <w:sz w:val="24"/>
          <w:highlight w:val="none"/>
        </w:rPr>
        <w:t>第二种方式：开具增值税专用发票，开票信息如下：</w:t>
      </w:r>
    </w:p>
    <w:p w14:paraId="45D73494">
      <w:pPr>
        <w:spacing w:line="360" w:lineRule="auto"/>
        <w:ind w:firstLine="360"/>
        <w:rPr>
          <w:rFonts w:ascii="宋体" w:hAnsi="宋体"/>
          <w:color w:val="auto"/>
          <w:sz w:val="24"/>
          <w:highlight w:val="none"/>
        </w:rPr>
      </w:pPr>
      <w:r>
        <w:rPr>
          <w:rFonts w:hint="eastAsia" w:ascii="宋体" w:hAnsi="宋体"/>
          <w:color w:val="auto"/>
          <w:sz w:val="24"/>
          <w:highlight w:val="none"/>
        </w:rPr>
        <w:t>（1）公司名称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C08FBC9">
      <w:pPr>
        <w:spacing w:line="360" w:lineRule="auto"/>
        <w:ind w:firstLine="360"/>
        <w:rPr>
          <w:rFonts w:ascii="宋体" w:hAnsi="宋体"/>
          <w:color w:val="auto"/>
          <w:sz w:val="24"/>
          <w:highlight w:val="none"/>
        </w:rPr>
      </w:pPr>
      <w:r>
        <w:rPr>
          <w:rFonts w:hint="eastAsia" w:ascii="宋体" w:hAnsi="宋体"/>
          <w:color w:val="auto"/>
          <w:sz w:val="24"/>
          <w:highlight w:val="none"/>
        </w:rPr>
        <w:t>（2）纳税人识别号</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FB04F0C">
      <w:pPr>
        <w:spacing w:line="360" w:lineRule="auto"/>
        <w:ind w:firstLine="360"/>
        <w:rPr>
          <w:rFonts w:ascii="宋体" w:hAnsi="宋体"/>
          <w:color w:val="auto"/>
          <w:sz w:val="24"/>
          <w:highlight w:val="none"/>
        </w:rPr>
      </w:pPr>
      <w:r>
        <w:rPr>
          <w:rFonts w:hint="eastAsia" w:ascii="宋体" w:hAnsi="宋体"/>
          <w:color w:val="auto"/>
          <w:sz w:val="24"/>
          <w:highlight w:val="none"/>
        </w:rPr>
        <w:t>（3）在税务局登记的地址</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9D5511C">
      <w:pPr>
        <w:spacing w:line="360" w:lineRule="auto"/>
        <w:ind w:firstLine="360"/>
        <w:rPr>
          <w:rFonts w:ascii="宋体" w:hAnsi="宋体"/>
          <w:color w:val="auto"/>
          <w:sz w:val="24"/>
          <w:highlight w:val="none"/>
        </w:rPr>
      </w:pPr>
      <w:r>
        <w:rPr>
          <w:rFonts w:hint="eastAsia" w:ascii="宋体" w:hAnsi="宋体"/>
          <w:color w:val="auto"/>
          <w:sz w:val="24"/>
          <w:highlight w:val="none"/>
        </w:rPr>
        <w:t>（4）在税务局登记的电话</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795592B">
      <w:pPr>
        <w:spacing w:line="360" w:lineRule="auto"/>
        <w:ind w:firstLine="360"/>
        <w:rPr>
          <w:rFonts w:ascii="宋体" w:hAnsi="宋体"/>
          <w:color w:val="auto"/>
          <w:sz w:val="24"/>
          <w:highlight w:val="none"/>
        </w:rPr>
      </w:pPr>
      <w:r>
        <w:rPr>
          <w:rFonts w:hint="eastAsia" w:ascii="宋体" w:hAnsi="宋体"/>
          <w:color w:val="auto"/>
          <w:sz w:val="24"/>
          <w:highlight w:val="none"/>
        </w:rPr>
        <w:t>（5）开户银行</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78A90BA">
      <w:pPr>
        <w:spacing w:line="360" w:lineRule="auto"/>
        <w:ind w:firstLine="360"/>
        <w:rPr>
          <w:rFonts w:ascii="宋体" w:hAnsi="宋体"/>
          <w:color w:val="auto"/>
          <w:sz w:val="24"/>
          <w:highlight w:val="none"/>
        </w:rPr>
      </w:pPr>
      <w:r>
        <w:rPr>
          <w:rFonts w:hint="eastAsia" w:ascii="宋体" w:hAnsi="宋体"/>
          <w:color w:val="auto"/>
          <w:sz w:val="24"/>
          <w:highlight w:val="none"/>
        </w:rPr>
        <w:t>（6）银行账户</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9DEFBB3">
      <w:pPr>
        <w:spacing w:line="440" w:lineRule="exact"/>
        <w:rPr>
          <w:rFonts w:ascii="宋体" w:hAnsi="宋体"/>
          <w:color w:val="auto"/>
          <w:sz w:val="24"/>
          <w:highlight w:val="none"/>
        </w:rPr>
      </w:pPr>
    </w:p>
    <w:p w14:paraId="4A6ACA7C">
      <w:pPr>
        <w:spacing w:line="440" w:lineRule="exact"/>
        <w:rPr>
          <w:rFonts w:ascii="宋体" w:hAnsi="宋体"/>
          <w:color w:val="auto"/>
          <w:sz w:val="24"/>
          <w:highlight w:val="none"/>
        </w:rPr>
      </w:pPr>
    </w:p>
    <w:p w14:paraId="7DE6C352">
      <w:pPr>
        <w:spacing w:line="440" w:lineRule="exact"/>
        <w:rPr>
          <w:rFonts w:ascii="宋体" w:hAnsi="宋体"/>
          <w:color w:val="auto"/>
          <w:sz w:val="24"/>
          <w:highlight w:val="none"/>
        </w:rPr>
      </w:pPr>
    </w:p>
    <w:p w14:paraId="18E01D8C">
      <w:pPr>
        <w:spacing w:line="360" w:lineRule="auto"/>
        <w:ind w:left="-2" w:right="-817" w:firstLine="1920"/>
        <w:rPr>
          <w:rFonts w:ascii="宋体" w:hAnsi="宋体"/>
          <w:color w:val="auto"/>
          <w:sz w:val="24"/>
          <w:highlight w:val="none"/>
        </w:rPr>
      </w:pPr>
      <w:r>
        <w:rPr>
          <w:rFonts w:hint="eastAsia" w:ascii="宋体" w:hAnsi="宋体"/>
          <w:color w:val="auto"/>
          <w:sz w:val="24"/>
          <w:highlight w:val="none"/>
        </w:rPr>
        <w:t xml:space="preserve">法定代表人或者委托代理人（签字或者电子签名）： </w:t>
      </w:r>
    </w:p>
    <w:p w14:paraId="68DA47F8">
      <w:pPr>
        <w:spacing w:line="360" w:lineRule="auto"/>
        <w:ind w:left="-3" w:right="-817" w:hanging="28"/>
        <w:rPr>
          <w:rFonts w:ascii="宋体" w:hAnsi="宋体"/>
          <w:color w:val="auto"/>
          <w:sz w:val="24"/>
          <w:highlight w:val="none"/>
        </w:rPr>
      </w:pPr>
      <w:r>
        <w:rPr>
          <w:rFonts w:hint="eastAsia" w:ascii="宋体" w:hAnsi="宋体"/>
          <w:color w:val="auto"/>
          <w:sz w:val="24"/>
          <w:highlight w:val="none"/>
        </w:rPr>
        <w:t xml:space="preserve">                                      供应商公章（电子签章）：</w:t>
      </w:r>
    </w:p>
    <w:p w14:paraId="1907D335">
      <w:pPr>
        <w:spacing w:before="50" w:after="50" w:line="360" w:lineRule="auto"/>
        <w:ind w:right="-817" w:firstLine="4080"/>
        <w:rPr>
          <w:rFonts w:ascii="仿宋_GB2312" w:hAnsi="仿宋_GB2312" w:eastAsia="仿宋_GB2312" w:cs="仿宋_GB2312"/>
          <w:b/>
          <w:color w:val="auto"/>
          <w:sz w:val="32"/>
          <w:szCs w:val="32"/>
          <w:highlight w:val="none"/>
        </w:rPr>
      </w:pPr>
      <w:r>
        <w:rPr>
          <w:rFonts w:hint="eastAsia" w:ascii="宋体" w:hAnsi="宋体"/>
          <w:color w:val="auto"/>
          <w:sz w:val="24"/>
          <w:highlight w:val="none"/>
        </w:rPr>
        <w:t xml:space="preserve">                   日期：    年   月   日</w:t>
      </w:r>
    </w:p>
    <w:p w14:paraId="5C3E5120">
      <w:pPr>
        <w:spacing w:line="360" w:lineRule="auto"/>
        <w:ind w:right="-817" w:firstLine="3840"/>
        <w:contextualSpacing/>
        <w:rPr>
          <w:rFonts w:ascii="仿宋_GB2312" w:hAnsi="仿宋_GB2312" w:eastAsia="仿宋_GB2312" w:cs="仿宋_GB2312"/>
          <w:color w:val="auto"/>
          <w:sz w:val="32"/>
          <w:szCs w:val="32"/>
          <w:highlight w:val="none"/>
        </w:rPr>
      </w:pPr>
    </w:p>
    <w:p w14:paraId="5DBB0D4B">
      <w:pPr>
        <w:spacing w:line="300" w:lineRule="auto"/>
        <w:rPr>
          <w:rFonts w:ascii="宋体" w:hAnsi="宋体"/>
          <w:color w:val="auto"/>
          <w:szCs w:val="21"/>
          <w:highlight w:val="none"/>
        </w:rPr>
      </w:pPr>
      <w:r>
        <w:rPr>
          <w:rFonts w:ascii="宋体" w:hAnsi="宋体"/>
          <w:b/>
          <w:bCs/>
          <w:color w:val="auto"/>
          <w:sz w:val="24"/>
          <w:highlight w:val="none"/>
        </w:rPr>
        <w:br w:type="page" w:clear="all"/>
      </w:r>
      <w:r>
        <w:rPr>
          <w:rFonts w:hint="eastAsia" w:ascii="宋体" w:hAnsi="宋体"/>
          <w:b/>
          <w:bCs/>
          <w:color w:val="auto"/>
          <w:sz w:val="24"/>
          <w:highlight w:val="none"/>
        </w:rPr>
        <w:t>其他文书、文件格式</w:t>
      </w:r>
    </w:p>
    <w:p w14:paraId="6BF9D9D3">
      <w:pPr>
        <w:spacing w:line="300" w:lineRule="auto"/>
        <w:jc w:val="center"/>
        <w:rPr>
          <w:rFonts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中小企业声明函（货物）</w:t>
      </w:r>
    </w:p>
    <w:p w14:paraId="6B265CD9">
      <w:pPr>
        <w:rPr>
          <w:color w:val="auto"/>
          <w:highlight w:val="none"/>
        </w:rPr>
      </w:pPr>
    </w:p>
    <w:p w14:paraId="39C4F1EF">
      <w:pPr>
        <w:pStyle w:val="216"/>
        <w:spacing w:after="0" w:line="360" w:lineRule="auto"/>
        <w:ind w:left="-426" w:right="142" w:firstLine="640"/>
        <w:contextualSpacing/>
        <w:rPr>
          <w:rFonts w:ascii="宋体" w:hAnsi="宋体"/>
          <w:color w:val="auto"/>
          <w:sz w:val="24"/>
          <w:highlight w:val="none"/>
        </w:rPr>
      </w:pPr>
      <w:r>
        <w:rPr>
          <w:rFonts w:ascii="宋体" w:hAnsi="宋体"/>
          <w:color w:val="auto"/>
          <w:sz w:val="24"/>
          <w:highlight w:val="none"/>
        </w:rPr>
        <w:t>本公司（联合体）郑重声明，根据《政府采购促进中小企业发展管理办法》（</w:t>
      </w:r>
      <w:r>
        <w:rPr>
          <w:rFonts w:hint="eastAsia" w:ascii="宋体" w:hAnsi="宋体"/>
          <w:color w:val="auto"/>
          <w:sz w:val="24"/>
          <w:highlight w:val="none"/>
        </w:rPr>
        <w:t>财库〔2020〕46号</w:t>
      </w:r>
      <w:r>
        <w:rPr>
          <w:rFonts w:ascii="宋体" w:hAnsi="宋体"/>
          <w:color w:val="auto"/>
          <w:sz w:val="24"/>
          <w:highlight w:val="none"/>
        </w:rPr>
        <w:t>）的规定，本公司（联合体）参加</w:t>
      </w:r>
      <w:r>
        <w:rPr>
          <w:rFonts w:ascii="宋体" w:hAnsi="宋体"/>
          <w:color w:val="auto"/>
          <w:sz w:val="24"/>
          <w:highlight w:val="none"/>
          <w:u w:val="single"/>
        </w:rPr>
        <w:t>（单位名称）</w:t>
      </w:r>
      <w:r>
        <w:rPr>
          <w:rFonts w:ascii="宋体" w:hAnsi="宋体"/>
          <w:color w:val="auto"/>
          <w:sz w:val="24"/>
          <w:highlight w:val="none"/>
        </w:rPr>
        <w:t>的</w:t>
      </w:r>
      <w:r>
        <w:rPr>
          <w:rFonts w:ascii="宋体" w:hAnsi="宋体"/>
          <w:color w:val="auto"/>
          <w:sz w:val="24"/>
          <w:highlight w:val="none"/>
          <w:u w:val="single"/>
        </w:rPr>
        <w:t>（项目名称）</w:t>
      </w:r>
      <w:r>
        <w:rPr>
          <w:rFonts w:ascii="宋体" w:hAnsi="宋体"/>
          <w:color w:val="auto"/>
          <w:sz w:val="24"/>
          <w:highlight w:val="none"/>
        </w:rPr>
        <w:t>采购活动，提供的货物全部由符合政策要求的中小企业制造。相关企业（含联合体中的中小企业、签订分包意向协议的中小企业）的具体情况如下：</w:t>
      </w:r>
    </w:p>
    <w:p w14:paraId="53823677">
      <w:pPr>
        <w:tabs>
          <w:tab w:val="left" w:pos="1384"/>
          <w:tab w:val="left" w:pos="4562"/>
          <w:tab w:val="left" w:pos="6803"/>
        </w:tabs>
        <w:spacing w:line="360" w:lineRule="auto"/>
        <w:ind w:left="-426" w:right="-58" w:firstLine="655"/>
        <w:contextualSpacing/>
        <w:rPr>
          <w:rFonts w:ascii="宋体" w:hAnsi="宋体"/>
          <w:color w:val="auto"/>
          <w:sz w:val="24"/>
          <w:highlight w:val="none"/>
        </w:rPr>
      </w:pPr>
      <w:r>
        <w:rPr>
          <w:rFonts w:ascii="宋体" w:hAnsi="宋体"/>
          <w:color w:val="auto"/>
          <w:sz w:val="24"/>
          <w:highlight w:val="none"/>
        </w:rPr>
        <w:t>1.</w:t>
      </w:r>
      <w:r>
        <w:rPr>
          <w:rFonts w:ascii="宋体" w:hAnsi="宋体"/>
          <w:color w:val="auto"/>
          <w:sz w:val="24"/>
          <w:highlight w:val="none"/>
          <w:u w:val="single"/>
        </w:rPr>
        <w:t>（标的名称）</w:t>
      </w:r>
      <w:r>
        <w:rPr>
          <w:rFonts w:ascii="宋体" w:hAnsi="宋体"/>
          <w:color w:val="auto"/>
          <w:sz w:val="24"/>
          <w:highlight w:val="none"/>
        </w:rPr>
        <w:t>，属于</w:t>
      </w:r>
      <w:r>
        <w:rPr>
          <w:rFonts w:ascii="宋体" w:hAnsi="宋体"/>
          <w:color w:val="auto"/>
          <w:sz w:val="24"/>
          <w:highlight w:val="none"/>
          <w:u w:val="single"/>
        </w:rPr>
        <w:t>（采购文件中明确的所属行业）</w:t>
      </w:r>
      <w:r>
        <w:rPr>
          <w:rFonts w:ascii="宋体" w:hAnsi="宋体"/>
          <w:color w:val="auto"/>
          <w:sz w:val="24"/>
          <w:highlight w:val="none"/>
        </w:rPr>
        <w:t>行业；制造商为</w:t>
      </w:r>
      <w:r>
        <w:rPr>
          <w:rFonts w:ascii="宋体" w:hAnsi="宋体"/>
          <w:color w:val="auto"/>
          <w:sz w:val="24"/>
          <w:highlight w:val="none"/>
          <w:u w:val="single"/>
        </w:rPr>
        <w:t>（企业名称）</w:t>
      </w:r>
      <w:r>
        <w:rPr>
          <w:rFonts w:ascii="宋体" w:hAnsi="宋体"/>
          <w:color w:val="auto"/>
          <w:sz w:val="24"/>
          <w:highlight w:val="none"/>
        </w:rPr>
        <w:t>，从业人员</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人，营业收入为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万元，资产总额为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万元，属于</w:t>
      </w:r>
      <w:r>
        <w:rPr>
          <w:rFonts w:ascii="宋体" w:hAnsi="宋体"/>
          <w:color w:val="auto"/>
          <w:sz w:val="24"/>
          <w:highlight w:val="none"/>
          <w:u w:val="single"/>
        </w:rPr>
        <w:t>（中型企业、小型企业、微型企业）</w:t>
      </w:r>
      <w:r>
        <w:rPr>
          <w:rFonts w:ascii="宋体" w:hAnsi="宋体"/>
          <w:color w:val="auto"/>
          <w:sz w:val="24"/>
          <w:highlight w:val="none"/>
        </w:rPr>
        <w:t>；</w:t>
      </w:r>
    </w:p>
    <w:p w14:paraId="45704880">
      <w:pPr>
        <w:tabs>
          <w:tab w:val="left" w:pos="1065"/>
          <w:tab w:val="left" w:pos="6477"/>
        </w:tabs>
        <w:spacing w:line="360" w:lineRule="auto"/>
        <w:ind w:left="-426" w:right="-58" w:firstLine="655"/>
        <w:contextualSpacing/>
        <w:rPr>
          <w:rFonts w:ascii="宋体" w:hAnsi="宋体"/>
          <w:color w:val="auto"/>
          <w:sz w:val="24"/>
          <w:highlight w:val="none"/>
        </w:rPr>
      </w:pPr>
      <w:r>
        <w:rPr>
          <w:rFonts w:ascii="宋体" w:hAnsi="宋体"/>
          <w:color w:val="auto"/>
          <w:sz w:val="24"/>
          <w:highlight w:val="none"/>
        </w:rPr>
        <w:t>2.</w:t>
      </w:r>
      <w:r>
        <w:rPr>
          <w:rFonts w:ascii="宋体" w:hAnsi="宋体"/>
          <w:color w:val="auto"/>
          <w:sz w:val="24"/>
          <w:highlight w:val="none"/>
          <w:u w:val="single"/>
        </w:rPr>
        <w:t>（标的名称）</w:t>
      </w:r>
      <w:r>
        <w:rPr>
          <w:rFonts w:ascii="宋体" w:hAnsi="宋体"/>
          <w:color w:val="auto"/>
          <w:sz w:val="24"/>
          <w:highlight w:val="none"/>
        </w:rPr>
        <w:t>，属于</w:t>
      </w:r>
      <w:r>
        <w:rPr>
          <w:rFonts w:ascii="宋体" w:hAnsi="宋体"/>
          <w:color w:val="auto"/>
          <w:sz w:val="24"/>
          <w:highlight w:val="none"/>
          <w:u w:val="single"/>
        </w:rPr>
        <w:t>（采购文件中明确的所属行业）</w:t>
      </w:r>
      <w:r>
        <w:rPr>
          <w:rFonts w:ascii="宋体" w:hAnsi="宋体"/>
          <w:color w:val="auto"/>
          <w:sz w:val="24"/>
          <w:highlight w:val="none"/>
        </w:rPr>
        <w:t>行业；制造商为</w:t>
      </w:r>
      <w:r>
        <w:rPr>
          <w:rFonts w:ascii="宋体" w:hAnsi="宋体"/>
          <w:color w:val="auto"/>
          <w:sz w:val="24"/>
          <w:highlight w:val="none"/>
          <w:u w:val="single"/>
        </w:rPr>
        <w:t>（企业名称）</w:t>
      </w:r>
      <w:r>
        <w:rPr>
          <w:rFonts w:ascii="宋体" w:hAnsi="宋体"/>
          <w:color w:val="auto"/>
          <w:sz w:val="24"/>
          <w:highlight w:val="none"/>
        </w:rPr>
        <w:t>，从业人员</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人，营业收入为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万元，资产总额为</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万元，属于</w:t>
      </w:r>
      <w:r>
        <w:rPr>
          <w:rFonts w:ascii="宋体" w:hAnsi="宋体"/>
          <w:color w:val="auto"/>
          <w:sz w:val="24"/>
          <w:highlight w:val="none"/>
          <w:u w:val="single"/>
        </w:rPr>
        <w:t>（中型企业、小型企业、微型企业）</w:t>
      </w:r>
      <w:r>
        <w:rPr>
          <w:rFonts w:ascii="宋体" w:hAnsi="宋体"/>
          <w:color w:val="auto"/>
          <w:sz w:val="24"/>
          <w:highlight w:val="none"/>
        </w:rPr>
        <w:t>；</w:t>
      </w:r>
    </w:p>
    <w:p w14:paraId="7F9A2519">
      <w:pPr>
        <w:pStyle w:val="216"/>
        <w:spacing w:after="0" w:line="360" w:lineRule="auto"/>
        <w:ind w:left="142" w:right="142"/>
        <w:contextualSpacing/>
        <w:rPr>
          <w:rFonts w:ascii="宋体" w:hAnsi="宋体"/>
          <w:color w:val="auto"/>
          <w:sz w:val="24"/>
          <w:highlight w:val="none"/>
        </w:rPr>
      </w:pPr>
      <w:r>
        <w:rPr>
          <w:rFonts w:ascii="宋体" w:hAnsi="宋体"/>
          <w:color w:val="auto"/>
          <w:sz w:val="24"/>
          <w:highlight w:val="none"/>
        </w:rPr>
        <w:t xml:space="preserve">…… </w:t>
      </w:r>
    </w:p>
    <w:p w14:paraId="578E1EAD">
      <w:pPr>
        <w:pStyle w:val="216"/>
        <w:spacing w:after="0" w:line="360" w:lineRule="auto"/>
        <w:ind w:left="-405" w:right="142" w:firstLine="453"/>
        <w:contextualSpacing/>
        <w:rPr>
          <w:rFonts w:ascii="宋体" w:hAnsi="宋体"/>
          <w:color w:val="auto"/>
          <w:sz w:val="24"/>
          <w:highlight w:val="none"/>
        </w:rPr>
      </w:pPr>
      <w:r>
        <w:rPr>
          <w:rFonts w:ascii="宋体" w:hAnsi="宋体"/>
          <w:color w:val="auto"/>
          <w:sz w:val="24"/>
          <w:highlight w:val="none"/>
        </w:rPr>
        <w:t>以上企业，不属于大企业的分支机构，不存在控股股东为大企业的情形，也不存在与大企业的负责人为同一人的情形。</w:t>
      </w:r>
    </w:p>
    <w:p w14:paraId="023BB096">
      <w:pPr>
        <w:pStyle w:val="216"/>
        <w:spacing w:after="0" w:line="360" w:lineRule="auto"/>
        <w:ind w:left="-426" w:right="142" w:firstLine="567"/>
        <w:contextualSpacing/>
        <w:rPr>
          <w:rFonts w:ascii="宋体" w:hAnsi="宋体"/>
          <w:color w:val="auto"/>
          <w:sz w:val="24"/>
          <w:highlight w:val="none"/>
        </w:rPr>
      </w:pPr>
      <w:r>
        <w:rPr>
          <w:rFonts w:ascii="宋体" w:hAnsi="宋体"/>
          <w:color w:val="auto"/>
          <w:sz w:val="24"/>
          <w:highlight w:val="none"/>
        </w:rPr>
        <w:t>本企业对上述声明内容的真实性负责。如有虚假，将依法承担相应责任。</w:t>
      </w:r>
    </w:p>
    <w:p w14:paraId="46F226E2">
      <w:pPr>
        <w:pStyle w:val="216"/>
        <w:spacing w:after="0" w:line="360" w:lineRule="auto"/>
        <w:ind w:left="3960" w:right="1808"/>
        <w:contextualSpacing/>
        <w:rPr>
          <w:rFonts w:ascii="宋体" w:hAnsi="宋体"/>
          <w:color w:val="auto"/>
          <w:sz w:val="24"/>
          <w:highlight w:val="none"/>
        </w:rPr>
      </w:pPr>
    </w:p>
    <w:p w14:paraId="52CA9561">
      <w:pPr>
        <w:pStyle w:val="216"/>
        <w:spacing w:after="0" w:line="360" w:lineRule="auto"/>
        <w:ind w:left="3960" w:right="1808"/>
        <w:contextualSpacing/>
        <w:rPr>
          <w:rFonts w:ascii="宋体" w:hAnsi="宋体"/>
          <w:color w:val="auto"/>
          <w:sz w:val="24"/>
          <w:highlight w:val="none"/>
        </w:rPr>
      </w:pPr>
      <w:r>
        <w:rPr>
          <w:rFonts w:ascii="宋体" w:hAnsi="宋体"/>
          <w:color w:val="auto"/>
          <w:sz w:val="24"/>
          <w:highlight w:val="none"/>
        </w:rPr>
        <w:t xml:space="preserve">企业名称（章）： </w:t>
      </w:r>
    </w:p>
    <w:p w14:paraId="40D17C96">
      <w:pPr>
        <w:pStyle w:val="216"/>
        <w:spacing w:after="0" w:line="360" w:lineRule="auto"/>
        <w:ind w:left="3960" w:right="1808"/>
        <w:contextualSpacing/>
        <w:rPr>
          <w:rFonts w:ascii="宋体" w:hAnsi="宋体"/>
          <w:color w:val="auto"/>
          <w:sz w:val="24"/>
          <w:highlight w:val="none"/>
        </w:rPr>
      </w:pPr>
      <w:r>
        <w:rPr>
          <w:rFonts w:ascii="宋体" w:hAnsi="宋体"/>
          <w:color w:val="auto"/>
          <w:sz w:val="24"/>
          <w:highlight w:val="none"/>
        </w:rPr>
        <w:t>日</w:t>
      </w:r>
      <w:r>
        <w:rPr>
          <w:rFonts w:hint="eastAsia" w:ascii="宋体" w:hAnsi="宋体"/>
          <w:color w:val="auto"/>
          <w:sz w:val="24"/>
          <w:highlight w:val="none"/>
        </w:rPr>
        <w:t xml:space="preserve"> </w:t>
      </w:r>
      <w:r>
        <w:rPr>
          <w:rFonts w:ascii="宋体" w:hAnsi="宋体"/>
          <w:color w:val="auto"/>
          <w:sz w:val="24"/>
          <w:highlight w:val="none"/>
        </w:rPr>
        <w:t>期：</w:t>
      </w:r>
    </w:p>
    <w:p w14:paraId="3FA551DF">
      <w:pPr>
        <w:pStyle w:val="216"/>
        <w:spacing w:after="0" w:line="360" w:lineRule="auto"/>
        <w:ind w:left="3960" w:right="1808"/>
        <w:contextualSpacing/>
        <w:rPr>
          <w:color w:val="auto"/>
          <w:highlight w:val="none"/>
        </w:rPr>
      </w:pPr>
    </w:p>
    <w:p w14:paraId="4442A783">
      <w:pPr>
        <w:spacing w:line="360" w:lineRule="auto"/>
        <w:contextualSpacing/>
        <w:jc w:val="left"/>
        <w:rPr>
          <w:rFonts w:ascii="宋体" w:hAnsi="宋体" w:cs="仿宋_GB2312"/>
          <w:color w:val="auto"/>
          <w:sz w:val="24"/>
          <w:highlight w:val="none"/>
        </w:rPr>
      </w:pPr>
      <w:r>
        <w:rPr>
          <w:rFonts w:hint="eastAsia" w:ascii="宋体" w:hAnsi="宋体" w:cs="仿宋_GB2312"/>
          <w:color w:val="auto"/>
          <w:sz w:val="24"/>
          <w:highlight w:val="none"/>
        </w:rPr>
        <w:t>注：享受《政府采购促进中小企业发展管理办法》（财库〔2020〕46号）规定的中小企业扶持政策的，采购人、采购代理机构应当随成交结果公开成交供应商的《中小企业声明函》。从业人员、营业收入、资产总额填报上一年度数据，无上一年度数据的新成立企业可不填报。</w:t>
      </w:r>
    </w:p>
    <w:p w14:paraId="4C211BB7">
      <w:pPr>
        <w:spacing w:line="360" w:lineRule="auto"/>
        <w:contextualSpacing/>
        <w:jc w:val="center"/>
        <w:rPr>
          <w:rFonts w:ascii="仿宋_GB2312" w:hAnsi="仿宋_GB2312" w:eastAsia="仿宋_GB2312" w:cs="仿宋_GB2312"/>
          <w:color w:val="auto"/>
          <w:sz w:val="32"/>
          <w:szCs w:val="32"/>
          <w:highlight w:val="none"/>
        </w:rPr>
      </w:pPr>
      <w:r>
        <w:rPr>
          <w:rFonts w:ascii="宋体" w:hAnsi="宋体"/>
          <w:color w:val="auto"/>
          <w:sz w:val="24"/>
          <w:highlight w:val="none"/>
        </w:rPr>
        <w:br w:type="page" w:clear="all"/>
      </w:r>
      <w:r>
        <w:rPr>
          <w:rFonts w:hint="eastAsia" w:ascii="方正小标宋简体" w:hAnsi="方正小标宋简体" w:eastAsia="方正小标宋简体" w:cs="方正小标宋简体"/>
          <w:color w:val="auto"/>
          <w:sz w:val="44"/>
          <w:szCs w:val="44"/>
          <w:highlight w:val="none"/>
        </w:rPr>
        <w:t>残疾人福利性单位声明函</w:t>
      </w:r>
    </w:p>
    <w:p w14:paraId="2D310E21">
      <w:pPr>
        <w:spacing w:line="520" w:lineRule="exact"/>
        <w:rPr>
          <w:rFonts w:ascii="仿宋_GB2312" w:hAnsi="仿宋_GB2312" w:eastAsia="仿宋_GB2312" w:cs="仿宋_GB2312"/>
          <w:color w:val="auto"/>
          <w:sz w:val="32"/>
          <w:szCs w:val="32"/>
          <w:highlight w:val="none"/>
        </w:rPr>
      </w:pPr>
    </w:p>
    <w:p w14:paraId="4DF7C8E0">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单位的</w:t>
      </w:r>
      <w:r>
        <w:rPr>
          <w:rFonts w:hint="eastAsia" w:ascii="宋体" w:hAnsi="宋体" w:cs="仿宋_GB2312"/>
          <w:color w:val="auto"/>
          <w:sz w:val="24"/>
          <w:highlight w:val="none"/>
          <w:u w:val="single"/>
        </w:rPr>
        <w:t xml:space="preserve">        </w:t>
      </w:r>
      <w:r>
        <w:rPr>
          <w:rFonts w:hint="eastAsia" w:ascii="宋体" w:hAnsi="宋体" w:cs="仿宋_GB2312"/>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35E21EC1">
      <w:pPr>
        <w:spacing w:line="360" w:lineRule="auto"/>
        <w:ind w:firstLine="480"/>
        <w:contextualSpacing/>
        <w:rPr>
          <w:rFonts w:ascii="宋体" w:hAnsi="宋体" w:cs="仿宋_GB2312"/>
          <w:color w:val="auto"/>
          <w:sz w:val="24"/>
          <w:highlight w:val="none"/>
        </w:rPr>
      </w:pPr>
      <w:r>
        <w:rPr>
          <w:rFonts w:hint="eastAsia" w:ascii="宋体" w:hAnsi="宋体" w:cs="仿宋_GB2312"/>
          <w:color w:val="auto"/>
          <w:sz w:val="24"/>
          <w:highlight w:val="none"/>
        </w:rPr>
        <w:t>本单位对上述声明的真实性负责。如有虚假，将依法承担相应责任。</w:t>
      </w:r>
    </w:p>
    <w:p w14:paraId="3EC2A2BD">
      <w:pPr>
        <w:spacing w:line="360" w:lineRule="auto"/>
        <w:contextualSpacing/>
        <w:rPr>
          <w:rFonts w:ascii="宋体" w:hAnsi="宋体" w:cs="仿宋_GB2312"/>
          <w:color w:val="auto"/>
          <w:sz w:val="24"/>
          <w:highlight w:val="none"/>
        </w:rPr>
      </w:pPr>
    </w:p>
    <w:p w14:paraId="4BE9F138">
      <w:pPr>
        <w:spacing w:line="360" w:lineRule="auto"/>
        <w:contextualSpacing/>
        <w:rPr>
          <w:rFonts w:ascii="宋体" w:hAnsi="宋体" w:cs="仿宋_GB2312"/>
          <w:color w:val="auto"/>
          <w:sz w:val="24"/>
          <w:highlight w:val="none"/>
        </w:rPr>
      </w:pPr>
    </w:p>
    <w:p w14:paraId="68D7D2E6">
      <w:pPr>
        <w:spacing w:line="360" w:lineRule="auto"/>
        <w:contextualSpacing/>
        <w:rPr>
          <w:rFonts w:ascii="宋体" w:hAnsi="宋体" w:cs="仿宋_GB2312"/>
          <w:color w:val="auto"/>
          <w:sz w:val="24"/>
          <w:highlight w:val="none"/>
        </w:rPr>
      </w:pPr>
    </w:p>
    <w:p w14:paraId="3AC2AE6D">
      <w:pPr>
        <w:spacing w:line="360" w:lineRule="auto"/>
        <w:ind w:firstLine="2400"/>
        <w:contextualSpacing/>
        <w:rPr>
          <w:rFonts w:ascii="宋体" w:hAnsi="宋体" w:cs="仿宋_GB2312"/>
          <w:color w:val="auto"/>
          <w:sz w:val="24"/>
          <w:highlight w:val="none"/>
        </w:rPr>
      </w:pPr>
      <w:r>
        <w:rPr>
          <w:rFonts w:hint="eastAsia" w:ascii="宋体" w:hAnsi="宋体" w:cs="仿宋_GB2312"/>
          <w:color w:val="auto"/>
          <w:sz w:val="24"/>
          <w:highlight w:val="none"/>
        </w:rPr>
        <w:t>单位名称（盖章）：</w:t>
      </w:r>
    </w:p>
    <w:p w14:paraId="59AA6283">
      <w:pPr>
        <w:spacing w:line="360" w:lineRule="auto"/>
        <w:ind w:firstLine="3600"/>
        <w:contextualSpacing/>
        <w:rPr>
          <w:rFonts w:ascii="宋体" w:hAnsi="宋体" w:cs="仿宋_GB2312"/>
          <w:color w:val="auto"/>
          <w:sz w:val="24"/>
          <w:highlight w:val="none"/>
        </w:rPr>
      </w:pPr>
      <w:r>
        <w:rPr>
          <w:rFonts w:hint="eastAsia" w:ascii="宋体" w:hAnsi="宋体" w:cs="仿宋_GB2312"/>
          <w:color w:val="auto"/>
          <w:sz w:val="24"/>
          <w:highlight w:val="none"/>
        </w:rPr>
        <w:t>日  期：</w:t>
      </w:r>
    </w:p>
    <w:p w14:paraId="78923066">
      <w:pPr>
        <w:spacing w:line="360" w:lineRule="auto"/>
        <w:contextualSpacing/>
        <w:rPr>
          <w:rFonts w:ascii="宋体" w:hAnsi="宋体" w:cs="仿宋_GB2312"/>
          <w:color w:val="auto"/>
          <w:sz w:val="24"/>
          <w:highlight w:val="none"/>
        </w:rPr>
      </w:pPr>
    </w:p>
    <w:p w14:paraId="1B57C014">
      <w:pPr>
        <w:spacing w:line="360" w:lineRule="auto"/>
        <w:contextualSpacing/>
        <w:rPr>
          <w:rFonts w:ascii="宋体" w:hAnsi="宋体" w:cs="仿宋_GB2312"/>
          <w:color w:val="auto"/>
          <w:sz w:val="24"/>
          <w:highlight w:val="none"/>
        </w:rPr>
      </w:pPr>
    </w:p>
    <w:p w14:paraId="10707F08">
      <w:pPr>
        <w:spacing w:line="360" w:lineRule="auto"/>
        <w:contextualSpacing/>
        <w:rPr>
          <w:rFonts w:ascii="宋体" w:hAnsi="宋体" w:cs="仿宋_GB2312"/>
          <w:color w:val="auto"/>
          <w:sz w:val="24"/>
          <w:highlight w:val="none"/>
        </w:rPr>
      </w:pPr>
    </w:p>
    <w:p w14:paraId="46C61F7C">
      <w:pPr>
        <w:spacing w:line="360" w:lineRule="auto"/>
        <w:contextualSpacing/>
        <w:rPr>
          <w:rFonts w:ascii="宋体" w:hAnsi="宋体" w:cs="仿宋_GB2312"/>
          <w:color w:val="auto"/>
          <w:sz w:val="24"/>
          <w:highlight w:val="none"/>
        </w:rPr>
      </w:pPr>
      <w:r>
        <w:rPr>
          <w:rFonts w:hint="eastAsia" w:ascii="宋体" w:hAnsi="宋体" w:cs="仿宋_GB2312"/>
          <w:color w:val="auto"/>
          <w:sz w:val="24"/>
          <w:highlight w:val="none"/>
        </w:rPr>
        <w:t>注：请根据自己的真实情况出具《残疾人福利性单位声明函》。依法享受中小企业优惠政策的，采购人或者采购代理机构在公告成交结果时，同时公告其《残疾人福利性单位声明函》，接受社会监督。</w:t>
      </w:r>
    </w:p>
    <w:p w14:paraId="39B2C01F">
      <w:pPr>
        <w:widowControl/>
        <w:shd w:val="clear" w:color="auto" w:fill="FFFFFF"/>
        <w:jc w:val="center"/>
        <w:rPr>
          <w:rFonts w:ascii="宋体" w:hAnsi="宋体" w:cs="宋体"/>
          <w:color w:val="auto"/>
          <w:sz w:val="36"/>
          <w:szCs w:val="36"/>
          <w:highlight w:val="none"/>
        </w:rPr>
      </w:pPr>
      <w:r>
        <w:rPr>
          <w:rFonts w:hint="eastAsia" w:ascii="宋体" w:hAnsi="宋体" w:cs="仿宋_GB2312"/>
          <w:color w:val="auto"/>
          <w:sz w:val="24"/>
          <w:highlight w:val="none"/>
        </w:rPr>
        <w:br w:type="page" w:clear="all"/>
      </w:r>
      <w:r>
        <w:rPr>
          <w:rFonts w:hint="eastAsia" w:ascii="宋体" w:hAnsi="宋体" w:cs="宋体"/>
          <w:b/>
          <w:bCs/>
          <w:color w:val="auto"/>
          <w:sz w:val="36"/>
          <w:szCs w:val="36"/>
          <w:highlight w:val="none"/>
        </w:rPr>
        <w:t>关于符合本国产品标准的声明函</w:t>
      </w:r>
    </w:p>
    <w:p w14:paraId="19814A91">
      <w:pPr>
        <w:widowControl/>
        <w:shd w:val="clear" w:color="auto" w:fill="FFFFFF"/>
        <w:spacing w:before="30" w:after="30"/>
        <w:ind w:firstLine="480"/>
        <w:jc w:val="left"/>
        <w:rPr>
          <w:rFonts w:ascii="宋体" w:hAnsi="宋体" w:cs="宋体"/>
          <w:color w:val="auto"/>
          <w:sz w:val="24"/>
          <w:highlight w:val="none"/>
        </w:rPr>
      </w:pPr>
      <w:r>
        <w:rPr>
          <w:rFonts w:hint="eastAsia" w:ascii="宋体" w:hAnsi="宋体" w:cs="宋体"/>
          <w:color w:val="auto"/>
          <w:sz w:val="24"/>
          <w:highlight w:val="none"/>
        </w:rPr>
        <w:t> </w:t>
      </w:r>
    </w:p>
    <w:p w14:paraId="10166655">
      <w:pPr>
        <w:widowControl/>
        <w:shd w:val="clear" w:color="auto" w:fill="FFFFFF"/>
        <w:spacing w:before="30" w:after="30" w:line="360" w:lineRule="auto"/>
        <w:ind w:firstLine="482"/>
        <w:jc w:val="left"/>
        <w:rPr>
          <w:rFonts w:ascii="宋体" w:hAnsi="宋体" w:cs="宋体"/>
          <w:color w:val="auto"/>
          <w:sz w:val="24"/>
          <w:highlight w:val="none"/>
        </w:rPr>
      </w:pPr>
      <w:r>
        <w:rPr>
          <w:rFonts w:hint="eastAsia" w:ascii="宋体" w:hAnsi="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660938F">
      <w:pPr>
        <w:widowControl/>
        <w:shd w:val="clear" w:color="auto" w:fill="FFFFFF"/>
        <w:spacing w:line="360" w:lineRule="auto"/>
        <w:ind w:firstLine="482"/>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i/>
          <w:iCs/>
          <w:color w:val="auto"/>
          <w:sz w:val="24"/>
          <w:highlight w:val="none"/>
          <w:u w:val="single"/>
        </w:rPr>
        <w:t>（产品名称1）</w:t>
      </w:r>
      <w:r>
        <w:rPr>
          <w:rFonts w:hint="eastAsia" w:ascii="宋体" w:hAnsi="宋体" w:cs="宋体"/>
          <w:i/>
          <w:iCs/>
          <w:color w:val="auto"/>
          <w:sz w:val="24"/>
          <w:highlight w:val="none"/>
          <w:u w:val="single"/>
          <w:vertAlign w:val="superscript"/>
        </w:rPr>
        <w:t>1</w:t>
      </w:r>
      <w:r>
        <w:rPr>
          <w:rFonts w:hint="eastAsia" w:ascii="宋体" w:hAnsi="宋体" w:cs="宋体"/>
          <w:color w:val="auto"/>
          <w:sz w:val="24"/>
          <w:highlight w:val="none"/>
        </w:rPr>
        <w:t>，生产厂为</w:t>
      </w:r>
      <w:r>
        <w:rPr>
          <w:rFonts w:hint="eastAsia" w:ascii="宋体" w:hAnsi="宋体" w:cs="宋体"/>
          <w:i/>
          <w:iCs/>
          <w:color w:val="auto"/>
          <w:sz w:val="24"/>
          <w:highlight w:val="none"/>
          <w:u w:val="single"/>
        </w:rPr>
        <w:t>（厂名）</w:t>
      </w:r>
      <w:r>
        <w:rPr>
          <w:rFonts w:hint="eastAsia" w:ascii="宋体" w:hAnsi="宋体" w:cs="宋体"/>
          <w:i/>
          <w:iCs/>
          <w:color w:val="auto"/>
          <w:sz w:val="24"/>
          <w:highlight w:val="none"/>
          <w:u w:val="single"/>
          <w:vertAlign w:val="superscript"/>
        </w:rPr>
        <w:t>2</w:t>
      </w:r>
      <w:r>
        <w:rPr>
          <w:rFonts w:hint="eastAsia" w:ascii="宋体" w:hAnsi="宋体" w:cs="宋体"/>
          <w:color w:val="auto"/>
          <w:sz w:val="24"/>
          <w:highlight w:val="none"/>
        </w:rPr>
        <w:t>，厂址为</w:t>
      </w:r>
      <w:r>
        <w:rPr>
          <w:rFonts w:hint="eastAsia" w:ascii="宋体" w:hAnsi="宋体" w:cs="宋体"/>
          <w:i/>
          <w:iCs/>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i/>
          <w:iCs/>
          <w:color w:val="auto"/>
          <w:sz w:val="24"/>
          <w:highlight w:val="none"/>
          <w:u w:val="single"/>
        </w:rPr>
        <w:t>（产品名称1）</w:t>
      </w:r>
      <w:r>
        <w:rPr>
          <w:rFonts w:hint="eastAsia" w:ascii="宋体" w:hAnsi="宋体" w:cs="宋体"/>
          <w:color w:val="auto"/>
          <w:sz w:val="24"/>
          <w:highlight w:val="none"/>
        </w:rPr>
        <w:t>的中国境内生产的组件成本占比≥</w:t>
      </w:r>
      <w:r>
        <w:rPr>
          <w:rFonts w:hint="eastAsia" w:ascii="宋体" w:hAnsi="宋体" w:cs="宋体"/>
          <w:i/>
          <w:iCs/>
          <w:color w:val="auto"/>
          <w:sz w:val="24"/>
          <w:highlight w:val="none"/>
          <w:u w:val="single"/>
        </w:rPr>
        <w:t>（规定比例）</w:t>
      </w:r>
      <w:r>
        <w:rPr>
          <w:rFonts w:hint="eastAsia" w:ascii="宋体" w:hAnsi="宋体" w:cs="宋体"/>
          <w:i/>
          <w:iCs/>
          <w:color w:val="auto"/>
          <w:sz w:val="24"/>
          <w:highlight w:val="none"/>
          <w:u w:val="single"/>
          <w:vertAlign w:val="superscript"/>
        </w:rPr>
        <w:t>3</w:t>
      </w:r>
      <w:r>
        <w:rPr>
          <w:rFonts w:hint="eastAsia" w:ascii="宋体" w:hAnsi="宋体" w:cs="宋体"/>
          <w:color w:val="auto"/>
          <w:sz w:val="24"/>
          <w:highlight w:val="none"/>
        </w:rPr>
        <w:t>。</w:t>
      </w:r>
      <w:r>
        <w:rPr>
          <w:rFonts w:hint="eastAsia" w:ascii="宋体" w:hAnsi="宋体" w:cs="宋体"/>
          <w:i/>
          <w:iCs/>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i/>
          <w:iCs/>
          <w:color w:val="auto"/>
          <w:sz w:val="24"/>
          <w:highlight w:val="none"/>
          <w:u w:val="single"/>
        </w:rPr>
        <w:t>（关键组件）</w:t>
      </w:r>
      <w:r>
        <w:rPr>
          <w:rFonts w:hint="eastAsia" w:ascii="宋体" w:hAnsi="宋体" w:cs="宋体"/>
          <w:i/>
          <w:iCs/>
          <w:color w:val="auto"/>
          <w:sz w:val="24"/>
          <w:highlight w:val="none"/>
          <w:u w:val="single"/>
          <w:vertAlign w:val="superscript"/>
        </w:rPr>
        <w:t>4</w:t>
      </w:r>
      <w:r>
        <w:rPr>
          <w:rFonts w:hint="eastAsia" w:ascii="宋体" w:hAnsi="宋体" w:cs="宋体"/>
          <w:color w:val="auto"/>
          <w:sz w:val="24"/>
          <w:highlight w:val="none"/>
        </w:rPr>
        <w:t>在中国境内生产。</w:t>
      </w:r>
      <w:r>
        <w:rPr>
          <w:rFonts w:hint="eastAsia" w:ascii="宋体" w:hAnsi="宋体" w:cs="宋体"/>
          <w:i/>
          <w:iCs/>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i/>
          <w:iCs/>
          <w:color w:val="auto"/>
          <w:sz w:val="24"/>
          <w:highlight w:val="none"/>
          <w:u w:val="single"/>
        </w:rPr>
        <w:t>（关键工序）</w:t>
      </w:r>
      <w:r>
        <w:rPr>
          <w:rFonts w:hint="eastAsia" w:ascii="宋体" w:hAnsi="宋体" w:cs="宋体"/>
          <w:i/>
          <w:iCs/>
          <w:color w:val="auto"/>
          <w:sz w:val="24"/>
          <w:highlight w:val="none"/>
          <w:u w:val="single"/>
          <w:vertAlign w:val="superscript"/>
        </w:rPr>
        <w:t>5</w:t>
      </w:r>
      <w:r>
        <w:rPr>
          <w:rFonts w:hint="eastAsia" w:ascii="宋体" w:hAnsi="宋体" w:cs="宋体"/>
          <w:color w:val="auto"/>
          <w:sz w:val="24"/>
          <w:highlight w:val="none"/>
        </w:rPr>
        <w:t>在中国境内完成。</w:t>
      </w:r>
    </w:p>
    <w:p w14:paraId="0209B623">
      <w:pPr>
        <w:widowControl/>
        <w:shd w:val="clear" w:color="auto" w:fill="FFFFFF"/>
        <w:spacing w:line="360" w:lineRule="auto"/>
        <w:ind w:firstLine="482"/>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i/>
          <w:iCs/>
          <w:color w:val="auto"/>
          <w:sz w:val="24"/>
          <w:highlight w:val="none"/>
          <w:u w:val="single"/>
        </w:rPr>
        <w:t>（产品名称2）</w:t>
      </w:r>
      <w:r>
        <w:rPr>
          <w:rFonts w:hint="eastAsia" w:ascii="宋体" w:hAnsi="宋体" w:cs="宋体"/>
          <w:color w:val="auto"/>
          <w:sz w:val="24"/>
          <w:highlight w:val="none"/>
        </w:rPr>
        <w:t>，生产厂为</w:t>
      </w:r>
      <w:r>
        <w:rPr>
          <w:rFonts w:hint="eastAsia" w:ascii="宋体" w:hAnsi="宋体" w:cs="宋体"/>
          <w:i/>
          <w:iCs/>
          <w:color w:val="auto"/>
          <w:sz w:val="24"/>
          <w:highlight w:val="none"/>
          <w:u w:val="single"/>
        </w:rPr>
        <w:t>（厂名）</w:t>
      </w:r>
      <w:r>
        <w:rPr>
          <w:rFonts w:hint="eastAsia" w:ascii="宋体" w:hAnsi="宋体" w:cs="宋体"/>
          <w:color w:val="auto"/>
          <w:sz w:val="24"/>
          <w:highlight w:val="none"/>
        </w:rPr>
        <w:t>，厂址为</w:t>
      </w:r>
      <w:r>
        <w:rPr>
          <w:rFonts w:hint="eastAsia" w:ascii="宋体" w:hAnsi="宋体" w:cs="宋体"/>
          <w:i/>
          <w:iCs/>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i/>
          <w:iCs/>
          <w:color w:val="auto"/>
          <w:sz w:val="24"/>
          <w:highlight w:val="none"/>
          <w:u w:val="single"/>
        </w:rPr>
        <w:t>（产品名称2）</w:t>
      </w:r>
      <w:r>
        <w:rPr>
          <w:rFonts w:hint="eastAsia" w:ascii="宋体" w:hAnsi="宋体" w:cs="宋体"/>
          <w:color w:val="auto"/>
          <w:sz w:val="24"/>
          <w:highlight w:val="none"/>
        </w:rPr>
        <w:t>的中国境内生产的组件成本占比≥</w:t>
      </w:r>
      <w:r>
        <w:rPr>
          <w:rFonts w:hint="eastAsia" w:ascii="宋体" w:hAnsi="宋体" w:cs="宋体"/>
          <w:i/>
          <w:iCs/>
          <w:color w:val="auto"/>
          <w:sz w:val="24"/>
          <w:highlight w:val="none"/>
          <w:u w:val="single"/>
        </w:rPr>
        <w:t>（规定比例）</w:t>
      </w:r>
      <w:r>
        <w:rPr>
          <w:rFonts w:hint="eastAsia" w:ascii="宋体" w:hAnsi="宋体" w:cs="宋体"/>
          <w:color w:val="auto"/>
          <w:sz w:val="24"/>
          <w:highlight w:val="none"/>
        </w:rPr>
        <w:t>。</w:t>
      </w:r>
      <w:r>
        <w:rPr>
          <w:rFonts w:hint="eastAsia" w:ascii="宋体" w:hAnsi="宋体" w:cs="宋体"/>
          <w:i/>
          <w:iCs/>
          <w:color w:val="auto"/>
          <w:sz w:val="24"/>
          <w:highlight w:val="none"/>
          <w:u w:val="single"/>
        </w:rPr>
        <w:t>（产品名称2）</w:t>
      </w:r>
      <w:r>
        <w:rPr>
          <w:rFonts w:hint="eastAsia" w:ascii="宋体" w:hAnsi="宋体" w:cs="宋体"/>
          <w:color w:val="auto"/>
          <w:sz w:val="24"/>
          <w:highlight w:val="none"/>
        </w:rPr>
        <w:t>的</w:t>
      </w:r>
      <w:r>
        <w:rPr>
          <w:rFonts w:hint="eastAsia" w:ascii="宋体" w:hAnsi="宋体" w:cs="宋体"/>
          <w:i/>
          <w:iCs/>
          <w:color w:val="auto"/>
          <w:sz w:val="24"/>
          <w:highlight w:val="none"/>
          <w:u w:val="single"/>
        </w:rPr>
        <w:t>（关键组件）</w:t>
      </w:r>
      <w:r>
        <w:rPr>
          <w:rFonts w:hint="eastAsia" w:ascii="宋体" w:hAnsi="宋体" w:cs="宋体"/>
          <w:color w:val="auto"/>
          <w:sz w:val="24"/>
          <w:highlight w:val="none"/>
        </w:rPr>
        <w:t>在中国境内生产。</w:t>
      </w:r>
      <w:r>
        <w:rPr>
          <w:rFonts w:hint="eastAsia" w:ascii="宋体" w:hAnsi="宋体" w:cs="宋体"/>
          <w:i/>
          <w:iCs/>
          <w:color w:val="auto"/>
          <w:sz w:val="24"/>
          <w:highlight w:val="none"/>
          <w:u w:val="single"/>
        </w:rPr>
        <w:t>（产品名称2）</w:t>
      </w:r>
      <w:r>
        <w:rPr>
          <w:rFonts w:hint="eastAsia" w:ascii="宋体" w:hAnsi="宋体" w:cs="宋体"/>
          <w:color w:val="auto"/>
          <w:sz w:val="24"/>
          <w:highlight w:val="none"/>
        </w:rPr>
        <w:t>的</w:t>
      </w:r>
      <w:r>
        <w:rPr>
          <w:rFonts w:hint="eastAsia" w:ascii="宋体" w:hAnsi="宋体" w:cs="宋体"/>
          <w:i/>
          <w:iCs/>
          <w:color w:val="auto"/>
          <w:sz w:val="24"/>
          <w:highlight w:val="none"/>
          <w:u w:val="single"/>
        </w:rPr>
        <w:t>（关键工序）</w:t>
      </w:r>
      <w:r>
        <w:rPr>
          <w:rFonts w:hint="eastAsia" w:ascii="宋体" w:hAnsi="宋体" w:cs="宋体"/>
          <w:color w:val="auto"/>
          <w:sz w:val="24"/>
          <w:highlight w:val="none"/>
        </w:rPr>
        <w:t>在中国境内完成。</w:t>
      </w:r>
    </w:p>
    <w:p w14:paraId="499D0061">
      <w:pPr>
        <w:widowControl/>
        <w:shd w:val="clear" w:color="auto" w:fill="FFFFFF"/>
        <w:spacing w:before="30" w:after="30" w:line="360" w:lineRule="auto"/>
        <w:ind w:firstLine="482"/>
        <w:jc w:val="left"/>
        <w:rPr>
          <w:rFonts w:ascii="宋体" w:hAnsi="宋体" w:cs="宋体"/>
          <w:color w:val="auto"/>
          <w:sz w:val="24"/>
          <w:highlight w:val="none"/>
        </w:rPr>
      </w:pPr>
      <w:r>
        <w:rPr>
          <w:rFonts w:hint="eastAsia" w:ascii="宋体" w:hAnsi="宋体" w:cs="宋体"/>
          <w:color w:val="auto"/>
          <w:sz w:val="24"/>
          <w:highlight w:val="none"/>
        </w:rPr>
        <w:t>……</w:t>
      </w:r>
    </w:p>
    <w:p w14:paraId="272474C4">
      <w:pPr>
        <w:widowControl/>
        <w:shd w:val="clear" w:color="auto" w:fill="FFFFFF"/>
        <w:spacing w:before="30" w:after="30" w:line="360" w:lineRule="auto"/>
        <w:ind w:firstLine="482"/>
        <w:jc w:val="left"/>
        <w:rPr>
          <w:rFonts w:ascii="宋体" w:hAnsi="宋体" w:cs="宋体"/>
          <w:color w:val="auto"/>
          <w:sz w:val="24"/>
          <w:highlight w:val="none"/>
        </w:rPr>
      </w:pPr>
      <w:r>
        <w:rPr>
          <w:rFonts w:hint="eastAsia" w:ascii="宋体" w:hAnsi="宋体" w:cs="宋体"/>
          <w:color w:val="auto"/>
          <w:sz w:val="24"/>
          <w:highlight w:val="none"/>
        </w:rPr>
        <w:t>本公司（单位）对上述声明内容的真实性负责。如有虚假，愿承担相应法律责任。</w:t>
      </w:r>
    </w:p>
    <w:p w14:paraId="3CA0406C">
      <w:pPr>
        <w:widowControl/>
        <w:shd w:val="clear" w:color="auto" w:fill="FFFFFF"/>
        <w:spacing w:before="30" w:after="30"/>
        <w:jc w:val="left"/>
        <w:rPr>
          <w:rFonts w:ascii="宋体" w:hAnsi="宋体" w:cs="宋体"/>
          <w:color w:val="auto"/>
          <w:sz w:val="24"/>
          <w:highlight w:val="none"/>
        </w:rPr>
      </w:pPr>
      <w:r>
        <w:rPr>
          <w:rFonts w:hint="eastAsia" w:ascii="宋体" w:hAnsi="宋体" w:cs="宋体"/>
          <w:color w:val="auto"/>
          <w:sz w:val="24"/>
          <w:highlight w:val="none"/>
        </w:rPr>
        <w:t> </w:t>
      </w:r>
    </w:p>
    <w:p w14:paraId="6AD43211">
      <w:pPr>
        <w:widowControl/>
        <w:shd w:val="clear" w:color="auto" w:fill="FFFFFF"/>
        <w:spacing w:before="30" w:after="30"/>
        <w:jc w:val="right"/>
        <w:rPr>
          <w:rFonts w:ascii="宋体" w:hAnsi="宋体" w:cs="宋体"/>
          <w:color w:val="auto"/>
          <w:sz w:val="24"/>
          <w:highlight w:val="none"/>
        </w:rPr>
      </w:pPr>
      <w:r>
        <w:rPr>
          <w:rFonts w:hint="eastAsia" w:ascii="宋体" w:hAnsi="宋体" w:cs="宋体"/>
          <w:color w:val="auto"/>
          <w:sz w:val="24"/>
          <w:highlight w:val="none"/>
        </w:rPr>
        <w:t>公司（单位）名称（盖章）：　        </w:t>
      </w:r>
    </w:p>
    <w:p w14:paraId="6991B746">
      <w:pPr>
        <w:widowControl/>
        <w:shd w:val="clear" w:color="auto" w:fill="FFFFFF"/>
        <w:jc w:val="right"/>
        <w:rPr>
          <w:rFonts w:ascii="宋体" w:hAnsi="宋体" w:cs="宋体"/>
          <w:color w:val="auto"/>
          <w:sz w:val="24"/>
          <w:highlight w:val="none"/>
        </w:rPr>
      </w:pPr>
      <w:r>
        <w:rPr>
          <w:rFonts w:hint="eastAsia" w:ascii="宋体" w:hAnsi="宋体" w:cs="宋体"/>
          <w:color w:val="auto"/>
          <w:sz w:val="24"/>
          <w:highlight w:val="none"/>
        </w:rPr>
        <w:t>日期：　     年　  月　  日         </w:t>
      </w:r>
    </w:p>
    <w:p w14:paraId="1630F770">
      <w:pPr>
        <w:widowControl/>
        <w:shd w:val="clear" w:color="auto" w:fill="FFFFFF"/>
        <w:spacing w:before="30" w:after="30"/>
        <w:jc w:val="left"/>
        <w:rPr>
          <w:rFonts w:ascii="宋体" w:hAnsi="宋体" w:cs="宋体"/>
          <w:color w:val="auto"/>
          <w:sz w:val="24"/>
          <w:highlight w:val="none"/>
        </w:rPr>
      </w:pPr>
      <w:r>
        <w:rPr>
          <w:rFonts w:hint="eastAsia" w:ascii="宋体" w:hAnsi="宋体" w:cs="宋体"/>
          <w:color w:val="auto"/>
          <w:sz w:val="24"/>
          <w:highlight w:val="none"/>
        </w:rPr>
        <w:t>__________________</w:t>
      </w:r>
    </w:p>
    <w:p w14:paraId="6F913297">
      <w:pPr>
        <w:widowControl/>
        <w:shd w:val="clear" w:color="auto" w:fill="FFFFFF"/>
        <w:ind w:firstLine="480"/>
        <w:jc w:val="left"/>
        <w:rPr>
          <w:rFonts w:ascii="宋体" w:hAnsi="宋体" w:cs="宋体"/>
          <w:color w:val="auto"/>
          <w:szCs w:val="21"/>
          <w:highlight w:val="none"/>
        </w:rPr>
      </w:pPr>
      <w:r>
        <w:rPr>
          <w:rFonts w:hint="eastAsia" w:ascii="宋体" w:hAnsi="宋体" w:cs="宋体"/>
          <w:color w:val="auto"/>
          <w:szCs w:val="21"/>
          <w:highlight w:val="none"/>
        </w:rPr>
        <w:t>1.产品如有型号，请在“产品名称”栏一并填写。</w:t>
      </w:r>
    </w:p>
    <w:p w14:paraId="304EBFD2">
      <w:pPr>
        <w:widowControl/>
        <w:shd w:val="clear" w:color="auto" w:fill="FFFFFF"/>
        <w:ind w:firstLine="480"/>
        <w:jc w:val="left"/>
        <w:rPr>
          <w:rFonts w:ascii="宋体" w:hAnsi="宋体" w:cs="宋体"/>
          <w:color w:val="auto"/>
          <w:szCs w:val="21"/>
          <w:highlight w:val="none"/>
        </w:rPr>
      </w:pPr>
      <w:r>
        <w:rPr>
          <w:rFonts w:hint="eastAsia" w:ascii="宋体" w:hAnsi="宋体" w:cs="宋体"/>
          <w:color w:val="auto"/>
          <w:szCs w:val="21"/>
          <w:highlight w:val="none"/>
        </w:rPr>
        <w:t>2.生产厂名与厂址应与生产厂营业执照载明的相关信息保持一致。</w:t>
      </w:r>
    </w:p>
    <w:p w14:paraId="5821A398">
      <w:pPr>
        <w:widowControl/>
        <w:shd w:val="clear" w:color="auto" w:fill="FFFFFF"/>
        <w:ind w:firstLine="480"/>
        <w:jc w:val="left"/>
        <w:rPr>
          <w:rFonts w:ascii="宋体" w:hAnsi="宋体" w:cs="宋体"/>
          <w:color w:val="auto"/>
          <w:szCs w:val="21"/>
          <w:highlight w:val="none"/>
        </w:rPr>
      </w:pPr>
      <w:r>
        <w:rPr>
          <w:rFonts w:hint="eastAsia" w:ascii="宋体" w:hAnsi="宋体" w:cs="宋体"/>
          <w:color w:val="auto"/>
          <w:szCs w:val="21"/>
          <w:highlight w:val="none"/>
        </w:rPr>
        <w:t>3.该产品的中国境内生产的组件成本占比相关要求实施前，“规定比例”栏可不填，下同。</w:t>
      </w:r>
    </w:p>
    <w:p w14:paraId="1D8DE2ED">
      <w:pPr>
        <w:widowControl/>
        <w:shd w:val="clear" w:color="auto" w:fill="FFFFFF"/>
        <w:ind w:firstLine="480"/>
        <w:jc w:val="left"/>
        <w:rPr>
          <w:rFonts w:ascii="宋体" w:hAnsi="宋体" w:cs="宋体"/>
          <w:color w:val="auto"/>
          <w:szCs w:val="21"/>
          <w:highlight w:val="none"/>
        </w:rPr>
      </w:pPr>
      <w:r>
        <w:rPr>
          <w:rFonts w:hint="eastAsia" w:ascii="宋体" w:hAnsi="宋体" w:cs="宋体"/>
          <w:color w:val="auto"/>
          <w:szCs w:val="21"/>
          <w:highlight w:val="none"/>
        </w:rPr>
        <w:t>4.该产品的关键组件要求实施前，“关键组件”栏可不填，下同。</w:t>
      </w:r>
    </w:p>
    <w:p w14:paraId="6747565E">
      <w:pPr>
        <w:widowControl/>
        <w:shd w:val="clear" w:color="auto" w:fill="FFFFFF"/>
        <w:ind w:firstLine="480"/>
        <w:jc w:val="left"/>
        <w:rPr>
          <w:rFonts w:ascii="宋体" w:hAnsi="宋体" w:cs="宋体"/>
          <w:color w:val="auto"/>
          <w:szCs w:val="21"/>
          <w:highlight w:val="none"/>
        </w:rPr>
      </w:pPr>
      <w:r>
        <w:rPr>
          <w:rFonts w:hint="eastAsia" w:ascii="宋体" w:hAnsi="宋体" w:cs="宋体"/>
          <w:color w:val="auto"/>
          <w:szCs w:val="21"/>
          <w:highlight w:val="none"/>
        </w:rPr>
        <w:t>5.该产品的关键工序要求实施前，“关键工序”栏可不填，下同。</w:t>
      </w:r>
    </w:p>
    <w:p w14:paraId="36C93DCC">
      <w:pPr>
        <w:spacing w:line="360" w:lineRule="auto"/>
        <w:contextualSpacing/>
        <w:rPr>
          <w:rFonts w:ascii="宋体" w:hAnsi="宋体" w:cs="仿宋_GB2312"/>
          <w:color w:val="auto"/>
          <w:sz w:val="24"/>
          <w:highlight w:val="none"/>
        </w:rPr>
      </w:pPr>
    </w:p>
    <w:p w14:paraId="6154994B">
      <w:pPr>
        <w:spacing w:line="360" w:lineRule="auto"/>
        <w:jc w:val="center"/>
        <w:rPr>
          <w:rFonts w:ascii="宋体" w:hAnsi="宋体"/>
          <w:b/>
          <w:bCs/>
          <w:color w:val="auto"/>
          <w:sz w:val="32"/>
          <w:szCs w:val="32"/>
          <w:highlight w:val="none"/>
        </w:rPr>
      </w:pPr>
      <w:r>
        <w:rPr>
          <w:rFonts w:ascii="宋体" w:hAnsi="宋体" w:cs="仿宋_GB2312"/>
          <w:color w:val="auto"/>
          <w:sz w:val="24"/>
          <w:highlight w:val="none"/>
        </w:rPr>
        <w:br w:type="page" w:clear="all"/>
      </w:r>
      <w:r>
        <w:rPr>
          <w:rFonts w:hint="eastAsia" w:ascii="方正小标宋简体" w:hAnsi="方正小标宋简体" w:eastAsia="方正小标宋简体" w:cs="方正小标宋简体"/>
          <w:color w:val="auto"/>
          <w:sz w:val="44"/>
          <w:szCs w:val="44"/>
          <w:highlight w:val="none"/>
        </w:rPr>
        <w:t>质疑函（格式）</w:t>
      </w:r>
    </w:p>
    <w:p w14:paraId="0589B874">
      <w:pPr>
        <w:spacing w:line="360" w:lineRule="auto"/>
        <w:jc w:val="center"/>
        <w:rPr>
          <w:rFonts w:ascii="宋体" w:hAnsi="宋体"/>
          <w:b/>
          <w:bCs/>
          <w:color w:val="auto"/>
          <w:sz w:val="32"/>
          <w:szCs w:val="32"/>
          <w:highlight w:val="none"/>
        </w:rPr>
      </w:pPr>
    </w:p>
    <w:p w14:paraId="0F75E454">
      <w:pPr>
        <w:pStyle w:val="222"/>
        <w:spacing w:line="360" w:lineRule="auto"/>
        <w:ind w:firstLine="482"/>
        <w:contextualSpacing/>
        <w:rPr>
          <w:rFonts w:hAnsi="宋体"/>
          <w:b/>
          <w:bCs/>
          <w:color w:val="auto"/>
          <w:sz w:val="24"/>
          <w:szCs w:val="24"/>
          <w:highlight w:val="none"/>
        </w:rPr>
      </w:pPr>
      <w:r>
        <w:rPr>
          <w:rFonts w:hint="eastAsia" w:hAnsi="宋体"/>
          <w:b/>
          <w:bCs/>
          <w:color w:val="auto"/>
          <w:sz w:val="24"/>
          <w:szCs w:val="24"/>
          <w:highlight w:val="none"/>
        </w:rPr>
        <w:t>一、质疑供应商基本信息：</w:t>
      </w:r>
    </w:p>
    <w:p w14:paraId="38C5281C">
      <w:pPr>
        <w:pStyle w:val="222"/>
        <w:spacing w:line="360" w:lineRule="auto"/>
        <w:ind w:firstLine="480"/>
        <w:contextualSpacing/>
        <w:rPr>
          <w:rFonts w:hAnsi="宋体"/>
          <w:bCs/>
          <w:color w:val="auto"/>
          <w:sz w:val="24"/>
          <w:szCs w:val="24"/>
          <w:highlight w:val="none"/>
          <w:u w:val="single"/>
        </w:rPr>
      </w:pPr>
      <w:r>
        <w:rPr>
          <w:rFonts w:hint="eastAsia" w:hAnsi="宋体"/>
          <w:bCs/>
          <w:color w:val="auto"/>
          <w:sz w:val="24"/>
          <w:szCs w:val="24"/>
          <w:highlight w:val="none"/>
        </w:rPr>
        <w:t>质疑供应商：</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7EA0797C">
      <w:pPr>
        <w:pStyle w:val="222"/>
        <w:spacing w:line="360" w:lineRule="auto"/>
        <w:ind w:firstLine="480"/>
        <w:contextualSpacing/>
        <w:rPr>
          <w:rFonts w:hAnsi="宋体"/>
          <w:bCs/>
          <w:color w:val="auto"/>
          <w:sz w:val="24"/>
          <w:szCs w:val="24"/>
          <w:highlight w:val="non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6D61768A">
      <w:pPr>
        <w:pStyle w:val="222"/>
        <w:spacing w:line="360" w:lineRule="auto"/>
        <w:ind w:firstLine="480"/>
        <w:contextualSpacing/>
        <w:rPr>
          <w:rFonts w:hAnsi="宋体"/>
          <w:bCs/>
          <w:color w:val="auto"/>
          <w:sz w:val="24"/>
          <w:szCs w:val="24"/>
          <w:highlight w:val="none"/>
        </w:rPr>
      </w:pPr>
      <w:r>
        <w:rPr>
          <w:rFonts w:hAnsi="宋体"/>
          <w:bCs/>
          <w:color w:val="auto"/>
          <w:sz w:val="24"/>
          <w:szCs w:val="24"/>
          <w:highlight w:val="none"/>
        </w:rPr>
        <w:t>联系人</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联系电话</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4F0D8CEF">
      <w:pPr>
        <w:pStyle w:val="222"/>
        <w:spacing w:line="360" w:lineRule="auto"/>
        <w:ind w:firstLine="480"/>
        <w:contextualSpacing/>
        <w:rPr>
          <w:rFonts w:hAnsi="宋体"/>
          <w:bCs/>
          <w:color w:val="auto"/>
          <w:sz w:val="24"/>
          <w:szCs w:val="24"/>
          <w:highlight w:val="none"/>
        </w:rPr>
      </w:pPr>
      <w:r>
        <w:rPr>
          <w:rFonts w:hint="eastAsia" w:hAnsi="宋体"/>
          <w:bCs/>
          <w:color w:val="auto"/>
          <w:sz w:val="24"/>
          <w:szCs w:val="24"/>
          <w:highlight w:val="none"/>
        </w:rPr>
        <w:t>授权代表：</w:t>
      </w:r>
      <w:r>
        <w:rPr>
          <w:rFonts w:hint="eastAsia" w:hAnsi="宋体"/>
          <w:bCs/>
          <w:color w:val="auto"/>
          <w:sz w:val="24"/>
          <w:szCs w:val="24"/>
          <w:highlight w:val="none"/>
          <w:u w:val="single"/>
        </w:rPr>
        <w:t xml:space="preserve">                      </w:t>
      </w:r>
    </w:p>
    <w:p w14:paraId="55E48FF4">
      <w:pPr>
        <w:pStyle w:val="222"/>
        <w:spacing w:line="360" w:lineRule="auto"/>
        <w:ind w:firstLine="480"/>
        <w:contextualSpacing/>
        <w:rPr>
          <w:rFonts w:hAnsi="宋体"/>
          <w:bCs/>
          <w:color w:val="auto"/>
          <w:sz w:val="24"/>
          <w:szCs w:val="24"/>
          <w:highlight w:val="none"/>
          <w:u w:val="single"/>
        </w:rPr>
      </w:pP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p>
    <w:p w14:paraId="3C736965">
      <w:pPr>
        <w:pStyle w:val="222"/>
        <w:spacing w:line="360" w:lineRule="auto"/>
        <w:ind w:firstLine="480"/>
        <w:contextualSpacing/>
        <w:rPr>
          <w:rFonts w:hAnsi="宋体"/>
          <w:bCs/>
          <w:color w:val="auto"/>
          <w:sz w:val="24"/>
          <w:szCs w:val="24"/>
          <w:highlight w:val="non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329F14CB">
      <w:pPr>
        <w:pStyle w:val="222"/>
        <w:spacing w:line="360" w:lineRule="auto"/>
        <w:ind w:firstLine="482"/>
        <w:contextualSpacing/>
        <w:rPr>
          <w:rFonts w:hAnsi="宋体"/>
          <w:b/>
          <w:bCs/>
          <w:color w:val="auto"/>
          <w:sz w:val="24"/>
          <w:szCs w:val="24"/>
          <w:highlight w:val="none"/>
        </w:rPr>
      </w:pPr>
      <w:r>
        <w:rPr>
          <w:rFonts w:hint="eastAsia" w:hAnsi="宋体"/>
          <w:b/>
          <w:bCs/>
          <w:color w:val="auto"/>
          <w:sz w:val="24"/>
          <w:szCs w:val="24"/>
          <w:highlight w:val="none"/>
        </w:rPr>
        <w:t>二、质疑项目基本情况：</w:t>
      </w:r>
    </w:p>
    <w:p w14:paraId="1BED8611">
      <w:pPr>
        <w:pStyle w:val="222"/>
        <w:spacing w:line="360" w:lineRule="auto"/>
        <w:ind w:left="25" w:firstLine="472"/>
        <w:contextualSpacing/>
        <w:rPr>
          <w:rFonts w:hAnsi="宋体"/>
          <w:color w:val="auto"/>
          <w:sz w:val="24"/>
          <w:szCs w:val="24"/>
          <w:highlight w:val="none"/>
        </w:rPr>
      </w:pPr>
      <w:r>
        <w:rPr>
          <w:rFonts w:hint="eastAsia" w:hAnsi="宋体"/>
          <w:bCs/>
          <w:color w:val="auto"/>
          <w:sz w:val="24"/>
          <w:szCs w:val="24"/>
          <w:highlight w:val="none"/>
        </w:rPr>
        <w:t>质疑</w:t>
      </w:r>
      <w:r>
        <w:rPr>
          <w:rFonts w:hint="eastAsia" w:hAnsi="宋体"/>
          <w:color w:val="auto"/>
          <w:sz w:val="24"/>
          <w:szCs w:val="24"/>
          <w:highlight w:val="none"/>
        </w:rPr>
        <w:t>项目的名称：</w:t>
      </w:r>
      <w:r>
        <w:rPr>
          <w:rFonts w:hint="eastAsia" w:hAnsi="宋体"/>
          <w:bCs/>
          <w:color w:val="auto"/>
          <w:sz w:val="24"/>
          <w:szCs w:val="24"/>
          <w:highlight w:val="none"/>
          <w:u w:val="single"/>
        </w:rPr>
        <w:t xml:space="preserve">                                     </w:t>
      </w:r>
    </w:p>
    <w:p w14:paraId="023CF73F">
      <w:pPr>
        <w:pStyle w:val="222"/>
        <w:spacing w:line="360" w:lineRule="auto"/>
        <w:ind w:left="25" w:firstLine="472"/>
        <w:contextualSpacing/>
        <w:rPr>
          <w:rFonts w:hAnsi="宋体"/>
          <w:color w:val="auto"/>
          <w:sz w:val="24"/>
          <w:szCs w:val="24"/>
          <w:highlight w:val="none"/>
        </w:rPr>
      </w:pPr>
      <w:r>
        <w:rPr>
          <w:rFonts w:hint="eastAsia" w:hAnsi="宋体"/>
          <w:bCs/>
          <w:color w:val="auto"/>
          <w:sz w:val="24"/>
          <w:szCs w:val="24"/>
          <w:highlight w:val="none"/>
        </w:rPr>
        <w:t>质疑</w:t>
      </w:r>
      <w:r>
        <w:rPr>
          <w:rFonts w:hint="eastAsia" w:hAnsi="宋体"/>
          <w:color w:val="auto"/>
          <w:sz w:val="24"/>
          <w:szCs w:val="24"/>
          <w:highlight w:val="none"/>
        </w:rPr>
        <w:t>项目的编号：</w:t>
      </w:r>
      <w:r>
        <w:rPr>
          <w:rFonts w:hint="eastAsia" w:hAnsi="宋体"/>
          <w:bCs/>
          <w:color w:val="auto"/>
          <w:sz w:val="24"/>
          <w:szCs w:val="24"/>
          <w:highlight w:val="none"/>
          <w:u w:val="single"/>
        </w:rPr>
        <w:t xml:space="preserve">                                     </w:t>
      </w:r>
    </w:p>
    <w:p w14:paraId="77E5E0C8">
      <w:pPr>
        <w:pStyle w:val="222"/>
        <w:spacing w:line="360" w:lineRule="auto"/>
        <w:ind w:left="25" w:firstLine="472"/>
        <w:contextualSpacing/>
        <w:rPr>
          <w:rFonts w:hAnsi="宋体"/>
          <w:color w:val="auto"/>
          <w:sz w:val="24"/>
          <w:szCs w:val="24"/>
          <w:highlight w:val="none"/>
        </w:rPr>
      </w:pPr>
      <w:r>
        <w:rPr>
          <w:rFonts w:hint="eastAsia" w:hAnsi="宋体"/>
          <w:color w:val="auto"/>
          <w:sz w:val="24"/>
          <w:szCs w:val="24"/>
          <w:highlight w:val="none"/>
        </w:rPr>
        <w:t>采购人名称：</w:t>
      </w:r>
      <w:r>
        <w:rPr>
          <w:rFonts w:hint="eastAsia" w:hAnsi="宋体"/>
          <w:bCs/>
          <w:color w:val="auto"/>
          <w:sz w:val="24"/>
          <w:szCs w:val="24"/>
          <w:highlight w:val="none"/>
          <w:u w:val="single"/>
        </w:rPr>
        <w:t xml:space="preserve">                                         </w:t>
      </w:r>
    </w:p>
    <w:p w14:paraId="48ED6200">
      <w:pPr>
        <w:pStyle w:val="222"/>
        <w:spacing w:line="360" w:lineRule="auto"/>
        <w:ind w:left="25" w:firstLine="472"/>
        <w:contextualSpacing/>
        <w:rPr>
          <w:rFonts w:hAnsi="宋体"/>
          <w:color w:val="auto"/>
          <w:sz w:val="24"/>
          <w:szCs w:val="24"/>
          <w:highlight w:val="none"/>
        </w:rPr>
      </w:pPr>
      <w:r>
        <w:rPr>
          <w:rFonts w:hint="eastAsia" w:hAnsi="宋体"/>
          <w:color w:val="auto"/>
          <w:sz w:val="24"/>
          <w:szCs w:val="24"/>
          <w:highlight w:val="none"/>
        </w:rPr>
        <w:t>质疑事项：</w:t>
      </w:r>
    </w:p>
    <w:p w14:paraId="55D588D1">
      <w:pPr>
        <w:pStyle w:val="222"/>
        <w:spacing w:line="360" w:lineRule="auto"/>
        <w:ind w:left="25" w:firstLine="352"/>
        <w:contextualSpacing/>
        <w:rPr>
          <w:rFonts w:hAnsi="宋体"/>
          <w:color w:val="auto"/>
          <w:sz w:val="24"/>
          <w:szCs w:val="24"/>
          <w:highlight w:val="none"/>
        </w:rPr>
      </w:pPr>
      <w:r>
        <w:rPr>
          <w:rFonts w:hint="eastAsia" w:hAnsi="宋体"/>
          <w:color w:val="auto"/>
          <w:sz w:val="24"/>
          <w:szCs w:val="24"/>
          <w:highlight w:val="none"/>
        </w:rPr>
        <w:t>□采购文件   采购文件获取日期：</w:t>
      </w:r>
      <w:r>
        <w:rPr>
          <w:rFonts w:hint="eastAsia" w:hAnsi="宋体"/>
          <w:bCs/>
          <w:color w:val="auto"/>
          <w:sz w:val="24"/>
          <w:szCs w:val="24"/>
          <w:highlight w:val="none"/>
          <w:u w:val="single"/>
        </w:rPr>
        <w:t xml:space="preserve">                                   </w:t>
      </w:r>
    </w:p>
    <w:p w14:paraId="7BEEAC90">
      <w:pPr>
        <w:pStyle w:val="222"/>
        <w:spacing w:line="360" w:lineRule="auto"/>
        <w:ind w:left="25" w:firstLine="352"/>
        <w:contextualSpacing/>
        <w:rPr>
          <w:rFonts w:hAnsi="宋体"/>
          <w:color w:val="auto"/>
          <w:sz w:val="24"/>
          <w:szCs w:val="24"/>
          <w:highlight w:val="none"/>
        </w:rPr>
      </w:pPr>
      <w:r>
        <w:rPr>
          <w:rFonts w:hint="eastAsia" w:hAnsi="宋体"/>
          <w:color w:val="auto"/>
          <w:sz w:val="24"/>
          <w:szCs w:val="24"/>
          <w:highlight w:val="none"/>
        </w:rPr>
        <w:t xml:space="preserve">□采购过程   </w:t>
      </w:r>
    </w:p>
    <w:p w14:paraId="0E5F0D12">
      <w:pPr>
        <w:pStyle w:val="222"/>
        <w:spacing w:line="360" w:lineRule="auto"/>
        <w:ind w:left="25" w:firstLine="352"/>
        <w:contextualSpacing/>
        <w:rPr>
          <w:rFonts w:hAnsi="宋体"/>
          <w:bCs/>
          <w:color w:val="auto"/>
          <w:sz w:val="24"/>
          <w:szCs w:val="24"/>
          <w:highlight w:val="none"/>
          <w:u w:val="single"/>
        </w:rPr>
      </w:pPr>
      <w:r>
        <w:rPr>
          <w:rFonts w:hint="eastAsia" w:hAnsi="宋体"/>
          <w:color w:val="auto"/>
          <w:sz w:val="24"/>
          <w:szCs w:val="24"/>
          <w:highlight w:val="none"/>
        </w:rPr>
        <w:t xml:space="preserve">□成交结果   </w:t>
      </w:r>
    </w:p>
    <w:p w14:paraId="6F852FA5">
      <w:pPr>
        <w:pStyle w:val="222"/>
        <w:spacing w:line="360" w:lineRule="auto"/>
        <w:ind w:left="25" w:firstLine="472"/>
        <w:contextualSpacing/>
        <w:rPr>
          <w:rFonts w:hAnsi="宋体"/>
          <w:b/>
          <w:color w:val="auto"/>
          <w:sz w:val="24"/>
          <w:szCs w:val="24"/>
          <w:highlight w:val="none"/>
        </w:rPr>
      </w:pPr>
      <w:r>
        <w:rPr>
          <w:rFonts w:hint="eastAsia" w:hAnsi="宋体"/>
          <w:b/>
          <w:color w:val="auto"/>
          <w:sz w:val="24"/>
          <w:szCs w:val="24"/>
          <w:highlight w:val="none"/>
        </w:rPr>
        <w:t>三、质疑事项具体内容</w:t>
      </w:r>
    </w:p>
    <w:p w14:paraId="6381D16A">
      <w:pPr>
        <w:pStyle w:val="222"/>
        <w:spacing w:line="360" w:lineRule="auto"/>
        <w:ind w:left="25" w:firstLine="472"/>
        <w:contextualSpacing/>
        <w:rPr>
          <w:rFonts w:hAnsi="宋体"/>
          <w:color w:val="auto"/>
          <w:sz w:val="24"/>
          <w:szCs w:val="24"/>
          <w:highlight w:val="none"/>
        </w:rPr>
      </w:pPr>
      <w:r>
        <w:rPr>
          <w:rFonts w:hint="eastAsia" w:hAnsi="宋体"/>
          <w:color w:val="auto"/>
          <w:sz w:val="24"/>
          <w:szCs w:val="24"/>
          <w:highlight w:val="none"/>
        </w:rPr>
        <w:t>质疑事项1：</w:t>
      </w:r>
      <w:r>
        <w:rPr>
          <w:rFonts w:hint="eastAsia" w:hAnsi="宋体"/>
          <w:bCs/>
          <w:color w:val="auto"/>
          <w:sz w:val="24"/>
          <w:szCs w:val="24"/>
          <w:highlight w:val="none"/>
          <w:u w:val="single"/>
        </w:rPr>
        <w:t xml:space="preserve">                                                                    </w:t>
      </w:r>
    </w:p>
    <w:p w14:paraId="064BAEBF">
      <w:pPr>
        <w:pStyle w:val="222"/>
        <w:spacing w:line="360" w:lineRule="auto"/>
        <w:ind w:left="25" w:firstLine="472"/>
        <w:contextualSpacing/>
        <w:rPr>
          <w:rFonts w:hAnsi="宋体"/>
          <w:color w:val="auto"/>
          <w:sz w:val="24"/>
          <w:szCs w:val="24"/>
          <w:highlight w:val="none"/>
        </w:rPr>
      </w:pPr>
      <w:r>
        <w:rPr>
          <w:rFonts w:hint="eastAsia" w:hAnsi="宋体"/>
          <w:color w:val="auto"/>
          <w:sz w:val="24"/>
          <w:szCs w:val="24"/>
          <w:highlight w:val="none"/>
        </w:rPr>
        <w:t>事实依据：</w:t>
      </w:r>
      <w:r>
        <w:rPr>
          <w:rFonts w:hint="eastAsia" w:hAnsi="宋体"/>
          <w:bCs/>
          <w:color w:val="auto"/>
          <w:sz w:val="24"/>
          <w:szCs w:val="24"/>
          <w:highlight w:val="none"/>
          <w:u w:val="single"/>
        </w:rPr>
        <w:t xml:space="preserve">                                                                      </w:t>
      </w:r>
    </w:p>
    <w:p w14:paraId="207B83B2">
      <w:pPr>
        <w:pStyle w:val="222"/>
        <w:spacing w:line="360" w:lineRule="auto"/>
        <w:ind w:left="25" w:firstLine="472"/>
        <w:contextualSpacing/>
        <w:rPr>
          <w:rFonts w:hAnsi="宋体"/>
          <w:color w:val="auto"/>
          <w:sz w:val="24"/>
          <w:szCs w:val="24"/>
          <w:highlight w:val="none"/>
        </w:rPr>
      </w:pPr>
      <w:r>
        <w:rPr>
          <w:rFonts w:hint="eastAsia" w:hAnsi="宋体"/>
          <w:color w:val="auto"/>
          <w:sz w:val="24"/>
          <w:szCs w:val="24"/>
          <w:highlight w:val="none"/>
        </w:rPr>
        <w:t>法律依据：</w:t>
      </w:r>
      <w:r>
        <w:rPr>
          <w:rFonts w:hint="eastAsia" w:hAnsi="宋体"/>
          <w:color w:val="auto"/>
          <w:sz w:val="24"/>
          <w:szCs w:val="24"/>
          <w:highlight w:val="none"/>
          <w:u w:val="single"/>
        </w:rPr>
        <w:t xml:space="preserve">                                                        </w:t>
      </w:r>
      <w:r>
        <w:rPr>
          <w:rFonts w:hint="eastAsia" w:hAnsi="宋体"/>
          <w:bCs/>
          <w:color w:val="auto"/>
          <w:sz w:val="24"/>
          <w:szCs w:val="24"/>
          <w:highlight w:val="none"/>
          <w:u w:val="single"/>
        </w:rPr>
        <w:t xml:space="preserve">               </w:t>
      </w:r>
    </w:p>
    <w:p w14:paraId="3D7800E2">
      <w:pPr>
        <w:pStyle w:val="222"/>
        <w:spacing w:line="360" w:lineRule="auto"/>
        <w:ind w:left="25" w:firstLine="472"/>
        <w:contextualSpacing/>
        <w:rPr>
          <w:rFonts w:hAnsi="宋体"/>
          <w:color w:val="auto"/>
          <w:sz w:val="24"/>
          <w:szCs w:val="24"/>
          <w:highlight w:val="none"/>
        </w:rPr>
      </w:pPr>
      <w:r>
        <w:rPr>
          <w:rFonts w:hint="eastAsia" w:hAnsi="宋体"/>
          <w:color w:val="auto"/>
          <w:sz w:val="24"/>
          <w:szCs w:val="24"/>
          <w:highlight w:val="none"/>
        </w:rPr>
        <w:t>质疑事项2</w:t>
      </w:r>
    </w:p>
    <w:p w14:paraId="3FC6A0F0">
      <w:pPr>
        <w:pStyle w:val="222"/>
        <w:spacing w:line="360" w:lineRule="auto"/>
        <w:ind w:left="25" w:firstLine="472"/>
        <w:contextualSpacing/>
        <w:rPr>
          <w:rFonts w:hAnsi="宋体"/>
          <w:color w:val="auto"/>
          <w:sz w:val="24"/>
          <w:szCs w:val="24"/>
          <w:highlight w:val="none"/>
        </w:rPr>
      </w:pPr>
      <w:r>
        <w:rPr>
          <w:rFonts w:hAnsi="宋体"/>
          <w:color w:val="auto"/>
          <w:sz w:val="24"/>
          <w:szCs w:val="24"/>
          <w:highlight w:val="none"/>
        </w:rPr>
        <w:t>……</w:t>
      </w:r>
    </w:p>
    <w:p w14:paraId="4218F1ED">
      <w:pPr>
        <w:pStyle w:val="222"/>
        <w:spacing w:line="360" w:lineRule="auto"/>
        <w:ind w:left="25" w:firstLine="472"/>
        <w:contextualSpacing/>
        <w:rPr>
          <w:rFonts w:hAnsi="宋体"/>
          <w:color w:val="auto"/>
          <w:sz w:val="24"/>
          <w:szCs w:val="24"/>
          <w:highlight w:val="none"/>
        </w:rPr>
      </w:pPr>
      <w:r>
        <w:rPr>
          <w:rFonts w:hint="eastAsia" w:hAnsi="宋体"/>
          <w:color w:val="auto"/>
          <w:sz w:val="24"/>
          <w:szCs w:val="24"/>
          <w:highlight w:val="none"/>
        </w:rPr>
        <w:t>四、与质疑事项相关的质疑请求：</w:t>
      </w:r>
    </w:p>
    <w:p w14:paraId="5205E9AA">
      <w:pPr>
        <w:pStyle w:val="222"/>
        <w:spacing w:line="360" w:lineRule="auto"/>
        <w:ind w:left="25" w:firstLine="472"/>
        <w:contextualSpacing/>
        <w:rPr>
          <w:rFonts w:hAnsi="宋体"/>
          <w:color w:val="auto"/>
          <w:sz w:val="24"/>
          <w:szCs w:val="24"/>
          <w:highlight w:val="none"/>
        </w:rPr>
      </w:pPr>
      <w:r>
        <w:rPr>
          <w:rFonts w:hint="eastAsia" w:hAnsi="宋体"/>
          <w:color w:val="auto"/>
          <w:sz w:val="24"/>
          <w:szCs w:val="24"/>
          <w:highlight w:val="none"/>
        </w:rPr>
        <w:t>请求：</w:t>
      </w:r>
      <w:r>
        <w:rPr>
          <w:rFonts w:hint="eastAsia" w:hAnsi="宋体"/>
          <w:bCs/>
          <w:color w:val="auto"/>
          <w:sz w:val="24"/>
          <w:szCs w:val="24"/>
          <w:highlight w:val="none"/>
          <w:u w:val="single"/>
        </w:rPr>
        <w:t xml:space="preserve">                                                                </w:t>
      </w:r>
    </w:p>
    <w:p w14:paraId="47E1ED0F">
      <w:pPr>
        <w:pStyle w:val="222"/>
        <w:spacing w:line="360" w:lineRule="auto"/>
        <w:ind w:left="25" w:firstLine="352"/>
        <w:contextualSpacing/>
        <w:rPr>
          <w:rFonts w:hAnsi="宋体"/>
          <w:color w:val="auto"/>
          <w:sz w:val="24"/>
          <w:szCs w:val="24"/>
          <w:highlight w:val="none"/>
        </w:rPr>
      </w:pPr>
    </w:p>
    <w:p w14:paraId="41502B2C">
      <w:pPr>
        <w:pStyle w:val="222"/>
        <w:spacing w:line="360" w:lineRule="auto"/>
        <w:ind w:left="25" w:firstLine="472"/>
        <w:contextualSpacing/>
        <w:rPr>
          <w:rFonts w:hAnsi="宋体"/>
          <w:color w:val="auto"/>
          <w:sz w:val="24"/>
          <w:szCs w:val="24"/>
          <w:highlight w:val="none"/>
        </w:rPr>
      </w:pPr>
      <w:r>
        <w:rPr>
          <w:rFonts w:hint="eastAsia" w:hAnsi="宋体"/>
          <w:color w:val="auto"/>
          <w:sz w:val="24"/>
          <w:szCs w:val="24"/>
          <w:highlight w:val="none"/>
        </w:rPr>
        <w:t>签字（签章）：                                       公章：</w:t>
      </w:r>
    </w:p>
    <w:p w14:paraId="3B94FED7">
      <w:pPr>
        <w:pStyle w:val="222"/>
        <w:spacing w:line="360" w:lineRule="auto"/>
        <w:ind w:left="25" w:firstLine="352"/>
        <w:contextualSpacing/>
        <w:rPr>
          <w:rFonts w:hAnsi="宋体"/>
          <w:color w:val="auto"/>
          <w:sz w:val="24"/>
          <w:szCs w:val="24"/>
          <w:highlight w:val="none"/>
        </w:rPr>
      </w:pPr>
    </w:p>
    <w:p w14:paraId="5E015F5C">
      <w:pPr>
        <w:pStyle w:val="222"/>
        <w:spacing w:line="360" w:lineRule="auto"/>
        <w:ind w:left="25" w:firstLine="472"/>
        <w:contextualSpacing/>
        <w:rPr>
          <w:rFonts w:hAnsi="宋体"/>
          <w:color w:val="auto"/>
          <w:sz w:val="24"/>
          <w:szCs w:val="24"/>
          <w:highlight w:val="none"/>
        </w:rPr>
      </w:pPr>
      <w:r>
        <w:rPr>
          <w:rFonts w:hint="eastAsia" w:hAnsi="宋体"/>
          <w:color w:val="auto"/>
          <w:sz w:val="24"/>
          <w:szCs w:val="24"/>
          <w:highlight w:val="none"/>
        </w:rPr>
        <w:t>日期：</w:t>
      </w:r>
    </w:p>
    <w:p w14:paraId="75B443C8">
      <w:pPr>
        <w:pStyle w:val="222"/>
        <w:spacing w:line="360" w:lineRule="auto"/>
        <w:contextualSpacing/>
        <w:rPr>
          <w:rFonts w:hAnsi="宋体"/>
          <w:b/>
          <w:color w:val="auto"/>
          <w:sz w:val="24"/>
          <w:szCs w:val="24"/>
          <w:highlight w:val="none"/>
        </w:rPr>
      </w:pPr>
    </w:p>
    <w:p w14:paraId="1F99370F">
      <w:pPr>
        <w:pStyle w:val="222"/>
        <w:spacing w:line="360" w:lineRule="auto"/>
        <w:contextualSpacing/>
        <w:rPr>
          <w:rFonts w:hAnsi="宋体"/>
          <w:b/>
          <w:color w:val="auto"/>
          <w:sz w:val="24"/>
          <w:szCs w:val="24"/>
          <w:highlight w:val="none"/>
        </w:rPr>
      </w:pPr>
      <w:r>
        <w:rPr>
          <w:rFonts w:hint="eastAsia" w:hAnsi="宋体"/>
          <w:b/>
          <w:color w:val="auto"/>
          <w:sz w:val="24"/>
          <w:szCs w:val="24"/>
          <w:highlight w:val="none"/>
        </w:rPr>
        <w:t>说明：</w:t>
      </w:r>
    </w:p>
    <w:p w14:paraId="53E20766">
      <w:pPr>
        <w:pStyle w:val="222"/>
        <w:spacing w:line="360" w:lineRule="auto"/>
        <w:ind w:left="25" w:firstLine="354"/>
        <w:contextualSpacing/>
        <w:rPr>
          <w:rFonts w:hAnsi="宋体"/>
          <w:b/>
          <w:bCs/>
          <w:color w:val="auto"/>
          <w:sz w:val="24"/>
          <w:szCs w:val="24"/>
          <w:highlight w:val="none"/>
        </w:rPr>
      </w:pPr>
      <w:r>
        <w:rPr>
          <w:rFonts w:hint="eastAsia" w:hAnsi="宋体"/>
          <w:b/>
          <w:color w:val="auto"/>
          <w:sz w:val="24"/>
          <w:szCs w:val="24"/>
          <w:highlight w:val="none"/>
        </w:rPr>
        <w:t>1.供应商提出质疑时，应提交质疑函和必要的证明材料</w:t>
      </w:r>
      <w:r>
        <w:rPr>
          <w:rFonts w:hint="eastAsia" w:hAnsi="宋体"/>
          <w:b/>
          <w:bCs/>
          <w:color w:val="auto"/>
          <w:sz w:val="24"/>
          <w:szCs w:val="24"/>
          <w:highlight w:val="none"/>
        </w:rPr>
        <w:t>。</w:t>
      </w:r>
    </w:p>
    <w:p w14:paraId="2142C2CD">
      <w:pPr>
        <w:pStyle w:val="222"/>
        <w:spacing w:line="360" w:lineRule="auto"/>
        <w:ind w:left="25" w:firstLine="354"/>
        <w:contextualSpacing/>
        <w:rPr>
          <w:rFonts w:hAnsi="宋体"/>
          <w:b/>
          <w:color w:val="auto"/>
          <w:sz w:val="24"/>
          <w:szCs w:val="24"/>
          <w:highlight w:val="none"/>
        </w:rPr>
      </w:pPr>
      <w:r>
        <w:rPr>
          <w:rFonts w:hint="eastAsia" w:hAnsi="宋体"/>
          <w:b/>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937F7C9">
      <w:pPr>
        <w:pStyle w:val="222"/>
        <w:spacing w:line="360" w:lineRule="auto"/>
        <w:ind w:left="25" w:firstLine="354"/>
        <w:contextualSpacing/>
        <w:rPr>
          <w:rFonts w:hAnsi="宋体"/>
          <w:b/>
          <w:color w:val="auto"/>
          <w:sz w:val="24"/>
          <w:szCs w:val="24"/>
          <w:highlight w:val="none"/>
        </w:rPr>
      </w:pPr>
      <w:r>
        <w:rPr>
          <w:rFonts w:hint="eastAsia" w:hAnsi="宋体"/>
          <w:b/>
          <w:color w:val="auto"/>
          <w:sz w:val="24"/>
          <w:szCs w:val="24"/>
          <w:highlight w:val="none"/>
        </w:rPr>
        <w:t>3.质疑函的质疑事项应具体、明确，并有必要的事实依据和法律依据。</w:t>
      </w:r>
    </w:p>
    <w:p w14:paraId="13298E2C">
      <w:pPr>
        <w:pStyle w:val="222"/>
        <w:spacing w:line="360" w:lineRule="auto"/>
        <w:ind w:left="25" w:firstLine="354"/>
        <w:contextualSpacing/>
        <w:rPr>
          <w:rFonts w:hAnsi="宋体"/>
          <w:b/>
          <w:color w:val="auto"/>
          <w:sz w:val="24"/>
          <w:szCs w:val="24"/>
          <w:highlight w:val="none"/>
        </w:rPr>
      </w:pPr>
      <w:r>
        <w:rPr>
          <w:rFonts w:hint="eastAsia" w:hAnsi="宋体"/>
          <w:b/>
          <w:color w:val="auto"/>
          <w:sz w:val="24"/>
          <w:szCs w:val="24"/>
          <w:highlight w:val="none"/>
        </w:rPr>
        <w:t>4.质疑函的质疑请求应与质疑事项相关。</w:t>
      </w:r>
    </w:p>
    <w:p w14:paraId="3C3FF1A5">
      <w:pPr>
        <w:pStyle w:val="222"/>
        <w:spacing w:line="360" w:lineRule="auto"/>
        <w:ind w:left="25" w:firstLine="354"/>
        <w:contextualSpacing/>
        <w:rPr>
          <w:rFonts w:hAnsi="宋体"/>
          <w:b/>
          <w:color w:val="auto"/>
          <w:highlight w:val="none"/>
        </w:rPr>
      </w:pPr>
      <w:r>
        <w:rPr>
          <w:rFonts w:hint="eastAsia" w:hAnsi="宋体"/>
          <w:b/>
          <w:color w:val="auto"/>
          <w:sz w:val="24"/>
          <w:szCs w:val="24"/>
          <w:highlight w:val="none"/>
        </w:rPr>
        <w:t>5.质疑供应商为法人或者其他组织的，质疑函应由法定代表人、主要负责人，或者其授权代表签字或者盖章，并加盖公章。</w:t>
      </w:r>
    </w:p>
    <w:p w14:paraId="7C26219A">
      <w:pPr>
        <w:pStyle w:val="222"/>
        <w:rPr>
          <w:b/>
          <w:color w:val="auto"/>
          <w:sz w:val="24"/>
          <w:szCs w:val="24"/>
          <w:highlight w:val="none"/>
        </w:rPr>
      </w:pPr>
    </w:p>
    <w:p w14:paraId="5DE408E7">
      <w:pPr>
        <w:rPr>
          <w:color w:val="auto"/>
          <w:highlight w:val="none"/>
        </w:rPr>
      </w:pPr>
      <w:r>
        <w:rPr>
          <w:color w:val="auto"/>
          <w:highlight w:val="none"/>
        </w:rPr>
        <w:br w:type="page" w:clear="all"/>
      </w:r>
    </w:p>
    <w:p w14:paraId="10367EC8">
      <w:pPr>
        <w:spacing w:line="360" w:lineRule="auto"/>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投诉书（格式）</w:t>
      </w:r>
    </w:p>
    <w:p w14:paraId="15AA719C">
      <w:pPr>
        <w:pStyle w:val="222"/>
        <w:spacing w:line="360" w:lineRule="auto"/>
        <w:ind w:firstLine="482"/>
        <w:rPr>
          <w:rFonts w:hAnsi="宋体"/>
          <w:b/>
          <w:bCs/>
          <w:color w:val="auto"/>
          <w:sz w:val="24"/>
          <w:szCs w:val="24"/>
          <w:highlight w:val="none"/>
        </w:rPr>
      </w:pPr>
      <w:r>
        <w:rPr>
          <w:rFonts w:hint="eastAsia" w:hAnsi="宋体"/>
          <w:b/>
          <w:bCs/>
          <w:color w:val="auto"/>
          <w:sz w:val="24"/>
          <w:szCs w:val="24"/>
          <w:highlight w:val="none"/>
        </w:rPr>
        <w:t>一、投诉相关主体基本情况：</w:t>
      </w:r>
    </w:p>
    <w:p w14:paraId="46D534EE">
      <w:pPr>
        <w:pStyle w:val="222"/>
        <w:spacing w:line="360" w:lineRule="auto"/>
        <w:ind w:firstLine="480"/>
        <w:rPr>
          <w:rFonts w:hAnsi="宋体"/>
          <w:bCs/>
          <w:color w:val="auto"/>
          <w:sz w:val="24"/>
          <w:szCs w:val="24"/>
          <w:highlight w:val="none"/>
          <w:u w:val="single"/>
        </w:rPr>
      </w:pPr>
      <w:r>
        <w:rPr>
          <w:rFonts w:hint="eastAsia" w:hAnsi="宋体"/>
          <w:bCs/>
          <w:color w:val="auto"/>
          <w:sz w:val="24"/>
          <w:szCs w:val="24"/>
          <w:highlight w:val="none"/>
        </w:rPr>
        <w:t>供应商：</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7C5C5E55">
      <w:pPr>
        <w:pStyle w:val="222"/>
        <w:spacing w:line="360" w:lineRule="auto"/>
        <w:ind w:firstLine="480"/>
        <w:rPr>
          <w:rFonts w:hAnsi="宋体"/>
          <w:bCs/>
          <w:color w:val="auto"/>
          <w:sz w:val="24"/>
          <w:szCs w:val="24"/>
          <w:highlight w:val="non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7E9BD4D7">
      <w:pPr>
        <w:pStyle w:val="222"/>
        <w:spacing w:line="360" w:lineRule="auto"/>
        <w:ind w:firstLine="480"/>
        <w:rPr>
          <w:rFonts w:hAnsi="宋体"/>
          <w:bCs/>
          <w:color w:val="auto"/>
          <w:sz w:val="24"/>
          <w:szCs w:val="24"/>
          <w:highlight w:val="none"/>
          <w:u w:val="single"/>
        </w:rPr>
      </w:pPr>
      <w:r>
        <w:rPr>
          <w:rFonts w:hint="eastAsia" w:hAnsi="宋体"/>
          <w:bCs/>
          <w:color w:val="auto"/>
          <w:sz w:val="24"/>
          <w:szCs w:val="24"/>
          <w:highlight w:val="none"/>
        </w:rPr>
        <w:t>法定代表人/主要负责人：</w:t>
      </w:r>
      <w:r>
        <w:rPr>
          <w:rFonts w:hint="eastAsia" w:hAnsi="宋体"/>
          <w:bCs/>
          <w:color w:val="auto"/>
          <w:sz w:val="24"/>
          <w:szCs w:val="24"/>
          <w:highlight w:val="none"/>
          <w:u w:val="single"/>
        </w:rPr>
        <w:t xml:space="preserve">                                                         </w:t>
      </w:r>
    </w:p>
    <w:p w14:paraId="3B4146F3">
      <w:pPr>
        <w:pStyle w:val="222"/>
        <w:spacing w:line="360" w:lineRule="auto"/>
        <w:ind w:firstLine="480"/>
        <w:rPr>
          <w:rFonts w:hAnsi="宋体"/>
          <w:bCs/>
          <w:color w:val="auto"/>
          <w:sz w:val="24"/>
          <w:szCs w:val="24"/>
          <w:highlight w:val="none"/>
        </w:rPr>
      </w:pPr>
      <w:r>
        <w:rPr>
          <w:rFonts w:hAnsi="宋体"/>
          <w:bCs/>
          <w:color w:val="auto"/>
          <w:sz w:val="24"/>
          <w:szCs w:val="24"/>
          <w:highlight w:val="none"/>
        </w:rPr>
        <w:t>联系电话</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524BA215">
      <w:pPr>
        <w:pStyle w:val="222"/>
        <w:spacing w:line="360" w:lineRule="auto"/>
        <w:ind w:firstLine="480"/>
        <w:rPr>
          <w:rFonts w:hAnsi="宋体"/>
          <w:bCs/>
          <w:color w:val="auto"/>
          <w:sz w:val="24"/>
          <w:szCs w:val="24"/>
          <w:highlight w:val="none"/>
          <w:u w:val="single"/>
        </w:rPr>
      </w:pPr>
      <w:r>
        <w:rPr>
          <w:rFonts w:hint="eastAsia" w:hAnsi="宋体"/>
          <w:bCs/>
          <w:color w:val="auto"/>
          <w:sz w:val="24"/>
          <w:szCs w:val="24"/>
          <w:highlight w:val="none"/>
        </w:rPr>
        <w:t>授权代表：</w:t>
      </w:r>
      <w:r>
        <w:rPr>
          <w:rFonts w:hint="eastAsia" w:hAnsi="宋体"/>
          <w:bCs/>
          <w:color w:val="auto"/>
          <w:sz w:val="24"/>
          <w:szCs w:val="24"/>
          <w:highlight w:val="none"/>
          <w:u w:val="single"/>
        </w:rPr>
        <w:t xml:space="preserve">                                         </w:t>
      </w: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p>
    <w:p w14:paraId="3A95D63F">
      <w:pPr>
        <w:pStyle w:val="222"/>
        <w:spacing w:line="360" w:lineRule="auto"/>
        <w:ind w:firstLine="480"/>
        <w:rPr>
          <w:rFonts w:hAnsi="宋体"/>
          <w:bCs/>
          <w:color w:val="auto"/>
          <w:sz w:val="24"/>
          <w:szCs w:val="24"/>
          <w:highlight w:val="none"/>
          <w:u w:val="singl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214907D4">
      <w:pPr>
        <w:pStyle w:val="222"/>
        <w:spacing w:line="360" w:lineRule="auto"/>
        <w:ind w:firstLine="480"/>
        <w:rPr>
          <w:rFonts w:hAnsi="宋体"/>
          <w:bCs/>
          <w:color w:val="auto"/>
          <w:sz w:val="24"/>
          <w:szCs w:val="24"/>
          <w:highlight w:val="none"/>
        </w:rPr>
      </w:pP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09BE1ACC">
      <w:pPr>
        <w:pStyle w:val="222"/>
        <w:spacing w:line="360" w:lineRule="auto"/>
        <w:ind w:firstLine="480"/>
        <w:rPr>
          <w:rFonts w:hAnsi="宋体"/>
          <w:bCs/>
          <w:color w:val="auto"/>
          <w:sz w:val="24"/>
          <w:szCs w:val="24"/>
          <w:highlight w:val="none"/>
        </w:rPr>
      </w:pPr>
      <w:r>
        <w:rPr>
          <w:rFonts w:hint="eastAsia" w:hAnsi="宋体"/>
          <w:bCs/>
          <w:color w:val="auto"/>
          <w:sz w:val="24"/>
          <w:szCs w:val="24"/>
          <w:highlight w:val="none"/>
        </w:rPr>
        <w:t>被投诉人1：</w:t>
      </w:r>
    </w:p>
    <w:p w14:paraId="5D16C239">
      <w:pPr>
        <w:pStyle w:val="222"/>
        <w:spacing w:line="360" w:lineRule="auto"/>
        <w:ind w:firstLine="480"/>
        <w:rPr>
          <w:rFonts w:hAnsi="宋体"/>
          <w:bCs/>
          <w:color w:val="auto"/>
          <w:sz w:val="24"/>
          <w:szCs w:val="24"/>
          <w:highlight w:val="none"/>
          <w:u w:val="single"/>
        </w:rPr>
      </w:pPr>
      <w:r>
        <w:rPr>
          <w:rFonts w:hint="eastAsia" w:hAnsi="宋体"/>
          <w:bCs/>
          <w:color w:val="auto"/>
          <w:sz w:val="24"/>
          <w:szCs w:val="24"/>
          <w:highlight w:val="none"/>
        </w:rPr>
        <w:t>地址：</w:t>
      </w:r>
      <w:r>
        <w:rPr>
          <w:rFonts w:hint="eastAsia" w:hAnsi="宋体"/>
          <w:bCs/>
          <w:color w:val="auto"/>
          <w:sz w:val="24"/>
          <w:szCs w:val="24"/>
          <w:highlight w:val="none"/>
          <w:u w:val="single"/>
        </w:rPr>
        <w:t xml:space="preserve">                                                            </w:t>
      </w:r>
    </w:p>
    <w:p w14:paraId="4D25F4CD">
      <w:pPr>
        <w:pStyle w:val="222"/>
        <w:spacing w:line="360" w:lineRule="auto"/>
        <w:ind w:firstLine="480"/>
        <w:rPr>
          <w:rFonts w:hAnsi="宋体"/>
          <w:bCs/>
          <w:color w:val="auto"/>
          <w:sz w:val="24"/>
          <w:szCs w:val="24"/>
          <w:highlight w:val="none"/>
        </w:rPr>
      </w:pP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442D2C1F">
      <w:pPr>
        <w:pStyle w:val="222"/>
        <w:spacing w:line="360" w:lineRule="auto"/>
        <w:ind w:firstLine="480"/>
        <w:rPr>
          <w:rFonts w:hAnsi="宋体"/>
          <w:bCs/>
          <w:color w:val="auto"/>
          <w:sz w:val="24"/>
          <w:szCs w:val="24"/>
          <w:highlight w:val="none"/>
          <w:u w:val="single"/>
        </w:rPr>
      </w:pPr>
      <w:r>
        <w:rPr>
          <w:rFonts w:hint="eastAsia" w:hAnsi="宋体"/>
          <w:bCs/>
          <w:color w:val="auto"/>
          <w:sz w:val="24"/>
          <w:szCs w:val="24"/>
          <w:highlight w:val="none"/>
        </w:rPr>
        <w:t>联系人：</w:t>
      </w:r>
      <w:r>
        <w:rPr>
          <w:rFonts w:hint="eastAsia" w:hAnsi="宋体"/>
          <w:bCs/>
          <w:color w:val="auto"/>
          <w:sz w:val="24"/>
          <w:szCs w:val="24"/>
          <w:highlight w:val="none"/>
          <w:u w:val="single"/>
        </w:rPr>
        <w:t xml:space="preserve">                                                </w:t>
      </w: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p>
    <w:p w14:paraId="14027E53">
      <w:pPr>
        <w:pStyle w:val="222"/>
        <w:spacing w:line="360" w:lineRule="auto"/>
        <w:ind w:firstLine="480"/>
        <w:rPr>
          <w:rFonts w:hAnsi="宋体"/>
          <w:bCs/>
          <w:color w:val="auto"/>
          <w:sz w:val="24"/>
          <w:szCs w:val="24"/>
          <w:highlight w:val="none"/>
        </w:rPr>
      </w:pPr>
      <w:r>
        <w:rPr>
          <w:rFonts w:hint="eastAsia" w:hAnsi="宋体"/>
          <w:bCs/>
          <w:color w:val="auto"/>
          <w:sz w:val="24"/>
          <w:szCs w:val="24"/>
          <w:highlight w:val="none"/>
        </w:rPr>
        <w:t>被投诉人2：</w:t>
      </w:r>
    </w:p>
    <w:p w14:paraId="3EB5008E">
      <w:pPr>
        <w:pStyle w:val="222"/>
        <w:spacing w:line="360" w:lineRule="auto"/>
        <w:ind w:firstLine="480"/>
        <w:rPr>
          <w:rFonts w:hAnsi="宋体"/>
          <w:bCs/>
          <w:color w:val="auto"/>
          <w:sz w:val="24"/>
          <w:szCs w:val="24"/>
          <w:highlight w:val="none"/>
        </w:rPr>
      </w:pPr>
      <w:r>
        <w:rPr>
          <w:rFonts w:hAnsi="宋体"/>
          <w:bCs/>
          <w:color w:val="auto"/>
          <w:sz w:val="24"/>
          <w:szCs w:val="24"/>
          <w:highlight w:val="none"/>
        </w:rPr>
        <w:t>……</w:t>
      </w:r>
    </w:p>
    <w:p w14:paraId="40E32F96">
      <w:pPr>
        <w:pStyle w:val="222"/>
        <w:spacing w:line="360" w:lineRule="auto"/>
        <w:ind w:firstLine="480"/>
        <w:rPr>
          <w:rFonts w:hAnsi="宋体"/>
          <w:bCs/>
          <w:color w:val="auto"/>
          <w:sz w:val="24"/>
          <w:szCs w:val="24"/>
          <w:highlight w:val="none"/>
          <w:u w:val="single"/>
        </w:rPr>
      </w:pPr>
      <w:r>
        <w:rPr>
          <w:rFonts w:hint="eastAsia" w:hAnsi="宋体"/>
          <w:bCs/>
          <w:color w:val="auto"/>
          <w:sz w:val="24"/>
          <w:szCs w:val="24"/>
          <w:highlight w:val="none"/>
        </w:rPr>
        <w:t>相关供应商：</w:t>
      </w:r>
      <w:r>
        <w:rPr>
          <w:rFonts w:hint="eastAsia" w:hAnsi="宋体"/>
          <w:bCs/>
          <w:color w:val="auto"/>
          <w:sz w:val="24"/>
          <w:szCs w:val="24"/>
          <w:highlight w:val="none"/>
          <w:u w:val="single"/>
        </w:rPr>
        <w:t xml:space="preserve">                                                                       </w:t>
      </w:r>
    </w:p>
    <w:p w14:paraId="66A56BD3">
      <w:pPr>
        <w:pStyle w:val="222"/>
        <w:spacing w:line="360" w:lineRule="auto"/>
        <w:ind w:firstLine="480"/>
        <w:rPr>
          <w:rFonts w:hAnsi="宋体"/>
          <w:bCs/>
          <w:color w:val="auto"/>
          <w:sz w:val="24"/>
          <w:szCs w:val="24"/>
          <w:highlight w:val="none"/>
          <w:u w:val="single"/>
        </w:rPr>
      </w:pPr>
      <w:r>
        <w:rPr>
          <w:rFonts w:hAnsi="宋体"/>
          <w:bCs/>
          <w:color w:val="auto"/>
          <w:sz w:val="24"/>
          <w:szCs w:val="24"/>
          <w:highlight w:val="none"/>
        </w:rPr>
        <w:t>地址</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r>
        <w:rPr>
          <w:rFonts w:hAnsi="宋体"/>
          <w:bCs/>
          <w:color w:val="auto"/>
          <w:sz w:val="24"/>
          <w:szCs w:val="24"/>
          <w:highlight w:val="none"/>
        </w:rPr>
        <w:t>邮编</w:t>
      </w:r>
      <w:r>
        <w:rPr>
          <w:rFonts w:hint="eastAsia" w:hAnsi="宋体"/>
          <w:bCs/>
          <w:color w:val="auto"/>
          <w:sz w:val="24"/>
          <w:szCs w:val="24"/>
          <w:highlight w:val="none"/>
        </w:rPr>
        <w:t>：</w:t>
      </w:r>
      <w:r>
        <w:rPr>
          <w:rFonts w:hint="eastAsia" w:hAnsi="宋体"/>
          <w:bCs/>
          <w:color w:val="auto"/>
          <w:sz w:val="24"/>
          <w:szCs w:val="24"/>
          <w:highlight w:val="none"/>
          <w:u w:val="single"/>
        </w:rPr>
        <w:t xml:space="preserve">                         </w:t>
      </w:r>
    </w:p>
    <w:p w14:paraId="732671CA">
      <w:pPr>
        <w:pStyle w:val="222"/>
        <w:spacing w:line="360" w:lineRule="auto"/>
        <w:ind w:firstLine="480"/>
        <w:rPr>
          <w:rFonts w:hAnsi="宋体"/>
          <w:bCs/>
          <w:color w:val="auto"/>
          <w:sz w:val="24"/>
          <w:szCs w:val="24"/>
          <w:highlight w:val="none"/>
        </w:rPr>
      </w:pPr>
      <w:r>
        <w:rPr>
          <w:rFonts w:hint="eastAsia" w:hAnsi="宋体"/>
          <w:bCs/>
          <w:color w:val="auto"/>
          <w:sz w:val="24"/>
          <w:szCs w:val="24"/>
          <w:highlight w:val="none"/>
        </w:rPr>
        <w:t>联系人：</w:t>
      </w:r>
      <w:r>
        <w:rPr>
          <w:rFonts w:hint="eastAsia" w:hAnsi="宋体"/>
          <w:bCs/>
          <w:color w:val="auto"/>
          <w:sz w:val="24"/>
          <w:szCs w:val="24"/>
          <w:highlight w:val="none"/>
          <w:u w:val="single"/>
        </w:rPr>
        <w:t xml:space="preserve">                                            </w:t>
      </w:r>
      <w:r>
        <w:rPr>
          <w:rFonts w:hAnsi="宋体"/>
          <w:bCs/>
          <w:color w:val="auto"/>
          <w:sz w:val="24"/>
          <w:szCs w:val="24"/>
          <w:highlight w:val="none"/>
        </w:rPr>
        <w:t>联系</w:t>
      </w:r>
      <w:r>
        <w:rPr>
          <w:rFonts w:hint="eastAsia" w:hAnsi="宋体"/>
          <w:bCs/>
          <w:color w:val="auto"/>
          <w:sz w:val="24"/>
          <w:szCs w:val="24"/>
          <w:highlight w:val="none"/>
        </w:rPr>
        <w:t>电话：</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                </w:t>
      </w:r>
    </w:p>
    <w:p w14:paraId="24E8410E">
      <w:pPr>
        <w:pStyle w:val="222"/>
        <w:spacing w:line="360" w:lineRule="auto"/>
        <w:ind w:firstLine="482"/>
        <w:rPr>
          <w:rFonts w:hAnsi="宋体"/>
          <w:b/>
          <w:bCs/>
          <w:color w:val="auto"/>
          <w:sz w:val="24"/>
          <w:szCs w:val="24"/>
          <w:highlight w:val="none"/>
        </w:rPr>
      </w:pPr>
      <w:r>
        <w:rPr>
          <w:rFonts w:hint="eastAsia" w:hAnsi="宋体"/>
          <w:b/>
          <w:bCs/>
          <w:color w:val="auto"/>
          <w:sz w:val="24"/>
          <w:szCs w:val="24"/>
          <w:highlight w:val="none"/>
        </w:rPr>
        <w:t>二、投诉项目基本情况：</w:t>
      </w:r>
    </w:p>
    <w:p w14:paraId="7D14747F">
      <w:pPr>
        <w:pStyle w:val="222"/>
        <w:spacing w:line="360" w:lineRule="auto"/>
        <w:ind w:left="25" w:firstLine="472"/>
        <w:rPr>
          <w:rFonts w:hAnsi="宋体"/>
          <w:color w:val="auto"/>
          <w:sz w:val="24"/>
          <w:szCs w:val="24"/>
          <w:highlight w:val="none"/>
        </w:rPr>
      </w:pPr>
      <w:r>
        <w:rPr>
          <w:rFonts w:hint="eastAsia" w:hAnsi="宋体"/>
          <w:bCs/>
          <w:color w:val="auto"/>
          <w:sz w:val="24"/>
          <w:szCs w:val="24"/>
          <w:highlight w:val="none"/>
        </w:rPr>
        <w:t>采购</w:t>
      </w:r>
      <w:r>
        <w:rPr>
          <w:rFonts w:hint="eastAsia" w:hAnsi="宋体"/>
          <w:color w:val="auto"/>
          <w:sz w:val="24"/>
          <w:szCs w:val="24"/>
          <w:highlight w:val="none"/>
        </w:rPr>
        <w:t>项目的名称：</w:t>
      </w:r>
      <w:r>
        <w:rPr>
          <w:rFonts w:hint="eastAsia" w:hAnsi="宋体"/>
          <w:bCs/>
          <w:color w:val="auto"/>
          <w:sz w:val="24"/>
          <w:szCs w:val="24"/>
          <w:highlight w:val="none"/>
          <w:u w:val="single"/>
        </w:rPr>
        <w:t xml:space="preserve">                                                                   </w:t>
      </w:r>
    </w:p>
    <w:p w14:paraId="14C6381B">
      <w:pPr>
        <w:pStyle w:val="222"/>
        <w:spacing w:line="360" w:lineRule="auto"/>
        <w:ind w:left="25" w:firstLine="472"/>
        <w:rPr>
          <w:rFonts w:hAnsi="宋体"/>
          <w:color w:val="auto"/>
          <w:sz w:val="24"/>
          <w:szCs w:val="24"/>
          <w:highlight w:val="none"/>
        </w:rPr>
      </w:pPr>
      <w:r>
        <w:rPr>
          <w:rFonts w:hint="eastAsia" w:hAnsi="宋体"/>
          <w:bCs/>
          <w:color w:val="auto"/>
          <w:sz w:val="24"/>
          <w:szCs w:val="24"/>
          <w:highlight w:val="none"/>
        </w:rPr>
        <w:t>采购</w:t>
      </w:r>
      <w:r>
        <w:rPr>
          <w:rFonts w:hint="eastAsia" w:hAnsi="宋体"/>
          <w:color w:val="auto"/>
          <w:sz w:val="24"/>
          <w:szCs w:val="24"/>
          <w:highlight w:val="none"/>
        </w:rPr>
        <w:t>项目的编号：</w:t>
      </w:r>
      <w:r>
        <w:rPr>
          <w:rFonts w:hint="eastAsia" w:hAnsi="宋体"/>
          <w:bCs/>
          <w:color w:val="auto"/>
          <w:sz w:val="24"/>
          <w:szCs w:val="24"/>
          <w:highlight w:val="none"/>
          <w:u w:val="single"/>
        </w:rPr>
        <w:t xml:space="preserve">                                          </w:t>
      </w:r>
    </w:p>
    <w:p w14:paraId="136322FA">
      <w:pPr>
        <w:pStyle w:val="222"/>
        <w:spacing w:line="360" w:lineRule="auto"/>
        <w:ind w:left="25" w:firstLine="472"/>
        <w:rPr>
          <w:rFonts w:hAnsi="宋体"/>
          <w:bCs/>
          <w:color w:val="auto"/>
          <w:sz w:val="24"/>
          <w:szCs w:val="24"/>
          <w:highlight w:val="none"/>
          <w:u w:val="single"/>
        </w:rPr>
      </w:pPr>
      <w:r>
        <w:rPr>
          <w:rFonts w:hint="eastAsia" w:hAnsi="宋体"/>
          <w:color w:val="auto"/>
          <w:sz w:val="24"/>
          <w:szCs w:val="24"/>
          <w:highlight w:val="none"/>
        </w:rPr>
        <w:t>采购人名称：</w:t>
      </w:r>
      <w:r>
        <w:rPr>
          <w:rFonts w:hint="eastAsia" w:hAnsi="宋体"/>
          <w:bCs/>
          <w:color w:val="auto"/>
          <w:sz w:val="24"/>
          <w:szCs w:val="24"/>
          <w:highlight w:val="none"/>
          <w:u w:val="single"/>
        </w:rPr>
        <w:t xml:space="preserve">                                                                        </w:t>
      </w:r>
    </w:p>
    <w:p w14:paraId="5D418904">
      <w:pPr>
        <w:pStyle w:val="222"/>
        <w:spacing w:line="360" w:lineRule="auto"/>
        <w:ind w:left="25" w:firstLine="472"/>
        <w:rPr>
          <w:rFonts w:hAnsi="宋体"/>
          <w:bCs/>
          <w:color w:val="auto"/>
          <w:sz w:val="24"/>
          <w:szCs w:val="24"/>
          <w:highlight w:val="none"/>
          <w:u w:val="single"/>
        </w:rPr>
      </w:pPr>
      <w:r>
        <w:rPr>
          <w:rFonts w:hint="eastAsia" w:hAnsi="宋体"/>
          <w:color w:val="auto"/>
          <w:sz w:val="24"/>
          <w:szCs w:val="24"/>
          <w:highlight w:val="none"/>
        </w:rPr>
        <w:t>代理机构名称：</w:t>
      </w:r>
      <w:r>
        <w:rPr>
          <w:rFonts w:hint="eastAsia" w:hAnsi="宋体"/>
          <w:bCs/>
          <w:color w:val="auto"/>
          <w:sz w:val="24"/>
          <w:szCs w:val="24"/>
          <w:highlight w:val="none"/>
          <w:u w:val="single"/>
        </w:rPr>
        <w:t xml:space="preserve">                                                                      </w:t>
      </w:r>
    </w:p>
    <w:p w14:paraId="36324122">
      <w:pPr>
        <w:pStyle w:val="222"/>
        <w:spacing w:line="360" w:lineRule="auto"/>
        <w:ind w:left="25" w:firstLine="472"/>
        <w:rPr>
          <w:rFonts w:hAnsi="宋体"/>
          <w:bCs/>
          <w:color w:val="auto"/>
          <w:sz w:val="24"/>
          <w:szCs w:val="24"/>
          <w:highlight w:val="none"/>
          <w:u w:val="single"/>
        </w:rPr>
      </w:pPr>
      <w:r>
        <w:rPr>
          <w:rFonts w:hint="eastAsia" w:hAnsi="宋体"/>
          <w:bCs/>
          <w:color w:val="auto"/>
          <w:sz w:val="24"/>
          <w:szCs w:val="24"/>
          <w:highlight w:val="none"/>
        </w:rPr>
        <w:t>采购文件公告：</w:t>
      </w:r>
      <w:r>
        <w:rPr>
          <w:rFonts w:hint="eastAsia" w:hAnsi="宋体"/>
          <w:bCs/>
          <w:color w:val="auto"/>
          <w:sz w:val="24"/>
          <w:szCs w:val="24"/>
          <w:highlight w:val="none"/>
          <w:u w:val="single"/>
        </w:rPr>
        <w:t>是/否</w:t>
      </w:r>
      <w:r>
        <w:rPr>
          <w:rFonts w:hint="eastAsia" w:hAnsi="宋体"/>
          <w:bCs/>
          <w:color w:val="auto"/>
          <w:sz w:val="24"/>
          <w:szCs w:val="24"/>
          <w:highlight w:val="none"/>
        </w:rPr>
        <w:t>公告期限：</w:t>
      </w:r>
      <w:r>
        <w:rPr>
          <w:rFonts w:hint="eastAsia" w:hAnsi="宋体"/>
          <w:bCs/>
          <w:color w:val="auto"/>
          <w:sz w:val="24"/>
          <w:szCs w:val="24"/>
          <w:highlight w:val="none"/>
          <w:u w:val="single"/>
        </w:rPr>
        <w:t xml:space="preserve">                                                       </w:t>
      </w:r>
    </w:p>
    <w:p w14:paraId="40F997A8">
      <w:pPr>
        <w:pStyle w:val="222"/>
        <w:spacing w:line="360" w:lineRule="auto"/>
        <w:ind w:left="25" w:firstLine="472"/>
        <w:rPr>
          <w:rFonts w:hAnsi="宋体"/>
          <w:b/>
          <w:color w:val="auto"/>
          <w:sz w:val="24"/>
          <w:szCs w:val="24"/>
          <w:highlight w:val="none"/>
        </w:rPr>
      </w:pPr>
      <w:r>
        <w:rPr>
          <w:rFonts w:hint="eastAsia" w:hAnsi="宋体"/>
          <w:bCs/>
          <w:color w:val="auto"/>
          <w:sz w:val="24"/>
          <w:szCs w:val="24"/>
          <w:highlight w:val="none"/>
        </w:rPr>
        <w:t>采购结果公告：</w:t>
      </w:r>
      <w:r>
        <w:rPr>
          <w:rFonts w:hint="eastAsia" w:hAnsi="宋体"/>
          <w:bCs/>
          <w:color w:val="auto"/>
          <w:sz w:val="24"/>
          <w:szCs w:val="24"/>
          <w:highlight w:val="none"/>
          <w:u w:val="single"/>
        </w:rPr>
        <w:t>是/否</w:t>
      </w:r>
      <w:r>
        <w:rPr>
          <w:rFonts w:hint="eastAsia" w:hAnsi="宋体"/>
          <w:bCs/>
          <w:color w:val="auto"/>
          <w:sz w:val="24"/>
          <w:szCs w:val="24"/>
          <w:highlight w:val="none"/>
        </w:rPr>
        <w:t>公告期限：</w:t>
      </w:r>
      <w:r>
        <w:rPr>
          <w:rFonts w:hint="eastAsia" w:hAnsi="宋体"/>
          <w:bCs/>
          <w:color w:val="auto"/>
          <w:sz w:val="24"/>
          <w:szCs w:val="24"/>
          <w:highlight w:val="none"/>
          <w:u w:val="single"/>
        </w:rPr>
        <w:t xml:space="preserve">                                                       </w:t>
      </w:r>
    </w:p>
    <w:p w14:paraId="423BEDDC">
      <w:pPr>
        <w:pStyle w:val="222"/>
        <w:spacing w:line="360" w:lineRule="auto"/>
        <w:ind w:left="25" w:firstLine="472"/>
        <w:rPr>
          <w:rFonts w:hAnsi="宋体"/>
          <w:b/>
          <w:color w:val="auto"/>
          <w:sz w:val="24"/>
          <w:szCs w:val="24"/>
          <w:highlight w:val="none"/>
        </w:rPr>
      </w:pPr>
      <w:r>
        <w:rPr>
          <w:rFonts w:hint="eastAsia" w:hAnsi="宋体"/>
          <w:b/>
          <w:color w:val="auto"/>
          <w:sz w:val="24"/>
          <w:szCs w:val="24"/>
          <w:highlight w:val="none"/>
        </w:rPr>
        <w:t>三、质疑基本情况</w:t>
      </w:r>
    </w:p>
    <w:p w14:paraId="1020E4FF">
      <w:pPr>
        <w:pStyle w:val="222"/>
        <w:spacing w:line="360" w:lineRule="auto"/>
        <w:ind w:left="23" w:firstLine="540"/>
        <w:rPr>
          <w:rFonts w:hAnsi="宋体"/>
          <w:color w:val="auto"/>
          <w:sz w:val="24"/>
          <w:szCs w:val="24"/>
          <w:highlight w:val="none"/>
        </w:rPr>
      </w:pPr>
      <w:r>
        <w:rPr>
          <w:rFonts w:hint="eastAsia" w:hAnsi="宋体"/>
          <w:color w:val="auto"/>
          <w:sz w:val="24"/>
          <w:szCs w:val="24"/>
          <w:highlight w:val="none"/>
        </w:rPr>
        <w:t>投诉人于</w:t>
      </w:r>
      <w:r>
        <w:rPr>
          <w:rFonts w:hint="eastAsia"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日，向</w:t>
      </w:r>
      <w:r>
        <w:rPr>
          <w:rFonts w:hint="eastAsia" w:hAnsi="宋体"/>
          <w:color w:val="auto"/>
          <w:sz w:val="24"/>
          <w:szCs w:val="24"/>
          <w:highlight w:val="none"/>
          <w:u w:val="single"/>
        </w:rPr>
        <w:t xml:space="preserve">                                </w:t>
      </w:r>
      <w:r>
        <w:rPr>
          <w:rFonts w:hint="eastAsia" w:hAnsi="宋体"/>
          <w:color w:val="auto"/>
          <w:sz w:val="24"/>
          <w:szCs w:val="24"/>
          <w:highlight w:val="none"/>
        </w:rPr>
        <w:t>提出质疑，质疑事项为：</w:t>
      </w:r>
    </w:p>
    <w:p w14:paraId="58FDB678">
      <w:pPr>
        <w:pStyle w:val="222"/>
        <w:spacing w:line="360" w:lineRule="auto"/>
        <w:ind w:left="23" w:firstLine="540"/>
        <w:rPr>
          <w:rFonts w:hAnsi="宋体"/>
          <w:bCs/>
          <w:color w:val="auto"/>
          <w:sz w:val="24"/>
          <w:szCs w:val="24"/>
          <w:highlight w:val="none"/>
          <w:u w:val="single"/>
        </w:rPr>
      </w:pPr>
      <w:r>
        <w:rPr>
          <w:rFonts w:hint="eastAsia" w:hAnsi="宋体"/>
          <w:color w:val="auto"/>
          <w:sz w:val="24"/>
          <w:szCs w:val="24"/>
          <w:highlight w:val="none"/>
        </w:rPr>
        <w:t xml:space="preserve">    </w:t>
      </w:r>
      <w:r>
        <w:rPr>
          <w:rFonts w:hint="eastAsia" w:hAnsi="宋体"/>
          <w:bCs/>
          <w:color w:val="auto"/>
          <w:sz w:val="24"/>
          <w:szCs w:val="24"/>
          <w:highlight w:val="none"/>
          <w:u w:val="single"/>
        </w:rPr>
        <w:t xml:space="preserve">                                                                                      </w:t>
      </w:r>
    </w:p>
    <w:p w14:paraId="184DFD67">
      <w:pPr>
        <w:pStyle w:val="222"/>
        <w:spacing w:line="360" w:lineRule="auto"/>
        <w:ind w:left="23" w:firstLine="540"/>
        <w:rPr>
          <w:rFonts w:hAnsi="宋体"/>
          <w:bCs/>
          <w:color w:val="auto"/>
          <w:sz w:val="24"/>
          <w:szCs w:val="24"/>
          <w:highlight w:val="none"/>
          <w:u w:val="single"/>
        </w:rPr>
      </w:pPr>
      <w:r>
        <w:rPr>
          <w:rFonts w:hint="eastAsia" w:hAnsi="宋体"/>
          <w:bCs/>
          <w:color w:val="auto"/>
          <w:sz w:val="24"/>
          <w:szCs w:val="24"/>
          <w:highlight w:val="none"/>
        </w:rPr>
        <w:t xml:space="preserve">    </w:t>
      </w:r>
      <w:r>
        <w:rPr>
          <w:rFonts w:hint="eastAsia" w:hAnsi="宋体"/>
          <w:bCs/>
          <w:color w:val="auto"/>
          <w:sz w:val="24"/>
          <w:szCs w:val="24"/>
          <w:highlight w:val="none"/>
          <w:u w:val="single"/>
        </w:rPr>
        <w:t xml:space="preserve">                                                                                      </w:t>
      </w:r>
    </w:p>
    <w:p w14:paraId="02FF09CD">
      <w:pPr>
        <w:pStyle w:val="222"/>
        <w:spacing w:line="360" w:lineRule="auto"/>
        <w:ind w:left="23" w:firstLine="540"/>
        <w:rPr>
          <w:rFonts w:hAnsi="宋体"/>
          <w:color w:val="auto"/>
          <w:sz w:val="24"/>
          <w:szCs w:val="24"/>
          <w:highlight w:val="none"/>
        </w:rPr>
      </w:pPr>
      <w:r>
        <w:rPr>
          <w:rFonts w:hint="eastAsia" w:hAnsi="宋体"/>
          <w:bCs/>
          <w:color w:val="auto"/>
          <w:sz w:val="24"/>
          <w:szCs w:val="24"/>
          <w:highlight w:val="none"/>
          <w:u w:val="single"/>
        </w:rPr>
        <w:t>采购人/代理机构</w:t>
      </w:r>
      <w:r>
        <w:rPr>
          <w:rFonts w:hint="eastAsia" w:hAnsi="宋体"/>
          <w:bCs/>
          <w:color w:val="auto"/>
          <w:sz w:val="24"/>
          <w:szCs w:val="24"/>
          <w:highlight w:val="none"/>
        </w:rPr>
        <w:t>于</w:t>
      </w:r>
      <w:r>
        <w:rPr>
          <w:rFonts w:hint="eastAsia"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w:t>
      </w:r>
      <w:r>
        <w:rPr>
          <w:rFonts w:hint="eastAsia" w:hAnsi="宋体"/>
          <w:bCs/>
          <w:color w:val="auto"/>
          <w:sz w:val="24"/>
          <w:szCs w:val="24"/>
          <w:highlight w:val="none"/>
        </w:rPr>
        <w:t xml:space="preserve">就质疑事项作出了答复/没有在法定期限内作出答复。                                                                                             </w:t>
      </w:r>
    </w:p>
    <w:p w14:paraId="0D27A57D">
      <w:pPr>
        <w:pStyle w:val="222"/>
        <w:spacing w:line="360" w:lineRule="auto"/>
        <w:ind w:left="25" w:firstLine="472"/>
        <w:rPr>
          <w:rFonts w:hAnsi="宋体"/>
          <w:b/>
          <w:color w:val="auto"/>
          <w:sz w:val="24"/>
          <w:szCs w:val="24"/>
          <w:highlight w:val="none"/>
        </w:rPr>
      </w:pPr>
      <w:r>
        <w:rPr>
          <w:rFonts w:hint="eastAsia" w:hAnsi="宋体"/>
          <w:b/>
          <w:color w:val="auto"/>
          <w:sz w:val="24"/>
          <w:szCs w:val="24"/>
          <w:highlight w:val="none"/>
        </w:rPr>
        <w:t>四、投诉事项具体内容</w:t>
      </w:r>
    </w:p>
    <w:p w14:paraId="45045FBD">
      <w:pPr>
        <w:pStyle w:val="222"/>
        <w:spacing w:line="360" w:lineRule="auto"/>
        <w:ind w:left="25" w:firstLine="472"/>
        <w:rPr>
          <w:rFonts w:hAnsi="宋体"/>
          <w:bCs/>
          <w:color w:val="auto"/>
          <w:sz w:val="24"/>
          <w:szCs w:val="24"/>
          <w:highlight w:val="none"/>
          <w:u w:val="single"/>
        </w:rPr>
      </w:pPr>
      <w:r>
        <w:rPr>
          <w:rFonts w:hint="eastAsia" w:hAnsi="宋体"/>
          <w:color w:val="auto"/>
          <w:sz w:val="24"/>
          <w:szCs w:val="24"/>
          <w:highlight w:val="none"/>
        </w:rPr>
        <w:t>投诉事项1：</w:t>
      </w:r>
      <w:r>
        <w:rPr>
          <w:rFonts w:hint="eastAsia" w:hAnsi="宋体"/>
          <w:bCs/>
          <w:color w:val="auto"/>
          <w:sz w:val="24"/>
          <w:szCs w:val="24"/>
          <w:highlight w:val="none"/>
          <w:u w:val="single"/>
        </w:rPr>
        <w:t xml:space="preserve">                                                                           </w:t>
      </w:r>
    </w:p>
    <w:p w14:paraId="53D9B063">
      <w:pPr>
        <w:pStyle w:val="222"/>
        <w:spacing w:line="360" w:lineRule="auto"/>
        <w:ind w:firstLine="480"/>
        <w:rPr>
          <w:rFonts w:hAnsi="宋体"/>
          <w:bCs/>
          <w:color w:val="auto"/>
          <w:sz w:val="24"/>
          <w:szCs w:val="24"/>
          <w:highlight w:val="none"/>
          <w:u w:val="single"/>
        </w:rPr>
      </w:pPr>
      <w:r>
        <w:rPr>
          <w:rFonts w:hint="eastAsia" w:hAnsi="宋体"/>
          <w:bCs/>
          <w:color w:val="auto"/>
          <w:sz w:val="24"/>
          <w:szCs w:val="24"/>
          <w:highlight w:val="none"/>
        </w:rPr>
        <w:t>事实依据：</w:t>
      </w:r>
      <w:r>
        <w:rPr>
          <w:rFonts w:hint="eastAsia" w:hAnsi="宋体"/>
          <w:color w:val="auto"/>
          <w:sz w:val="24"/>
          <w:szCs w:val="24"/>
          <w:highlight w:val="none"/>
        </w:rPr>
        <w:t xml:space="preserve"> </w:t>
      </w:r>
      <w:r>
        <w:rPr>
          <w:rFonts w:hint="eastAsia" w:hAnsi="宋体"/>
          <w:bCs/>
          <w:color w:val="auto"/>
          <w:sz w:val="24"/>
          <w:szCs w:val="24"/>
          <w:highlight w:val="none"/>
          <w:u w:val="single"/>
        </w:rPr>
        <w:t xml:space="preserve">                                                                                      </w:t>
      </w:r>
    </w:p>
    <w:p w14:paraId="6150B59B">
      <w:pPr>
        <w:pStyle w:val="222"/>
        <w:spacing w:line="360" w:lineRule="auto"/>
        <w:ind w:left="25" w:firstLine="472"/>
        <w:rPr>
          <w:rFonts w:hAnsi="宋体"/>
          <w:color w:val="auto"/>
          <w:sz w:val="24"/>
          <w:szCs w:val="24"/>
          <w:highlight w:val="none"/>
        </w:rPr>
      </w:pPr>
      <w:r>
        <w:rPr>
          <w:rFonts w:hint="eastAsia" w:hAnsi="宋体"/>
          <w:bCs/>
          <w:color w:val="auto"/>
          <w:sz w:val="24"/>
          <w:szCs w:val="24"/>
          <w:highlight w:val="none"/>
          <w:u w:val="single"/>
        </w:rPr>
        <w:t xml:space="preserve">                                                                                        </w:t>
      </w:r>
    </w:p>
    <w:p w14:paraId="7053EDDF">
      <w:pPr>
        <w:pStyle w:val="222"/>
        <w:spacing w:line="360" w:lineRule="auto"/>
        <w:ind w:firstLine="480"/>
        <w:rPr>
          <w:rFonts w:hAnsi="宋体"/>
          <w:bCs/>
          <w:color w:val="auto"/>
          <w:sz w:val="24"/>
          <w:szCs w:val="24"/>
          <w:highlight w:val="none"/>
          <w:u w:val="single"/>
        </w:rPr>
      </w:pPr>
      <w:r>
        <w:rPr>
          <w:rFonts w:hint="eastAsia" w:hAnsi="宋体"/>
          <w:bCs/>
          <w:color w:val="auto"/>
          <w:sz w:val="24"/>
          <w:szCs w:val="24"/>
          <w:highlight w:val="none"/>
        </w:rPr>
        <w:t>法律依据：</w:t>
      </w:r>
      <w:r>
        <w:rPr>
          <w:rFonts w:hint="eastAsia" w:hAnsi="宋体"/>
          <w:color w:val="auto"/>
          <w:sz w:val="24"/>
          <w:szCs w:val="24"/>
          <w:highlight w:val="none"/>
        </w:rPr>
        <w:t xml:space="preserve"> </w:t>
      </w:r>
      <w:r>
        <w:rPr>
          <w:rFonts w:hint="eastAsia" w:hAnsi="宋体"/>
          <w:bCs/>
          <w:color w:val="auto"/>
          <w:sz w:val="24"/>
          <w:szCs w:val="24"/>
          <w:highlight w:val="none"/>
          <w:u w:val="single"/>
        </w:rPr>
        <w:t xml:space="preserve">                                                                                      </w:t>
      </w:r>
    </w:p>
    <w:p w14:paraId="5ED979CC">
      <w:pPr>
        <w:pStyle w:val="222"/>
        <w:spacing w:line="360" w:lineRule="auto"/>
        <w:ind w:left="25" w:firstLine="352"/>
        <w:rPr>
          <w:rFonts w:hAnsi="宋体"/>
          <w:bCs/>
          <w:color w:val="auto"/>
          <w:sz w:val="24"/>
          <w:szCs w:val="24"/>
          <w:highlight w:val="none"/>
          <w:u w:val="single"/>
        </w:rPr>
      </w:pPr>
      <w:r>
        <w:rPr>
          <w:rFonts w:hint="eastAsia" w:hAnsi="宋体"/>
          <w:bCs/>
          <w:color w:val="auto"/>
          <w:sz w:val="24"/>
          <w:szCs w:val="24"/>
          <w:highlight w:val="none"/>
        </w:rPr>
        <w:t xml:space="preserve"> </w:t>
      </w:r>
      <w:r>
        <w:rPr>
          <w:rFonts w:hint="eastAsia" w:hAnsi="宋体"/>
          <w:bCs/>
          <w:color w:val="auto"/>
          <w:sz w:val="24"/>
          <w:szCs w:val="24"/>
          <w:highlight w:val="none"/>
          <w:u w:val="single"/>
        </w:rPr>
        <w:t xml:space="preserve">                                                                                        </w:t>
      </w:r>
    </w:p>
    <w:p w14:paraId="582275A1">
      <w:pPr>
        <w:pStyle w:val="222"/>
        <w:spacing w:line="360" w:lineRule="auto"/>
        <w:ind w:left="25" w:firstLine="472"/>
        <w:rPr>
          <w:rFonts w:hAnsi="宋体"/>
          <w:bCs/>
          <w:color w:val="auto"/>
          <w:sz w:val="24"/>
          <w:szCs w:val="24"/>
          <w:highlight w:val="none"/>
        </w:rPr>
      </w:pPr>
      <w:r>
        <w:rPr>
          <w:rFonts w:hint="eastAsia" w:hAnsi="宋体"/>
          <w:color w:val="auto"/>
          <w:sz w:val="24"/>
          <w:szCs w:val="24"/>
          <w:highlight w:val="none"/>
        </w:rPr>
        <w:t xml:space="preserve">投诉事项2  </w:t>
      </w:r>
      <w:r>
        <w:rPr>
          <w:rFonts w:hint="eastAsia" w:hAnsi="宋体"/>
          <w:bCs/>
          <w:color w:val="auto"/>
          <w:sz w:val="24"/>
          <w:szCs w:val="24"/>
          <w:highlight w:val="none"/>
        </w:rPr>
        <w:t xml:space="preserve">   </w:t>
      </w:r>
    </w:p>
    <w:p w14:paraId="3D077841">
      <w:pPr>
        <w:pStyle w:val="222"/>
        <w:spacing w:line="360" w:lineRule="auto"/>
        <w:ind w:left="25" w:firstLine="472"/>
        <w:rPr>
          <w:rFonts w:hAnsi="宋体"/>
          <w:bCs/>
          <w:color w:val="auto"/>
          <w:sz w:val="24"/>
          <w:szCs w:val="24"/>
          <w:highlight w:val="none"/>
        </w:rPr>
      </w:pPr>
      <w:r>
        <w:rPr>
          <w:rFonts w:hAnsi="宋体"/>
          <w:bCs/>
          <w:color w:val="auto"/>
          <w:sz w:val="24"/>
          <w:szCs w:val="24"/>
          <w:highlight w:val="none"/>
        </w:rPr>
        <w:t>……</w:t>
      </w:r>
    </w:p>
    <w:p w14:paraId="629D3C7D">
      <w:pPr>
        <w:pStyle w:val="222"/>
        <w:spacing w:line="360" w:lineRule="auto"/>
        <w:ind w:left="25" w:firstLine="472"/>
        <w:rPr>
          <w:rFonts w:hAnsi="宋体"/>
          <w:b/>
          <w:color w:val="auto"/>
          <w:sz w:val="24"/>
          <w:szCs w:val="24"/>
          <w:highlight w:val="none"/>
        </w:rPr>
      </w:pPr>
      <w:r>
        <w:rPr>
          <w:rFonts w:hint="eastAsia" w:hAnsi="宋体"/>
          <w:b/>
          <w:color w:val="auto"/>
          <w:sz w:val="24"/>
          <w:szCs w:val="24"/>
          <w:highlight w:val="none"/>
        </w:rPr>
        <w:t>五、与投诉事项相关的投诉请求：</w:t>
      </w:r>
    </w:p>
    <w:p w14:paraId="4526704F">
      <w:pPr>
        <w:pStyle w:val="222"/>
        <w:spacing w:line="360" w:lineRule="auto"/>
        <w:ind w:left="25" w:firstLine="472"/>
        <w:rPr>
          <w:rFonts w:hAnsi="宋体"/>
          <w:color w:val="auto"/>
          <w:sz w:val="24"/>
          <w:szCs w:val="24"/>
          <w:highlight w:val="none"/>
        </w:rPr>
      </w:pPr>
      <w:r>
        <w:rPr>
          <w:rFonts w:hint="eastAsia" w:hAnsi="宋体"/>
          <w:color w:val="auto"/>
          <w:sz w:val="24"/>
          <w:szCs w:val="24"/>
          <w:highlight w:val="none"/>
        </w:rPr>
        <w:t>请求：</w:t>
      </w:r>
      <w:r>
        <w:rPr>
          <w:rFonts w:hint="eastAsia" w:hAnsi="宋体"/>
          <w:bCs/>
          <w:color w:val="auto"/>
          <w:sz w:val="24"/>
          <w:szCs w:val="24"/>
          <w:highlight w:val="none"/>
          <w:u w:val="single"/>
        </w:rPr>
        <w:t xml:space="preserve">                                                                                 </w:t>
      </w:r>
    </w:p>
    <w:p w14:paraId="6EAF6BED">
      <w:pPr>
        <w:pStyle w:val="222"/>
        <w:spacing w:line="360" w:lineRule="auto"/>
        <w:ind w:left="25" w:firstLine="352"/>
        <w:rPr>
          <w:rFonts w:hAnsi="宋体"/>
          <w:color w:val="auto"/>
          <w:sz w:val="24"/>
          <w:szCs w:val="24"/>
          <w:highlight w:val="none"/>
        </w:rPr>
      </w:pPr>
    </w:p>
    <w:p w14:paraId="5ACC4C25">
      <w:pPr>
        <w:pStyle w:val="222"/>
        <w:spacing w:line="360" w:lineRule="auto"/>
        <w:ind w:left="25" w:firstLine="472"/>
        <w:rPr>
          <w:rFonts w:hAnsi="宋体"/>
          <w:color w:val="auto"/>
          <w:sz w:val="24"/>
          <w:szCs w:val="24"/>
          <w:highlight w:val="none"/>
        </w:rPr>
      </w:pPr>
      <w:r>
        <w:rPr>
          <w:rFonts w:hint="eastAsia" w:hAnsi="宋体"/>
          <w:color w:val="auto"/>
          <w:sz w:val="24"/>
          <w:szCs w:val="24"/>
          <w:highlight w:val="none"/>
        </w:rPr>
        <w:t>签字（签章）：                                       公章：</w:t>
      </w:r>
    </w:p>
    <w:p w14:paraId="6A921AC1">
      <w:pPr>
        <w:pStyle w:val="222"/>
        <w:spacing w:line="360" w:lineRule="auto"/>
        <w:ind w:left="25" w:firstLine="352"/>
        <w:rPr>
          <w:rFonts w:hAnsi="宋体"/>
          <w:color w:val="auto"/>
          <w:sz w:val="24"/>
          <w:szCs w:val="24"/>
          <w:highlight w:val="none"/>
        </w:rPr>
      </w:pPr>
    </w:p>
    <w:p w14:paraId="02194CDD">
      <w:pPr>
        <w:pStyle w:val="222"/>
        <w:spacing w:line="360" w:lineRule="auto"/>
        <w:ind w:left="25" w:firstLine="472"/>
        <w:rPr>
          <w:rFonts w:hAnsi="宋体"/>
          <w:color w:val="auto"/>
          <w:sz w:val="24"/>
          <w:szCs w:val="24"/>
          <w:highlight w:val="none"/>
        </w:rPr>
      </w:pPr>
      <w:r>
        <w:rPr>
          <w:rFonts w:hint="eastAsia" w:hAnsi="宋体"/>
          <w:color w:val="auto"/>
          <w:sz w:val="24"/>
          <w:szCs w:val="24"/>
          <w:highlight w:val="none"/>
        </w:rPr>
        <w:t>日期：</w:t>
      </w:r>
    </w:p>
    <w:p w14:paraId="1FA6593C">
      <w:pPr>
        <w:pStyle w:val="222"/>
        <w:spacing w:line="360" w:lineRule="auto"/>
        <w:ind w:left="25" w:firstLine="472"/>
        <w:rPr>
          <w:rFonts w:hAnsi="宋体"/>
          <w:color w:val="auto"/>
          <w:sz w:val="24"/>
          <w:szCs w:val="24"/>
          <w:highlight w:val="none"/>
        </w:rPr>
      </w:pPr>
      <w:r>
        <w:rPr>
          <w:rFonts w:hint="eastAsia" w:hAnsi="宋体"/>
          <w:bCs/>
          <w:color w:val="auto"/>
          <w:sz w:val="24"/>
          <w:szCs w:val="24"/>
          <w:highlight w:val="none"/>
        </w:rPr>
        <w:t xml:space="preserve">                                                                                 </w:t>
      </w:r>
    </w:p>
    <w:p w14:paraId="4BBA06F3">
      <w:pPr>
        <w:pStyle w:val="222"/>
        <w:spacing w:line="360" w:lineRule="auto"/>
        <w:rPr>
          <w:rFonts w:hAnsi="宋体"/>
          <w:b/>
          <w:color w:val="auto"/>
          <w:sz w:val="24"/>
          <w:szCs w:val="24"/>
          <w:highlight w:val="none"/>
        </w:rPr>
      </w:pPr>
    </w:p>
    <w:p w14:paraId="3AA972F1">
      <w:pPr>
        <w:pStyle w:val="222"/>
        <w:spacing w:line="360" w:lineRule="auto"/>
        <w:rPr>
          <w:rFonts w:hAnsi="宋体"/>
          <w:b/>
          <w:color w:val="auto"/>
          <w:sz w:val="24"/>
          <w:szCs w:val="24"/>
          <w:highlight w:val="none"/>
        </w:rPr>
      </w:pPr>
      <w:r>
        <w:rPr>
          <w:rFonts w:hint="eastAsia" w:hAnsi="宋体"/>
          <w:b/>
          <w:color w:val="auto"/>
          <w:sz w:val="24"/>
          <w:szCs w:val="24"/>
          <w:highlight w:val="none"/>
        </w:rPr>
        <w:t>说明：</w:t>
      </w:r>
    </w:p>
    <w:p w14:paraId="11AB5927">
      <w:pPr>
        <w:pStyle w:val="222"/>
        <w:spacing w:line="360" w:lineRule="auto"/>
        <w:ind w:left="25" w:firstLine="354"/>
        <w:rPr>
          <w:rFonts w:hAnsi="宋体"/>
          <w:b/>
          <w:bCs/>
          <w:color w:val="auto"/>
          <w:sz w:val="24"/>
          <w:szCs w:val="24"/>
          <w:highlight w:val="none"/>
        </w:rPr>
      </w:pPr>
      <w:r>
        <w:rPr>
          <w:rFonts w:hint="eastAsia" w:hAnsi="宋体"/>
          <w:b/>
          <w:color w:val="auto"/>
          <w:sz w:val="24"/>
          <w:szCs w:val="24"/>
          <w:highlight w:val="none"/>
        </w:rPr>
        <w:t>1.投诉人提起投诉时，应当提交投诉书和必要的证明材料，并按照被投诉人和与投诉事项有关的供应商数量提供投诉书副本</w:t>
      </w:r>
      <w:r>
        <w:rPr>
          <w:rFonts w:hint="eastAsia" w:hAnsi="宋体"/>
          <w:b/>
          <w:bCs/>
          <w:color w:val="auto"/>
          <w:sz w:val="24"/>
          <w:szCs w:val="24"/>
          <w:highlight w:val="none"/>
        </w:rPr>
        <w:t>。</w:t>
      </w:r>
    </w:p>
    <w:p w14:paraId="7587D939">
      <w:pPr>
        <w:pStyle w:val="222"/>
        <w:spacing w:line="360" w:lineRule="auto"/>
        <w:ind w:left="25" w:firstLine="354"/>
        <w:rPr>
          <w:rFonts w:hAnsi="宋体"/>
          <w:b/>
          <w:color w:val="auto"/>
          <w:sz w:val="24"/>
          <w:szCs w:val="24"/>
          <w:highlight w:val="none"/>
        </w:rPr>
      </w:pPr>
      <w:r>
        <w:rPr>
          <w:rFonts w:hint="eastAsia" w:hAnsi="宋体"/>
          <w:b/>
          <w:color w:val="auto"/>
          <w:sz w:val="24"/>
          <w:szCs w:val="24"/>
          <w:highlight w:val="none"/>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77A5586A">
      <w:pPr>
        <w:pStyle w:val="222"/>
        <w:spacing w:line="360" w:lineRule="auto"/>
        <w:ind w:left="25" w:firstLine="354"/>
        <w:rPr>
          <w:rFonts w:hAnsi="宋体"/>
          <w:b/>
          <w:color w:val="auto"/>
          <w:sz w:val="24"/>
          <w:szCs w:val="24"/>
          <w:highlight w:val="none"/>
        </w:rPr>
      </w:pPr>
      <w:r>
        <w:rPr>
          <w:rFonts w:hint="eastAsia" w:hAnsi="宋体"/>
          <w:b/>
          <w:color w:val="auto"/>
          <w:sz w:val="24"/>
          <w:szCs w:val="24"/>
          <w:highlight w:val="none"/>
        </w:rPr>
        <w:t>3.投诉书应简要列明质疑事项，质疑函、质疑答复等作为附件材料提供。</w:t>
      </w:r>
    </w:p>
    <w:p w14:paraId="1D3DCC54">
      <w:pPr>
        <w:pStyle w:val="222"/>
        <w:spacing w:line="360" w:lineRule="auto"/>
        <w:ind w:left="25" w:firstLine="354"/>
        <w:rPr>
          <w:rFonts w:hAnsi="宋体"/>
          <w:b/>
          <w:color w:val="auto"/>
          <w:sz w:val="24"/>
          <w:szCs w:val="24"/>
          <w:highlight w:val="none"/>
        </w:rPr>
      </w:pPr>
      <w:r>
        <w:rPr>
          <w:rFonts w:hint="eastAsia" w:hAnsi="宋体"/>
          <w:b/>
          <w:color w:val="auto"/>
          <w:sz w:val="24"/>
          <w:szCs w:val="24"/>
          <w:highlight w:val="none"/>
        </w:rPr>
        <w:t>4.投诉书的投诉事项应具体、明确，并有必要的事实依据和法律依据。</w:t>
      </w:r>
    </w:p>
    <w:p w14:paraId="66D462B1">
      <w:pPr>
        <w:pStyle w:val="222"/>
        <w:spacing w:line="360" w:lineRule="auto"/>
        <w:ind w:left="25" w:firstLine="354"/>
        <w:rPr>
          <w:rFonts w:hAnsi="宋体"/>
          <w:b/>
          <w:color w:val="auto"/>
          <w:sz w:val="24"/>
          <w:szCs w:val="24"/>
          <w:highlight w:val="none"/>
        </w:rPr>
      </w:pPr>
      <w:r>
        <w:rPr>
          <w:rFonts w:hint="eastAsia" w:hAnsi="宋体"/>
          <w:b/>
          <w:color w:val="auto"/>
          <w:sz w:val="24"/>
          <w:szCs w:val="24"/>
          <w:highlight w:val="none"/>
        </w:rPr>
        <w:t>5.投诉书的投诉请求应与投诉事项相关。</w:t>
      </w:r>
    </w:p>
    <w:p w14:paraId="7CDB18A2">
      <w:pPr>
        <w:pStyle w:val="222"/>
        <w:spacing w:line="360" w:lineRule="auto"/>
        <w:ind w:left="25" w:firstLine="354"/>
        <w:rPr>
          <w:rFonts w:hAnsi="宋体"/>
          <w:b/>
          <w:color w:val="auto"/>
          <w:sz w:val="24"/>
          <w:szCs w:val="24"/>
          <w:highlight w:val="none"/>
        </w:rPr>
      </w:pPr>
      <w:r>
        <w:rPr>
          <w:rFonts w:hint="eastAsia" w:hAnsi="宋体"/>
          <w:b/>
          <w:color w:val="auto"/>
          <w:sz w:val="24"/>
          <w:szCs w:val="24"/>
          <w:highlight w:val="none"/>
        </w:rPr>
        <w:t>6.投诉人为法人或者其他组织的，投诉书应由法定代表人、主要负责人，或者其授权代表签字或者盖章，并加盖公章。</w:t>
      </w:r>
    </w:p>
    <w:p w14:paraId="7C4CF41C">
      <w:pPr>
        <w:pStyle w:val="201"/>
        <w:jc w:val="center"/>
        <w:rPr>
          <w:color w:val="auto"/>
          <w:highlight w:val="none"/>
        </w:rPr>
      </w:pPr>
      <w:r>
        <w:rPr>
          <w:color w:val="auto"/>
          <w:highlight w:val="none"/>
        </w:rPr>
        <w:br w:type="page" w:clear="all"/>
      </w:r>
    </w:p>
    <w:p w14:paraId="2F3DE0B7">
      <w:pPr>
        <w:pStyle w:val="201"/>
        <w:jc w:val="center"/>
        <w:rPr>
          <w:color w:val="auto"/>
          <w:highlight w:val="none"/>
        </w:rPr>
      </w:pPr>
    </w:p>
    <w:p w14:paraId="73E2A0C6">
      <w:pPr>
        <w:pStyle w:val="201"/>
        <w:jc w:val="center"/>
        <w:rPr>
          <w:color w:val="auto"/>
          <w:highlight w:val="none"/>
        </w:rPr>
      </w:pPr>
    </w:p>
    <w:p w14:paraId="583EB308">
      <w:pPr>
        <w:pStyle w:val="201"/>
        <w:jc w:val="center"/>
        <w:rPr>
          <w:color w:val="auto"/>
          <w:highlight w:val="none"/>
        </w:rPr>
      </w:pPr>
      <w:bookmarkStart w:id="73" w:name="_Toc27083"/>
      <w:r>
        <w:rPr>
          <w:rFonts w:hint="eastAsia"/>
          <w:color w:val="auto"/>
          <w:highlight w:val="none"/>
        </w:rPr>
        <w:t>第六章 合同文本</w:t>
      </w:r>
      <w:bookmarkEnd w:id="73"/>
    </w:p>
    <w:p w14:paraId="78671158">
      <w:pPr>
        <w:spacing w:line="360" w:lineRule="auto"/>
        <w:jc w:val="center"/>
        <w:rPr>
          <w:rFonts w:ascii="宋体" w:hAnsi="宋体"/>
          <w:b/>
          <w:bCs/>
          <w:color w:val="auto"/>
          <w:sz w:val="32"/>
          <w:szCs w:val="32"/>
          <w:highlight w:val="none"/>
        </w:rPr>
      </w:pPr>
      <w:r>
        <w:rPr>
          <w:rFonts w:hint="eastAsia"/>
          <w:color w:val="auto"/>
          <w:highlight w:val="none"/>
        </w:rPr>
        <w:br w:type="page" w:clear="all"/>
      </w:r>
      <w:r>
        <w:rPr>
          <w:rFonts w:hint="eastAsia" w:ascii="宋体" w:hAnsi="宋体"/>
          <w:b/>
          <w:bCs/>
          <w:color w:val="auto"/>
          <w:sz w:val="32"/>
          <w:szCs w:val="32"/>
          <w:highlight w:val="none"/>
        </w:rPr>
        <w:t>《广西壮族自治区政府采购合同》</w:t>
      </w:r>
    </w:p>
    <w:p w14:paraId="25115C33">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甲方（采购人）：</w:t>
      </w:r>
      <w:r>
        <w:rPr>
          <w:rFonts w:hint="eastAsia" w:ascii="宋体" w:hAnsi="宋体" w:cs="宋体"/>
          <w:color w:val="auto"/>
          <w:szCs w:val="21"/>
          <w:highlight w:val="none"/>
          <w:u w:val="single"/>
        </w:rPr>
        <w:t xml:space="preserve">                             </w:t>
      </w:r>
    </w:p>
    <w:p w14:paraId="260AD47D">
      <w:pPr>
        <w:spacing w:line="4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乙方（成交供应商）：</w:t>
      </w:r>
      <w:r>
        <w:rPr>
          <w:rFonts w:hint="eastAsia" w:ascii="宋体" w:hAnsi="宋体" w:cs="宋体"/>
          <w:color w:val="auto"/>
          <w:szCs w:val="21"/>
          <w:highlight w:val="none"/>
          <w:u w:val="single"/>
        </w:rPr>
        <w:t xml:space="preserve">                          </w:t>
      </w:r>
    </w:p>
    <w:p w14:paraId="08868F96">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根据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日云之龙咨询集团有限公司签发的（</w:t>
      </w:r>
      <w:r>
        <w:rPr>
          <w:rFonts w:hint="eastAsia" w:ascii="宋体" w:hAnsi="宋体" w:cs="宋体"/>
          <w:color w:val="auto"/>
          <w:szCs w:val="21"/>
          <w:highlight w:val="none"/>
          <w:u w:val="single"/>
        </w:rPr>
        <w:t>项目名称及项目编号</w:t>
      </w:r>
      <w:r>
        <w:rPr>
          <w:rFonts w:hint="eastAsia" w:ascii="宋体" w:hAnsi="宋体" w:cs="宋体"/>
          <w:color w:val="auto"/>
          <w:szCs w:val="21"/>
          <w:highlight w:val="none"/>
        </w:rPr>
        <w:t>）成交通知书，甲方接受乙方对本项目的竞标，甲、乙双方同意签署本合同（以下简称合同），成交通知书、竞争性谈判文件及补充（如有）、响应文件及澄清（如有）为本合同不可分割的部分并与本合同具有同等法律效力。</w:t>
      </w:r>
    </w:p>
    <w:p w14:paraId="2D3F2E9B">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1.采购内容</w:t>
      </w:r>
    </w:p>
    <w:tbl>
      <w:tblPr>
        <w:tblStyle w:val="38"/>
        <w:tblW w:w="86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1362"/>
        <w:gridCol w:w="1700"/>
        <w:gridCol w:w="2000"/>
        <w:gridCol w:w="2075"/>
      </w:tblGrid>
      <w:tr w14:paraId="23103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6" w:type="dxa"/>
            <w:vAlign w:val="center"/>
          </w:tcPr>
          <w:p w14:paraId="6BEBC43A">
            <w:pPr>
              <w:spacing w:line="440" w:lineRule="exact"/>
              <w:jc w:val="center"/>
              <w:rPr>
                <w:rFonts w:ascii="宋体" w:hAnsi="宋体" w:cs="宋体"/>
                <w:b/>
                <w:bCs/>
                <w:color w:val="auto"/>
                <w:szCs w:val="21"/>
                <w:highlight w:val="none"/>
              </w:rPr>
            </w:pPr>
            <w:r>
              <w:rPr>
                <w:rFonts w:hint="eastAsia" w:ascii="宋体" w:hAnsi="宋体" w:cs="宋体"/>
                <w:b/>
                <w:bCs/>
                <w:color w:val="auto"/>
                <w:szCs w:val="21"/>
                <w:highlight w:val="none"/>
              </w:rPr>
              <w:t>货物名称</w:t>
            </w:r>
          </w:p>
        </w:tc>
        <w:tc>
          <w:tcPr>
            <w:tcW w:w="1362" w:type="dxa"/>
            <w:vAlign w:val="center"/>
          </w:tcPr>
          <w:p w14:paraId="4ED3CFB1">
            <w:pPr>
              <w:spacing w:line="440" w:lineRule="exact"/>
              <w:jc w:val="center"/>
              <w:rPr>
                <w:rFonts w:ascii="宋体" w:hAnsi="宋体" w:cs="宋体"/>
                <w:b/>
                <w:bCs/>
                <w:color w:val="auto"/>
                <w:szCs w:val="21"/>
                <w:highlight w:val="none"/>
              </w:rPr>
            </w:pPr>
            <w:r>
              <w:rPr>
                <w:rFonts w:hint="eastAsia" w:ascii="宋体" w:hAnsi="宋体" w:cs="宋体"/>
                <w:b/>
                <w:bCs/>
                <w:color w:val="auto"/>
                <w:szCs w:val="21"/>
                <w:highlight w:val="none"/>
              </w:rPr>
              <w:t>数量</w:t>
            </w:r>
          </w:p>
          <w:p w14:paraId="2ED3A56C">
            <w:pPr>
              <w:spacing w:line="440" w:lineRule="exact"/>
              <w:jc w:val="center"/>
              <w:rPr>
                <w:rFonts w:ascii="宋体" w:hAnsi="宋体" w:cs="宋体"/>
                <w:b/>
                <w:bCs/>
                <w:color w:val="auto"/>
                <w:szCs w:val="21"/>
                <w:highlight w:val="none"/>
              </w:rPr>
            </w:pPr>
            <w:r>
              <w:rPr>
                <w:rFonts w:hint="eastAsia" w:ascii="宋体" w:hAnsi="宋体" w:cs="宋体"/>
                <w:b/>
                <w:bCs/>
                <w:color w:val="auto"/>
                <w:szCs w:val="21"/>
                <w:highlight w:val="none"/>
              </w:rPr>
              <w:t>（单位）</w:t>
            </w:r>
          </w:p>
        </w:tc>
        <w:tc>
          <w:tcPr>
            <w:tcW w:w="1700" w:type="dxa"/>
            <w:vAlign w:val="center"/>
          </w:tcPr>
          <w:p w14:paraId="087DFE33">
            <w:pPr>
              <w:spacing w:line="440" w:lineRule="exact"/>
              <w:jc w:val="center"/>
              <w:rPr>
                <w:rFonts w:ascii="宋体" w:hAnsi="宋体" w:cs="宋体"/>
                <w:b/>
                <w:bCs/>
                <w:color w:val="auto"/>
                <w:szCs w:val="21"/>
                <w:highlight w:val="none"/>
              </w:rPr>
            </w:pPr>
            <w:r>
              <w:rPr>
                <w:rFonts w:hint="eastAsia" w:ascii="宋体" w:hAnsi="宋体" w:cs="宋体"/>
                <w:b/>
                <w:bCs/>
                <w:color w:val="auto"/>
                <w:szCs w:val="21"/>
                <w:highlight w:val="none"/>
              </w:rPr>
              <w:t>品牌、厂家、型号、规格</w:t>
            </w:r>
          </w:p>
        </w:tc>
        <w:tc>
          <w:tcPr>
            <w:tcW w:w="2000" w:type="dxa"/>
            <w:vAlign w:val="center"/>
          </w:tcPr>
          <w:p w14:paraId="648D9576">
            <w:pPr>
              <w:spacing w:line="440" w:lineRule="exact"/>
              <w:jc w:val="center"/>
              <w:rPr>
                <w:rFonts w:ascii="宋体" w:hAnsi="宋体" w:cs="宋体"/>
                <w:b/>
                <w:bCs/>
                <w:color w:val="auto"/>
                <w:szCs w:val="21"/>
                <w:highlight w:val="none"/>
              </w:rPr>
            </w:pPr>
            <w:r>
              <w:rPr>
                <w:rFonts w:hint="eastAsia" w:ascii="宋体" w:hAnsi="宋体" w:cs="宋体"/>
                <w:b/>
                <w:bCs/>
                <w:color w:val="auto"/>
                <w:szCs w:val="21"/>
                <w:highlight w:val="none"/>
              </w:rPr>
              <w:t>技术参数</w:t>
            </w:r>
          </w:p>
        </w:tc>
        <w:tc>
          <w:tcPr>
            <w:tcW w:w="2075" w:type="dxa"/>
            <w:vAlign w:val="center"/>
          </w:tcPr>
          <w:p w14:paraId="26ABACC8">
            <w:pPr>
              <w:spacing w:line="440" w:lineRule="exact"/>
              <w:jc w:val="center"/>
              <w:rPr>
                <w:rFonts w:ascii="宋体" w:hAnsi="宋体" w:cs="宋体"/>
                <w:b/>
                <w:bCs/>
                <w:color w:val="auto"/>
                <w:szCs w:val="21"/>
                <w:highlight w:val="none"/>
              </w:rPr>
            </w:pPr>
            <w:r>
              <w:rPr>
                <w:rFonts w:hint="eastAsia" w:ascii="宋体" w:hAnsi="宋体" w:cs="宋体"/>
                <w:b/>
                <w:bCs/>
                <w:color w:val="auto"/>
                <w:szCs w:val="21"/>
                <w:highlight w:val="none"/>
              </w:rPr>
              <w:t>金额（元）</w:t>
            </w:r>
          </w:p>
        </w:tc>
      </w:tr>
      <w:tr w14:paraId="5C66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6" w:type="dxa"/>
            <w:vAlign w:val="center"/>
          </w:tcPr>
          <w:p w14:paraId="3F396281">
            <w:pPr>
              <w:spacing w:line="440" w:lineRule="exact"/>
              <w:rPr>
                <w:rFonts w:ascii="宋体" w:hAnsi="宋体" w:cs="宋体"/>
                <w:color w:val="auto"/>
                <w:szCs w:val="21"/>
                <w:highlight w:val="none"/>
              </w:rPr>
            </w:pPr>
          </w:p>
        </w:tc>
        <w:tc>
          <w:tcPr>
            <w:tcW w:w="1362" w:type="dxa"/>
            <w:vAlign w:val="center"/>
          </w:tcPr>
          <w:p w14:paraId="1784CC74">
            <w:pPr>
              <w:spacing w:line="440" w:lineRule="exact"/>
              <w:rPr>
                <w:rFonts w:ascii="宋体" w:hAnsi="宋体" w:cs="宋体"/>
                <w:color w:val="auto"/>
                <w:szCs w:val="21"/>
                <w:highlight w:val="none"/>
              </w:rPr>
            </w:pPr>
          </w:p>
        </w:tc>
        <w:tc>
          <w:tcPr>
            <w:tcW w:w="1700" w:type="dxa"/>
            <w:vAlign w:val="center"/>
          </w:tcPr>
          <w:p w14:paraId="5CA42C98">
            <w:pPr>
              <w:spacing w:line="440" w:lineRule="exact"/>
              <w:rPr>
                <w:rFonts w:ascii="宋体" w:hAnsi="宋体" w:cs="宋体"/>
                <w:color w:val="auto"/>
                <w:szCs w:val="21"/>
                <w:highlight w:val="none"/>
              </w:rPr>
            </w:pPr>
          </w:p>
        </w:tc>
        <w:tc>
          <w:tcPr>
            <w:tcW w:w="2000" w:type="dxa"/>
            <w:vAlign w:val="center"/>
          </w:tcPr>
          <w:p w14:paraId="214FB4BD">
            <w:pPr>
              <w:spacing w:line="440" w:lineRule="exact"/>
              <w:rPr>
                <w:rFonts w:ascii="宋体" w:hAnsi="宋体" w:cs="宋体"/>
                <w:color w:val="auto"/>
                <w:szCs w:val="21"/>
                <w:highlight w:val="none"/>
              </w:rPr>
            </w:pPr>
          </w:p>
        </w:tc>
        <w:tc>
          <w:tcPr>
            <w:tcW w:w="2075" w:type="dxa"/>
            <w:vAlign w:val="center"/>
          </w:tcPr>
          <w:p w14:paraId="09D57142">
            <w:pPr>
              <w:spacing w:line="440" w:lineRule="exact"/>
              <w:rPr>
                <w:rFonts w:ascii="宋体" w:hAnsi="宋体" w:cs="宋体"/>
                <w:color w:val="auto"/>
                <w:szCs w:val="21"/>
                <w:highlight w:val="none"/>
              </w:rPr>
            </w:pPr>
          </w:p>
        </w:tc>
      </w:tr>
      <w:tr w14:paraId="0B83D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6" w:type="dxa"/>
            <w:vAlign w:val="center"/>
          </w:tcPr>
          <w:p w14:paraId="68FF04F7">
            <w:pPr>
              <w:spacing w:line="440" w:lineRule="exact"/>
              <w:rPr>
                <w:rFonts w:ascii="宋体" w:hAnsi="宋体" w:cs="宋体"/>
                <w:color w:val="auto"/>
                <w:szCs w:val="21"/>
                <w:highlight w:val="none"/>
              </w:rPr>
            </w:pPr>
          </w:p>
        </w:tc>
        <w:tc>
          <w:tcPr>
            <w:tcW w:w="1362" w:type="dxa"/>
            <w:vAlign w:val="center"/>
          </w:tcPr>
          <w:p w14:paraId="1A6E698D">
            <w:pPr>
              <w:spacing w:line="440" w:lineRule="exact"/>
              <w:rPr>
                <w:rFonts w:ascii="宋体" w:hAnsi="宋体" w:cs="宋体"/>
                <w:color w:val="auto"/>
                <w:szCs w:val="21"/>
                <w:highlight w:val="none"/>
              </w:rPr>
            </w:pPr>
          </w:p>
        </w:tc>
        <w:tc>
          <w:tcPr>
            <w:tcW w:w="1700" w:type="dxa"/>
            <w:vAlign w:val="center"/>
          </w:tcPr>
          <w:p w14:paraId="18D3F654">
            <w:pPr>
              <w:spacing w:line="440" w:lineRule="exact"/>
              <w:rPr>
                <w:rFonts w:ascii="宋体" w:hAnsi="宋体" w:cs="宋体"/>
                <w:color w:val="auto"/>
                <w:szCs w:val="21"/>
                <w:highlight w:val="none"/>
              </w:rPr>
            </w:pPr>
          </w:p>
        </w:tc>
        <w:tc>
          <w:tcPr>
            <w:tcW w:w="2000" w:type="dxa"/>
            <w:vAlign w:val="center"/>
          </w:tcPr>
          <w:p w14:paraId="169DBF86">
            <w:pPr>
              <w:spacing w:line="440" w:lineRule="exact"/>
              <w:rPr>
                <w:rFonts w:ascii="宋体" w:hAnsi="宋体" w:cs="宋体"/>
                <w:color w:val="auto"/>
                <w:szCs w:val="21"/>
                <w:highlight w:val="none"/>
              </w:rPr>
            </w:pPr>
          </w:p>
        </w:tc>
        <w:tc>
          <w:tcPr>
            <w:tcW w:w="2075" w:type="dxa"/>
            <w:vAlign w:val="center"/>
          </w:tcPr>
          <w:p w14:paraId="3CC92456">
            <w:pPr>
              <w:spacing w:line="440" w:lineRule="exact"/>
              <w:rPr>
                <w:rFonts w:ascii="宋体" w:hAnsi="宋体" w:cs="宋体"/>
                <w:color w:val="auto"/>
                <w:szCs w:val="21"/>
                <w:highlight w:val="none"/>
              </w:rPr>
            </w:pPr>
          </w:p>
        </w:tc>
      </w:tr>
    </w:tbl>
    <w:p w14:paraId="5C74533A">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2.合同金额</w:t>
      </w:r>
    </w:p>
    <w:p w14:paraId="75A9D0ED">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2.1 本合同金额为人民币（大写）：</w:t>
      </w:r>
      <w:r>
        <w:rPr>
          <w:rFonts w:hint="eastAsia" w:ascii="宋体" w:hAnsi="宋体" w:cs="宋体"/>
          <w:color w:val="auto"/>
          <w:szCs w:val="21"/>
          <w:highlight w:val="none"/>
          <w:u w:val="single"/>
        </w:rPr>
        <w:t xml:space="preserve">    元整（¥  </w:t>
      </w:r>
      <w:r>
        <w:rPr>
          <w:rFonts w:hint="eastAsia" w:ascii="宋体" w:hAnsi="宋体" w:cs="宋体"/>
          <w:color w:val="auto"/>
          <w:szCs w:val="21"/>
          <w:highlight w:val="none"/>
        </w:rPr>
        <w:t>）；前述价款包含但不限于竞标货物及其配件（附件）价款、包装费、运费、装卸费、保险费、搬运费、安装费、调试费、信息系统接入费用、检验及检定验收费、售后服务费、培训费（如有）、税金等竞争性谈判文件和响应文件规定及合同包含的所有风险、责任等应有的全部费用。</w:t>
      </w:r>
    </w:p>
    <w:p w14:paraId="0EC113C7">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3.交付要求</w:t>
      </w:r>
    </w:p>
    <w:p w14:paraId="2020808D">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3.1 交付时间：</w:t>
      </w:r>
      <w:r>
        <w:rPr>
          <w:rFonts w:hint="eastAsia" w:ascii="宋体" w:hAnsi="宋体"/>
          <w:color w:val="auto"/>
          <w:szCs w:val="21"/>
          <w:highlight w:val="none"/>
        </w:rPr>
        <w:t>甲方向乙方发出供货通知，乙方在收到甲方通知后</w:t>
      </w:r>
      <w:r>
        <w:rPr>
          <w:rFonts w:hint="eastAsia" w:ascii="宋体" w:hAnsi="宋体"/>
          <w:color w:val="auto"/>
          <w:szCs w:val="21"/>
          <w:highlight w:val="none"/>
          <w:u w:val="single"/>
        </w:rPr>
        <w:t xml:space="preserve">    </w:t>
      </w:r>
      <w:r>
        <w:rPr>
          <w:rFonts w:hint="eastAsia" w:ascii="宋体" w:hAnsi="宋体"/>
          <w:color w:val="auto"/>
          <w:szCs w:val="21"/>
          <w:highlight w:val="none"/>
        </w:rPr>
        <w:t>个日历日将全部货物运抵甲方指定地点后完成安装、调试、培训等全部工作，并经最终验收合格后交付使用</w:t>
      </w:r>
      <w:r>
        <w:rPr>
          <w:rFonts w:hint="eastAsia" w:ascii="宋体" w:hAnsi="宋体" w:cs="宋体"/>
          <w:color w:val="auto"/>
          <w:szCs w:val="21"/>
          <w:highlight w:val="none"/>
          <w:lang w:bidi="ar"/>
        </w:rPr>
        <w:t>；</w:t>
      </w:r>
    </w:p>
    <w:p w14:paraId="19F07119">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3.2 交付地点：</w:t>
      </w:r>
      <w:r>
        <w:rPr>
          <w:rStyle w:val="266"/>
          <w:rFonts w:ascii="宋体" w:hAnsi="宋体"/>
          <w:color w:val="auto"/>
          <w:kern w:val="2"/>
          <w:szCs w:val="21"/>
          <w:highlight w:val="none"/>
        </w:rPr>
        <w:t>广西梧州市</w:t>
      </w:r>
      <w:r>
        <w:rPr>
          <w:rStyle w:val="266"/>
          <w:rFonts w:hint="eastAsia" w:ascii="宋体" w:hAnsi="宋体"/>
          <w:color w:val="auto"/>
          <w:kern w:val="2"/>
          <w:szCs w:val="21"/>
          <w:highlight w:val="none"/>
        </w:rPr>
        <w:t>甲方</w:t>
      </w:r>
      <w:r>
        <w:rPr>
          <w:rStyle w:val="266"/>
          <w:rFonts w:ascii="宋体" w:hAnsi="宋体"/>
          <w:color w:val="auto"/>
          <w:kern w:val="2"/>
          <w:szCs w:val="21"/>
          <w:highlight w:val="none"/>
        </w:rPr>
        <w:t>指定地点</w:t>
      </w:r>
      <w:r>
        <w:rPr>
          <w:rFonts w:hint="eastAsia" w:ascii="宋体" w:hAnsi="宋体" w:cs="宋体"/>
          <w:color w:val="auto"/>
          <w:szCs w:val="21"/>
          <w:highlight w:val="none"/>
        </w:rPr>
        <w:t>，本次采购不接受任何耗损；</w:t>
      </w:r>
    </w:p>
    <w:p w14:paraId="382F97AF">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3.3 交付方式：现场安装调试，甲方签署验收合格证书视为交付完成；</w:t>
      </w:r>
    </w:p>
    <w:p w14:paraId="14DAF8FB">
      <w:pPr>
        <w:spacing w:line="440" w:lineRule="exact"/>
        <w:ind w:firstLine="420" w:firstLineChars="200"/>
        <w:rPr>
          <w:color w:val="auto"/>
          <w:highlight w:val="none"/>
        </w:rPr>
      </w:pPr>
      <w:r>
        <w:rPr>
          <w:rFonts w:hint="eastAsia" w:ascii="宋体" w:hAnsi="宋体" w:cs="宋体"/>
          <w:color w:val="auto"/>
          <w:szCs w:val="21"/>
          <w:highlight w:val="none"/>
        </w:rPr>
        <w:t>3.4 乙方必须按响应文件承诺的技术参数、性能要求、质量标准等向甲方提供全新、完整、未经使用、无任何权利瑕疵的货物。</w:t>
      </w:r>
    </w:p>
    <w:p w14:paraId="2F8E77F2">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4.履约保证金</w:t>
      </w:r>
    </w:p>
    <w:p w14:paraId="079C52B0">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4.1履约保证金金额：无。</w:t>
      </w:r>
    </w:p>
    <w:p w14:paraId="131CE043">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5.质量保证及售后服务</w:t>
      </w:r>
    </w:p>
    <w:p w14:paraId="55D43844">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5.1 质保期：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自设备验收合格之日起计算（设备质保期原厂标准更长或者法律法规、规章、技术标准、其他规范性文件等对本次采购的货物质保期限有更长期限规定的，则依照其相关规定执行）。若质保期届满仍存在质保期内产生的未解决的技术问题或未完成的任务，乙方应按照合同约定提供售后服务，直到问题解决或任务完成为止。</w:t>
      </w:r>
    </w:p>
    <w:p w14:paraId="497F5EF2">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5.2 厂家</w:t>
      </w:r>
      <w:r>
        <w:rPr>
          <w:rFonts w:hint="eastAsia" w:ascii="宋体" w:hAnsi="宋体" w:cs="宋体"/>
          <w:bCs/>
          <w:color w:val="auto"/>
          <w:szCs w:val="21"/>
          <w:highlight w:val="none"/>
        </w:rPr>
        <w:t>须设有24小时服务电话，质保期内，在使用过程中发现质量问题或故障时，接到维修通知后，2小时内响应，24小时内实施维修服务。一般问题应在48小时内解决，重大问题或其他无法迅速解决的问题应在一周内解决，所发生的一切费用由乙方负责</w:t>
      </w:r>
      <w:r>
        <w:rPr>
          <w:rFonts w:hint="eastAsia" w:ascii="宋体" w:hAnsi="宋体" w:cs="宋体"/>
          <w:color w:val="auto"/>
          <w:szCs w:val="21"/>
          <w:highlight w:val="none"/>
        </w:rPr>
        <w:t>。</w:t>
      </w:r>
    </w:p>
    <w:p w14:paraId="366A4660">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5.3 乙方提供的货物在质量保证期内因货物本身的质量问题发生故障，乙方应无条件负责更换。对达不到技术要求者，根据实际情况，经双方协商，可按以下办法处理：</w:t>
      </w:r>
    </w:p>
    <w:p w14:paraId="261AB043">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（1）更换：由乙方承担所发生的全部费用；</w:t>
      </w:r>
    </w:p>
    <w:p w14:paraId="68E8B694">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（2）退货处理：乙方应退还甲方支付的合同款，同时应承担与该货物相关的直接费用（运输、保险、检验、合同款利息及银行手续费等）。</w:t>
      </w:r>
    </w:p>
    <w:p w14:paraId="26F5B82E">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5.4 在质量保证期内，乙方负责处理解决货物出现的质量及安全问题并承担一切费用，所有非故意性损坏以及正常使用范围内造成的损坏均要免费维修、全免费上门维修（包括配件费、维修费、差旅费等各项费用）；因人为因素出现的故障不在保修范围内，但乙方也要积极帮助甲方修理，并提供优惠价格的配件和服务。因货物出现的质量或安全问题导致任何人的经济或人身损失的，该损失由乙方负全部责任。</w:t>
      </w:r>
    </w:p>
    <w:p w14:paraId="3BA79068">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5.5 超过质量保证期的货物，乙方</w:t>
      </w:r>
      <w:r>
        <w:rPr>
          <w:color w:val="auto"/>
          <w:highlight w:val="none"/>
        </w:rPr>
        <w:t>在设备生命周期内</w:t>
      </w:r>
      <w:r>
        <w:rPr>
          <w:rFonts w:hint="eastAsia" w:ascii="宋体" w:hAnsi="宋体" w:cs="宋体"/>
          <w:color w:val="auto"/>
          <w:szCs w:val="21"/>
          <w:highlight w:val="none"/>
        </w:rPr>
        <w:t>提供</w:t>
      </w:r>
      <w:r>
        <w:rPr>
          <w:color w:val="auto"/>
          <w:highlight w:val="none"/>
        </w:rPr>
        <w:t>维护</w:t>
      </w:r>
      <w:r>
        <w:rPr>
          <w:rFonts w:hint="eastAsia" w:ascii="宋体" w:hAnsi="宋体" w:cs="宋体"/>
          <w:color w:val="auto"/>
          <w:szCs w:val="21"/>
          <w:highlight w:val="none"/>
        </w:rPr>
        <w:t>、保养服务，维修时只收部件成本费。（双方另有约定的，从其约定。）</w:t>
      </w:r>
    </w:p>
    <w:p w14:paraId="265BBB80">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5.6设备如属于政府部门有强制检定要求的，乙方应负责设备使用前的相关检定。</w:t>
      </w:r>
    </w:p>
    <w:p w14:paraId="2834EF8C">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5.7设备所有软件需提供终身免费升级服务，乙方随时优惠提供备品备件，优惠提供产品更新、改造服务。</w:t>
      </w:r>
    </w:p>
    <w:p w14:paraId="11D6A3B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5.8乙方提供的服务承诺和售后服务及维护期责任等其他具体约定事项。（见合同附件）</w:t>
      </w:r>
    </w:p>
    <w:p w14:paraId="7253F68D">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6.合同款支付</w:t>
      </w:r>
    </w:p>
    <w:p w14:paraId="1A267337">
      <w:pPr>
        <w:spacing w:line="440" w:lineRule="exact"/>
        <w:ind w:firstLine="420" w:firstLineChars="200"/>
        <w:rPr>
          <w:rFonts w:ascii="宋体" w:hAnsi="宋体" w:cs="宋体"/>
          <w:bCs/>
          <w:color w:val="auto"/>
          <w:szCs w:val="21"/>
          <w:highlight w:val="none"/>
          <w:u w:val="single"/>
        </w:rPr>
      </w:pPr>
      <w:r>
        <w:rPr>
          <w:rFonts w:hint="eastAsia" w:ascii="宋体" w:hAnsi="宋体" w:cs="宋体"/>
          <w:bCs/>
          <w:color w:val="auto"/>
          <w:szCs w:val="21"/>
          <w:highlight w:val="none"/>
        </w:rPr>
        <w:t>6.1付款方式：</w:t>
      </w:r>
    </w:p>
    <w:p w14:paraId="501EBF59">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本项目无预付款。甲方分三期向乙方支付合同款。</w:t>
      </w:r>
    </w:p>
    <w:p w14:paraId="469FA647">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第一期：乙方所有设备进场安装调试完毕并经甲方验收合格，自验收合格之日起计算3个月后，乙方开具合同总额30%的合法完税发票，甲方收到发票后10个工作日内向乙方支付合同总额的30%。</w:t>
      </w:r>
    </w:p>
    <w:p w14:paraId="75BACFAD">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第二期：自所有设备验收合格之日起计算9个月后，乙方开具合同总额60%的合法完税发票，甲方收到发票后10个工作日内向乙方支付合同总额的60%。</w:t>
      </w:r>
    </w:p>
    <w:p w14:paraId="1ABE108B">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第三期：余下合同总额的10%在所有设备验收合格之日起计算12个月后，乙方无其他违约情形，开具合同总额10%的合法完税发票，甲方收到发票后10个工作日内，在扣除乙方在合同履行期间对甲方所负的债务后，将剩余款项付清（不计利息）。</w:t>
      </w:r>
    </w:p>
    <w:p w14:paraId="088D5F2B">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付款前乙方需向甲方提供等额合法完税发票（发票类型以甲方的具体要求为准）以及请款函。</w:t>
      </w:r>
    </w:p>
    <w:p w14:paraId="3288B0B7">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合同签署的乙方公司名称及发票开具单位与收款单位必须一致，在合同执行过程中，乙方不得以其他不正当理由要求调整发票开具单位或收款单位，否则视为乙方违约，甲方有权拒绝支付货款。</w:t>
      </w:r>
    </w:p>
    <w:p w14:paraId="40F029E2">
      <w:pPr>
        <w:widowControl/>
        <w:snapToGrid w:val="0"/>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7.信息系统接入</w:t>
      </w:r>
    </w:p>
    <w:tbl>
      <w:tblPr>
        <w:tblStyle w:val="39"/>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1"/>
        <w:gridCol w:w="2977"/>
        <w:gridCol w:w="2988"/>
      </w:tblGrid>
      <w:tr w14:paraId="213FF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2981" w:type="dxa"/>
            <w:vAlign w:val="center"/>
          </w:tcPr>
          <w:p w14:paraId="58838EEE">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医院信息系统</w:t>
            </w:r>
          </w:p>
        </w:tc>
        <w:tc>
          <w:tcPr>
            <w:tcW w:w="2977" w:type="dxa"/>
            <w:vAlign w:val="center"/>
          </w:tcPr>
          <w:p w14:paraId="4A0F1368">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接入情况</w:t>
            </w:r>
          </w:p>
        </w:tc>
        <w:tc>
          <w:tcPr>
            <w:tcW w:w="2988" w:type="dxa"/>
            <w:vAlign w:val="center"/>
          </w:tcPr>
          <w:p w14:paraId="3F68598B">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接入方式</w:t>
            </w:r>
          </w:p>
        </w:tc>
      </w:tr>
      <w:tr w14:paraId="77371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2981" w:type="dxa"/>
            <w:vAlign w:val="center"/>
          </w:tcPr>
          <w:p w14:paraId="2F0F1473">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LIS</w:t>
            </w:r>
          </w:p>
        </w:tc>
        <w:tc>
          <w:tcPr>
            <w:tcW w:w="2977" w:type="dxa"/>
            <w:vAlign w:val="center"/>
          </w:tcPr>
          <w:p w14:paraId="70905C9C">
            <w:pPr>
              <w:jc w:val="center"/>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接入</w:t>
            </w:r>
          </w:p>
        </w:tc>
        <w:tc>
          <w:tcPr>
            <w:tcW w:w="2988" w:type="dxa"/>
            <w:vAlign w:val="center"/>
          </w:tcPr>
          <w:p w14:paraId="6D3DCEE5">
            <w:pPr>
              <w:jc w:val="center"/>
              <w:rPr>
                <w:rFonts w:hint="eastAsia" w:ascii="宋体" w:hAnsi="宋体" w:cs="宋体"/>
                <w:color w:val="auto"/>
                <w:sz w:val="21"/>
                <w:szCs w:val="21"/>
                <w:highlight w:val="none"/>
              </w:rPr>
            </w:pPr>
            <w:r>
              <w:rPr>
                <w:rFonts w:hint="eastAsia" w:ascii="宋体" w:hAnsi="宋体" w:cs="宋体"/>
                <w:bCs/>
                <w:color w:val="auto"/>
                <w:szCs w:val="21"/>
                <w:highlight w:val="none"/>
              </w:rPr>
              <w:t>DICOM</w:t>
            </w:r>
          </w:p>
        </w:tc>
      </w:tr>
    </w:tbl>
    <w:p w14:paraId="182EB39E">
      <w:pPr>
        <w:pStyle w:val="15"/>
        <w:spacing w:after="0" w:line="440" w:lineRule="exact"/>
        <w:ind w:firstLine="420" w:firstLineChars="200"/>
        <w:rPr>
          <w:rFonts w:ascii="宋体" w:hAnsi="宋体" w:cs="宋体"/>
          <w:color w:val="auto"/>
          <w:kern w:val="2"/>
          <w:szCs w:val="21"/>
          <w:highlight w:val="none"/>
        </w:rPr>
      </w:pPr>
      <w:r>
        <w:rPr>
          <w:rFonts w:ascii="宋体" w:hAnsi="宋体" w:cs="宋体"/>
          <w:color w:val="auto"/>
          <w:kern w:val="2"/>
          <w:szCs w:val="21"/>
          <w:highlight w:val="none"/>
        </w:rPr>
        <w:t>本项目所有成交设备须完成与</w:t>
      </w:r>
      <w:r>
        <w:rPr>
          <w:rFonts w:hint="eastAsia" w:ascii="宋体" w:hAnsi="宋体" w:cs="宋体"/>
          <w:color w:val="auto"/>
          <w:kern w:val="2"/>
          <w:szCs w:val="21"/>
          <w:highlight w:val="none"/>
        </w:rPr>
        <w:t>甲方</w:t>
      </w:r>
      <w:r>
        <w:rPr>
          <w:rFonts w:ascii="宋体" w:hAnsi="宋体" w:cs="宋体"/>
          <w:color w:val="auto"/>
          <w:kern w:val="2"/>
          <w:szCs w:val="21"/>
          <w:highlight w:val="none"/>
        </w:rPr>
        <w:t>指定医院信息系统（系统名称：瑞美实验室管理软件（瑞美Lis））的对接接入工作，该工作为合同履行的必要组成部分。</w:t>
      </w:r>
      <w:r>
        <w:rPr>
          <w:rFonts w:hint="eastAsia" w:ascii="宋体" w:hAnsi="宋体" w:cs="宋体"/>
          <w:color w:val="auto"/>
          <w:kern w:val="2"/>
          <w:szCs w:val="21"/>
          <w:highlight w:val="none"/>
        </w:rPr>
        <w:t>信息系统接入费用已包含在合同金额中，甲方不再另行支付任何与设备接入相关的费用。</w:t>
      </w:r>
    </w:p>
    <w:p w14:paraId="610F52B3">
      <w:pPr>
        <w:widowControl/>
        <w:snapToGrid w:val="0"/>
        <w:spacing w:line="440" w:lineRule="exact"/>
        <w:ind w:firstLine="422" w:firstLineChars="200"/>
        <w:rPr>
          <w:rFonts w:ascii="宋体" w:hAnsi="宋体" w:cs="宋体"/>
          <w:b/>
          <w:color w:val="auto"/>
          <w:szCs w:val="21"/>
          <w:highlight w:val="none"/>
        </w:rPr>
      </w:pPr>
      <w:r>
        <w:rPr>
          <w:rFonts w:hint="eastAsia" w:ascii="宋体" w:hAnsi="宋体" w:cs="宋体"/>
          <w:b/>
          <w:bCs/>
          <w:color w:val="auto"/>
          <w:szCs w:val="21"/>
          <w:highlight w:val="none"/>
        </w:rPr>
        <w:t>8.产权</w:t>
      </w:r>
    </w:p>
    <w:p w14:paraId="23E497B0">
      <w:pPr>
        <w:spacing w:line="440" w:lineRule="exact"/>
        <w:ind w:firstLine="420" w:firstLineChars="200"/>
        <w:rPr>
          <w:rFonts w:ascii="宋体" w:hAnsi="宋体" w:cs="宋体"/>
          <w:bCs/>
          <w:color w:val="auto"/>
          <w:szCs w:val="21"/>
          <w:highlight w:val="none"/>
        </w:rPr>
      </w:pPr>
      <w:r>
        <w:rPr>
          <w:rFonts w:hint="eastAsia" w:ascii="宋体" w:hAnsi="宋体" w:cs="宋体"/>
          <w:color w:val="auto"/>
          <w:szCs w:val="21"/>
          <w:highlight w:val="none"/>
        </w:rPr>
        <w:t>8.1 乙方保证所提供的货物或其任何一部分均不会侵犯任何第三方的专利权、商标权、著作权或其他合法权益，若因此引发纠纷，由乙方承担全部法律责任及赔偿甲方所有损失</w:t>
      </w:r>
      <w:r>
        <w:rPr>
          <w:rFonts w:hint="eastAsia" w:ascii="宋体" w:hAnsi="宋体" w:cs="宋体"/>
          <w:bCs/>
          <w:color w:val="auto"/>
          <w:szCs w:val="21"/>
          <w:highlight w:val="none"/>
        </w:rPr>
        <w:t>。</w:t>
      </w:r>
    </w:p>
    <w:p w14:paraId="139BFBAE">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8.2 乙方保证所交付货物的所有权完全属于乙方且无任何抵押、查封等产权瑕疵。如乙方所交付货物有产权瑕疵的，视为乙方违约，按照本合同第12.3项的约定处理。但在已经全部支付完合同款后才发现有产权瑕疵的，乙方除了支付违约金还应负担甲方由此产生的一切损失。</w:t>
      </w:r>
    </w:p>
    <w:p w14:paraId="6212F34A">
      <w:pPr>
        <w:pStyle w:val="37"/>
        <w:spacing w:after="0" w:line="440" w:lineRule="exact"/>
        <w:ind w:left="0" w:leftChars="0"/>
        <w:rPr>
          <w:rFonts w:ascii="宋体" w:hAnsi="宋体" w:cs="宋体"/>
          <w:color w:val="auto"/>
          <w:szCs w:val="21"/>
          <w:highlight w:val="none"/>
        </w:rPr>
      </w:pPr>
      <w:r>
        <w:rPr>
          <w:rFonts w:hint="eastAsia" w:ascii="宋体" w:hAnsi="宋体" w:cs="宋体"/>
          <w:color w:val="auto"/>
          <w:szCs w:val="21"/>
          <w:highlight w:val="none"/>
        </w:rPr>
        <w:t>8.3设备验收合格之日起产权为甲方所有。</w:t>
      </w:r>
    </w:p>
    <w:p w14:paraId="0C0C36C0">
      <w:pPr>
        <w:spacing w:line="440" w:lineRule="exact"/>
        <w:ind w:firstLine="422" w:firstLineChars="200"/>
        <w:rPr>
          <w:rFonts w:ascii="宋体" w:hAnsi="宋体" w:cs="宋体"/>
          <w:b/>
          <w:color w:val="auto"/>
          <w:szCs w:val="21"/>
          <w:highlight w:val="none"/>
        </w:rPr>
      </w:pPr>
      <w:r>
        <w:rPr>
          <w:rFonts w:hint="eastAsia" w:ascii="宋体" w:hAnsi="宋体" w:cs="宋体"/>
          <w:b/>
          <w:bCs/>
          <w:color w:val="auto"/>
          <w:szCs w:val="21"/>
          <w:highlight w:val="none"/>
        </w:rPr>
        <w:t>9.技术资料</w:t>
      </w:r>
    </w:p>
    <w:p w14:paraId="4B9D278F">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9.1 甲方向乙方提供货物的有关技术资料（如有）。</w:t>
      </w:r>
    </w:p>
    <w:p w14:paraId="6703818C">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9.2 乙方应在采购文件规定的时间向甲方提供使用货物的有关技术资料。</w:t>
      </w:r>
    </w:p>
    <w:p w14:paraId="0C8DC795">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9.3 没有甲方事先书面同意，乙方不得将甲方提供的有关合同或任何合同条文、规格、计划、图纸、样品或资料提供给与履行本合同无关的第三方。即使向与履行本合同有关的人员提供，也应注意保密并限于履行合同的必需范围。</w:t>
      </w:r>
    </w:p>
    <w:p w14:paraId="362E4BF0">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10.货物包装、发运及运输</w:t>
      </w:r>
    </w:p>
    <w:p w14:paraId="2924017E">
      <w:pPr>
        <w:tabs>
          <w:tab w:val="left" w:pos="0"/>
        </w:tabs>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10.1 乙方应在货物发运前对其进行满足运输距离、防潮、防震、防锈和防破损装卸等要求包装，以保证货物安全运达甲方指定地点。</w:t>
      </w:r>
    </w:p>
    <w:p w14:paraId="655A074D">
      <w:pPr>
        <w:tabs>
          <w:tab w:val="left" w:pos="0"/>
        </w:tabs>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10.2 使用说明书、质量检验证明书、保修单据、随配附件和工具以及清单一并附于货物内。</w:t>
      </w:r>
    </w:p>
    <w:p w14:paraId="49D70E95">
      <w:pPr>
        <w:tabs>
          <w:tab w:val="left" w:pos="0"/>
        </w:tabs>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10.3 乙方在货物发运手续办理完毕后24小时内或货到甲方48小时前通知甲方，以准备接货。</w:t>
      </w:r>
    </w:p>
    <w:p w14:paraId="5A573C66">
      <w:pPr>
        <w:tabs>
          <w:tab w:val="left" w:pos="0"/>
        </w:tabs>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10.4 货物在验收合格前发生的风险均由乙方负责。</w:t>
      </w:r>
    </w:p>
    <w:p w14:paraId="5FB4FFD3">
      <w:pPr>
        <w:tabs>
          <w:tab w:val="left" w:pos="0"/>
        </w:tabs>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10.5 货物在规定的交付期限内安装调试并经验收合格，甲方签署验收合格证书视为乙方完成交付。</w:t>
      </w:r>
    </w:p>
    <w:p w14:paraId="3DC73BA3">
      <w:pPr>
        <w:tabs>
          <w:tab w:val="left" w:pos="0"/>
        </w:tabs>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11.调试和验收</w:t>
      </w:r>
    </w:p>
    <w:p w14:paraId="1F47AAF8">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11.1 验收方式：符合相关验收标准，如验收过程中，甲方发现存在不符相关标准的，乙方应按照甲方的要求限期内无条件置换，因此产生的费用由乙方承担。</w:t>
      </w:r>
    </w:p>
    <w:p w14:paraId="1B769BE7">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应在项目完成且收到乙方验收申请后5个工作日内对乙方提交的货物依据竞争性谈判文件、响应文件要求和国家标准或行业标准进行现场初步验收。对货物质量、外观、说明书符合要求的，给予签收；对不符合要求或有质量问题的货物不予签收，可立即要求退换，乙方不得拒绝和延误。</w:t>
      </w:r>
    </w:p>
    <w:p w14:paraId="30479C0D">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11.2 乙方交货前应对产品作出全面检查和对验收文件进行整理，并列出清单，作为甲方收货验收和使用的技术条件依据，检验的结果应随货物交甲方。</w:t>
      </w:r>
    </w:p>
    <w:p w14:paraId="463A5BDD">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11.3 甲方对乙方提供的货物在使用前进行调试时，乙方需负责安装并培训甲方的使用操作人员，并协助甲方一起调试，直到符合技术要求，甲方才做最终验收。</w:t>
      </w:r>
    </w:p>
    <w:p w14:paraId="47E30F84">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11.4 验收时乙方必须在现场，验收完毕后作出验收结果报告。</w:t>
      </w:r>
    </w:p>
    <w:p w14:paraId="6CD719CF">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11.5 对技术复杂的货物，甲方可请国家认可的专业检测机构参与验收，并由其出具质量检测报告，相关费用由乙方承担。</w:t>
      </w:r>
    </w:p>
    <w:p w14:paraId="130618C2">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12.违约责任</w:t>
      </w:r>
    </w:p>
    <w:p w14:paraId="6BF07602">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12.1 甲方无正当理由拒收货物的，经乙方催告后在合理期限内仍无正当理由拒收货物的，甲方每日应按合同总额的万分之五向乙方支付违约金，违约金最高不超过合同款总值的百分之五。</w:t>
      </w:r>
    </w:p>
    <w:p w14:paraId="02EC1906">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12.2 乙方逾期交付货物的，乙方应按合同总额每日万分之五向甲方支付违约金，由甲方从待付合同款中扣除。乙方逾期超过本合同约定交付日期十个工作日不能交付的，甲方可单方面解除本合同，并要求依法支付合同总值百分之三十的违约金</w:t>
      </w:r>
      <w:r>
        <w:rPr>
          <w:rFonts w:hint="eastAsia" w:ascii="宋体" w:hAnsi="宋体" w:cs="宋体"/>
          <w:color w:val="auto"/>
          <w:szCs w:val="21"/>
          <w:highlight w:val="none"/>
          <w:lang w:eastAsia="zh-CN"/>
        </w:rPr>
        <w:t>。</w:t>
      </w:r>
      <w:r>
        <w:rPr>
          <w:rFonts w:hint="eastAsia" w:ascii="宋体" w:hAnsi="宋体" w:cs="宋体"/>
          <w:color w:val="auto"/>
          <w:szCs w:val="21"/>
          <w:highlight w:val="none"/>
        </w:rPr>
        <w:t>若违约金不足以弥补甲方所遭受的损失（包括但不限于向第三方支付的违约金或赔偿金或补偿金、向国家机关缴纳的罚款等），乙方仍需承担相应的赔偿责任。</w:t>
      </w:r>
    </w:p>
    <w:p w14:paraId="3688BD0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12.3 乙方所交的货物品种、型号、规格、技术参数、质量不符合合同规定及采购文件规定标准的，甲方有权拒收该货物，乙方愿意更换货物但逾期交付的，按乙方逾期交付处理。乙方拒绝调换或经调换仍存在前述相关问题的，视为乙方不具备履约能力，甲方有权单方通知乙方解除合同，要求乙方退还已收款项并支付合同总金额30%的违约金。因调换逾期交付的，按照12.2款处理。</w:t>
      </w:r>
    </w:p>
    <w:p w14:paraId="36C91BE0">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12.4乙方未按照合同约定提供培训、售后等相关服务的，视为乙方违约，甲方有权要求乙方支付合同总金额30%的违约金</w:t>
      </w:r>
      <w:r>
        <w:rPr>
          <w:rFonts w:hint="eastAsia" w:ascii="宋体" w:hAnsi="宋体" w:cs="宋体"/>
          <w:color w:val="auto"/>
          <w:szCs w:val="21"/>
          <w:highlight w:val="none"/>
          <w:lang w:eastAsia="zh-CN"/>
        </w:rPr>
        <w:t>。</w:t>
      </w:r>
      <w:r>
        <w:rPr>
          <w:rFonts w:hint="eastAsia" w:ascii="宋体" w:hAnsi="宋体" w:cs="宋体"/>
          <w:color w:val="auto"/>
          <w:szCs w:val="21"/>
          <w:highlight w:val="none"/>
        </w:rPr>
        <w:t>若违约金不足以弥补甲方所遭受的损失（包括但不限于向第三方支付的违约金或赔偿金或补偿金、向国家机关缴纳的罚款等），乙方仍需承担相应的赔偿责任。且甲方有权自行选择第三方提供相应服务，产生的全部费用由乙方承担。</w:t>
      </w:r>
    </w:p>
    <w:p w14:paraId="2EF878C2">
      <w:pPr>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12.5乙方有上述违约行为之一，应承担违约责任。相应违约金，甲方有权从应付给乙方的任何款项中扣除或采取其他方式收回。违约金的支付并不免除乙方履行合同义务的责任。</w:t>
      </w:r>
    </w:p>
    <w:p w14:paraId="0DB1FFF5">
      <w:pPr>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2</w:t>
      </w:r>
      <w:r>
        <w:rPr>
          <w:rFonts w:hint="eastAsia" w:ascii="宋体" w:hAnsi="宋体" w:cs="宋体"/>
          <w:color w:val="auto"/>
          <w:szCs w:val="21"/>
          <w:highlight w:val="none"/>
        </w:rPr>
        <w:t>.6因乙方违约，甲方为维护权益而产生的一切开支，包括但不限于诉讼费、财产保全保险费、鉴定费、公证费、评估费、检验费或检测费、律师费、相关人员差旅费等由乙方承担。</w:t>
      </w:r>
    </w:p>
    <w:p w14:paraId="0072841D">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13.不可抗力事件处理</w:t>
      </w:r>
    </w:p>
    <w:p w14:paraId="44430123">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13.1 在合同有效期内，任何一方因不可抗力事件导致不能履行合同，则合同履行期可延长，其延长期与不可抗力影响期相同。</w:t>
      </w:r>
    </w:p>
    <w:p w14:paraId="598F62D2">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13.2 不可抗力事件发生后，应立即通知对方，并寄送有关权威机构出具的证明。</w:t>
      </w:r>
    </w:p>
    <w:p w14:paraId="6CCF060D">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13.3 不可抗力事件延续60天以上，双方应通过友好协商，确定是否继续履行合同。</w:t>
      </w:r>
    </w:p>
    <w:p w14:paraId="5D2812E9">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14.诉讼</w:t>
      </w:r>
    </w:p>
    <w:p w14:paraId="656A6DF4">
      <w:pPr>
        <w:tabs>
          <w:tab w:val="left" w:pos="0"/>
        </w:tabs>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14.1 双方在执行合同中所发生的一切争议，应通过协商解决。如协商不成，可向甲方所在地广西梧州市万秀区有管辖权的人民法院起诉。</w:t>
      </w:r>
    </w:p>
    <w:p w14:paraId="3F090667">
      <w:pPr>
        <w:spacing w:line="44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15.合同生效及其他</w:t>
      </w:r>
    </w:p>
    <w:p w14:paraId="58477250">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15.1 合同经双方法定代表人或授权委托代理人签字或盖章并加盖单位公章或合同专用章后生效。</w:t>
      </w:r>
    </w:p>
    <w:p w14:paraId="47F9392F">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15.2 合同执行中涉及采购资金和采购内容修改或补充的，须签书面补充协议方可作为主合同不可分割的一部分。</w:t>
      </w:r>
    </w:p>
    <w:p w14:paraId="3F139CE9">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15.3除《中华人民共和国政府采购法》第五十条规定的情形外，本合同一经签订，甲乙双方不得擅自变更、中止或者终止合同。</w:t>
      </w:r>
      <w:r>
        <w:rPr>
          <w:color w:val="auto"/>
          <w:highlight w:val="none"/>
        </w:rPr>
        <w:t>﻿</w:t>
      </w:r>
    </w:p>
    <w:p w14:paraId="6E777281">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15.4采购合同继续履行将损害国家利益和社会公共利益的，双方当事人应当变更、中止或者终止合同。有过错的一方应当承担赔偿责任，双方都有过错的，各自承担相应的责任。</w:t>
      </w:r>
    </w:p>
    <w:p w14:paraId="7770B339">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15.5本合同正本一式肆份，具有同等法律效力，甲方执叁份，乙方执壹份。</w:t>
      </w:r>
    </w:p>
    <w:p w14:paraId="3998955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15</w:t>
      </w:r>
      <w:r>
        <w:rPr>
          <w:rFonts w:hint="eastAsia" w:ascii="宋体" w:hAnsi="宋体" w:cs="宋体"/>
          <w:color w:val="auto"/>
          <w:szCs w:val="21"/>
          <w:highlight w:val="none"/>
          <w:lang w:eastAsia="zh-Hans"/>
        </w:rPr>
        <w:t>.</w:t>
      </w:r>
      <w:r>
        <w:rPr>
          <w:rFonts w:hint="eastAsia" w:ascii="宋体" w:hAnsi="宋体" w:cs="宋体"/>
          <w:color w:val="auto"/>
          <w:szCs w:val="21"/>
          <w:highlight w:val="none"/>
        </w:rPr>
        <w:t>6本合同落款处甲乙双方所留联系方式均为真实、合法、有效信息，作为双方通知、法院诉讼文书等送达地址；任何一方联系方式变更的，应在变更之日起2日内书面通知对方，否则因此导致的一切不利后果均由未尽到通知</w:t>
      </w:r>
      <w:r>
        <w:rPr>
          <w:rFonts w:hint="eastAsia" w:ascii="宋体" w:hAnsi="宋体" w:cs="宋体"/>
          <w:color w:val="auto"/>
          <w:szCs w:val="21"/>
          <w:highlight w:val="none"/>
          <w:lang w:eastAsia="zh-Hans"/>
        </w:rPr>
        <w:t>义务</w:t>
      </w:r>
      <w:r>
        <w:rPr>
          <w:rFonts w:hint="eastAsia" w:ascii="宋体" w:hAnsi="宋体" w:cs="宋体"/>
          <w:color w:val="auto"/>
          <w:szCs w:val="21"/>
          <w:highlight w:val="none"/>
        </w:rPr>
        <w:t>的一方承担；双方通知、法院诉讼文书等根据所留信息送达，一经发出，满3日均视为送达成功。</w:t>
      </w:r>
    </w:p>
    <w:p w14:paraId="2DA6A372">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15.7 本合同未尽事宜，遵照《中华人民共和国民法典》有关条文执行。</w:t>
      </w:r>
    </w:p>
    <w:p w14:paraId="6CD908A7">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15.8 合同签订时间：         年      月      日</w:t>
      </w:r>
    </w:p>
    <w:p w14:paraId="5D2DF05E">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15.9 合同签订地点： 广西梧州万秀区</w:t>
      </w:r>
    </w:p>
    <w:p w14:paraId="466B302C">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（以下无正文，为本合同签署页）</w:t>
      </w:r>
    </w:p>
    <w:p w14:paraId="1923E2A6">
      <w:pPr>
        <w:spacing w:line="460" w:lineRule="exact"/>
        <w:ind w:firstLine="420" w:firstLineChars="200"/>
        <w:rPr>
          <w:rFonts w:ascii="宋体" w:hAnsi="宋体" w:cs="宋体"/>
          <w:color w:val="auto"/>
          <w:szCs w:val="21"/>
          <w:highlight w:val="none"/>
        </w:rPr>
      </w:pPr>
    </w:p>
    <w:p w14:paraId="10BACBE8">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甲方（盖章）：梧州市妇幼保健院</w:t>
      </w:r>
    </w:p>
    <w:p w14:paraId="692D2F56">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统一社会信用代码：</w:t>
      </w:r>
    </w:p>
    <w:p w14:paraId="057DEEF5">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地址：梧州市蝶山一路28号</w:t>
      </w:r>
    </w:p>
    <w:p w14:paraId="4B44D205">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法定代表人（签字或盖章）：</w:t>
      </w:r>
    </w:p>
    <w:p w14:paraId="2A39D951">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或委托代理人（签字）：</w:t>
      </w:r>
    </w:p>
    <w:p w14:paraId="0852C78E">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电话：</w:t>
      </w:r>
    </w:p>
    <w:p w14:paraId="6ABE3EDE">
      <w:pPr>
        <w:spacing w:line="460" w:lineRule="exact"/>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开户银行：</w:t>
      </w:r>
    </w:p>
    <w:p w14:paraId="1F7EB1E7">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开户名称： </w:t>
      </w:r>
    </w:p>
    <w:p w14:paraId="5A7BA9EE">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银行账号：</w:t>
      </w:r>
    </w:p>
    <w:p w14:paraId="55330672">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签订时间：     年    月   日</w:t>
      </w:r>
    </w:p>
    <w:p w14:paraId="218B2E57">
      <w:pPr>
        <w:pStyle w:val="267"/>
        <w:rPr>
          <w:color w:val="auto"/>
          <w:sz w:val="21"/>
          <w:szCs w:val="21"/>
          <w:highlight w:val="none"/>
        </w:rPr>
      </w:pPr>
    </w:p>
    <w:p w14:paraId="737D7ACC">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乙方（盖章）：</w:t>
      </w:r>
    </w:p>
    <w:p w14:paraId="2FDCD0FB">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统一社会信用代码：</w:t>
      </w:r>
    </w:p>
    <w:p w14:paraId="454A042D">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地址：</w:t>
      </w:r>
    </w:p>
    <w:p w14:paraId="438F07C4">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法定代表人（签字或盖章）：</w:t>
      </w:r>
    </w:p>
    <w:p w14:paraId="6129C6BD">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或委托代理人（签字）：</w:t>
      </w:r>
    </w:p>
    <w:p w14:paraId="1ABA2704">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电话：</w:t>
      </w:r>
    </w:p>
    <w:p w14:paraId="72777C92">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开户银行：</w:t>
      </w:r>
    </w:p>
    <w:p w14:paraId="6CF2EF1D">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开户名称： </w:t>
      </w:r>
    </w:p>
    <w:p w14:paraId="3ECC11F6">
      <w:pPr>
        <w:spacing w:line="4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银行账号：</w:t>
      </w:r>
    </w:p>
    <w:p w14:paraId="35D9EFE5">
      <w:pPr>
        <w:spacing w:line="460" w:lineRule="exact"/>
        <w:ind w:firstLine="420" w:firstLineChars="200"/>
        <w:rPr>
          <w:color w:val="auto"/>
          <w:highlight w:val="none"/>
        </w:rPr>
      </w:pPr>
      <w:r>
        <w:rPr>
          <w:rFonts w:hint="eastAsia" w:ascii="宋体" w:hAnsi="宋体" w:cs="宋体"/>
          <w:color w:val="auto"/>
          <w:szCs w:val="21"/>
          <w:highlight w:val="none"/>
        </w:rPr>
        <w:t>签订时间：     年    月   日</w:t>
      </w:r>
      <w:r>
        <w:rPr>
          <w:color w:val="auto"/>
          <w:highlight w:val="none"/>
        </w:rPr>
        <w:br w:type="page"/>
      </w:r>
    </w:p>
    <w:p w14:paraId="04D502C1">
      <w:pPr>
        <w:pStyle w:val="268"/>
        <w:widowControl w:val="0"/>
        <w:ind w:firstLine="0" w:firstLineChars="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附件1</w:t>
      </w:r>
    </w:p>
    <w:p w14:paraId="7AD7626D">
      <w:pPr>
        <w:snapToGrid w:val="0"/>
        <w:ind w:left="420" w:hanging="420"/>
        <w:rPr>
          <w:rStyle w:val="266"/>
          <w:rFonts w:ascii="仿宋_GB2312" w:hAnsi="仿宋_GB2312" w:eastAsia="仿宋_GB2312" w:cs="仿宋_GB2312"/>
          <w:bCs/>
          <w:color w:val="auto"/>
          <w:sz w:val="24"/>
          <w:highlight w:val="none"/>
        </w:rPr>
      </w:pPr>
    </w:p>
    <w:tbl>
      <w:tblPr>
        <w:tblStyle w:val="38"/>
        <w:tblW w:w="81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46"/>
        <w:gridCol w:w="4074"/>
      </w:tblGrid>
      <w:tr w14:paraId="43B37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1" w:hRule="exact"/>
          <w:jc w:val="center"/>
        </w:trPr>
        <w:tc>
          <w:tcPr>
            <w:tcW w:w="8120" w:type="dxa"/>
            <w:gridSpan w:val="2"/>
            <w:tcBorders>
              <w:top w:val="single" w:color="000000" w:sz="4" w:space="0"/>
              <w:left w:val="single" w:color="000000" w:sz="4" w:space="0"/>
              <w:bottom w:val="single" w:color="000000" w:sz="4" w:space="0"/>
              <w:right w:val="single" w:color="000000" w:sz="4" w:space="0"/>
            </w:tcBorders>
            <w:noWrap/>
          </w:tcPr>
          <w:p w14:paraId="33E7F845">
            <w:pPr>
              <w:numPr>
                <w:ilvl w:val="0"/>
                <w:numId w:val="1"/>
              </w:numPr>
              <w:snapToGrid w:val="0"/>
              <w:ind w:left="422" w:hanging="422"/>
              <w:rPr>
                <w:rStyle w:val="266"/>
                <w:rFonts w:ascii="仿宋_GB2312" w:hAnsi="仿宋_GB2312" w:eastAsia="仿宋_GB2312" w:cs="仿宋_GB2312"/>
                <w:b/>
                <w:color w:val="auto"/>
                <w:sz w:val="24"/>
                <w:highlight w:val="none"/>
              </w:rPr>
            </w:pPr>
            <w:r>
              <w:rPr>
                <w:rStyle w:val="266"/>
                <w:rFonts w:hint="eastAsia" w:ascii="仿宋_GB2312" w:hAnsi="仿宋_GB2312" w:eastAsia="仿宋_GB2312" w:cs="仿宋_GB2312"/>
                <w:b/>
                <w:color w:val="auto"/>
                <w:sz w:val="24"/>
                <w:highlight w:val="none"/>
              </w:rPr>
              <w:t>供应商承诺具体事项：</w:t>
            </w:r>
          </w:p>
          <w:p w14:paraId="652C2E87">
            <w:pPr>
              <w:pStyle w:val="267"/>
              <w:rPr>
                <w:rFonts w:ascii="仿宋_GB2312" w:hAnsi="仿宋_GB2312" w:eastAsia="仿宋_GB2312" w:cs="仿宋_GB2312"/>
                <w:color w:val="auto"/>
                <w:highlight w:val="none"/>
              </w:rPr>
            </w:pPr>
          </w:p>
          <w:p w14:paraId="6B01EB79">
            <w:pPr>
              <w:pStyle w:val="267"/>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按</w:t>
            </w:r>
            <w:r>
              <w:rPr>
                <w:rFonts w:hint="eastAsia" w:ascii="仿宋_GB2312" w:hAnsi="仿宋_GB2312" w:eastAsia="仿宋_GB2312" w:cs="仿宋_GB2312"/>
                <w:color w:val="auto"/>
                <w:highlight w:val="none"/>
                <w:lang w:val="en-US" w:eastAsia="zh-CN"/>
              </w:rPr>
              <w:t>采购文件内容及</w:t>
            </w:r>
            <w:r>
              <w:rPr>
                <w:rFonts w:hint="eastAsia" w:ascii="仿宋_GB2312" w:hAnsi="仿宋_GB2312" w:eastAsia="仿宋_GB2312" w:cs="仿宋_GB2312"/>
                <w:color w:val="auto"/>
                <w:highlight w:val="none"/>
              </w:rPr>
              <w:t>成交响应文件承诺实施。</w:t>
            </w:r>
          </w:p>
        </w:tc>
      </w:tr>
      <w:tr w14:paraId="0FAEC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7" w:hRule="exact"/>
          <w:jc w:val="center"/>
        </w:trPr>
        <w:tc>
          <w:tcPr>
            <w:tcW w:w="8120" w:type="dxa"/>
            <w:gridSpan w:val="2"/>
            <w:tcBorders>
              <w:top w:val="single" w:color="000000" w:sz="4" w:space="0"/>
              <w:left w:val="single" w:color="000000" w:sz="4" w:space="0"/>
              <w:bottom w:val="single" w:color="000000" w:sz="4" w:space="0"/>
              <w:right w:val="single" w:color="000000" w:sz="4" w:space="0"/>
            </w:tcBorders>
            <w:noWrap/>
          </w:tcPr>
          <w:p w14:paraId="5749A0D5">
            <w:pPr>
              <w:pStyle w:val="267"/>
              <w:rPr>
                <w:rFonts w:ascii="仿宋_GB2312" w:hAnsi="仿宋_GB2312" w:eastAsia="仿宋_GB2312" w:cs="仿宋_GB2312"/>
                <w:color w:val="auto"/>
                <w:highlight w:val="none"/>
              </w:rPr>
            </w:pPr>
            <w:r>
              <w:rPr>
                <w:rStyle w:val="266"/>
                <w:rFonts w:hint="eastAsia" w:ascii="仿宋_GB2312" w:hAnsi="仿宋_GB2312" w:eastAsia="仿宋_GB2312" w:cs="仿宋_GB2312"/>
                <w:b/>
                <w:color w:val="auto"/>
                <w:highlight w:val="none"/>
              </w:rPr>
              <w:t>2、售后服务具体事项：</w:t>
            </w:r>
          </w:p>
          <w:p w14:paraId="3EABEA17">
            <w:pPr>
              <w:snapToGrid w:val="0"/>
              <w:spacing w:line="360" w:lineRule="auto"/>
              <w:ind w:firstLine="422"/>
              <w:rPr>
                <w:rFonts w:ascii="仿宋_GB2312" w:hAnsi="仿宋_GB2312" w:eastAsia="仿宋_GB2312" w:cs="仿宋_GB2312"/>
                <w:b/>
                <w:color w:val="auto"/>
                <w:sz w:val="24"/>
                <w:highlight w:val="none"/>
              </w:rPr>
            </w:pPr>
          </w:p>
          <w:p w14:paraId="64403E9C">
            <w:pPr>
              <w:snapToGrid w:val="0"/>
              <w:ind w:left="422" w:hanging="422"/>
              <w:rPr>
                <w:rStyle w:val="266"/>
                <w:rFonts w:ascii="仿宋_GB2312" w:hAnsi="仿宋_GB2312" w:eastAsia="仿宋_GB2312" w:cs="仿宋_GB2312"/>
                <w:b/>
                <w:color w:val="auto"/>
                <w:sz w:val="24"/>
                <w:highlight w:val="none"/>
              </w:rPr>
            </w:pPr>
            <w:r>
              <w:rPr>
                <w:rFonts w:hint="eastAsia" w:ascii="仿宋_GB2312" w:hAnsi="仿宋_GB2312" w:eastAsia="仿宋_GB2312" w:cs="仿宋_GB2312"/>
                <w:color w:val="auto"/>
                <w:sz w:val="24"/>
                <w:highlight w:val="none"/>
              </w:rPr>
              <w:t>按</w:t>
            </w:r>
            <w:r>
              <w:rPr>
                <w:rFonts w:hint="eastAsia" w:ascii="仿宋_GB2312" w:hAnsi="仿宋_GB2312" w:eastAsia="仿宋_GB2312" w:cs="仿宋_GB2312"/>
                <w:color w:val="auto"/>
                <w:sz w:val="24"/>
                <w:highlight w:val="none"/>
                <w:lang w:val="en-US" w:eastAsia="zh-CN"/>
              </w:rPr>
              <w:t>采购文件内容及</w:t>
            </w:r>
            <w:r>
              <w:rPr>
                <w:rFonts w:hint="eastAsia" w:ascii="仿宋_GB2312" w:hAnsi="仿宋_GB2312" w:eastAsia="仿宋_GB2312" w:cs="仿宋_GB2312"/>
                <w:color w:val="auto"/>
                <w:sz w:val="24"/>
                <w:highlight w:val="none"/>
              </w:rPr>
              <w:t>成交响应文件承诺实施。</w:t>
            </w:r>
          </w:p>
        </w:tc>
      </w:tr>
      <w:tr w14:paraId="6B36B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0" w:hRule="exact"/>
          <w:jc w:val="center"/>
        </w:trPr>
        <w:tc>
          <w:tcPr>
            <w:tcW w:w="8120" w:type="dxa"/>
            <w:gridSpan w:val="2"/>
            <w:tcBorders>
              <w:top w:val="single" w:color="000000" w:sz="4" w:space="0"/>
              <w:left w:val="single" w:color="000000" w:sz="4" w:space="0"/>
              <w:bottom w:val="single" w:color="000000" w:sz="4" w:space="0"/>
              <w:right w:val="single" w:color="000000" w:sz="4" w:space="0"/>
            </w:tcBorders>
            <w:noWrap/>
          </w:tcPr>
          <w:p w14:paraId="3E24D2E0">
            <w:pPr>
              <w:pStyle w:val="267"/>
              <w:rPr>
                <w:rFonts w:ascii="仿宋_GB2312" w:hAnsi="仿宋_GB2312" w:eastAsia="仿宋_GB2312" w:cs="仿宋_GB2312"/>
                <w:color w:val="auto"/>
                <w:highlight w:val="none"/>
              </w:rPr>
            </w:pPr>
            <w:r>
              <w:rPr>
                <w:rStyle w:val="266"/>
                <w:rFonts w:hint="eastAsia" w:ascii="仿宋_GB2312" w:hAnsi="仿宋_GB2312" w:eastAsia="仿宋_GB2312" w:cs="仿宋_GB2312"/>
                <w:b/>
                <w:color w:val="auto"/>
                <w:highlight w:val="none"/>
              </w:rPr>
              <w:t>3、维护期责任：</w:t>
            </w:r>
          </w:p>
          <w:p w14:paraId="25BAA867">
            <w:pPr>
              <w:snapToGrid w:val="0"/>
              <w:spacing w:line="360" w:lineRule="auto"/>
              <w:ind w:firstLine="422"/>
              <w:rPr>
                <w:rFonts w:ascii="仿宋_GB2312" w:hAnsi="仿宋_GB2312" w:eastAsia="仿宋_GB2312" w:cs="仿宋_GB2312"/>
                <w:b/>
                <w:color w:val="auto"/>
                <w:sz w:val="24"/>
                <w:highlight w:val="none"/>
              </w:rPr>
            </w:pPr>
          </w:p>
          <w:p w14:paraId="04DB46C5">
            <w:pPr>
              <w:snapToGrid w:val="0"/>
              <w:ind w:left="422" w:hanging="422"/>
              <w:rPr>
                <w:rStyle w:val="266"/>
                <w:rFonts w:ascii="仿宋_GB2312" w:hAnsi="仿宋_GB2312" w:eastAsia="仿宋_GB2312" w:cs="仿宋_GB2312"/>
                <w:b/>
                <w:color w:val="auto"/>
                <w:sz w:val="24"/>
                <w:highlight w:val="none"/>
              </w:rPr>
            </w:pPr>
            <w:r>
              <w:rPr>
                <w:rFonts w:hint="eastAsia" w:ascii="仿宋_GB2312" w:hAnsi="仿宋_GB2312" w:eastAsia="仿宋_GB2312" w:cs="仿宋_GB2312"/>
                <w:color w:val="auto"/>
                <w:sz w:val="24"/>
                <w:highlight w:val="none"/>
              </w:rPr>
              <w:t>按</w:t>
            </w:r>
            <w:r>
              <w:rPr>
                <w:rFonts w:hint="eastAsia" w:ascii="仿宋_GB2312" w:hAnsi="仿宋_GB2312" w:eastAsia="仿宋_GB2312" w:cs="仿宋_GB2312"/>
                <w:color w:val="auto"/>
                <w:sz w:val="24"/>
                <w:highlight w:val="none"/>
                <w:lang w:val="en-US" w:eastAsia="zh-CN"/>
              </w:rPr>
              <w:t>采购文件内容及</w:t>
            </w:r>
            <w:r>
              <w:rPr>
                <w:rFonts w:hint="eastAsia" w:ascii="仿宋_GB2312" w:hAnsi="仿宋_GB2312" w:eastAsia="仿宋_GB2312" w:cs="仿宋_GB2312"/>
                <w:color w:val="auto"/>
                <w:sz w:val="24"/>
                <w:highlight w:val="none"/>
              </w:rPr>
              <w:t>成交响应文件承诺实施。</w:t>
            </w:r>
          </w:p>
        </w:tc>
      </w:tr>
      <w:tr w14:paraId="3F487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2" w:hRule="exact"/>
          <w:jc w:val="center"/>
        </w:trPr>
        <w:tc>
          <w:tcPr>
            <w:tcW w:w="8120" w:type="dxa"/>
            <w:gridSpan w:val="2"/>
            <w:tcBorders>
              <w:top w:val="single" w:color="000000" w:sz="4" w:space="0"/>
              <w:left w:val="single" w:color="000000" w:sz="4" w:space="0"/>
              <w:bottom w:val="single" w:color="000000" w:sz="4" w:space="0"/>
              <w:right w:val="single" w:color="000000" w:sz="4" w:space="0"/>
            </w:tcBorders>
            <w:noWrap/>
          </w:tcPr>
          <w:p w14:paraId="2CC12B01">
            <w:pPr>
              <w:pStyle w:val="267"/>
              <w:rPr>
                <w:rFonts w:ascii="仿宋_GB2312" w:hAnsi="仿宋_GB2312" w:eastAsia="仿宋_GB2312" w:cs="仿宋_GB2312"/>
                <w:color w:val="auto"/>
                <w:highlight w:val="none"/>
              </w:rPr>
            </w:pPr>
            <w:r>
              <w:rPr>
                <w:rStyle w:val="266"/>
                <w:rFonts w:hint="eastAsia" w:ascii="仿宋_GB2312" w:hAnsi="仿宋_GB2312" w:eastAsia="仿宋_GB2312" w:cs="仿宋_GB2312"/>
                <w:b/>
                <w:color w:val="auto"/>
                <w:highlight w:val="none"/>
              </w:rPr>
              <w:t>4、其他具体事项：</w:t>
            </w:r>
          </w:p>
          <w:p w14:paraId="099B8595">
            <w:pPr>
              <w:snapToGrid w:val="0"/>
              <w:ind w:left="422" w:hanging="422"/>
              <w:rPr>
                <w:rStyle w:val="266"/>
                <w:rFonts w:ascii="仿宋_GB2312" w:hAnsi="仿宋_GB2312" w:eastAsia="仿宋_GB2312" w:cs="仿宋_GB2312"/>
                <w:b/>
                <w:color w:val="auto"/>
                <w:sz w:val="24"/>
                <w:highlight w:val="none"/>
              </w:rPr>
            </w:pPr>
          </w:p>
          <w:p w14:paraId="2E604BCB">
            <w:pPr>
              <w:snapToGrid w:val="0"/>
              <w:ind w:left="422" w:hanging="422"/>
              <w:rPr>
                <w:rStyle w:val="266"/>
                <w:rFonts w:ascii="仿宋_GB2312" w:hAnsi="仿宋_GB2312" w:eastAsia="仿宋_GB2312" w:cs="仿宋_GB2312"/>
                <w:b/>
                <w:color w:val="auto"/>
                <w:sz w:val="24"/>
                <w:highlight w:val="none"/>
              </w:rPr>
            </w:pPr>
            <w:r>
              <w:rPr>
                <w:rFonts w:hint="eastAsia" w:ascii="仿宋_GB2312" w:hAnsi="仿宋_GB2312" w:eastAsia="仿宋_GB2312" w:cs="仿宋_GB2312"/>
                <w:color w:val="auto"/>
                <w:sz w:val="24"/>
                <w:highlight w:val="none"/>
              </w:rPr>
              <w:t>按</w:t>
            </w:r>
            <w:r>
              <w:rPr>
                <w:rFonts w:hint="eastAsia" w:ascii="仿宋_GB2312" w:hAnsi="仿宋_GB2312" w:eastAsia="仿宋_GB2312" w:cs="仿宋_GB2312"/>
                <w:color w:val="auto"/>
                <w:sz w:val="24"/>
                <w:highlight w:val="none"/>
                <w:lang w:val="en-US" w:eastAsia="zh-CN"/>
              </w:rPr>
              <w:t>采购文件内容及</w:t>
            </w:r>
            <w:r>
              <w:rPr>
                <w:rFonts w:hint="eastAsia" w:ascii="仿宋_GB2312" w:hAnsi="仿宋_GB2312" w:eastAsia="仿宋_GB2312" w:cs="仿宋_GB2312"/>
                <w:color w:val="auto"/>
                <w:sz w:val="24"/>
                <w:highlight w:val="none"/>
              </w:rPr>
              <w:t>成交响应文件承诺实施。</w:t>
            </w:r>
          </w:p>
        </w:tc>
      </w:tr>
      <w:tr w14:paraId="3BC84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8" w:hRule="atLeast"/>
          <w:jc w:val="center"/>
        </w:trPr>
        <w:tc>
          <w:tcPr>
            <w:tcW w:w="4046" w:type="dxa"/>
            <w:tcBorders>
              <w:top w:val="single" w:color="000000" w:sz="4" w:space="0"/>
              <w:left w:val="single" w:color="000000" w:sz="4" w:space="0"/>
              <w:bottom w:val="single" w:color="000000" w:sz="4" w:space="0"/>
              <w:right w:val="single" w:color="000000" w:sz="4" w:space="0"/>
            </w:tcBorders>
            <w:noWrap/>
            <w:vAlign w:val="center"/>
          </w:tcPr>
          <w:p w14:paraId="5A80D245">
            <w:pPr>
              <w:snapToGrid w:val="0"/>
              <w:ind w:left="422" w:hanging="422"/>
              <w:rPr>
                <w:rStyle w:val="266"/>
                <w:rFonts w:ascii="仿宋_GB2312" w:hAnsi="仿宋_GB2312" w:eastAsia="仿宋_GB2312" w:cs="仿宋_GB2312"/>
                <w:b/>
                <w:color w:val="auto"/>
                <w:sz w:val="24"/>
                <w:highlight w:val="none"/>
              </w:rPr>
            </w:pPr>
            <w:r>
              <w:rPr>
                <w:rStyle w:val="266"/>
                <w:rFonts w:hint="eastAsia" w:ascii="仿宋_GB2312" w:hAnsi="仿宋_GB2312" w:eastAsia="仿宋_GB2312" w:cs="仿宋_GB2312"/>
                <w:b/>
                <w:color w:val="auto"/>
                <w:sz w:val="24"/>
                <w:highlight w:val="none"/>
              </w:rPr>
              <w:t>甲方（盖章）</w:t>
            </w:r>
          </w:p>
          <w:p w14:paraId="1B0F7BF5">
            <w:pPr>
              <w:snapToGrid w:val="0"/>
              <w:ind w:left="422" w:hanging="422"/>
              <w:rPr>
                <w:rStyle w:val="266"/>
                <w:rFonts w:ascii="仿宋_GB2312" w:hAnsi="仿宋_GB2312" w:eastAsia="仿宋_GB2312" w:cs="仿宋_GB2312"/>
                <w:b/>
                <w:color w:val="auto"/>
                <w:sz w:val="24"/>
                <w:highlight w:val="none"/>
              </w:rPr>
            </w:pPr>
          </w:p>
          <w:p w14:paraId="3C132625">
            <w:pPr>
              <w:snapToGrid w:val="0"/>
              <w:ind w:left="422" w:hanging="422"/>
              <w:rPr>
                <w:rStyle w:val="266"/>
                <w:rFonts w:ascii="仿宋_GB2312" w:hAnsi="仿宋_GB2312" w:eastAsia="仿宋_GB2312" w:cs="仿宋_GB2312"/>
                <w:b/>
                <w:color w:val="auto"/>
                <w:sz w:val="24"/>
                <w:highlight w:val="none"/>
              </w:rPr>
            </w:pPr>
          </w:p>
          <w:p w14:paraId="45AB1F80">
            <w:pPr>
              <w:snapToGrid w:val="0"/>
              <w:ind w:left="422" w:hanging="422"/>
              <w:rPr>
                <w:rStyle w:val="266"/>
                <w:rFonts w:ascii="仿宋_GB2312" w:hAnsi="仿宋_GB2312" w:eastAsia="仿宋_GB2312" w:cs="仿宋_GB2312"/>
                <w:b/>
                <w:color w:val="auto"/>
                <w:sz w:val="24"/>
                <w:highlight w:val="none"/>
              </w:rPr>
            </w:pPr>
          </w:p>
          <w:p w14:paraId="50E444F8">
            <w:pPr>
              <w:snapToGrid w:val="0"/>
              <w:ind w:left="422" w:hanging="422"/>
              <w:rPr>
                <w:rStyle w:val="266"/>
                <w:rFonts w:ascii="仿宋_GB2312" w:hAnsi="仿宋_GB2312" w:eastAsia="仿宋_GB2312" w:cs="仿宋_GB2312"/>
                <w:b/>
                <w:color w:val="auto"/>
                <w:sz w:val="24"/>
                <w:highlight w:val="none"/>
              </w:rPr>
            </w:pPr>
          </w:p>
          <w:p w14:paraId="6036C545">
            <w:pPr>
              <w:snapToGrid w:val="0"/>
              <w:ind w:left="422" w:hanging="422"/>
              <w:rPr>
                <w:rStyle w:val="266"/>
                <w:rFonts w:ascii="仿宋_GB2312" w:hAnsi="仿宋_GB2312" w:eastAsia="仿宋_GB2312" w:cs="仿宋_GB2312"/>
                <w:b/>
                <w:color w:val="auto"/>
                <w:sz w:val="24"/>
                <w:highlight w:val="none"/>
              </w:rPr>
            </w:pPr>
          </w:p>
          <w:p w14:paraId="303AC67A">
            <w:pPr>
              <w:snapToGrid w:val="0"/>
              <w:ind w:left="422" w:hanging="422"/>
              <w:rPr>
                <w:rStyle w:val="266"/>
                <w:rFonts w:ascii="仿宋_GB2312" w:hAnsi="仿宋_GB2312" w:eastAsia="仿宋_GB2312" w:cs="仿宋_GB2312"/>
                <w:b/>
                <w:color w:val="auto"/>
                <w:sz w:val="24"/>
                <w:highlight w:val="none"/>
              </w:rPr>
            </w:pPr>
          </w:p>
          <w:p w14:paraId="59DD0B10">
            <w:pPr>
              <w:snapToGrid w:val="0"/>
              <w:ind w:left="422" w:hanging="422"/>
              <w:rPr>
                <w:rStyle w:val="266"/>
                <w:rFonts w:ascii="仿宋_GB2312" w:hAnsi="仿宋_GB2312" w:eastAsia="仿宋_GB2312" w:cs="仿宋_GB2312"/>
                <w:b/>
                <w:color w:val="auto"/>
                <w:sz w:val="24"/>
                <w:highlight w:val="none"/>
              </w:rPr>
            </w:pPr>
            <w:r>
              <w:rPr>
                <w:rStyle w:val="266"/>
                <w:rFonts w:hint="eastAsia" w:ascii="仿宋_GB2312" w:hAnsi="仿宋_GB2312" w:eastAsia="仿宋_GB2312" w:cs="仿宋_GB2312"/>
                <w:b/>
                <w:color w:val="auto"/>
                <w:sz w:val="24"/>
                <w:highlight w:val="none"/>
              </w:rPr>
              <w:t xml:space="preserve">                 年   月   日 </w:t>
            </w:r>
          </w:p>
        </w:tc>
        <w:tc>
          <w:tcPr>
            <w:tcW w:w="4074" w:type="dxa"/>
            <w:tcBorders>
              <w:top w:val="single" w:color="000000" w:sz="4" w:space="0"/>
              <w:left w:val="single" w:color="000000" w:sz="4" w:space="0"/>
              <w:bottom w:val="single" w:color="000000" w:sz="4" w:space="0"/>
              <w:right w:val="single" w:color="000000" w:sz="4" w:space="0"/>
            </w:tcBorders>
            <w:noWrap/>
            <w:vAlign w:val="center"/>
          </w:tcPr>
          <w:p w14:paraId="0FFE4F5D">
            <w:pPr>
              <w:snapToGrid w:val="0"/>
              <w:ind w:left="422" w:hanging="422"/>
              <w:rPr>
                <w:rStyle w:val="266"/>
                <w:rFonts w:ascii="仿宋_GB2312" w:hAnsi="仿宋_GB2312" w:eastAsia="仿宋_GB2312" w:cs="仿宋_GB2312"/>
                <w:b/>
                <w:color w:val="auto"/>
                <w:sz w:val="24"/>
                <w:highlight w:val="none"/>
              </w:rPr>
            </w:pPr>
            <w:r>
              <w:rPr>
                <w:rStyle w:val="266"/>
                <w:rFonts w:hint="eastAsia" w:ascii="仿宋_GB2312" w:hAnsi="仿宋_GB2312" w:eastAsia="仿宋_GB2312" w:cs="仿宋_GB2312"/>
                <w:b/>
                <w:color w:val="auto"/>
                <w:sz w:val="24"/>
                <w:highlight w:val="none"/>
              </w:rPr>
              <w:t>乙方（盖章，自然人盖手指印）</w:t>
            </w:r>
          </w:p>
          <w:p w14:paraId="2A376180">
            <w:pPr>
              <w:snapToGrid w:val="0"/>
              <w:ind w:left="422" w:hanging="422"/>
              <w:rPr>
                <w:rStyle w:val="266"/>
                <w:rFonts w:ascii="仿宋_GB2312" w:hAnsi="仿宋_GB2312" w:eastAsia="仿宋_GB2312" w:cs="仿宋_GB2312"/>
                <w:b/>
                <w:color w:val="auto"/>
                <w:sz w:val="24"/>
                <w:highlight w:val="none"/>
              </w:rPr>
            </w:pPr>
          </w:p>
          <w:p w14:paraId="29A4469D">
            <w:pPr>
              <w:snapToGrid w:val="0"/>
              <w:ind w:left="422" w:hanging="422"/>
              <w:rPr>
                <w:rStyle w:val="266"/>
                <w:rFonts w:ascii="仿宋_GB2312" w:hAnsi="仿宋_GB2312" w:eastAsia="仿宋_GB2312" w:cs="仿宋_GB2312"/>
                <w:b/>
                <w:color w:val="auto"/>
                <w:sz w:val="24"/>
                <w:highlight w:val="none"/>
              </w:rPr>
            </w:pPr>
          </w:p>
          <w:p w14:paraId="1E35CA15">
            <w:pPr>
              <w:snapToGrid w:val="0"/>
              <w:ind w:left="422" w:hanging="422"/>
              <w:rPr>
                <w:rStyle w:val="266"/>
                <w:rFonts w:ascii="仿宋_GB2312" w:hAnsi="仿宋_GB2312" w:eastAsia="仿宋_GB2312" w:cs="仿宋_GB2312"/>
                <w:b/>
                <w:color w:val="auto"/>
                <w:sz w:val="24"/>
                <w:highlight w:val="none"/>
              </w:rPr>
            </w:pPr>
          </w:p>
          <w:p w14:paraId="10964154">
            <w:pPr>
              <w:snapToGrid w:val="0"/>
              <w:ind w:left="422" w:hanging="422"/>
              <w:rPr>
                <w:rStyle w:val="266"/>
                <w:rFonts w:ascii="仿宋_GB2312" w:hAnsi="仿宋_GB2312" w:eastAsia="仿宋_GB2312" w:cs="仿宋_GB2312"/>
                <w:b/>
                <w:color w:val="auto"/>
                <w:sz w:val="24"/>
                <w:highlight w:val="none"/>
              </w:rPr>
            </w:pPr>
          </w:p>
          <w:p w14:paraId="6F54E1BE">
            <w:pPr>
              <w:snapToGrid w:val="0"/>
              <w:ind w:left="422" w:hanging="422"/>
              <w:rPr>
                <w:rStyle w:val="266"/>
                <w:rFonts w:ascii="仿宋_GB2312" w:hAnsi="仿宋_GB2312" w:eastAsia="仿宋_GB2312" w:cs="仿宋_GB2312"/>
                <w:b/>
                <w:color w:val="auto"/>
                <w:sz w:val="24"/>
                <w:highlight w:val="none"/>
              </w:rPr>
            </w:pPr>
          </w:p>
          <w:p w14:paraId="26653900">
            <w:pPr>
              <w:snapToGrid w:val="0"/>
              <w:ind w:left="422" w:hanging="422"/>
              <w:rPr>
                <w:rStyle w:val="266"/>
                <w:rFonts w:ascii="仿宋_GB2312" w:hAnsi="仿宋_GB2312" w:eastAsia="仿宋_GB2312" w:cs="仿宋_GB2312"/>
                <w:b/>
                <w:color w:val="auto"/>
                <w:sz w:val="24"/>
                <w:highlight w:val="none"/>
              </w:rPr>
            </w:pPr>
          </w:p>
          <w:p w14:paraId="14487BF6">
            <w:pPr>
              <w:snapToGrid w:val="0"/>
              <w:ind w:left="422" w:hanging="422"/>
              <w:rPr>
                <w:rStyle w:val="266"/>
                <w:rFonts w:ascii="仿宋_GB2312" w:hAnsi="仿宋_GB2312" w:eastAsia="仿宋_GB2312" w:cs="仿宋_GB2312"/>
                <w:b/>
                <w:color w:val="auto"/>
                <w:sz w:val="24"/>
                <w:highlight w:val="none"/>
              </w:rPr>
            </w:pPr>
            <w:r>
              <w:rPr>
                <w:rStyle w:val="266"/>
                <w:rFonts w:hint="eastAsia" w:ascii="仿宋_GB2312" w:hAnsi="仿宋_GB2312" w:eastAsia="仿宋_GB2312" w:cs="仿宋_GB2312"/>
                <w:b/>
                <w:color w:val="auto"/>
                <w:sz w:val="24"/>
                <w:highlight w:val="none"/>
              </w:rPr>
              <w:t xml:space="preserve">                年   月   日</w:t>
            </w:r>
          </w:p>
        </w:tc>
      </w:tr>
    </w:tbl>
    <w:p w14:paraId="0C5A323D">
      <w:pPr>
        <w:snapToGrid w:val="0"/>
        <w:ind w:left="420" w:hanging="420"/>
        <w:rPr>
          <w:rStyle w:val="266"/>
          <w:rFonts w:ascii="仿宋_GB2312" w:hAnsi="仿宋_GB2312" w:eastAsia="仿宋_GB2312" w:cs="仿宋_GB2312"/>
          <w:bCs/>
          <w:color w:val="auto"/>
          <w:sz w:val="24"/>
          <w:highlight w:val="none"/>
        </w:rPr>
      </w:pPr>
    </w:p>
    <w:p w14:paraId="7B460AB3">
      <w:pPr>
        <w:snapToGrid w:val="0"/>
        <w:ind w:left="420" w:hanging="420"/>
        <w:rPr>
          <w:rStyle w:val="266"/>
          <w:rFonts w:ascii="宋体" w:hAnsi="宋体" w:cs="宋体"/>
          <w:bCs/>
          <w:color w:val="auto"/>
          <w:szCs w:val="21"/>
          <w:highlight w:val="none"/>
        </w:rPr>
      </w:pPr>
      <w:r>
        <w:rPr>
          <w:rStyle w:val="266"/>
          <w:rFonts w:hint="eastAsia" w:ascii="仿宋_GB2312" w:hAnsi="仿宋_GB2312" w:eastAsia="仿宋_GB2312" w:cs="仿宋_GB2312"/>
          <w:bCs/>
          <w:color w:val="auto"/>
          <w:sz w:val="24"/>
          <w:highlight w:val="none"/>
        </w:rPr>
        <w:t>注：售后服务事项填不下时可另加附页</w:t>
      </w:r>
    </w:p>
    <w:p w14:paraId="49156C3D">
      <w:pPr>
        <w:rPr>
          <w:rFonts w:ascii="方正公文小标宋" w:hAnsi="方正公文小标宋" w:eastAsia="方正公文小标宋" w:cs="方正公文小标宋"/>
          <w:color w:val="auto"/>
          <w:highlight w:val="none"/>
        </w:rPr>
      </w:pPr>
      <w:r>
        <w:rPr>
          <w:rFonts w:hint="eastAsia" w:ascii="方正公文小标宋" w:hAnsi="方正公文小标宋" w:eastAsia="方正公文小标宋" w:cs="方正公文小标宋"/>
          <w:color w:val="auto"/>
          <w:highlight w:val="none"/>
        </w:rPr>
        <w:br w:type="page"/>
      </w:r>
    </w:p>
    <w:p w14:paraId="55E639B3">
      <w:pPr>
        <w:pStyle w:val="268"/>
        <w:widowControl w:val="0"/>
        <w:ind w:firstLine="0" w:firstLineChars="0"/>
        <w:rPr>
          <w:rFonts w:ascii="方正公文小标宋" w:hAnsi="方正公文小标宋" w:eastAsia="方正公文小标宋" w:cs="方正公文小标宋"/>
          <w:color w:val="auto"/>
          <w:highlight w:val="none"/>
        </w:rPr>
      </w:pPr>
      <w:r>
        <w:rPr>
          <w:rFonts w:hint="eastAsia" w:ascii="方正公文小标宋" w:hAnsi="方正公文小标宋" w:eastAsia="方正公文小标宋" w:cs="方正公文小标宋"/>
          <w:color w:val="auto"/>
          <w:highlight w:val="none"/>
        </w:rPr>
        <w:t>附件2</w:t>
      </w:r>
    </w:p>
    <w:p w14:paraId="7C406430">
      <w:pPr>
        <w:pStyle w:val="268"/>
        <w:widowControl w:val="0"/>
        <w:ind w:firstLine="0" w:firstLineChars="0"/>
        <w:jc w:val="center"/>
        <w:rPr>
          <w:rFonts w:ascii="方正公文小标宋" w:hAnsi="方正公文小标宋" w:eastAsia="方正公文小标宋" w:cs="方正公文小标宋"/>
          <w:color w:val="auto"/>
          <w:sz w:val="40"/>
          <w:szCs w:val="32"/>
          <w:highlight w:val="none"/>
        </w:rPr>
      </w:pPr>
      <w:r>
        <w:rPr>
          <w:rFonts w:hint="eastAsia" w:ascii="方正公文小标宋" w:hAnsi="方正公文小标宋" w:eastAsia="方正公文小标宋" w:cs="方正公文小标宋"/>
          <w:color w:val="auto"/>
          <w:sz w:val="40"/>
          <w:szCs w:val="32"/>
          <w:highlight w:val="none"/>
        </w:rPr>
        <w:t>项目采购廉洁承诺书</w:t>
      </w:r>
    </w:p>
    <w:p w14:paraId="4D506F50">
      <w:pPr>
        <w:pStyle w:val="268"/>
        <w:widowControl w:val="0"/>
        <w:ind w:firstLine="0" w:firstLineChars="0"/>
        <w:rPr>
          <w:color w:val="auto"/>
          <w:highlight w:val="none"/>
          <w:u w:val="single"/>
        </w:rPr>
      </w:pPr>
    </w:p>
    <w:p w14:paraId="21CB1CDE">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为深入贯彻落实国家卫生健康委等部门《关于印发医疗机构工作人员廉洁从业九项准则的通知》（国卫医发〔2021〕37号）、《广西壮族自治区医疗卫生机构及其工作人员廉洁从业规定》（桂卫发[2020]12号）及《中华人民共和国政府采购法》等文件精神，进一步规范医疗机构项目（包括货物、服务、工程等）采购行为，从源头上遏制和预防项目采购贿赂行为，营造风清气正的购销环境，我公司及所属业务人员作出以下不向医院工作人员赠送“回扣”“红包”等廉洁承诺：</w:t>
      </w:r>
    </w:p>
    <w:p w14:paraId="081F2B19">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一、严格遵守国家的法律法规，依法依规处理项目采购业务，保证不进行违法乱纪活动，自觉接受执法执纪部门的监督检查。</w:t>
      </w:r>
    </w:p>
    <w:p w14:paraId="2EC50545">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二、保证严格按照民法典及项目采购合同约定履行。</w:t>
      </w:r>
    </w:p>
    <w:p w14:paraId="576801D4">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三、在项目采购活动中，保证不以任何借口向医院及其工作人员（含工作人员的近亲属和其他关系人）给予回扣，包括但不限于以下内容：</w:t>
      </w:r>
    </w:p>
    <w:p w14:paraId="4C1B1315">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（一）以各种名义赠送礼品、礼金、有价证券和支付凭证等财物；</w:t>
      </w:r>
    </w:p>
    <w:p w14:paraId="45B7EA24">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（二）报销应当由医院及其工作人员与其近亲属和其他关系人支付的费用；</w:t>
      </w:r>
    </w:p>
    <w:p w14:paraId="3B9E34EE">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（三）向医院及其工作人员提供旅游、考察、宴请、健身、娱乐等活动；</w:t>
      </w:r>
    </w:p>
    <w:p w14:paraId="3F615DBC">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（四）在医疗活动中向临床工作人员提供促销费、开单（药品、检验试剂、耗材等）提成费、推介费等；</w:t>
      </w:r>
    </w:p>
    <w:p w14:paraId="1555D5E2">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（五）让医院及其工作人员进行以商业目的为目的的处方统计或为其统计提供便利，获取药品、医用设备试剂和医用耗材的用量信息，给予不正当利益；</w:t>
      </w:r>
    </w:p>
    <w:p w14:paraId="18FAF7C0">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（六）法律法规规定禁止的其他不正当行为。</w:t>
      </w:r>
    </w:p>
    <w:p w14:paraId="6EFF4083">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四、保证不到住院部、门诊部、医技科室等推销产品、项目，不借故到医疗机构相关领导、部门负责人及相关工作人员家中访谈并提供任何好处费。</w:t>
      </w:r>
    </w:p>
    <w:p w14:paraId="515AD188">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五、维护正常的医疗秩序，保证不以宴请、到营业性娱乐场所提供娱乐活动、提供旅游等手段影响医疗机构工作人员的项目采购（包括货物、服务、工程等）的公平性、公正性。</w:t>
      </w:r>
    </w:p>
    <w:p w14:paraId="42ADB1BA">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六、保证不以任何理由要求医院及其工作人员利用任何途径和方式统计医师个人及临床科室有关药品、耗材、后勤物资等的用量信息，或要求为营销人员统计提供便利。</w:t>
      </w:r>
    </w:p>
    <w:p w14:paraId="1C881459">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七、如有违反上述承诺，我公司愿意接受国家有关主管部门依法依规处理，承担相应的行政处罚以及法律责任等</w:t>
      </w:r>
    </w:p>
    <w:p w14:paraId="2B8163C3">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八、本承诺书一式肆份，医疗机构执叁份，我公司执壹份。</w:t>
      </w:r>
    </w:p>
    <w:p w14:paraId="1DDD09FB">
      <w:pPr>
        <w:pStyle w:val="268"/>
        <w:widowControl w:val="0"/>
        <w:ind w:firstLine="0" w:firstLineChars="0"/>
        <w:rPr>
          <w:rFonts w:ascii="仿宋_GB2312" w:hAnsi="仿宋_GB2312" w:eastAsia="仿宋_GB2312" w:cs="仿宋_GB2312"/>
          <w:color w:val="auto"/>
          <w:highlight w:val="none"/>
        </w:rPr>
      </w:pPr>
    </w:p>
    <w:p w14:paraId="43D4A95E">
      <w:pPr>
        <w:pStyle w:val="268"/>
        <w:widowControl w:val="0"/>
        <w:wordWrap w:val="0"/>
        <w:spacing w:after="120" w:afterLines="50"/>
        <w:ind w:firstLine="0" w:firstLineChars="0"/>
        <w:jc w:val="righ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公司名称（盖章）：                  </w:t>
      </w:r>
    </w:p>
    <w:p w14:paraId="5072440E">
      <w:pPr>
        <w:pStyle w:val="268"/>
        <w:widowControl w:val="0"/>
        <w:wordWrap w:val="0"/>
        <w:spacing w:after="120" w:afterLines="50"/>
        <w:ind w:firstLine="0" w:firstLineChars="0"/>
        <w:jc w:val="righ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法定代表人（签字或盖章）：                  </w:t>
      </w:r>
    </w:p>
    <w:p w14:paraId="4AA99CCF">
      <w:pPr>
        <w:pStyle w:val="268"/>
        <w:widowControl w:val="0"/>
        <w:spacing w:after="120" w:afterLines="50"/>
        <w:ind w:firstLine="0" w:firstLineChars="0"/>
        <w:jc w:val="center"/>
        <w:rPr>
          <w:color w:val="auto"/>
          <w:highlight w:val="none"/>
          <w:u w:val="single"/>
        </w:rPr>
      </w:pPr>
      <w:r>
        <w:rPr>
          <w:rFonts w:hint="eastAsia" w:ascii="仿宋_GB2312" w:hAnsi="仿宋_GB2312" w:eastAsia="仿宋_GB2312" w:cs="仿宋_GB2312"/>
          <w:color w:val="auto"/>
          <w:highlight w:val="none"/>
        </w:rPr>
        <w:t xml:space="preserve">                           日期：     年   月   日    </w:t>
      </w:r>
      <w:r>
        <w:rPr>
          <w:rFonts w:hint="eastAsia"/>
          <w:color w:val="auto"/>
          <w:highlight w:val="none"/>
        </w:rPr>
        <w:t xml:space="preserve">  </w:t>
      </w:r>
      <w:r>
        <w:rPr>
          <w:color w:val="auto"/>
          <w:highlight w:val="none"/>
        </w:rPr>
        <w:t xml:space="preserve">      </w:t>
      </w:r>
    </w:p>
    <w:p w14:paraId="67F1953A">
      <w:pPr>
        <w:rPr>
          <w:color w:val="auto"/>
          <w:highlight w:val="none"/>
          <w:u w:val="single"/>
        </w:rPr>
      </w:pPr>
      <w:r>
        <w:rPr>
          <w:rFonts w:hint="eastAsia"/>
          <w:color w:val="auto"/>
          <w:highlight w:val="none"/>
          <w:u w:val="single"/>
        </w:rPr>
        <w:br w:type="page"/>
      </w:r>
    </w:p>
    <w:p w14:paraId="39F6BEB8">
      <w:pPr>
        <w:pStyle w:val="268"/>
        <w:widowControl w:val="0"/>
        <w:ind w:firstLine="0" w:firstLineChars="0"/>
        <w:rPr>
          <w:rFonts w:ascii="方正公文小标宋" w:hAnsi="方正公文小标宋" w:eastAsia="方正公文小标宋" w:cs="方正公文小标宋"/>
          <w:color w:val="auto"/>
          <w:highlight w:val="none"/>
        </w:rPr>
      </w:pPr>
      <w:r>
        <w:rPr>
          <w:rFonts w:hint="eastAsia" w:ascii="方正公文小标宋" w:hAnsi="方正公文小标宋" w:eastAsia="方正公文小标宋" w:cs="方正公文小标宋"/>
          <w:color w:val="auto"/>
          <w:highlight w:val="none"/>
        </w:rPr>
        <w:t>附件3</w:t>
      </w:r>
    </w:p>
    <w:p w14:paraId="49FF5ADB">
      <w:pPr>
        <w:pStyle w:val="268"/>
        <w:widowControl w:val="0"/>
        <w:ind w:firstLine="0" w:firstLineChars="0"/>
        <w:jc w:val="center"/>
        <w:rPr>
          <w:rFonts w:ascii="方正公文小标宋" w:hAnsi="方正公文小标宋" w:eastAsia="方正公文小标宋" w:cs="方正公文小标宋"/>
          <w:color w:val="auto"/>
          <w:sz w:val="40"/>
          <w:szCs w:val="32"/>
          <w:highlight w:val="none"/>
        </w:rPr>
      </w:pPr>
      <w:r>
        <w:rPr>
          <w:rFonts w:ascii="方正公文小标宋" w:hAnsi="方正公文小标宋" w:eastAsia="方正公文小标宋" w:cs="方正公文小标宋"/>
          <w:color w:val="auto"/>
          <w:sz w:val="40"/>
          <w:szCs w:val="32"/>
          <w:highlight w:val="none"/>
        </w:rPr>
        <w:t>梧州市妇幼保健院购销廉洁协议</w:t>
      </w:r>
    </w:p>
    <w:p w14:paraId="072A420D">
      <w:pPr>
        <w:pStyle w:val="268"/>
        <w:widowControl w:val="0"/>
        <w:ind w:firstLine="0" w:firstLineChars="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甲方：梧州市妇幼保健院</w:t>
      </w:r>
    </w:p>
    <w:p w14:paraId="7B349089">
      <w:pPr>
        <w:pStyle w:val="268"/>
        <w:widowControl w:val="0"/>
        <w:ind w:firstLine="0" w:firstLineChars="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乙方：                </w:t>
      </w:r>
    </w:p>
    <w:p w14:paraId="2A99D13B">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为进一步加强医疗卫生行风建设，规范购销行为，有效防范商业贿赂行为，营造公平交易、诚实守信的购销环境，经甲、乙双方协商，同意签订本协议，并共同遵守：</w:t>
      </w:r>
    </w:p>
    <w:p w14:paraId="69FC88D7">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一、甲乙双方严格遵守国家有关法律法规及相关政策，以及廉洁从业的各项规定。</w:t>
      </w:r>
    </w:p>
    <w:p w14:paraId="181A9A17">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二、甲方严禁接受乙方以任何名义、形式给予的回扣，不得接受乙方违规捐赠、资助。甲方工作人员不得参加乙方安排并支付费用的营业性娱乐场所的娱乐活动，不得以任何形式向乙方索要和收受现金、有价证券、支付凭证和贵重礼品等。被迫接受乙方给予的钱物，应予退还，无法退还的，有责任如实向有关纪检监察部门反映情况。</w:t>
      </w:r>
    </w:p>
    <w:p w14:paraId="4F96331B">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三、乙方严禁以任何理由、任何形式向甲方相关工作人员或其亲戚、朋友等利益相关人提供红包、宴请、馈赠礼金、购物卡、有价证券、贵重物品及好处费、感谢费等。不得以给予回扣、宴请、提供乙方付费的旅游安排、出行、住宿等方式影响购销工作的公开、公平、公正。</w:t>
      </w:r>
    </w:p>
    <w:p w14:paraId="503368FA">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四、乙方不得以任何理由到甲方相关领导、部门负责人及相关工作人员家中访谈并提供任何好处费。</w:t>
      </w:r>
    </w:p>
    <w:p w14:paraId="5F4F1450">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五、乙方如违反本协议，一经发现，甲方有权终止购销合同，并向有关纪检监察部门报告。</w:t>
      </w:r>
    </w:p>
    <w:p w14:paraId="77CB2490">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六、本协议作为甲方与乙方签订购销合同的重要组成部分，与购销合同一并执行，具有同等的法律效力。</w:t>
      </w:r>
    </w:p>
    <w:p w14:paraId="4746B0E8">
      <w:pPr>
        <w:pStyle w:val="268"/>
        <w:widowControl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七、本协议一式肆份，甲方执叁份、乙方执壹份，自签订之日起生效。</w:t>
      </w:r>
    </w:p>
    <w:p w14:paraId="7DFD9336">
      <w:pPr>
        <w:pStyle w:val="268"/>
        <w:widowControl w:val="0"/>
        <w:spacing w:before="120" w:beforeLines="50" w:line="480" w:lineRule="exact"/>
        <w:ind w:firstLine="0" w:firstLineChars="0"/>
        <w:jc w:val="both"/>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甲方（盖章）：                           乙方（盖章）：</w:t>
      </w:r>
    </w:p>
    <w:p w14:paraId="04058425">
      <w:pPr>
        <w:spacing w:before="120" w:beforeLines="50" w:line="480" w:lineRule="exact"/>
        <w:rPr>
          <w:color w:val="auto"/>
          <w:sz w:val="24"/>
          <w:szCs w:val="32"/>
          <w:highlight w:val="none"/>
        </w:rPr>
      </w:pPr>
      <w:r>
        <w:rPr>
          <w:rFonts w:hint="eastAsia" w:ascii="仿宋_GB2312" w:hAnsi="仿宋_GB2312" w:eastAsia="仿宋_GB2312" w:cs="仿宋_GB2312"/>
          <w:color w:val="auto"/>
          <w:sz w:val="24"/>
          <w:szCs w:val="32"/>
          <w:highlight w:val="none"/>
        </w:rPr>
        <w:t>法定代表人（负责人）：                   法定代表人（负责人）：</w:t>
      </w:r>
    </w:p>
    <w:p w14:paraId="50C4A9C7">
      <w:pPr>
        <w:rPr>
          <w:rFonts w:hint="eastAsia" w:ascii="仿宋_GB2312" w:hAnsi="仿宋_GB2312" w:eastAsia="仿宋_GB2312" w:cs="仿宋_GB2312"/>
          <w:color w:val="auto"/>
          <w:sz w:val="24"/>
          <w:szCs w:val="32"/>
          <w:highlight w:val="none"/>
        </w:rPr>
      </w:pPr>
    </w:p>
    <w:p w14:paraId="62AB26ED">
      <w:pPr>
        <w:rPr>
          <w:color w:val="auto"/>
          <w:highlight w:val="none"/>
        </w:rPr>
      </w:pPr>
      <w:r>
        <w:rPr>
          <w:rFonts w:hint="eastAsia" w:ascii="仿宋_GB2312" w:hAnsi="仿宋_GB2312" w:eastAsia="仿宋_GB2312" w:cs="仿宋_GB2312"/>
          <w:color w:val="auto"/>
          <w:sz w:val="24"/>
          <w:szCs w:val="32"/>
          <w:highlight w:val="none"/>
        </w:rPr>
        <w:t xml:space="preserve">日期：    年    月   日                        日期：    年    月   日 </w:t>
      </w:r>
    </w:p>
    <w:sectPr>
      <w:footerReference r:id="rId5" w:type="first"/>
      <w:pgSz w:w="11910" w:h="16840"/>
      <w:pgMar w:top="1340" w:right="1500" w:bottom="280" w:left="1680" w:header="720" w:footer="720" w:gutter="0"/>
      <w:cols w:space="1701"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5F19C3F-F93A-49EA-A1FA-3608105AA042}"/>
  </w:font>
  <w:font w:name="黑体">
    <w:panose1 w:val="02010609060101010101"/>
    <w:charset w:val="86"/>
    <w:family w:val="auto"/>
    <w:pitch w:val="default"/>
    <w:sig w:usb0="800002BF" w:usb1="38CF7CFA" w:usb2="00000016" w:usb3="00000000" w:csb0="00040001" w:csb1="00000000"/>
    <w:embedRegular r:id="rId2" w:fontKey="{B9F48F28-61EB-4AC6-8283-AA04A75AF00F}"/>
  </w:font>
  <w:font w:name="Courier New">
    <w:panose1 w:val="02070309020205020404"/>
    <w:charset w:val="01"/>
    <w:family w:val="modern"/>
    <w:pitch w:val="default"/>
    <w:sig w:usb0="E0002EFF" w:usb1="C0007843" w:usb2="00000009" w:usb3="00000000" w:csb0="400001FF" w:csb1="FFFF0000"/>
    <w:embedRegular r:id="rId3" w:fontKey="{ECF41BAB-2A38-4CCD-B7E5-762B14CE650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A4578983-CD8F-4ECA-AF60-A62523B19AC5}"/>
  </w:font>
  <w:font w:name="仿宋_GB2312">
    <w:panose1 w:val="02010609030101010101"/>
    <w:charset w:val="86"/>
    <w:family w:val="modern"/>
    <w:pitch w:val="default"/>
    <w:sig w:usb0="00000001" w:usb1="080E0000" w:usb2="00000000" w:usb3="00000000" w:csb0="00040000" w:csb1="00000000"/>
    <w:embedRegular r:id="rId5" w:fontKey="{CC69C42B-6705-4775-8F76-4F5514D6F445}"/>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A00002BF" w:usb1="78CF7CFB" w:usb2="00000016" w:usb3="00000000" w:csb0="6006009F" w:csb1="DFD70000"/>
  </w:font>
  <w:font w:name="方正小标宋简体">
    <w:panose1 w:val="02000000000000000000"/>
    <w:charset w:val="86"/>
    <w:family w:val="script"/>
    <w:pitch w:val="default"/>
    <w:sig w:usb0="00000001" w:usb1="08000000" w:usb2="00000000" w:usb3="00000000" w:csb0="00040000" w:csb1="00000000"/>
    <w:embedRegular r:id="rId6" w:fontKey="{81273F64-CC05-4BF9-8987-D0059997C63F}"/>
  </w:font>
  <w:font w:name="方正小标宋_GBK">
    <w:panose1 w:val="03000509000000000000"/>
    <w:charset w:val="86"/>
    <w:family w:val="auto"/>
    <w:pitch w:val="default"/>
    <w:sig w:usb0="00000001" w:usb1="080E0000" w:usb2="00000000" w:usb3="00000000" w:csb0="00040000" w:csb1="00000000"/>
    <w:embedRegular r:id="rId7" w:fontKey="{73104E8C-2433-4A48-8D7F-0BEC1C0E1D19}"/>
  </w:font>
  <w:font w:name="华文新魏">
    <w:panose1 w:val="02010800040101010101"/>
    <w:charset w:val="86"/>
    <w:family w:val="auto"/>
    <w:pitch w:val="default"/>
    <w:sig w:usb0="00000001" w:usb1="080F0000" w:usb2="00000000" w:usb3="00000000" w:csb0="00040000" w:csb1="00000000"/>
    <w:embedRegular r:id="rId8" w:fontKey="{ED308267-E6F0-46DE-A77B-4B3F8AE870A8}"/>
  </w:font>
  <w:font w:name="Helvetica">
    <w:altName w:val="Arial"/>
    <w:panose1 w:val="020B0604020202020204"/>
    <w:charset w:val="00"/>
    <w:family w:val="swiss"/>
    <w:pitch w:val="default"/>
    <w:sig w:usb0="00000000" w:usb1="00000000" w:usb2="00000000" w:usb3="00000000" w:csb0="00000001" w:csb1="00000000"/>
    <w:embedRegular r:id="rId9" w:fontKey="{D4DCF305-9133-4F3B-BE05-1DC46F1F58ED}"/>
  </w:font>
  <w:font w:name="Arial Unicode MS">
    <w:altName w:val="宋体"/>
    <w:panose1 w:val="020B0604020202020204"/>
    <w:charset w:val="86"/>
    <w:family w:val="swiss"/>
    <w:pitch w:val="default"/>
    <w:sig w:usb0="00000000" w:usb1="00000000" w:usb2="0000003F" w:usb3="00000000" w:csb0="603F01FF" w:csb1="FFFF0000"/>
    <w:embedRegular r:id="rId10" w:fontKey="{DEF27E09-F7C0-455F-B6AF-3EBC927A6BF1}"/>
  </w:font>
  <w:font w:name="方正公文小标宋">
    <w:panose1 w:val="02000500000000000000"/>
    <w:charset w:val="86"/>
    <w:family w:val="auto"/>
    <w:pitch w:val="default"/>
    <w:sig w:usb0="A00002BF" w:usb1="38CF7CFA" w:usb2="00000016" w:usb3="00000000" w:csb0="00040001" w:csb1="00000000"/>
    <w:embedRegular r:id="rId11" w:fontKey="{A1FD2796-7AA2-4450-B2BB-9E2CAA115211}"/>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979EB">
    <w:pPr>
      <w:pStyle w:val="227"/>
      <w:jc w:val="center"/>
    </w:pPr>
    <w:r>
      <w:fldChar w:fldCharType="begin"/>
    </w:r>
    <w:r>
      <w:instrText xml:space="preserve"> PAGE   \* MERGEFORMAT </w:instrText>
    </w:r>
    <w:r>
      <w:fldChar w:fldCharType="separate"/>
    </w:r>
    <w:r>
      <w:rPr>
        <w:lang w:val="zh-CN"/>
      </w:rPr>
      <w:t>46</w:t>
    </w:r>
    <w:r>
      <w:fldChar w:fldCharType="end"/>
    </w:r>
  </w:p>
  <w:p w14:paraId="72270F0D">
    <w:pPr>
      <w:pStyle w:val="2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9D7E1">
    <w:pPr>
      <w:pStyle w:val="2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717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30BB85A">
                          <w:pPr>
                            <w:pStyle w:val="22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1">
                      <a:spAutoFit/>
                    </wps:bodyPr>
                  </wps:wsp>
                </a:graphicData>
              </a:graphic>
            </wp:anchor>
          </w:drawing>
        </mc:Choice>
        <mc:Fallback>
          <w:pict>
            <v:shape id="_x0000_s717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KAXNrTFAQAAqAMAAA4AAAAAAAAAAQAgAAAAHgEAAGRycy9lMm9Eb2MueG1s&#10;UEsFBgAAAAAGAAYAWQEAAFUFAAAAAA==&#10;">
              <v:fill on="f" focussize="0,0"/>
              <v:stroke on="f"/>
              <v:imagedata o:title=""/>
              <o:lock v:ext="edit" aspectratio="f"/>
              <v:textbox inset="0mm,0mm,0mm,0mm" style="mso-fit-shape-to-text:t;">
                <w:txbxContent>
                  <w:p w14:paraId="330BB85A">
                    <w:pPr>
                      <w:pStyle w:val="22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20949">
    <w:pPr>
      <w:pStyle w:val="229"/>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7A3271"/>
    <w:multiLevelType w:val="singleLevel"/>
    <w:tmpl w:val="B27A327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E76"/>
    <w:rsid w:val="000D6B4F"/>
    <w:rsid w:val="00106DE7"/>
    <w:rsid w:val="00136035"/>
    <w:rsid w:val="001E1E76"/>
    <w:rsid w:val="00215BAA"/>
    <w:rsid w:val="006043BE"/>
    <w:rsid w:val="00770A00"/>
    <w:rsid w:val="00796002"/>
    <w:rsid w:val="00A1459B"/>
    <w:rsid w:val="00AB60A0"/>
    <w:rsid w:val="00BB12E9"/>
    <w:rsid w:val="00BE1C35"/>
    <w:rsid w:val="014901CF"/>
    <w:rsid w:val="0307190A"/>
    <w:rsid w:val="05202E2D"/>
    <w:rsid w:val="08FD4011"/>
    <w:rsid w:val="090B4430"/>
    <w:rsid w:val="0DD42C10"/>
    <w:rsid w:val="10CB4EF6"/>
    <w:rsid w:val="137258F4"/>
    <w:rsid w:val="15AA250D"/>
    <w:rsid w:val="15EE6619"/>
    <w:rsid w:val="166B3D8D"/>
    <w:rsid w:val="1776321C"/>
    <w:rsid w:val="18D000DB"/>
    <w:rsid w:val="1A195677"/>
    <w:rsid w:val="1A290437"/>
    <w:rsid w:val="243674C1"/>
    <w:rsid w:val="254113FF"/>
    <w:rsid w:val="262C397D"/>
    <w:rsid w:val="2DA7380F"/>
    <w:rsid w:val="2DE107C6"/>
    <w:rsid w:val="2F78277C"/>
    <w:rsid w:val="30035F50"/>
    <w:rsid w:val="306A1468"/>
    <w:rsid w:val="309B2BEB"/>
    <w:rsid w:val="353D6B9D"/>
    <w:rsid w:val="368C613B"/>
    <w:rsid w:val="38AF4C84"/>
    <w:rsid w:val="3BA44F5D"/>
    <w:rsid w:val="3C490360"/>
    <w:rsid w:val="3F9F0AA5"/>
    <w:rsid w:val="40B465EC"/>
    <w:rsid w:val="44EC05F7"/>
    <w:rsid w:val="46B86D7D"/>
    <w:rsid w:val="4E2C205D"/>
    <w:rsid w:val="509A0398"/>
    <w:rsid w:val="514E086A"/>
    <w:rsid w:val="51DA1527"/>
    <w:rsid w:val="577668E8"/>
    <w:rsid w:val="586A666B"/>
    <w:rsid w:val="5A204430"/>
    <w:rsid w:val="5B6D25B2"/>
    <w:rsid w:val="5C9A677B"/>
    <w:rsid w:val="5E2110E5"/>
    <w:rsid w:val="62CB3C2B"/>
    <w:rsid w:val="632B42B3"/>
    <w:rsid w:val="635F20B0"/>
    <w:rsid w:val="66743629"/>
    <w:rsid w:val="67991348"/>
    <w:rsid w:val="68071EF1"/>
    <w:rsid w:val="699F478D"/>
    <w:rsid w:val="6B7B5E19"/>
    <w:rsid w:val="6CEB0BBC"/>
    <w:rsid w:val="6E9E34A6"/>
    <w:rsid w:val="70C55B37"/>
    <w:rsid w:val="71111FD2"/>
    <w:rsid w:val="72FC2A67"/>
    <w:rsid w:val="731C2ACC"/>
    <w:rsid w:val="75B545AA"/>
    <w:rsid w:val="792C4455"/>
    <w:rsid w:val="7A65416C"/>
    <w:rsid w:val="7D033D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173"/>
    <w:qFormat/>
    <w:uiPriority w:val="9"/>
    <w:pPr>
      <w:keepNext/>
      <w:keepLines/>
      <w:spacing w:before="360" w:after="80"/>
      <w:outlineLvl w:val="0"/>
    </w:pPr>
    <w:rPr>
      <w:rFonts w:ascii="Arial" w:hAnsi="Arial" w:eastAsia="Arial" w:cs="Arial"/>
      <w:color w:val="376092" w:themeColor="accent1" w:themeShade="BF"/>
      <w:sz w:val="40"/>
      <w:szCs w:val="40"/>
    </w:rPr>
  </w:style>
  <w:style w:type="paragraph" w:styleId="3">
    <w:name w:val="heading 2"/>
    <w:basedOn w:val="1"/>
    <w:next w:val="1"/>
    <w:link w:val="174"/>
    <w:unhideWhenUsed/>
    <w:qFormat/>
    <w:uiPriority w:val="9"/>
    <w:pPr>
      <w:keepNext/>
      <w:keepLines/>
      <w:spacing w:before="160" w:after="80"/>
      <w:outlineLvl w:val="1"/>
    </w:pPr>
    <w:rPr>
      <w:rFonts w:ascii="Arial" w:hAnsi="Arial" w:eastAsia="Arial" w:cs="Arial"/>
      <w:color w:val="376092" w:themeColor="accent1" w:themeShade="BF"/>
      <w:sz w:val="32"/>
      <w:szCs w:val="32"/>
    </w:rPr>
  </w:style>
  <w:style w:type="paragraph" w:styleId="4">
    <w:name w:val="heading 3"/>
    <w:basedOn w:val="1"/>
    <w:next w:val="1"/>
    <w:link w:val="175"/>
    <w:unhideWhenUsed/>
    <w:qFormat/>
    <w:uiPriority w:val="9"/>
    <w:pPr>
      <w:keepNext/>
      <w:keepLines/>
      <w:spacing w:before="160" w:after="80"/>
      <w:outlineLvl w:val="2"/>
    </w:pPr>
    <w:rPr>
      <w:rFonts w:ascii="Arial" w:hAnsi="Arial" w:eastAsia="Arial" w:cs="Arial"/>
      <w:color w:val="376092" w:themeColor="accent1" w:themeShade="BF"/>
      <w:sz w:val="28"/>
      <w:szCs w:val="28"/>
    </w:rPr>
  </w:style>
  <w:style w:type="paragraph" w:styleId="5">
    <w:name w:val="heading 4"/>
    <w:basedOn w:val="1"/>
    <w:next w:val="1"/>
    <w:link w:val="176"/>
    <w:unhideWhenUsed/>
    <w:qFormat/>
    <w:uiPriority w:val="9"/>
    <w:pPr>
      <w:keepNext/>
      <w:keepLines/>
      <w:spacing w:before="80" w:after="40"/>
      <w:outlineLvl w:val="3"/>
    </w:pPr>
    <w:rPr>
      <w:rFonts w:ascii="Arial" w:hAnsi="Arial" w:eastAsia="Arial" w:cs="Arial"/>
      <w:i/>
      <w:iCs/>
      <w:color w:val="376092" w:themeColor="accent1" w:themeShade="BF"/>
    </w:rPr>
  </w:style>
  <w:style w:type="paragraph" w:styleId="6">
    <w:name w:val="heading 5"/>
    <w:basedOn w:val="1"/>
    <w:next w:val="1"/>
    <w:link w:val="177"/>
    <w:unhideWhenUsed/>
    <w:qFormat/>
    <w:uiPriority w:val="9"/>
    <w:pPr>
      <w:keepNext/>
      <w:keepLines/>
      <w:spacing w:before="80" w:after="40"/>
      <w:outlineLvl w:val="4"/>
    </w:pPr>
    <w:rPr>
      <w:rFonts w:ascii="Arial" w:hAnsi="Arial" w:eastAsia="Arial" w:cs="Arial"/>
      <w:color w:val="376092" w:themeColor="accent1" w:themeShade="BF"/>
    </w:rPr>
  </w:style>
  <w:style w:type="paragraph" w:styleId="7">
    <w:name w:val="heading 6"/>
    <w:basedOn w:val="1"/>
    <w:next w:val="1"/>
    <w:link w:val="178"/>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79"/>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80"/>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81"/>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100"/>
      <w:ind w:left="1320"/>
    </w:pPr>
  </w:style>
  <w:style w:type="paragraph" w:styleId="12">
    <w:name w:val="Normal Indent"/>
    <w:basedOn w:val="1"/>
    <w:qFormat/>
    <w:uiPriority w:val="0"/>
    <w:pPr>
      <w:ind w:firstLine="420"/>
    </w:pPr>
    <w:rPr>
      <w:szCs w:val="20"/>
    </w:rPr>
  </w:style>
  <w:style w:type="paragraph" w:styleId="13">
    <w:name w:val="caption"/>
    <w:basedOn w:val="1"/>
    <w:next w:val="1"/>
    <w:unhideWhenUsed/>
    <w:qFormat/>
    <w:uiPriority w:val="35"/>
    <w:pPr>
      <w:spacing w:after="200"/>
    </w:pPr>
    <w:rPr>
      <w:i/>
      <w:iCs/>
      <w:color w:val="1F497D" w:themeColor="text2"/>
      <w:sz w:val="18"/>
      <w:szCs w:val="18"/>
      <w14:textFill>
        <w14:solidFill>
          <w14:schemeClr w14:val="tx2"/>
        </w14:solidFill>
      </w14:textFill>
    </w:rPr>
  </w:style>
  <w:style w:type="paragraph" w:styleId="14">
    <w:name w:val="annotation text"/>
    <w:basedOn w:val="1"/>
    <w:link w:val="264"/>
    <w:semiHidden/>
    <w:unhideWhenUsed/>
    <w:qFormat/>
    <w:uiPriority w:val="99"/>
    <w:pPr>
      <w:jc w:val="left"/>
    </w:pPr>
  </w:style>
  <w:style w:type="paragraph" w:styleId="15">
    <w:name w:val="Body Text"/>
    <w:basedOn w:val="1"/>
    <w:next w:val="1"/>
    <w:unhideWhenUsed/>
    <w:qFormat/>
    <w:uiPriority w:val="0"/>
    <w:pPr>
      <w:spacing w:after="120"/>
    </w:pPr>
  </w:style>
  <w:style w:type="paragraph" w:styleId="16">
    <w:name w:val="Body Text Indent"/>
    <w:basedOn w:val="1"/>
    <w:next w:val="17"/>
    <w:qFormat/>
    <w:uiPriority w:val="0"/>
    <w:pPr>
      <w:ind w:firstLine="830"/>
    </w:pPr>
    <w:rPr>
      <w:rFonts w:ascii="仿宋_GB2312" w:eastAsia="仿宋_GB2312"/>
      <w:sz w:val="32"/>
      <w:szCs w:val="20"/>
    </w:rPr>
  </w:style>
  <w:style w:type="paragraph" w:styleId="17">
    <w:name w:val="envelope return"/>
    <w:basedOn w:val="1"/>
    <w:qFormat/>
    <w:uiPriority w:val="0"/>
    <w:pPr>
      <w:widowControl/>
      <w:adjustRightInd w:val="0"/>
      <w:snapToGrid w:val="0"/>
      <w:spacing w:after="200"/>
      <w:jc w:val="left"/>
    </w:pPr>
    <w:rPr>
      <w:rFonts w:ascii="Arial" w:hAnsi="Arial" w:eastAsia="微软雅黑"/>
      <w:sz w:val="22"/>
      <w:szCs w:val="22"/>
    </w:rPr>
  </w:style>
  <w:style w:type="paragraph" w:styleId="18">
    <w:name w:val="index 4"/>
    <w:basedOn w:val="1"/>
    <w:next w:val="1"/>
    <w:unhideWhenUsed/>
    <w:qFormat/>
    <w:uiPriority w:val="99"/>
    <w:pPr>
      <w:spacing w:before="100" w:beforeAutospacing="1" w:after="100" w:afterAutospacing="1"/>
      <w:ind w:left="600" w:leftChars="600"/>
    </w:pPr>
  </w:style>
  <w:style w:type="paragraph" w:styleId="19">
    <w:name w:val="toc 5"/>
    <w:basedOn w:val="1"/>
    <w:next w:val="1"/>
    <w:unhideWhenUsed/>
    <w:qFormat/>
    <w:uiPriority w:val="39"/>
    <w:pPr>
      <w:spacing w:after="100"/>
      <w:ind w:left="880"/>
    </w:pPr>
  </w:style>
  <w:style w:type="paragraph" w:styleId="20">
    <w:name w:val="toc 3"/>
    <w:basedOn w:val="1"/>
    <w:next w:val="1"/>
    <w:unhideWhenUsed/>
    <w:qFormat/>
    <w:uiPriority w:val="39"/>
    <w:pPr>
      <w:spacing w:after="100"/>
      <w:ind w:left="440"/>
    </w:pPr>
  </w:style>
  <w:style w:type="paragraph" w:styleId="21">
    <w:name w:val="toc 8"/>
    <w:basedOn w:val="1"/>
    <w:next w:val="1"/>
    <w:unhideWhenUsed/>
    <w:qFormat/>
    <w:uiPriority w:val="39"/>
    <w:pPr>
      <w:spacing w:after="100"/>
      <w:ind w:left="1540"/>
    </w:pPr>
  </w:style>
  <w:style w:type="paragraph" w:styleId="22">
    <w:name w:val="endnote text"/>
    <w:basedOn w:val="1"/>
    <w:link w:val="198"/>
    <w:semiHidden/>
    <w:unhideWhenUsed/>
    <w:qFormat/>
    <w:uiPriority w:val="99"/>
    <w:rPr>
      <w:sz w:val="20"/>
      <w:szCs w:val="20"/>
    </w:rPr>
  </w:style>
  <w:style w:type="paragraph" w:styleId="23">
    <w:name w:val="Balloon Text"/>
    <w:basedOn w:val="1"/>
    <w:link w:val="263"/>
    <w:semiHidden/>
    <w:unhideWhenUsed/>
    <w:qFormat/>
    <w:uiPriority w:val="99"/>
    <w:rPr>
      <w:sz w:val="18"/>
      <w:szCs w:val="18"/>
    </w:rPr>
  </w:style>
  <w:style w:type="paragraph" w:styleId="24">
    <w:name w:val="footer"/>
    <w:basedOn w:val="1"/>
    <w:next w:val="1"/>
    <w:link w:val="196"/>
    <w:unhideWhenUsed/>
    <w:qFormat/>
    <w:uiPriority w:val="99"/>
    <w:pPr>
      <w:tabs>
        <w:tab w:val="center" w:pos="4844"/>
        <w:tab w:val="right" w:pos="9689"/>
      </w:tabs>
    </w:pPr>
  </w:style>
  <w:style w:type="paragraph" w:styleId="25">
    <w:name w:val="header"/>
    <w:basedOn w:val="1"/>
    <w:link w:val="195"/>
    <w:unhideWhenUsed/>
    <w:qFormat/>
    <w:uiPriority w:val="99"/>
    <w:pPr>
      <w:tabs>
        <w:tab w:val="center" w:pos="4844"/>
        <w:tab w:val="right" w:pos="9689"/>
      </w:tabs>
    </w:pPr>
  </w:style>
  <w:style w:type="paragraph" w:styleId="26">
    <w:name w:val="toc 1"/>
    <w:basedOn w:val="1"/>
    <w:next w:val="1"/>
    <w:unhideWhenUsed/>
    <w:qFormat/>
    <w:uiPriority w:val="39"/>
    <w:pPr>
      <w:spacing w:after="100"/>
    </w:pPr>
  </w:style>
  <w:style w:type="paragraph" w:styleId="27">
    <w:name w:val="toc 4"/>
    <w:basedOn w:val="1"/>
    <w:next w:val="1"/>
    <w:unhideWhenUsed/>
    <w:qFormat/>
    <w:uiPriority w:val="39"/>
    <w:pPr>
      <w:spacing w:after="100"/>
      <w:ind w:left="660"/>
    </w:pPr>
  </w:style>
  <w:style w:type="paragraph" w:styleId="28">
    <w:name w:val="Subtitle"/>
    <w:basedOn w:val="1"/>
    <w:next w:val="1"/>
    <w:link w:val="183"/>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29">
    <w:name w:val="footnote text"/>
    <w:basedOn w:val="1"/>
    <w:link w:val="197"/>
    <w:semiHidden/>
    <w:unhideWhenUsed/>
    <w:qFormat/>
    <w:uiPriority w:val="99"/>
    <w:rPr>
      <w:sz w:val="20"/>
      <w:szCs w:val="20"/>
    </w:rPr>
  </w:style>
  <w:style w:type="paragraph" w:styleId="30">
    <w:name w:val="toc 6"/>
    <w:basedOn w:val="1"/>
    <w:next w:val="1"/>
    <w:unhideWhenUsed/>
    <w:qFormat/>
    <w:uiPriority w:val="39"/>
    <w:pPr>
      <w:spacing w:after="100"/>
      <w:ind w:left="1100"/>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100"/>
      <w:ind w:left="220"/>
    </w:pPr>
  </w:style>
  <w:style w:type="paragraph" w:styleId="33">
    <w:name w:val="toc 9"/>
    <w:basedOn w:val="1"/>
    <w:next w:val="1"/>
    <w:unhideWhenUsed/>
    <w:qFormat/>
    <w:uiPriority w:val="39"/>
    <w:pPr>
      <w:spacing w:after="100"/>
      <w:ind w:left="1760"/>
    </w:pPr>
  </w:style>
  <w:style w:type="paragraph" w:styleId="34">
    <w:name w:val="Title"/>
    <w:basedOn w:val="1"/>
    <w:next w:val="1"/>
    <w:link w:val="182"/>
    <w:qFormat/>
    <w:uiPriority w:val="10"/>
    <w:pPr>
      <w:spacing w:after="80"/>
      <w:contextualSpacing/>
    </w:pPr>
    <w:rPr>
      <w:rFonts w:ascii="Arial" w:hAnsi="Arial" w:eastAsia="Arial" w:cs="Arial"/>
      <w:spacing w:val="-10"/>
      <w:sz w:val="56"/>
      <w:szCs w:val="56"/>
    </w:rPr>
  </w:style>
  <w:style w:type="paragraph" w:styleId="35">
    <w:name w:val="annotation subject"/>
    <w:basedOn w:val="14"/>
    <w:next w:val="14"/>
    <w:link w:val="265"/>
    <w:semiHidden/>
    <w:unhideWhenUsed/>
    <w:qFormat/>
    <w:uiPriority w:val="99"/>
    <w:rPr>
      <w:b/>
      <w:bCs/>
    </w:rPr>
  </w:style>
  <w:style w:type="paragraph" w:styleId="36">
    <w:name w:val="Body Text First Indent"/>
    <w:basedOn w:val="15"/>
    <w:qFormat/>
    <w:uiPriority w:val="0"/>
    <w:pPr>
      <w:ind w:firstLine="420" w:firstLineChars="100"/>
    </w:pPr>
  </w:style>
  <w:style w:type="paragraph" w:styleId="37">
    <w:name w:val="Body Text First Indent 2"/>
    <w:basedOn w:val="16"/>
    <w:unhideWhenUsed/>
    <w:qFormat/>
    <w:uiPriority w:val="99"/>
    <w:pPr>
      <w:spacing w:after="120"/>
      <w:ind w:left="420" w:leftChars="200" w:firstLine="420" w:firstLineChars="200"/>
    </w:pPr>
    <w:rPr>
      <w:rFonts w:ascii="Times New Roman" w:eastAsia="宋体"/>
      <w:kern w:val="2"/>
      <w:sz w:val="21"/>
      <w:szCs w:val="24"/>
    </w:r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bCs/>
    </w:rPr>
  </w:style>
  <w:style w:type="character" w:styleId="42">
    <w:name w:val="endnote reference"/>
    <w:basedOn w:val="40"/>
    <w:semiHidden/>
    <w:unhideWhenUsed/>
    <w:qFormat/>
    <w:uiPriority w:val="99"/>
    <w:rPr>
      <w:vertAlign w:val="superscript"/>
    </w:rPr>
  </w:style>
  <w:style w:type="character" w:styleId="43">
    <w:name w:val="FollowedHyperlink"/>
    <w:basedOn w:val="40"/>
    <w:semiHidden/>
    <w:unhideWhenUsed/>
    <w:qFormat/>
    <w:uiPriority w:val="99"/>
    <w:rPr>
      <w:color w:val="800080" w:themeColor="followedHyperlink"/>
      <w:u w:val="single"/>
      <w14:textFill>
        <w14:solidFill>
          <w14:schemeClr w14:val="folHlink"/>
        </w14:solidFill>
      </w14:textFill>
    </w:rPr>
  </w:style>
  <w:style w:type="character" w:styleId="44">
    <w:name w:val="Emphasis"/>
    <w:basedOn w:val="40"/>
    <w:qFormat/>
    <w:uiPriority w:val="20"/>
    <w:rPr>
      <w:i/>
      <w:iCs/>
    </w:rPr>
  </w:style>
  <w:style w:type="character" w:styleId="45">
    <w:name w:val="Hyperlink"/>
    <w:basedOn w:val="40"/>
    <w:unhideWhenUsed/>
    <w:qFormat/>
    <w:uiPriority w:val="99"/>
    <w:rPr>
      <w:color w:val="0000FF" w:themeColor="hyperlink"/>
      <w:u w:val="single"/>
      <w14:textFill>
        <w14:solidFill>
          <w14:schemeClr w14:val="hlink"/>
        </w14:solidFill>
      </w14:textFill>
    </w:rPr>
  </w:style>
  <w:style w:type="character" w:styleId="46">
    <w:name w:val="annotation reference"/>
    <w:semiHidden/>
    <w:unhideWhenUsed/>
    <w:qFormat/>
    <w:uiPriority w:val="99"/>
    <w:rPr>
      <w:sz w:val="21"/>
      <w:szCs w:val="21"/>
    </w:rPr>
  </w:style>
  <w:style w:type="character" w:styleId="47">
    <w:name w:val="footnote reference"/>
    <w:basedOn w:val="40"/>
    <w:semiHidden/>
    <w:unhideWhenUsed/>
    <w:qFormat/>
    <w:uiPriority w:val="99"/>
    <w:rPr>
      <w:vertAlign w:val="superscript"/>
    </w:rPr>
  </w:style>
  <w:style w:type="table" w:customStyle="1" w:styleId="48">
    <w:name w:val="Table Grid Light"/>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9">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无格式表格 31"/>
    <w:basedOn w:val="38"/>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无格式表格 41"/>
    <w:basedOn w:val="38"/>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无格式表格 51"/>
    <w:basedOn w:val="38"/>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1 Light - Accent 1"/>
    <w:basedOn w:val="3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6">
    <w:name w:val="Grid Table 1 Light - Accent 2"/>
    <w:basedOn w:val="3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7">
    <w:name w:val="Grid Table 1 Light - Accent 3"/>
    <w:basedOn w:val="3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8">
    <w:name w:val="Grid Table 1 Light - Accent 4"/>
    <w:basedOn w:val="3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9">
    <w:name w:val="Grid Table 1 Light - Accent 5"/>
    <w:basedOn w:val="3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0">
    <w:name w:val="Grid Table 1 Light - Accent 6"/>
    <w:basedOn w:val="3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1">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2 - Accent 1"/>
    <w:basedOn w:val="3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3">
    <w:name w:val="Grid Table 2 - Accent 2"/>
    <w:basedOn w:val="3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4">
    <w:name w:val="Grid Table 2 - Accent 3"/>
    <w:basedOn w:val="3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5">
    <w:name w:val="Grid Table 2 - Accent 4"/>
    <w:basedOn w:val="3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6">
    <w:name w:val="Grid Table 2 - Accent 5"/>
    <w:basedOn w:val="38"/>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7">
    <w:name w:val="Grid Table 2 - Accent 6"/>
    <w:basedOn w:val="38"/>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8">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 Accent 1"/>
    <w:basedOn w:val="3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3 - Accent 2"/>
    <w:basedOn w:val="3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3 - Accent 3"/>
    <w:basedOn w:val="3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3 - Accent 4"/>
    <w:basedOn w:val="3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3 - Accent 5"/>
    <w:basedOn w:val="38"/>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3 - Accent 6"/>
    <w:basedOn w:val="38"/>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4 - Accent 1"/>
    <w:basedOn w:val="3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7">
    <w:name w:val="Grid Table 4 - Accent 2"/>
    <w:basedOn w:val="3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4 - Accent 3"/>
    <w:basedOn w:val="3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4 - Accent 4"/>
    <w:basedOn w:val="3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4 - Accent 5"/>
    <w:basedOn w:val="3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4 - Accent 6"/>
    <w:basedOn w:val="3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3">
    <w:name w:val="Grid Table 5 Dark- Accent 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4">
    <w:name w:val="Grid Table 5 Dark - Accent 2"/>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5">
    <w:name w:val="Grid Table 5 Dark - Accent 3"/>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6">
    <w:name w:val="Grid Table 5 Dark- Accent 4"/>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7">
    <w:name w:val="Grid Table 5 Dark - Accent 5"/>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8">
    <w:name w:val="Grid Table 5 Dark - Accent 6"/>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9">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Grid Table 6 Colorful - Accent 1"/>
    <w:basedOn w:val="3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1">
    <w:name w:val="Grid Table 6 Colorful - Accent 2"/>
    <w:basedOn w:val="3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2">
    <w:name w:val="Grid Table 6 Colorful - Accent 3"/>
    <w:basedOn w:val="3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93">
    <w:name w:val="Grid Table 6 Colorful - Accent 4"/>
    <w:basedOn w:val="3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4">
    <w:name w:val="Grid Table 6 Colorful - Accent 5"/>
    <w:basedOn w:val="3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5">
    <w:name w:val="Grid Table 6 Colorful - Accent 6"/>
    <w:basedOn w:val="3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6">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7 Colorful - Accent 1"/>
    <w:basedOn w:val="3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7 Colorful - Accent 2"/>
    <w:basedOn w:val="3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7 Colorful - Accent 3"/>
    <w:basedOn w:val="3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0">
    <w:name w:val="Grid Table 7 Colorful - Accent 4"/>
    <w:basedOn w:val="3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7 Colorful - Accent 5"/>
    <w:basedOn w:val="3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7 Colorful - Accent 6"/>
    <w:basedOn w:val="3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3">
    <w:name w:val="清单表 1 浅色1"/>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4">
    <w:name w:val="List Table 1 Light - Accent 1"/>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5">
    <w:name w:val="List Table 1 Light - Accent 2"/>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6">
    <w:name w:val="List Table 1 Light - Accent 3"/>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7">
    <w:name w:val="List Table 1 Light - Accent 4"/>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8">
    <w:name w:val="List Table 1 Light - Accent 5"/>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9">
    <w:name w:val="List Table 1 Light - Accent 6"/>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0">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1">
    <w:name w:val="List Table 2 - Accent 1"/>
    <w:basedOn w:val="3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2">
    <w:name w:val="List Table 2 - Accent 2"/>
    <w:basedOn w:val="3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3">
    <w:name w:val="List Table 2 - Accent 3"/>
    <w:basedOn w:val="3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4">
    <w:name w:val="List Table 2 - Accent 4"/>
    <w:basedOn w:val="3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5">
    <w:name w:val="List Table 2 - Accent 5"/>
    <w:basedOn w:val="3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6">
    <w:name w:val="List Table 2 - Accent 6"/>
    <w:basedOn w:val="3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7">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8">
    <w:name w:val="List Table 3 - Accent 1"/>
    <w:basedOn w:val="3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9">
    <w:name w:val="List Table 3 - Accent 2"/>
    <w:basedOn w:val="3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0">
    <w:name w:val="List Table 3 - Accent 3"/>
    <w:basedOn w:val="3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1">
    <w:name w:val="List Table 3 - Accent 4"/>
    <w:basedOn w:val="3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2">
    <w:name w:val="List Table 3 - Accent 5"/>
    <w:basedOn w:val="3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3">
    <w:name w:val="List Table 3 - Accent 6"/>
    <w:basedOn w:val="3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4">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4 - Accent 1"/>
    <w:basedOn w:val="3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4 - Accent 2"/>
    <w:basedOn w:val="3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4 - Accent 3"/>
    <w:basedOn w:val="3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4 - Accent 4"/>
    <w:basedOn w:val="3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4 - Accent 5"/>
    <w:basedOn w:val="3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4 - Accent 6"/>
    <w:basedOn w:val="3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2">
    <w:name w:val="List Table 5 Dark - Accent 1"/>
    <w:basedOn w:val="3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3">
    <w:name w:val="List Table 5 Dark - Accent 2"/>
    <w:basedOn w:val="3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4">
    <w:name w:val="List Table 5 Dark - Accent 3"/>
    <w:basedOn w:val="3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5">
    <w:name w:val="List Table 5 Dark - Accent 4"/>
    <w:basedOn w:val="3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6">
    <w:name w:val="List Table 5 Dark - Accent 5"/>
    <w:basedOn w:val="3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7">
    <w:name w:val="List Table 5 Dark - Accent 6"/>
    <w:basedOn w:val="3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8">
    <w:name w:val="清单表 6 彩色1"/>
    <w:basedOn w:val="38"/>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9">
    <w:name w:val="List Table 6 Colorful - Accent 1"/>
    <w:basedOn w:val="38"/>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0">
    <w:name w:val="List Table 6 Colorful - Accent 2"/>
    <w:basedOn w:val="38"/>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List Table 6 Colorful - Accent 3"/>
    <w:basedOn w:val="38"/>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2">
    <w:name w:val="List Table 6 Colorful - Accent 4"/>
    <w:basedOn w:val="38"/>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List Table 6 Colorful - Accent 5"/>
    <w:basedOn w:val="38"/>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4">
    <w:name w:val="List Table 6 Colorful - Accent 6"/>
    <w:basedOn w:val="38"/>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5">
    <w:name w:val="清单表 7 彩色1"/>
    <w:basedOn w:val="38"/>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List Table 7 Colorful - Accent 1"/>
    <w:basedOn w:val="38"/>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7 Colorful - Accent 2"/>
    <w:basedOn w:val="38"/>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7 Colorful - Accent 3"/>
    <w:basedOn w:val="38"/>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7 Colorful - Accent 4"/>
    <w:basedOn w:val="38"/>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7 Colorful - Accent 5"/>
    <w:basedOn w:val="38"/>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7 Colorful - Accent 6"/>
    <w:basedOn w:val="38"/>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ned - Accent"/>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3">
    <w:name w:val="Lined - Accent 1"/>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4">
    <w:name w:val="Lined - Accent 2"/>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5">
    <w:name w:val="Lined - Accent 3"/>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6">
    <w:name w:val="Lined - Accent 4"/>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7">
    <w:name w:val="Lined - Accent 5"/>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8">
    <w:name w:val="Lined - Accent 6"/>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9">
    <w:name w:val="Bordered &amp; Lined - Accent"/>
    <w:basedOn w:val="3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Bordered &amp; Lined - Accent 1"/>
    <w:basedOn w:val="3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Bordered &amp; Lined - Accent 2"/>
    <w:basedOn w:val="3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Bordered &amp; Lined - Accent 3"/>
    <w:basedOn w:val="3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Bordered &amp; Lined - Accent 4"/>
    <w:basedOn w:val="3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Bordered &amp; Lined - Accent 5"/>
    <w:basedOn w:val="3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Bordered &amp; Lined - Accent 6"/>
    <w:basedOn w:val="3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w:basedOn w:val="3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7">
    <w:name w:val="Bordered - Accent 1"/>
    <w:basedOn w:val="3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8">
    <w:name w:val="Bordered - Accent 2"/>
    <w:basedOn w:val="3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9">
    <w:name w:val="Bordered - Accent 3"/>
    <w:basedOn w:val="3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0">
    <w:name w:val="Bordered - Accent 4"/>
    <w:basedOn w:val="3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1">
    <w:name w:val="Bordered - Accent 5"/>
    <w:basedOn w:val="3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2">
    <w:name w:val="Bordered - Accent 6"/>
    <w:basedOn w:val="3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3">
    <w:name w:val="标题 1 Char1"/>
    <w:basedOn w:val="40"/>
    <w:link w:val="2"/>
    <w:qFormat/>
    <w:uiPriority w:val="9"/>
    <w:rPr>
      <w:rFonts w:ascii="Arial" w:hAnsi="Arial" w:eastAsia="Arial" w:cs="Arial"/>
      <w:color w:val="376092" w:themeColor="accent1" w:themeShade="BF"/>
      <w:sz w:val="40"/>
      <w:szCs w:val="40"/>
    </w:rPr>
  </w:style>
  <w:style w:type="character" w:customStyle="1" w:styleId="174">
    <w:name w:val="标题 2 Char1"/>
    <w:basedOn w:val="40"/>
    <w:link w:val="3"/>
    <w:qFormat/>
    <w:uiPriority w:val="9"/>
    <w:rPr>
      <w:rFonts w:ascii="Arial" w:hAnsi="Arial" w:eastAsia="Arial" w:cs="Arial"/>
      <w:color w:val="376092" w:themeColor="accent1" w:themeShade="BF"/>
      <w:sz w:val="32"/>
      <w:szCs w:val="32"/>
    </w:rPr>
  </w:style>
  <w:style w:type="character" w:customStyle="1" w:styleId="175">
    <w:name w:val="标题 3 Char"/>
    <w:basedOn w:val="40"/>
    <w:link w:val="4"/>
    <w:qFormat/>
    <w:uiPriority w:val="9"/>
    <w:rPr>
      <w:rFonts w:ascii="Arial" w:hAnsi="Arial" w:eastAsia="Arial" w:cs="Arial"/>
      <w:color w:val="376092" w:themeColor="accent1" w:themeShade="BF"/>
      <w:sz w:val="28"/>
      <w:szCs w:val="28"/>
    </w:rPr>
  </w:style>
  <w:style w:type="character" w:customStyle="1" w:styleId="176">
    <w:name w:val="标题 4 Char"/>
    <w:basedOn w:val="40"/>
    <w:link w:val="5"/>
    <w:qFormat/>
    <w:uiPriority w:val="9"/>
    <w:rPr>
      <w:rFonts w:ascii="Arial" w:hAnsi="Arial" w:eastAsia="Arial" w:cs="Arial"/>
      <w:i/>
      <w:iCs/>
      <w:color w:val="376092" w:themeColor="accent1" w:themeShade="BF"/>
    </w:rPr>
  </w:style>
  <w:style w:type="character" w:customStyle="1" w:styleId="177">
    <w:name w:val="标题 5 Char1"/>
    <w:basedOn w:val="40"/>
    <w:link w:val="6"/>
    <w:qFormat/>
    <w:uiPriority w:val="9"/>
    <w:rPr>
      <w:rFonts w:ascii="Arial" w:hAnsi="Arial" w:eastAsia="Arial" w:cs="Arial"/>
      <w:color w:val="376092" w:themeColor="accent1" w:themeShade="BF"/>
    </w:rPr>
  </w:style>
  <w:style w:type="character" w:customStyle="1" w:styleId="178">
    <w:name w:val="标题 6 Char"/>
    <w:basedOn w:val="40"/>
    <w:link w:val="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9">
    <w:name w:val="标题 7 Char"/>
    <w:basedOn w:val="40"/>
    <w:link w:val="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80">
    <w:name w:val="标题 8 Char"/>
    <w:basedOn w:val="40"/>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1">
    <w:name w:val="标题 9 Char"/>
    <w:basedOn w:val="40"/>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2">
    <w:name w:val="标题 Char"/>
    <w:basedOn w:val="40"/>
    <w:link w:val="34"/>
    <w:qFormat/>
    <w:uiPriority w:val="10"/>
    <w:rPr>
      <w:rFonts w:ascii="Arial" w:hAnsi="Arial" w:eastAsia="Arial" w:cs="Arial"/>
      <w:spacing w:val="-10"/>
      <w:sz w:val="56"/>
      <w:szCs w:val="56"/>
    </w:rPr>
  </w:style>
  <w:style w:type="character" w:customStyle="1" w:styleId="183">
    <w:name w:val="副标题 Char"/>
    <w:basedOn w:val="40"/>
    <w:link w:val="28"/>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4">
    <w:name w:val="Quote"/>
    <w:basedOn w:val="1"/>
    <w:next w:val="1"/>
    <w:link w:val="18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5">
    <w:name w:val="引用 Char"/>
    <w:basedOn w:val="40"/>
    <w:link w:val="184"/>
    <w:qFormat/>
    <w:uiPriority w:val="29"/>
    <w:rPr>
      <w:i/>
      <w:iCs/>
      <w:color w:val="404040" w:themeColor="text1" w:themeTint="BF"/>
      <w14:textFill>
        <w14:solidFill>
          <w14:schemeClr w14:val="tx1">
            <w14:lumMod w14:val="75000"/>
            <w14:lumOff w14:val="25000"/>
          </w14:schemeClr>
        </w14:solidFill>
      </w14:textFill>
    </w:rPr>
  </w:style>
  <w:style w:type="paragraph" w:styleId="186">
    <w:name w:val="List Paragraph"/>
    <w:basedOn w:val="1"/>
    <w:qFormat/>
    <w:uiPriority w:val="34"/>
    <w:pPr>
      <w:ind w:left="720"/>
      <w:contextualSpacing/>
    </w:pPr>
  </w:style>
  <w:style w:type="character" w:customStyle="1" w:styleId="187">
    <w:name w:val="明显强调1"/>
    <w:basedOn w:val="40"/>
    <w:qFormat/>
    <w:uiPriority w:val="21"/>
    <w:rPr>
      <w:i/>
      <w:iCs/>
      <w:color w:val="376092" w:themeColor="accent1" w:themeShade="BF"/>
    </w:rPr>
  </w:style>
  <w:style w:type="paragraph" w:styleId="188">
    <w:name w:val="Intense Quote"/>
    <w:basedOn w:val="1"/>
    <w:next w:val="1"/>
    <w:link w:val="189"/>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89">
    <w:name w:val="明显引用 Char"/>
    <w:basedOn w:val="40"/>
    <w:link w:val="188"/>
    <w:qFormat/>
    <w:uiPriority w:val="30"/>
    <w:rPr>
      <w:i/>
      <w:iCs/>
      <w:color w:val="376092" w:themeColor="accent1" w:themeShade="BF"/>
    </w:rPr>
  </w:style>
  <w:style w:type="character" w:customStyle="1" w:styleId="190">
    <w:name w:val="明显参考1"/>
    <w:basedOn w:val="40"/>
    <w:qFormat/>
    <w:uiPriority w:val="32"/>
    <w:rPr>
      <w:b/>
      <w:bCs/>
      <w:smallCaps/>
      <w:color w:val="376092" w:themeColor="accent1" w:themeShade="BF"/>
      <w:spacing w:val="5"/>
    </w:rPr>
  </w:style>
  <w:style w:type="paragraph" w:styleId="191">
    <w:name w:val="No Spacing"/>
    <w:basedOn w:val="1"/>
    <w:qFormat/>
    <w:uiPriority w:val="1"/>
  </w:style>
  <w:style w:type="character" w:customStyle="1" w:styleId="192">
    <w:name w:val="不明显强调1"/>
    <w:basedOn w:val="40"/>
    <w:qFormat/>
    <w:uiPriority w:val="19"/>
    <w:rPr>
      <w:i/>
      <w:iCs/>
      <w:color w:val="404040" w:themeColor="text1" w:themeTint="BF"/>
      <w14:textFill>
        <w14:solidFill>
          <w14:schemeClr w14:val="tx1">
            <w14:lumMod w14:val="75000"/>
            <w14:lumOff w14:val="25000"/>
          </w14:schemeClr>
        </w14:solidFill>
      </w14:textFill>
    </w:rPr>
  </w:style>
  <w:style w:type="character" w:customStyle="1" w:styleId="193">
    <w:name w:val="不明显参考1"/>
    <w:basedOn w:val="40"/>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4">
    <w:name w:val="书籍标题1"/>
    <w:basedOn w:val="40"/>
    <w:qFormat/>
    <w:uiPriority w:val="33"/>
    <w:rPr>
      <w:b/>
      <w:bCs/>
      <w:i/>
      <w:iCs/>
      <w:spacing w:val="5"/>
    </w:rPr>
  </w:style>
  <w:style w:type="character" w:customStyle="1" w:styleId="195">
    <w:name w:val="页眉 Char1"/>
    <w:basedOn w:val="40"/>
    <w:link w:val="25"/>
    <w:qFormat/>
    <w:uiPriority w:val="99"/>
  </w:style>
  <w:style w:type="character" w:customStyle="1" w:styleId="196">
    <w:name w:val="页脚 Char2"/>
    <w:basedOn w:val="40"/>
    <w:link w:val="24"/>
    <w:qFormat/>
    <w:uiPriority w:val="99"/>
  </w:style>
  <w:style w:type="character" w:customStyle="1" w:styleId="197">
    <w:name w:val="脚注文本 Char"/>
    <w:basedOn w:val="40"/>
    <w:link w:val="29"/>
    <w:semiHidden/>
    <w:qFormat/>
    <w:uiPriority w:val="99"/>
    <w:rPr>
      <w:sz w:val="20"/>
      <w:szCs w:val="20"/>
    </w:rPr>
  </w:style>
  <w:style w:type="character" w:customStyle="1" w:styleId="198">
    <w:name w:val="尾注文本 Char"/>
    <w:basedOn w:val="40"/>
    <w:link w:val="22"/>
    <w:semiHidden/>
    <w:qFormat/>
    <w:uiPriority w:val="99"/>
    <w:rPr>
      <w:sz w:val="20"/>
      <w:szCs w:val="20"/>
    </w:rPr>
  </w:style>
  <w:style w:type="character" w:styleId="199">
    <w:name w:val="Placeholder Text"/>
    <w:basedOn w:val="40"/>
    <w:semiHidden/>
    <w:qFormat/>
    <w:uiPriority w:val="99"/>
    <w:rPr>
      <w:color w:val="666666"/>
    </w:rPr>
  </w:style>
  <w:style w:type="paragraph" w:customStyle="1" w:styleId="200">
    <w:name w:val="TOC 标题1"/>
    <w:unhideWhenUsed/>
    <w:qFormat/>
    <w:uiPriority w:val="39"/>
    <w:rPr>
      <w:rFonts w:ascii="Times New Roman" w:hAnsi="Times New Roman" w:eastAsia="宋体" w:cs="Times New Roman"/>
      <w:lang w:val="en-US" w:eastAsia="zh-CN" w:bidi="ar-SA"/>
    </w:rPr>
  </w:style>
  <w:style w:type="paragraph" w:customStyle="1" w:styleId="201">
    <w:name w:val="标题 11"/>
    <w:basedOn w:val="1"/>
    <w:next w:val="1"/>
    <w:link w:val="208"/>
    <w:qFormat/>
    <w:uiPriority w:val="0"/>
    <w:pPr>
      <w:keepNext/>
      <w:keepLines/>
      <w:spacing w:before="340" w:after="330" w:line="578" w:lineRule="auto"/>
      <w:outlineLvl w:val="0"/>
    </w:pPr>
    <w:rPr>
      <w:b/>
      <w:bCs/>
      <w:sz w:val="44"/>
      <w:szCs w:val="44"/>
    </w:rPr>
  </w:style>
  <w:style w:type="paragraph" w:customStyle="1" w:styleId="202">
    <w:name w:val="标题 21"/>
    <w:basedOn w:val="1"/>
    <w:next w:val="1"/>
    <w:link w:val="209"/>
    <w:qFormat/>
    <w:uiPriority w:val="9"/>
    <w:pPr>
      <w:keepNext/>
      <w:keepLines/>
      <w:spacing w:before="260" w:after="260" w:line="416" w:lineRule="auto"/>
      <w:outlineLvl w:val="1"/>
    </w:pPr>
    <w:rPr>
      <w:rFonts w:ascii="Cambria" w:hAnsi="Cambria"/>
      <w:b/>
      <w:bCs/>
      <w:sz w:val="32"/>
      <w:szCs w:val="32"/>
    </w:rPr>
  </w:style>
  <w:style w:type="paragraph" w:customStyle="1" w:styleId="203">
    <w:name w:val="标题 31"/>
    <w:basedOn w:val="1"/>
    <w:next w:val="1"/>
    <w:qFormat/>
    <w:uiPriority w:val="9"/>
    <w:pPr>
      <w:spacing w:before="100" w:beforeAutospacing="1" w:after="100" w:afterAutospacing="1"/>
      <w:jc w:val="left"/>
      <w:outlineLvl w:val="2"/>
    </w:pPr>
    <w:rPr>
      <w:rFonts w:hint="eastAsia" w:ascii="宋体" w:hAnsi="宋体"/>
      <w:b/>
      <w:bCs/>
      <w:sz w:val="27"/>
      <w:szCs w:val="27"/>
    </w:rPr>
  </w:style>
  <w:style w:type="paragraph" w:customStyle="1" w:styleId="204">
    <w:name w:val="标题 51"/>
    <w:basedOn w:val="1"/>
    <w:next w:val="205"/>
    <w:link w:val="210"/>
    <w:qFormat/>
    <w:uiPriority w:val="9"/>
    <w:pPr>
      <w:keepNext/>
      <w:keepLines/>
      <w:spacing w:before="280" w:after="290" w:line="376" w:lineRule="auto"/>
      <w:outlineLvl w:val="4"/>
    </w:pPr>
    <w:rPr>
      <w:b/>
      <w:bCs/>
      <w:sz w:val="28"/>
      <w:szCs w:val="28"/>
    </w:rPr>
  </w:style>
  <w:style w:type="paragraph" w:customStyle="1" w:styleId="205">
    <w:name w:val="正文缩进1"/>
    <w:basedOn w:val="1"/>
    <w:qFormat/>
    <w:uiPriority w:val="0"/>
    <w:pPr>
      <w:ind w:firstLine="420"/>
    </w:pPr>
    <w:rPr>
      <w:szCs w:val="20"/>
    </w:rPr>
  </w:style>
  <w:style w:type="character" w:customStyle="1" w:styleId="206">
    <w:name w:val="默认段落字体1"/>
    <w:unhideWhenUsed/>
    <w:qFormat/>
    <w:uiPriority w:val="1"/>
  </w:style>
  <w:style w:type="table" w:customStyle="1" w:styleId="207">
    <w:name w:val="普通表格1"/>
    <w:unhideWhenUsed/>
    <w:qFormat/>
    <w:uiPriority w:val="99"/>
    <w:tblPr>
      <w:tblCellMar>
        <w:top w:w="0" w:type="dxa"/>
        <w:left w:w="108" w:type="dxa"/>
        <w:bottom w:w="0" w:type="dxa"/>
        <w:right w:w="108" w:type="dxa"/>
      </w:tblCellMar>
    </w:tblPr>
  </w:style>
  <w:style w:type="character" w:customStyle="1" w:styleId="208">
    <w:name w:val="标题 1 Char"/>
    <w:link w:val="201"/>
    <w:qFormat/>
    <w:uiPriority w:val="0"/>
    <w:rPr>
      <w:b/>
      <w:bCs/>
      <w:sz w:val="44"/>
      <w:szCs w:val="44"/>
    </w:rPr>
  </w:style>
  <w:style w:type="character" w:customStyle="1" w:styleId="209">
    <w:name w:val="标题 2 Char"/>
    <w:link w:val="202"/>
    <w:qFormat/>
    <w:uiPriority w:val="9"/>
    <w:rPr>
      <w:rFonts w:ascii="Cambria" w:hAnsi="Cambria" w:eastAsia="宋体" w:cs="Times New Roman"/>
      <w:b/>
      <w:bCs/>
      <w:sz w:val="32"/>
      <w:szCs w:val="32"/>
    </w:rPr>
  </w:style>
  <w:style w:type="character" w:customStyle="1" w:styleId="210">
    <w:name w:val="标题 5 Char"/>
    <w:link w:val="204"/>
    <w:semiHidden/>
    <w:qFormat/>
    <w:uiPriority w:val="9"/>
    <w:rPr>
      <w:rFonts w:ascii="Times New Roman" w:hAnsi="Times New Roman"/>
      <w:b/>
      <w:bCs/>
      <w:sz w:val="28"/>
      <w:szCs w:val="28"/>
    </w:rPr>
  </w:style>
  <w:style w:type="paragraph" w:customStyle="1" w:styleId="211">
    <w:name w:val="列表编号1"/>
    <w:basedOn w:val="1"/>
    <w:qFormat/>
    <w:uiPriority w:val="0"/>
    <w:pPr>
      <w:widowControl/>
      <w:tabs>
        <w:tab w:val="left" w:pos="454"/>
        <w:tab w:val="left" w:pos="720"/>
        <w:tab w:val="left" w:pos="840"/>
      </w:tabs>
      <w:spacing w:after="50"/>
      <w:ind w:left="454" w:hanging="284"/>
      <w:jc w:val="left"/>
    </w:pPr>
    <w:rPr>
      <w:sz w:val="24"/>
      <w:szCs w:val="20"/>
    </w:rPr>
  </w:style>
  <w:style w:type="paragraph" w:customStyle="1" w:styleId="212">
    <w:name w:val="批注文字1"/>
    <w:basedOn w:val="1"/>
    <w:link w:val="213"/>
    <w:qFormat/>
    <w:uiPriority w:val="0"/>
    <w:pPr>
      <w:jc w:val="left"/>
    </w:pPr>
  </w:style>
  <w:style w:type="character" w:customStyle="1" w:styleId="213">
    <w:name w:val="批注文字 Char"/>
    <w:link w:val="212"/>
    <w:qFormat/>
    <w:uiPriority w:val="0"/>
    <w:rPr>
      <w:rFonts w:ascii="Times New Roman" w:hAnsi="Times New Roman"/>
      <w:sz w:val="21"/>
      <w:szCs w:val="24"/>
    </w:rPr>
  </w:style>
  <w:style w:type="paragraph" w:customStyle="1" w:styleId="214">
    <w:name w:val="正文文本 31"/>
    <w:basedOn w:val="1"/>
    <w:link w:val="215"/>
    <w:unhideWhenUsed/>
    <w:qFormat/>
    <w:uiPriority w:val="99"/>
    <w:pPr>
      <w:spacing w:after="120"/>
    </w:pPr>
    <w:rPr>
      <w:sz w:val="16"/>
      <w:szCs w:val="16"/>
    </w:rPr>
  </w:style>
  <w:style w:type="character" w:customStyle="1" w:styleId="215">
    <w:name w:val="正文文本 3 Char"/>
    <w:link w:val="214"/>
    <w:semiHidden/>
    <w:qFormat/>
    <w:uiPriority w:val="99"/>
    <w:rPr>
      <w:rFonts w:ascii="Times New Roman" w:hAnsi="Times New Roman"/>
      <w:sz w:val="16"/>
      <w:szCs w:val="16"/>
    </w:rPr>
  </w:style>
  <w:style w:type="paragraph" w:customStyle="1" w:styleId="216">
    <w:name w:val="正文文本1"/>
    <w:basedOn w:val="1"/>
    <w:link w:val="217"/>
    <w:unhideWhenUsed/>
    <w:qFormat/>
    <w:uiPriority w:val="0"/>
    <w:pPr>
      <w:spacing w:after="120"/>
    </w:pPr>
  </w:style>
  <w:style w:type="character" w:customStyle="1" w:styleId="217">
    <w:name w:val="正文文本 Char"/>
    <w:link w:val="216"/>
    <w:qFormat/>
    <w:uiPriority w:val="0"/>
    <w:rPr>
      <w:rFonts w:ascii="Times New Roman" w:hAnsi="Times New Roman"/>
      <w:sz w:val="21"/>
      <w:szCs w:val="24"/>
    </w:rPr>
  </w:style>
  <w:style w:type="paragraph" w:customStyle="1" w:styleId="218">
    <w:name w:val="正文文本缩进1"/>
    <w:basedOn w:val="1"/>
    <w:link w:val="219"/>
    <w:qFormat/>
    <w:uiPriority w:val="0"/>
    <w:pPr>
      <w:ind w:firstLine="830"/>
    </w:pPr>
    <w:rPr>
      <w:rFonts w:ascii="仿宋_GB2312" w:eastAsia="仿宋_GB2312"/>
      <w:sz w:val="32"/>
      <w:szCs w:val="20"/>
    </w:rPr>
  </w:style>
  <w:style w:type="character" w:customStyle="1" w:styleId="219">
    <w:name w:val="正文文本缩进 Char"/>
    <w:link w:val="218"/>
    <w:qFormat/>
    <w:uiPriority w:val="0"/>
    <w:rPr>
      <w:rFonts w:ascii="仿宋_GB2312" w:hAnsi="Times New Roman" w:eastAsia="仿宋_GB2312" w:cs="Times New Roman"/>
      <w:sz w:val="32"/>
      <w:szCs w:val="20"/>
    </w:rPr>
  </w:style>
  <w:style w:type="paragraph" w:customStyle="1" w:styleId="220">
    <w:name w:val="列表 21"/>
    <w:basedOn w:val="1"/>
    <w:unhideWhenUsed/>
    <w:qFormat/>
    <w:uiPriority w:val="99"/>
    <w:pPr>
      <w:ind w:left="100" w:hanging="200"/>
      <w:contextualSpacing/>
    </w:pPr>
  </w:style>
  <w:style w:type="paragraph" w:customStyle="1" w:styleId="221">
    <w:name w:val="文本块1"/>
    <w:basedOn w:val="1"/>
    <w:qFormat/>
    <w:uiPriority w:val="99"/>
    <w:pPr>
      <w:ind w:left="420" w:right="33"/>
      <w:jc w:val="left"/>
    </w:pPr>
    <w:rPr>
      <w:szCs w:val="20"/>
    </w:rPr>
  </w:style>
  <w:style w:type="paragraph" w:customStyle="1" w:styleId="222">
    <w:name w:val="纯文本1"/>
    <w:basedOn w:val="1"/>
    <w:next w:val="1"/>
    <w:link w:val="223"/>
    <w:qFormat/>
    <w:uiPriority w:val="0"/>
    <w:rPr>
      <w:rFonts w:ascii="宋体" w:hAnsi="Courier New"/>
      <w:sz w:val="20"/>
      <w:szCs w:val="21"/>
    </w:rPr>
  </w:style>
  <w:style w:type="character" w:customStyle="1" w:styleId="223">
    <w:name w:val="纯文本 Char"/>
    <w:link w:val="222"/>
    <w:qFormat/>
    <w:uiPriority w:val="0"/>
    <w:rPr>
      <w:rFonts w:ascii="宋体" w:hAnsi="Courier New" w:eastAsia="宋体" w:cs="Courier New"/>
      <w:szCs w:val="21"/>
    </w:rPr>
  </w:style>
  <w:style w:type="paragraph" w:customStyle="1" w:styleId="224">
    <w:name w:val="日期1"/>
    <w:basedOn w:val="1"/>
    <w:next w:val="1"/>
    <w:link w:val="225"/>
    <w:unhideWhenUsed/>
    <w:qFormat/>
    <w:uiPriority w:val="99"/>
    <w:pPr>
      <w:ind w:left="100"/>
    </w:pPr>
  </w:style>
  <w:style w:type="character" w:customStyle="1" w:styleId="225">
    <w:name w:val="日期 Char"/>
    <w:link w:val="224"/>
    <w:semiHidden/>
    <w:qFormat/>
    <w:uiPriority w:val="99"/>
    <w:rPr>
      <w:rFonts w:ascii="Times New Roman" w:hAnsi="Times New Roman"/>
      <w:sz w:val="21"/>
      <w:szCs w:val="24"/>
    </w:rPr>
  </w:style>
  <w:style w:type="paragraph" w:customStyle="1" w:styleId="226">
    <w:name w:val="批注框文本1"/>
    <w:basedOn w:val="1"/>
    <w:semiHidden/>
    <w:qFormat/>
    <w:uiPriority w:val="0"/>
    <w:rPr>
      <w:sz w:val="18"/>
      <w:szCs w:val="18"/>
    </w:rPr>
  </w:style>
  <w:style w:type="paragraph" w:customStyle="1" w:styleId="227">
    <w:name w:val="页脚1"/>
    <w:basedOn w:val="1"/>
    <w:link w:val="228"/>
    <w:unhideWhenUsed/>
    <w:qFormat/>
    <w:uiPriority w:val="99"/>
    <w:pPr>
      <w:tabs>
        <w:tab w:val="center" w:pos="4153"/>
        <w:tab w:val="right" w:pos="8306"/>
      </w:tabs>
      <w:jc w:val="left"/>
    </w:pPr>
    <w:rPr>
      <w:sz w:val="18"/>
      <w:szCs w:val="18"/>
    </w:rPr>
  </w:style>
  <w:style w:type="character" w:customStyle="1" w:styleId="228">
    <w:name w:val="页脚 Char1"/>
    <w:link w:val="227"/>
    <w:qFormat/>
    <w:uiPriority w:val="99"/>
    <w:rPr>
      <w:sz w:val="18"/>
      <w:szCs w:val="18"/>
    </w:rPr>
  </w:style>
  <w:style w:type="paragraph" w:customStyle="1" w:styleId="229">
    <w:name w:val="页眉1"/>
    <w:basedOn w:val="1"/>
    <w:link w:val="230"/>
    <w:unhideWhenUsed/>
    <w:qFormat/>
    <w:uiPriority w:val="99"/>
    <w:pPr>
      <w:pBdr>
        <w:bottom w:val="single" w:color="000000" w:sz="6" w:space="1"/>
      </w:pBdr>
      <w:tabs>
        <w:tab w:val="center" w:pos="4153"/>
        <w:tab w:val="right" w:pos="8306"/>
      </w:tabs>
      <w:jc w:val="center"/>
    </w:pPr>
    <w:rPr>
      <w:sz w:val="18"/>
      <w:szCs w:val="18"/>
    </w:rPr>
  </w:style>
  <w:style w:type="character" w:customStyle="1" w:styleId="230">
    <w:name w:val="页眉 Char"/>
    <w:link w:val="229"/>
    <w:qFormat/>
    <w:uiPriority w:val="99"/>
    <w:rPr>
      <w:sz w:val="18"/>
      <w:szCs w:val="18"/>
    </w:rPr>
  </w:style>
  <w:style w:type="paragraph" w:customStyle="1" w:styleId="231">
    <w:name w:val="目录 11"/>
    <w:basedOn w:val="1"/>
    <w:next w:val="1"/>
    <w:unhideWhenUsed/>
    <w:qFormat/>
    <w:uiPriority w:val="39"/>
  </w:style>
  <w:style w:type="paragraph" w:customStyle="1" w:styleId="232">
    <w:name w:val="目录 21"/>
    <w:basedOn w:val="1"/>
    <w:next w:val="1"/>
    <w:unhideWhenUsed/>
    <w:qFormat/>
    <w:uiPriority w:val="39"/>
    <w:pPr>
      <w:tabs>
        <w:tab w:val="right" w:leader="dot" w:pos="8296"/>
      </w:tabs>
      <w:ind w:left="420"/>
    </w:pPr>
  </w:style>
  <w:style w:type="paragraph" w:customStyle="1" w:styleId="233">
    <w:name w:val="普通(网站)1"/>
    <w:basedOn w:val="1"/>
    <w:unhideWhenUsed/>
    <w:qFormat/>
    <w:uiPriority w:val="99"/>
    <w:rPr>
      <w:rFonts w:ascii="Calibri" w:hAnsi="Calibri"/>
      <w:sz w:val="24"/>
    </w:rPr>
  </w:style>
  <w:style w:type="paragraph" w:customStyle="1" w:styleId="234">
    <w:name w:val="批注主题1"/>
    <w:basedOn w:val="212"/>
    <w:next w:val="212"/>
    <w:link w:val="235"/>
    <w:qFormat/>
    <w:uiPriority w:val="99"/>
    <w:rPr>
      <w:b/>
      <w:bCs/>
    </w:rPr>
  </w:style>
  <w:style w:type="character" w:customStyle="1" w:styleId="235">
    <w:name w:val="批注主题 Char"/>
    <w:link w:val="234"/>
    <w:qFormat/>
    <w:uiPriority w:val="99"/>
    <w:rPr>
      <w:rFonts w:ascii="Times New Roman" w:hAnsi="Times New Roman"/>
      <w:b/>
      <w:bCs/>
      <w:sz w:val="21"/>
      <w:szCs w:val="24"/>
    </w:rPr>
  </w:style>
  <w:style w:type="table" w:customStyle="1" w:styleId="236">
    <w:name w:val="网格型1"/>
    <w:basedOn w:val="20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37">
    <w:name w:val="要点1"/>
    <w:qFormat/>
    <w:uiPriority w:val="22"/>
    <w:rPr>
      <w:b/>
    </w:rPr>
  </w:style>
  <w:style w:type="character" w:customStyle="1" w:styleId="238">
    <w:name w:val="超链接1"/>
    <w:unhideWhenUsed/>
    <w:qFormat/>
    <w:uiPriority w:val="99"/>
    <w:rPr>
      <w:color w:val="0000FF"/>
      <w:u w:val="single"/>
    </w:rPr>
  </w:style>
  <w:style w:type="character" w:customStyle="1" w:styleId="239">
    <w:name w:val="批注引用1"/>
    <w:qFormat/>
    <w:uiPriority w:val="0"/>
    <w:rPr>
      <w:sz w:val="21"/>
      <w:szCs w:val="21"/>
    </w:rPr>
  </w:style>
  <w:style w:type="character" w:customStyle="1" w:styleId="240">
    <w:name w:val="17"/>
    <w:qFormat/>
    <w:uiPriority w:val="0"/>
    <w:rPr>
      <w:rFonts w:ascii="Times New Roman" w:hAnsi="Times New Roman" w:cs="Times New Roman"/>
      <w:color w:val="000000"/>
      <w:sz w:val="24"/>
      <w:szCs w:val="24"/>
    </w:rPr>
  </w:style>
  <w:style w:type="character" w:customStyle="1" w:styleId="241">
    <w:name w:val="正文2 Char Char"/>
    <w:link w:val="242"/>
    <w:qFormat/>
    <w:uiPriority w:val="0"/>
    <w:rPr>
      <w:sz w:val="24"/>
    </w:rPr>
  </w:style>
  <w:style w:type="paragraph" w:customStyle="1" w:styleId="242">
    <w:name w:val="正文2"/>
    <w:basedOn w:val="1"/>
    <w:link w:val="241"/>
    <w:qFormat/>
    <w:uiPriority w:val="0"/>
    <w:pPr>
      <w:spacing w:before="156" w:line="360" w:lineRule="auto"/>
      <w:ind w:firstLine="510"/>
    </w:pPr>
    <w:rPr>
      <w:sz w:val="24"/>
      <w:szCs w:val="20"/>
    </w:rPr>
  </w:style>
  <w:style w:type="character" w:customStyle="1" w:styleId="243">
    <w:name w:val="纯文本 Char1"/>
    <w:qFormat/>
    <w:uiPriority w:val="0"/>
    <w:rPr>
      <w:rFonts w:ascii="宋体" w:hAnsi="Courier New" w:eastAsia="宋体" w:cs="Courier New"/>
      <w:szCs w:val="21"/>
    </w:rPr>
  </w:style>
  <w:style w:type="character" w:customStyle="1" w:styleId="244">
    <w:name w:val="批注文字 字符2"/>
    <w:qFormat/>
    <w:uiPriority w:val="0"/>
    <w:rPr>
      <w:rFonts w:ascii="Times New Roman" w:hAnsi="Times New Roman"/>
      <w:sz w:val="21"/>
      <w:szCs w:val="24"/>
    </w:rPr>
  </w:style>
  <w:style w:type="character" w:customStyle="1" w:styleId="245">
    <w:name w:val="批注文字 字符1"/>
    <w:qFormat/>
    <w:uiPriority w:val="0"/>
    <w:rPr>
      <w:sz w:val="21"/>
      <w:szCs w:val="24"/>
    </w:rPr>
  </w:style>
  <w:style w:type="character" w:customStyle="1" w:styleId="246">
    <w:name w:val="标题 1 字符"/>
    <w:qFormat/>
    <w:uiPriority w:val="9"/>
    <w:rPr>
      <w:b/>
      <w:bCs/>
      <w:sz w:val="44"/>
      <w:szCs w:val="44"/>
    </w:rPr>
  </w:style>
  <w:style w:type="character" w:customStyle="1" w:styleId="247">
    <w:name w:val="页脚 Char"/>
    <w:qFormat/>
    <w:uiPriority w:val="99"/>
    <w:rPr>
      <w:lang w:eastAsia="zh-CN"/>
    </w:rPr>
  </w:style>
  <w:style w:type="character" w:customStyle="1" w:styleId="248">
    <w:name w:val="textcontents"/>
    <w:qFormat/>
    <w:uiPriority w:val="0"/>
  </w:style>
  <w:style w:type="character" w:customStyle="1" w:styleId="249">
    <w:name w:val="正文文本 (26) + 间距 0 pt"/>
    <w:qFormat/>
    <w:uiPriority w:val="0"/>
    <w:rPr>
      <w:rFonts w:hint="eastAsia" w:ascii="宋体" w:hAnsi="宋体" w:eastAsia="宋体" w:cs="宋体"/>
      <w:color w:val="000000"/>
      <w:spacing w:val="0"/>
      <w:position w:val="0"/>
      <w:sz w:val="22"/>
      <w:szCs w:val="22"/>
      <w:u w:val="none"/>
      <w:lang w:val="zh-CN" w:eastAsia="zh-CN" w:bidi="zh-CN"/>
    </w:rPr>
  </w:style>
  <w:style w:type="character" w:customStyle="1" w:styleId="250">
    <w:name w:val="纯文本 字符1"/>
    <w:qFormat/>
    <w:uiPriority w:val="0"/>
    <w:rPr>
      <w:rFonts w:ascii="宋体" w:hAnsi="Courier New"/>
    </w:rPr>
  </w:style>
  <w:style w:type="character" w:customStyle="1" w:styleId="251">
    <w:name w:val="apple-style-span"/>
    <w:qFormat/>
    <w:uiPriority w:val="0"/>
  </w:style>
  <w:style w:type="character" w:customStyle="1" w:styleId="252">
    <w:name w:val="正文文本缩进 字符1"/>
    <w:qFormat/>
    <w:uiPriority w:val="0"/>
    <w:rPr>
      <w:rFonts w:ascii="仿宋_GB2312" w:hAnsi="Times New Roman" w:eastAsia="仿宋_GB2312" w:cs="Times New Roman"/>
      <w:sz w:val="32"/>
      <w:szCs w:val="20"/>
    </w:rPr>
  </w:style>
  <w:style w:type="character" w:customStyle="1" w:styleId="253">
    <w:name w:val="批注文字 Char2"/>
    <w:qFormat/>
    <w:uiPriority w:val="0"/>
    <w:rPr>
      <w:rFonts w:ascii="Times New Roman" w:hAnsi="Times New Roman"/>
      <w:sz w:val="21"/>
      <w:szCs w:val="24"/>
    </w:rPr>
  </w:style>
  <w:style w:type="character" w:customStyle="1" w:styleId="254">
    <w:name w:val="纯文本 字符2"/>
    <w:qFormat/>
    <w:uiPriority w:val="0"/>
    <w:rPr>
      <w:rFonts w:ascii="宋体" w:hAnsi="Courier New" w:eastAsia="宋体" w:cs="Courier New"/>
      <w:szCs w:val="21"/>
    </w:rPr>
  </w:style>
  <w:style w:type="character" w:customStyle="1" w:styleId="255">
    <w:name w:val="正文文本 Char1"/>
    <w:semiHidden/>
    <w:qFormat/>
    <w:uiPriority w:val="0"/>
    <w:rPr>
      <w:sz w:val="21"/>
      <w:szCs w:val="24"/>
    </w:rPr>
  </w:style>
  <w:style w:type="character" w:customStyle="1" w:styleId="256">
    <w:name w:val="批注文字 Char1"/>
    <w:qFormat/>
    <w:uiPriority w:val="0"/>
    <w:rPr>
      <w:rFonts w:ascii="Times New Roman" w:hAnsi="Times New Roman"/>
      <w:sz w:val="21"/>
      <w:szCs w:val="24"/>
    </w:rPr>
  </w:style>
  <w:style w:type="paragraph" w:customStyle="1" w:styleId="257">
    <w:name w:val="列出段落1"/>
    <w:basedOn w:val="1"/>
    <w:qFormat/>
    <w:uiPriority w:val="0"/>
    <w:pPr>
      <w:ind w:firstLine="420"/>
    </w:pPr>
    <w:rPr>
      <w:szCs w:val="21"/>
    </w:rPr>
  </w:style>
  <w:style w:type="paragraph" w:customStyle="1" w:styleId="258">
    <w:name w:val="表内文字"/>
    <w:basedOn w:val="1"/>
    <w:qFormat/>
    <w:uiPriority w:val="0"/>
    <w:pPr>
      <w:spacing w:before="50" w:after="50"/>
      <w:jc w:val="center"/>
    </w:pPr>
    <w:rPr>
      <w:rFonts w:ascii="仿宋_GB2312" w:hAnsi="宋体" w:eastAsia="仿宋_GB2312"/>
      <w:b/>
      <w:color w:val="000000"/>
      <w:sz w:val="32"/>
      <w:szCs w:val="32"/>
    </w:rPr>
  </w:style>
  <w:style w:type="paragraph" w:customStyle="1" w:styleId="259">
    <w:name w:val="默认段落字体 Para Char Char Char Char Char Char Char Char Char1 Char Char Char Char"/>
    <w:basedOn w:val="1"/>
    <w:qFormat/>
    <w:uiPriority w:val="0"/>
    <w:rPr>
      <w:rFonts w:ascii="Tahoma" w:hAnsi="Tahoma"/>
      <w:sz w:val="24"/>
      <w:szCs w:val="20"/>
    </w:rPr>
  </w:style>
  <w:style w:type="paragraph" w:customStyle="1" w:styleId="26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1">
    <w:name w:val="列出段落2"/>
    <w:basedOn w:val="1"/>
    <w:qFormat/>
    <w:uiPriority w:val="34"/>
    <w:pPr>
      <w:ind w:firstLine="420"/>
    </w:pPr>
  </w:style>
  <w:style w:type="paragraph" w:customStyle="1" w:styleId="262">
    <w:name w:val="Table Paragraph"/>
    <w:basedOn w:val="1"/>
    <w:qFormat/>
    <w:uiPriority w:val="1"/>
    <w:pPr>
      <w:jc w:val="left"/>
    </w:pPr>
    <w:rPr>
      <w:rFonts w:ascii="Calibri" w:hAnsi="Calibri"/>
      <w:sz w:val="22"/>
      <w:szCs w:val="22"/>
      <w:lang w:eastAsia="en-US"/>
    </w:rPr>
  </w:style>
  <w:style w:type="character" w:customStyle="1" w:styleId="263">
    <w:name w:val="批注框文本 Char"/>
    <w:basedOn w:val="40"/>
    <w:link w:val="23"/>
    <w:semiHidden/>
    <w:qFormat/>
    <w:uiPriority w:val="99"/>
    <w:rPr>
      <w:sz w:val="18"/>
      <w:szCs w:val="18"/>
    </w:rPr>
  </w:style>
  <w:style w:type="character" w:customStyle="1" w:styleId="264">
    <w:name w:val="批注文字 Char3"/>
    <w:basedOn w:val="40"/>
    <w:link w:val="14"/>
    <w:semiHidden/>
    <w:qFormat/>
    <w:uiPriority w:val="99"/>
    <w:rPr>
      <w:sz w:val="21"/>
      <w:szCs w:val="24"/>
    </w:rPr>
  </w:style>
  <w:style w:type="character" w:customStyle="1" w:styleId="265">
    <w:name w:val="批注主题 Char1"/>
    <w:basedOn w:val="264"/>
    <w:link w:val="35"/>
    <w:semiHidden/>
    <w:qFormat/>
    <w:uiPriority w:val="99"/>
    <w:rPr>
      <w:b/>
      <w:bCs/>
      <w:sz w:val="21"/>
      <w:szCs w:val="24"/>
    </w:rPr>
  </w:style>
  <w:style w:type="character" w:customStyle="1" w:styleId="266">
    <w:name w:val="NormalCharacter"/>
    <w:qFormat/>
    <w:uiPriority w:val="0"/>
  </w:style>
  <w:style w:type="paragraph" w:customStyle="1" w:styleId="267">
    <w:name w:val="表格文字"/>
    <w:basedOn w:val="1"/>
    <w:qFormat/>
    <w:uiPriority w:val="0"/>
    <w:pPr>
      <w:spacing w:before="25" w:after="25"/>
      <w:jc w:val="left"/>
    </w:pPr>
    <w:rPr>
      <w:bCs/>
      <w:spacing w:val="10"/>
      <w:sz w:val="24"/>
    </w:rPr>
  </w:style>
  <w:style w:type="paragraph" w:customStyle="1" w:styleId="268">
    <w:name w:val="&gt;合同 正文"/>
    <w:qFormat/>
    <w:uiPriority w:val="0"/>
    <w:pPr>
      <w:spacing w:line="360" w:lineRule="auto"/>
      <w:ind w:firstLine="480" w:firstLineChars="200"/>
    </w:pPr>
    <w:rPr>
      <w:rFonts w:ascii="宋体" w:hAnsi="宋体" w:eastAsia="宋体" w:cs="宋体"/>
      <w:color w:val="000000"/>
      <w:kern w:val="2"/>
      <w:sz w:val="24"/>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广西云龙招</Company>
  <Pages>84</Pages>
  <Words>24444</Words>
  <Characters>26162</Characters>
  <Lines>424</Lines>
  <Paragraphs>119</Paragraphs>
  <TotalTime>35</TotalTime>
  <ScaleCrop>false</ScaleCrop>
  <LinksUpToDate>false</LinksUpToDate>
  <CharactersWithSpaces>26508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2020-10-16T09:42:00Z</dcterms:created>
  <dc:creator>唐</dc:creator>
  <cp:lastModifiedBy>树叶绿了。</cp:lastModifiedBy>
  <dcterms:modified xsi:type="dcterms:W3CDTF">2026-08-28T09:26:46Z</dcterms:modified>
  <dc:title>竞争性谈判</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eyJoZGlkIjoiODVhYWNlN2NlY2NkYjI4MjIxYmNkYjA0NTRmYjdhMDAiLCJ1c2VySWQiOiI1MjA4NjIwNjUifQ==</vt:lpwstr>
  </property>
  <property fmtid="{D5CDD505-2E9C-101B-9397-08002B2CF9AE}" pid="3" name="KSOProductBuildVer">
    <vt:lpwstr>2052-12.1.0.28043</vt:lpwstr>
  </property>
  <property fmtid="{D5CDD505-2E9C-101B-9397-08002B2CF9AE}" pid="4" name="ICV">
    <vt:lpwstr>37EF8478EE474E0FB33015149AE2B507_13</vt:lpwstr>
  </property>
</Properties>
</file>