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3F58A">
      <w:pPr>
        <w:spacing w:before="120"/>
        <w:rPr>
          <w:rFonts w:hint="eastAsia" w:ascii="宋体" w:hAnsi="宋体" w:cs="宋体"/>
          <w:b/>
          <w:color w:val="000000" w:themeColor="text1"/>
          <w:sz w:val="48"/>
          <w:szCs w:val="48"/>
          <w:highlight w:val="none"/>
          <w14:textFill>
            <w14:solidFill>
              <w14:schemeClr w14:val="tx1"/>
            </w14:solidFill>
          </w14:textFill>
        </w:rPr>
      </w:pPr>
    </w:p>
    <w:p w14:paraId="338DC1D6">
      <w:pPr>
        <w:spacing w:before="120" w:line="360" w:lineRule="auto"/>
        <w:jc w:val="center"/>
        <w:rPr>
          <w:rFonts w:hint="eastAsia" w:ascii="宋体" w:hAnsi="宋体" w:cs="宋体"/>
          <w:color w:val="000000" w:themeColor="text1"/>
          <w:sz w:val="72"/>
          <w:szCs w:val="72"/>
          <w:highlight w:val="none"/>
          <w14:textFill>
            <w14:solidFill>
              <w14:schemeClr w14:val="tx1"/>
            </w14:solidFill>
          </w14:textFill>
        </w:rPr>
      </w:pPr>
      <w:r>
        <w:rPr>
          <w:rFonts w:hint="eastAsia" w:ascii="宋体" w:hAnsi="宋体" w:cs="宋体"/>
          <w:color w:val="000000" w:themeColor="text1"/>
          <w:sz w:val="72"/>
          <w:szCs w:val="72"/>
          <w:highlight w:val="none"/>
          <w14:textFill>
            <w14:solidFill>
              <w14:schemeClr w14:val="tx1"/>
            </w14:solidFill>
          </w14:textFill>
        </w:rPr>
        <w:t>公开招标文件</w:t>
      </w:r>
    </w:p>
    <w:p w14:paraId="50F65B92">
      <w:pPr>
        <w:spacing w:before="120" w:line="360" w:lineRule="auto"/>
        <w:rPr>
          <w:rFonts w:hint="eastAsia" w:ascii="宋体" w:hAnsi="宋体" w:cs="宋体"/>
          <w:color w:val="000000" w:themeColor="text1"/>
          <w:sz w:val="30"/>
          <w:szCs w:val="72"/>
          <w:highlight w:val="none"/>
          <w14:textFill>
            <w14:solidFill>
              <w14:schemeClr w14:val="tx1"/>
            </w14:solidFill>
          </w14:textFill>
        </w:rPr>
      </w:pPr>
    </w:p>
    <w:p w14:paraId="5AB10139">
      <w:pPr>
        <w:spacing w:before="120" w:line="360" w:lineRule="auto"/>
        <w:rPr>
          <w:rFonts w:hint="eastAsia" w:ascii="宋体" w:hAnsi="宋体" w:cs="宋体"/>
          <w:color w:val="000000" w:themeColor="text1"/>
          <w:sz w:val="30"/>
          <w:szCs w:val="72"/>
          <w:highlight w:val="none"/>
          <w14:textFill>
            <w14:solidFill>
              <w14:schemeClr w14:val="tx1"/>
            </w14:solidFill>
          </w14:textFill>
        </w:rPr>
      </w:pPr>
    </w:p>
    <w:p w14:paraId="31BDA219">
      <w:pPr>
        <w:spacing w:before="120" w:line="360" w:lineRule="auto"/>
        <w:rPr>
          <w:rFonts w:hint="eastAsia" w:ascii="宋体" w:hAnsi="宋体" w:cs="宋体"/>
          <w:color w:val="000000" w:themeColor="text1"/>
          <w:sz w:val="30"/>
          <w:szCs w:val="72"/>
          <w:highlight w:val="none"/>
          <w14:textFill>
            <w14:solidFill>
              <w14:schemeClr w14:val="tx1"/>
            </w14:solidFill>
          </w14:textFill>
        </w:rPr>
      </w:pPr>
    </w:p>
    <w:p w14:paraId="1EAD92C4">
      <w:pPr>
        <w:pStyle w:val="227"/>
        <w:spacing w:before="120" w:after="120" w:line="360" w:lineRule="auto"/>
        <w:ind w:firstLine="1193"/>
        <w:rPr>
          <w:rFonts w:hint="eastAsia" w:hAnsi="宋体" w:eastAsia="宋体" w:cs="宋体"/>
          <w:b/>
          <w:bCs/>
          <w:color w:val="000000" w:themeColor="text1"/>
          <w:sz w:val="30"/>
          <w:szCs w:val="30"/>
          <w:highlight w:val="none"/>
          <w:lang w:eastAsia="zh-CN"/>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项目编号：</w:t>
      </w:r>
      <w:r>
        <w:rPr>
          <w:rFonts w:hint="eastAsia" w:hAnsi="宋体" w:cs="宋体"/>
          <w:b/>
          <w:bCs/>
          <w:color w:val="000000" w:themeColor="text1"/>
          <w:sz w:val="30"/>
          <w:szCs w:val="30"/>
          <w:highlight w:val="none"/>
          <w:lang w:eastAsia="zh-CN"/>
          <w14:textFill>
            <w14:solidFill>
              <w14:schemeClr w14:val="tx1"/>
            </w14:solidFill>
          </w14:textFill>
        </w:rPr>
        <w:t>GGZC2026-G3-020048-YZLZ</w:t>
      </w:r>
    </w:p>
    <w:p w14:paraId="278E92E3">
      <w:pPr>
        <w:tabs>
          <w:tab w:val="left" w:pos="9030"/>
        </w:tabs>
        <w:spacing w:before="120" w:line="360" w:lineRule="auto"/>
        <w:ind w:firstLine="1145"/>
        <w:rPr>
          <w:rFonts w:hint="eastAsia" w:ascii="宋体" w:hAnsi="宋体" w:eastAsia="宋体" w:cs="宋体"/>
          <w:b/>
          <w:bCs/>
          <w:color w:val="000000" w:themeColor="text1"/>
          <w:sz w:val="30"/>
          <w:szCs w:val="30"/>
          <w:highlight w:val="none"/>
          <w:lang w:eastAsia="zh-CN"/>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项目名称：</w:t>
      </w:r>
      <w:r>
        <w:rPr>
          <w:rFonts w:hint="eastAsia" w:ascii="宋体" w:hAnsi="宋体" w:cs="宋体"/>
          <w:b/>
          <w:bCs/>
          <w:color w:val="000000" w:themeColor="text1"/>
          <w:sz w:val="30"/>
          <w:szCs w:val="30"/>
          <w:highlight w:val="none"/>
          <w:lang w:eastAsia="zh-CN"/>
          <w14:textFill>
            <w14:solidFill>
              <w14:schemeClr w14:val="tx1"/>
            </w14:solidFill>
          </w14:textFill>
        </w:rPr>
        <w:t>2026年港北区生产障碍耕地治理项目（重）</w:t>
      </w:r>
    </w:p>
    <w:p w14:paraId="1AD7DA76">
      <w:pPr>
        <w:pStyle w:val="227"/>
        <w:spacing w:before="120" w:after="120" w:line="360" w:lineRule="auto"/>
        <w:ind w:firstLine="1125"/>
        <w:rPr>
          <w:rFonts w:hint="eastAsia" w:hAnsi="宋体" w:cs="宋体"/>
          <w:b/>
          <w:bCs/>
          <w:color w:val="000000" w:themeColor="text1"/>
          <w:sz w:val="30"/>
          <w:szCs w:val="30"/>
          <w:highlight w:val="none"/>
          <w:lang w:eastAsia="zh-CN"/>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采 购 人：</w:t>
      </w:r>
      <w:r>
        <w:rPr>
          <w:rFonts w:hint="eastAsia" w:hAnsi="宋体" w:cs="宋体"/>
          <w:b/>
          <w:bCs/>
          <w:color w:val="000000" w:themeColor="text1"/>
          <w:sz w:val="30"/>
          <w:szCs w:val="30"/>
          <w:highlight w:val="none"/>
          <w:lang w:eastAsia="zh-CN"/>
          <w14:textFill>
            <w14:solidFill>
              <w14:schemeClr w14:val="tx1"/>
            </w14:solidFill>
          </w14:textFill>
        </w:rPr>
        <w:t>贵港市港北区农业农村局</w:t>
      </w:r>
    </w:p>
    <w:p w14:paraId="0686BA97">
      <w:pPr>
        <w:pStyle w:val="227"/>
        <w:spacing w:before="120" w:after="120" w:line="360" w:lineRule="auto"/>
        <w:ind w:firstLine="1125"/>
        <w:rPr>
          <w:rFonts w:hint="eastAsia" w:hAnsi="宋体" w:cs="宋体"/>
          <w:b/>
          <w:bCs/>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采购代理机构：云之龙咨询集团有限公司</w:t>
      </w:r>
    </w:p>
    <w:p w14:paraId="6A16283E">
      <w:pPr>
        <w:pStyle w:val="227"/>
        <w:spacing w:before="120" w:after="120" w:line="360" w:lineRule="auto"/>
        <w:ind w:firstLine="841"/>
        <w:rPr>
          <w:rFonts w:hint="eastAsia" w:hAnsi="宋体" w:cs="宋体"/>
          <w:b/>
          <w:bCs/>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 xml:space="preserve">            </w:t>
      </w:r>
    </w:p>
    <w:p w14:paraId="62F6861B">
      <w:pPr>
        <w:pStyle w:val="227"/>
        <w:spacing w:before="120" w:after="120" w:line="360" w:lineRule="auto"/>
        <w:ind w:firstLine="841"/>
        <w:rPr>
          <w:rFonts w:hint="eastAsia" w:hAnsi="宋体" w:cs="宋体"/>
          <w:b/>
          <w:bCs/>
          <w:color w:val="000000" w:themeColor="text1"/>
          <w:sz w:val="30"/>
          <w:szCs w:val="30"/>
          <w:highlight w:val="none"/>
          <w14:textFill>
            <w14:solidFill>
              <w14:schemeClr w14:val="tx1"/>
            </w14:solidFill>
          </w14:textFill>
        </w:rPr>
      </w:pPr>
    </w:p>
    <w:p w14:paraId="4503C46E">
      <w:pPr>
        <w:pStyle w:val="227"/>
        <w:spacing w:before="120" w:after="120" w:line="360" w:lineRule="auto"/>
        <w:ind w:firstLine="841"/>
        <w:jc w:val="center"/>
        <w:rPr>
          <w:rFonts w:hint="eastAsia" w:hAnsi="宋体" w:cs="宋体"/>
          <w:color w:val="000000" w:themeColor="text1"/>
          <w:szCs w:val="20"/>
          <w:highlight w:val="none"/>
          <w14:textFill>
            <w14:solidFill>
              <w14:schemeClr w14:val="tx1"/>
            </w14:solidFill>
          </w14:textFill>
        </w:rPr>
      </w:pPr>
      <w:r>
        <w:rPr>
          <w:rFonts w:hint="eastAsia" w:hAnsi="宋体" w:cs="宋体"/>
          <w:b/>
          <w:bCs/>
          <w:color w:val="000000" w:themeColor="text1"/>
          <w:sz w:val="30"/>
          <w:szCs w:val="30"/>
          <w:highlight w:val="none"/>
          <w:lang w:eastAsia="zh-CN"/>
          <w14:textFill>
            <w14:solidFill>
              <w14:schemeClr w14:val="tx1"/>
            </w14:solidFill>
          </w14:textFill>
        </w:rPr>
        <w:t>2026</w:t>
      </w:r>
      <w:r>
        <w:rPr>
          <w:rFonts w:hint="eastAsia" w:hAnsi="宋体" w:cs="宋体"/>
          <w:b/>
          <w:bCs/>
          <w:color w:val="000000" w:themeColor="text1"/>
          <w:sz w:val="30"/>
          <w:szCs w:val="30"/>
          <w:highlight w:val="none"/>
          <w14:textFill>
            <w14:solidFill>
              <w14:schemeClr w14:val="tx1"/>
            </w14:solidFill>
          </w14:textFill>
        </w:rPr>
        <w:t>年</w:t>
      </w:r>
      <w:r>
        <w:rPr>
          <w:rFonts w:hint="eastAsia" w:hAnsi="宋体" w:cs="宋体"/>
          <w:b/>
          <w:bCs/>
          <w:color w:val="000000" w:themeColor="text1"/>
          <w:sz w:val="30"/>
          <w:szCs w:val="30"/>
          <w:highlight w:val="none"/>
          <w:lang w:val="en-US" w:eastAsia="zh-CN"/>
          <w14:textFill>
            <w14:solidFill>
              <w14:schemeClr w14:val="tx1"/>
            </w14:solidFill>
          </w14:textFill>
        </w:rPr>
        <w:t xml:space="preserve"> 8</w:t>
      </w:r>
      <w:r>
        <w:rPr>
          <w:rFonts w:hint="eastAsia" w:hAnsi="宋体" w:cs="宋体"/>
          <w:b/>
          <w:bCs/>
          <w:color w:val="000000" w:themeColor="text1"/>
          <w:sz w:val="30"/>
          <w:szCs w:val="30"/>
          <w:highlight w:val="none"/>
          <w14:textFill>
            <w14:solidFill>
              <w14:schemeClr w14:val="tx1"/>
            </w14:solidFill>
          </w14:textFill>
        </w:rPr>
        <w:t>月</w:t>
      </w:r>
    </w:p>
    <w:p w14:paraId="70035D7B">
      <w:pPr>
        <w:pStyle w:val="227"/>
        <w:spacing w:before="120" w:after="120" w:line="360" w:lineRule="auto"/>
        <w:jc w:val="center"/>
        <w:rPr>
          <w:rFonts w:hint="eastAsia" w:hAnsi="宋体" w:cs="宋体"/>
          <w:color w:val="000000" w:themeColor="text1"/>
          <w:highlight w:val="none"/>
          <w14:textFill>
            <w14:solidFill>
              <w14:schemeClr w14:val="tx1"/>
            </w14:solidFill>
          </w14:textFill>
        </w:rPr>
      </w:pPr>
    </w:p>
    <w:p w14:paraId="64A92678">
      <w:pPr>
        <w:pStyle w:val="219"/>
        <w:rPr>
          <w:rFonts w:hint="eastAsia" w:ascii="宋体" w:hAnsi="宋体" w:cs="宋体"/>
          <w:color w:val="000000" w:themeColor="text1"/>
          <w:sz w:val="40"/>
          <w:highlight w:val="none"/>
          <w14:textFill>
            <w14:solidFill>
              <w14:schemeClr w14:val="tx1"/>
            </w14:solidFill>
          </w14:textFill>
        </w:rPr>
      </w:pPr>
    </w:p>
    <w:p w14:paraId="116C80DF">
      <w:pPr>
        <w:pStyle w:val="227"/>
        <w:spacing w:before="120" w:after="120" w:line="360" w:lineRule="auto"/>
        <w:jc w:val="center"/>
        <w:rPr>
          <w:rFonts w:hint="eastAsia" w:hAnsi="宋体" w:cs="宋体"/>
          <w:color w:val="000000" w:themeColor="text1"/>
          <w:highlight w:val="none"/>
          <w14:textFill>
            <w14:solidFill>
              <w14:schemeClr w14:val="tx1"/>
            </w14:solidFill>
          </w14:textFill>
        </w:rPr>
        <w:sectPr>
          <w:footerReference r:id="rId6" w:type="first"/>
          <w:headerReference r:id="rId3" w:type="default"/>
          <w:footerReference r:id="rId4" w:type="default"/>
          <w:footerReference r:id="rId5" w:type="even"/>
          <w:pgSz w:w="11906" w:h="16838"/>
          <w:pgMar w:top="1134" w:right="1247" w:bottom="1560" w:left="1247" w:header="851" w:footer="992" w:gutter="0"/>
          <w:cols w:space="1701" w:num="1"/>
          <w:titlePg/>
        </w:sectPr>
      </w:pPr>
    </w:p>
    <w:p w14:paraId="4599B53A">
      <w:pPr>
        <w:rPr>
          <w:rFonts w:hint="eastAsia" w:ascii="宋体" w:hAnsi="宋体" w:cs="宋体"/>
          <w:color w:val="000000" w:themeColor="text1"/>
          <w:highlight w:val="none"/>
          <w14:textFill>
            <w14:solidFill>
              <w14:schemeClr w14:val="tx1"/>
            </w14:solidFill>
          </w14:textFill>
        </w:rPr>
      </w:pPr>
    </w:p>
    <w:p w14:paraId="48077C13">
      <w:pPr>
        <w:pStyle w:val="227"/>
        <w:spacing w:before="120" w:after="120" w:line="360" w:lineRule="auto"/>
        <w:jc w:val="center"/>
        <w:rPr>
          <w:rFonts w:hint="eastAsia" w:hAnsi="宋体" w:cs="宋体"/>
          <w:color w:val="000000" w:themeColor="text1"/>
          <w:sz w:val="32"/>
          <w:szCs w:val="32"/>
          <w:highlight w:val="none"/>
          <w14:textFill>
            <w14:solidFill>
              <w14:schemeClr w14:val="tx1"/>
            </w14:solidFill>
          </w14:textFill>
        </w:rPr>
      </w:pPr>
      <w:r>
        <w:rPr>
          <w:rFonts w:hint="eastAsia" w:hAnsi="宋体" w:cs="宋体"/>
          <w:color w:val="000000" w:themeColor="text1"/>
          <w:sz w:val="32"/>
          <w:szCs w:val="32"/>
          <w:highlight w:val="none"/>
          <w14:textFill>
            <w14:solidFill>
              <w14:schemeClr w14:val="tx1"/>
            </w14:solidFill>
          </w14:textFill>
        </w:rPr>
        <w:t>目    录</w:t>
      </w:r>
    </w:p>
    <w:p w14:paraId="540970BF">
      <w:pPr>
        <w:pStyle w:val="27"/>
        <w:tabs>
          <w:tab w:val="right" w:leader="dot" w:pos="8312"/>
        </w:tabs>
        <w:rPr>
          <w:color w:val="000000" w:themeColor="text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fldChar w:fldCharType="begin"/>
      </w:r>
      <w:r>
        <w:rPr>
          <w:rFonts w:hint="eastAsia" w:ascii="宋体" w:hAnsi="宋体" w:cs="宋体"/>
          <w:b/>
          <w:bCs/>
          <w:color w:val="000000" w:themeColor="text1"/>
          <w:sz w:val="24"/>
          <w:highlight w:val="none"/>
          <w14:textFill>
            <w14:solidFill>
              <w14:schemeClr w14:val="tx1"/>
            </w14:solidFill>
          </w14:textFill>
        </w:rPr>
        <w:instrText xml:space="preserve"> TOC \o "1-2" \h \z \u </w:instrText>
      </w:r>
      <w:r>
        <w:rPr>
          <w:rFonts w:hint="eastAsia" w:ascii="宋体" w:hAnsi="宋体" w:cs="宋体"/>
          <w:b/>
          <w:bCs/>
          <w:color w:val="000000" w:themeColor="text1"/>
          <w:sz w:val="24"/>
          <w:highlight w:val="none"/>
          <w14:textFill>
            <w14:solidFill>
              <w14:schemeClr w14:val="tx1"/>
            </w14:solidFill>
          </w14:textFill>
        </w:rPr>
        <w:fldChar w:fldCharType="separate"/>
      </w:r>
      <w:r>
        <w:rPr>
          <w:rFonts w:hint="eastAsia" w:ascii="宋体" w:hAnsi="宋体" w:cs="宋体"/>
          <w:bCs/>
          <w:color w:val="000000" w:themeColor="text1"/>
          <w:highlight w:val="none"/>
          <w14:textFill>
            <w14:solidFill>
              <w14:schemeClr w14:val="tx1"/>
            </w14:solidFill>
          </w14:textFill>
        </w:rPr>
        <w:fldChar w:fldCharType="begin"/>
      </w:r>
      <w:r>
        <w:rPr>
          <w:rFonts w:hint="eastAsia" w:ascii="宋体" w:hAnsi="宋体" w:cs="宋体"/>
          <w:bCs/>
          <w:color w:val="000000" w:themeColor="text1"/>
          <w:highlight w:val="none"/>
          <w14:textFill>
            <w14:solidFill>
              <w14:schemeClr w14:val="tx1"/>
            </w14:solidFill>
          </w14:textFill>
        </w:rPr>
        <w:instrText xml:space="preserve"> HYPERLINK \l _Toc24965 </w:instrText>
      </w:r>
      <w:r>
        <w:rPr>
          <w:rFonts w:hint="eastAsia" w:ascii="宋体" w:hAnsi="宋体" w:cs="宋体"/>
          <w:bCs/>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第一章  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_Toc24965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eastAsia" w:ascii="宋体" w:hAnsi="宋体" w:cs="宋体"/>
          <w:bCs/>
          <w:color w:val="000000" w:themeColor="text1"/>
          <w:highlight w:val="none"/>
          <w14:textFill>
            <w14:solidFill>
              <w14:schemeClr w14:val="tx1"/>
            </w14:solidFill>
          </w14:textFill>
        </w:rPr>
        <w:fldChar w:fldCharType="end"/>
      </w:r>
    </w:p>
    <w:p w14:paraId="7F94365F">
      <w:pPr>
        <w:pStyle w:val="27"/>
        <w:tabs>
          <w:tab w:val="right" w:leader="dot" w:pos="8312"/>
        </w:tabs>
        <w:rPr>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fldChar w:fldCharType="begin"/>
      </w:r>
      <w:r>
        <w:rPr>
          <w:rFonts w:hint="eastAsia" w:ascii="宋体" w:hAnsi="宋体" w:cs="宋体"/>
          <w:bCs/>
          <w:color w:val="000000" w:themeColor="text1"/>
          <w:highlight w:val="none"/>
          <w14:textFill>
            <w14:solidFill>
              <w14:schemeClr w14:val="tx1"/>
            </w14:solidFill>
          </w14:textFill>
        </w:rPr>
        <w:instrText xml:space="preserve"> HYPERLINK \l _Toc1871 </w:instrText>
      </w:r>
      <w:r>
        <w:rPr>
          <w:rFonts w:hint="eastAsia" w:ascii="宋体" w:hAnsi="宋体" w:cs="宋体"/>
          <w:bCs/>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hint="eastAsia" w:ascii="宋体" w:hAnsi="宋体" w:cs="宋体"/>
          <w:bCs/>
          <w:color w:val="000000" w:themeColor="text1"/>
          <w:highlight w:val="none"/>
          <w14:textFill>
            <w14:solidFill>
              <w14:schemeClr w14:val="tx1"/>
            </w14:solidFill>
          </w14:textFill>
        </w:rPr>
        <w:fldChar w:fldCharType="end"/>
      </w:r>
    </w:p>
    <w:p w14:paraId="714B185B">
      <w:pPr>
        <w:pStyle w:val="27"/>
        <w:tabs>
          <w:tab w:val="right" w:leader="dot" w:pos="8312"/>
        </w:tabs>
        <w:rPr>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fldChar w:fldCharType="begin"/>
      </w:r>
      <w:r>
        <w:rPr>
          <w:rFonts w:hint="eastAsia" w:ascii="宋体" w:hAnsi="宋体" w:cs="宋体"/>
          <w:bCs/>
          <w:color w:val="000000" w:themeColor="text1"/>
          <w:highlight w:val="none"/>
          <w14:textFill>
            <w14:solidFill>
              <w14:schemeClr w14:val="tx1"/>
            </w14:solidFill>
          </w14:textFill>
        </w:rPr>
        <w:instrText xml:space="preserve"> HYPERLINK \l _Toc28618 </w:instrText>
      </w:r>
      <w:r>
        <w:rPr>
          <w:rFonts w:hint="eastAsia" w:ascii="宋体" w:hAnsi="宋体" w:cs="宋体"/>
          <w:bCs/>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_Toc28618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51</w:t>
      </w:r>
      <w:r>
        <w:rPr>
          <w:color w:val="000000" w:themeColor="text1"/>
          <w:highlight w:val="none"/>
          <w14:textFill>
            <w14:solidFill>
              <w14:schemeClr w14:val="tx1"/>
            </w14:solidFill>
          </w14:textFill>
        </w:rPr>
        <w:fldChar w:fldCharType="end"/>
      </w:r>
      <w:r>
        <w:rPr>
          <w:rFonts w:hint="eastAsia" w:ascii="宋体" w:hAnsi="宋体" w:cs="宋体"/>
          <w:bCs/>
          <w:color w:val="000000" w:themeColor="text1"/>
          <w:highlight w:val="none"/>
          <w14:textFill>
            <w14:solidFill>
              <w14:schemeClr w14:val="tx1"/>
            </w14:solidFill>
          </w14:textFill>
        </w:rPr>
        <w:fldChar w:fldCharType="end"/>
      </w:r>
    </w:p>
    <w:p w14:paraId="5C1975AC">
      <w:pPr>
        <w:pStyle w:val="27"/>
        <w:tabs>
          <w:tab w:val="right" w:leader="dot" w:pos="8312"/>
        </w:tabs>
        <w:rPr>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fldChar w:fldCharType="begin"/>
      </w:r>
      <w:r>
        <w:rPr>
          <w:rFonts w:hint="eastAsia" w:ascii="宋体" w:hAnsi="宋体" w:cs="宋体"/>
          <w:bCs/>
          <w:color w:val="000000" w:themeColor="text1"/>
          <w:highlight w:val="none"/>
          <w14:textFill>
            <w14:solidFill>
              <w14:schemeClr w14:val="tx1"/>
            </w14:solidFill>
          </w14:textFill>
        </w:rPr>
        <w:instrText xml:space="preserve"> HYPERLINK \l _Toc6219 </w:instrText>
      </w:r>
      <w:r>
        <w:rPr>
          <w:rFonts w:hint="eastAsia" w:ascii="宋体" w:hAnsi="宋体" w:cs="宋体"/>
          <w:bCs/>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第四章  评标方法及评标标准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_Toc6219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rFonts w:hint="eastAsia" w:ascii="宋体" w:hAnsi="宋体" w:cs="宋体"/>
          <w:bCs/>
          <w:color w:val="000000" w:themeColor="text1"/>
          <w:highlight w:val="none"/>
          <w14:textFill>
            <w14:solidFill>
              <w14:schemeClr w14:val="tx1"/>
            </w14:solidFill>
          </w14:textFill>
        </w:rPr>
        <w:fldChar w:fldCharType="end"/>
      </w:r>
    </w:p>
    <w:p w14:paraId="6D37A60B">
      <w:pPr>
        <w:pStyle w:val="27"/>
        <w:tabs>
          <w:tab w:val="right" w:leader="dot" w:pos="8312"/>
        </w:tabs>
        <w:rPr>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fldChar w:fldCharType="begin"/>
      </w:r>
      <w:r>
        <w:rPr>
          <w:rFonts w:hint="eastAsia" w:ascii="宋体" w:hAnsi="宋体" w:cs="宋体"/>
          <w:bCs/>
          <w:color w:val="000000" w:themeColor="text1"/>
          <w:highlight w:val="none"/>
          <w14:textFill>
            <w14:solidFill>
              <w14:schemeClr w14:val="tx1"/>
            </w14:solidFill>
          </w14:textFill>
        </w:rPr>
        <w:instrText xml:space="preserve"> HYPERLINK \l _Toc29495 </w:instrText>
      </w:r>
      <w:r>
        <w:rPr>
          <w:rFonts w:hint="eastAsia" w:ascii="宋体" w:hAnsi="宋体" w:cs="宋体"/>
          <w:bCs/>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第五章  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_Toc29495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rFonts w:hint="eastAsia" w:ascii="宋体" w:hAnsi="宋体" w:cs="宋体"/>
          <w:bCs/>
          <w:color w:val="000000" w:themeColor="text1"/>
          <w:highlight w:val="none"/>
          <w14:textFill>
            <w14:solidFill>
              <w14:schemeClr w14:val="tx1"/>
            </w14:solidFill>
          </w14:textFill>
        </w:rPr>
        <w:fldChar w:fldCharType="end"/>
      </w:r>
    </w:p>
    <w:p w14:paraId="68230598">
      <w:pPr>
        <w:pStyle w:val="27"/>
        <w:tabs>
          <w:tab w:val="right" w:leader="dot" w:pos="8312"/>
        </w:tabs>
        <w:rPr>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fldChar w:fldCharType="begin"/>
      </w:r>
      <w:r>
        <w:rPr>
          <w:rFonts w:hint="eastAsia" w:ascii="宋体" w:hAnsi="宋体" w:cs="宋体"/>
          <w:bCs/>
          <w:color w:val="000000" w:themeColor="text1"/>
          <w:highlight w:val="none"/>
          <w14:textFill>
            <w14:solidFill>
              <w14:schemeClr w14:val="tx1"/>
            </w14:solidFill>
          </w14:textFill>
        </w:rPr>
        <w:instrText xml:space="preserve"> HYPERLINK \l _Toc30641 </w:instrText>
      </w:r>
      <w:r>
        <w:rPr>
          <w:rFonts w:hint="eastAsia" w:ascii="宋体" w:hAnsi="宋体" w:cs="宋体"/>
          <w:bCs/>
          <w:color w:val="000000" w:themeColor="text1"/>
          <w:highlight w:val="none"/>
          <w14:textFill>
            <w14:solidFill>
              <w14:schemeClr w14:val="tx1"/>
            </w14:solidFill>
          </w14:textFill>
        </w:rPr>
        <w:fldChar w:fldCharType="separate"/>
      </w:r>
      <w:r>
        <w:rPr>
          <w:rFonts w:hint="eastAsia" w:ascii="宋体" w:hAnsi="宋体" w:cs="宋体"/>
          <w:bCs/>
          <w:color w:val="000000" w:themeColor="text1"/>
          <w:highlight w:val="none"/>
          <w14:textFill>
            <w14:solidFill>
              <w14:schemeClr w14:val="tx1"/>
            </w14:solidFill>
          </w14:textFill>
        </w:rPr>
        <w:t>第六章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_Toc30641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86</w:t>
      </w:r>
      <w:r>
        <w:rPr>
          <w:color w:val="000000" w:themeColor="text1"/>
          <w:highlight w:val="none"/>
          <w14:textFill>
            <w14:solidFill>
              <w14:schemeClr w14:val="tx1"/>
            </w14:solidFill>
          </w14:textFill>
        </w:rPr>
        <w:fldChar w:fldCharType="end"/>
      </w:r>
      <w:r>
        <w:rPr>
          <w:rFonts w:hint="eastAsia" w:ascii="宋体" w:hAnsi="宋体" w:cs="宋体"/>
          <w:bCs/>
          <w:color w:val="000000" w:themeColor="text1"/>
          <w:highlight w:val="none"/>
          <w14:textFill>
            <w14:solidFill>
              <w14:schemeClr w14:val="tx1"/>
            </w14:solidFill>
          </w14:textFill>
        </w:rPr>
        <w:fldChar w:fldCharType="end"/>
      </w:r>
    </w:p>
    <w:p w14:paraId="5EF1E7FC">
      <w:pPr>
        <w:spacing w:before="120" w:line="48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fldChar w:fldCharType="end"/>
      </w:r>
    </w:p>
    <w:p w14:paraId="255F15D2">
      <w:pPr>
        <w:spacing w:before="120" w:line="480" w:lineRule="exact"/>
        <w:rPr>
          <w:rFonts w:hint="eastAsia" w:ascii="宋体" w:hAnsi="宋体" w:cs="宋体"/>
          <w:color w:val="000000" w:themeColor="text1"/>
          <w:sz w:val="30"/>
          <w:highlight w:val="none"/>
          <w14:textFill>
            <w14:solidFill>
              <w14:schemeClr w14:val="tx1"/>
            </w14:solidFill>
          </w14:textFill>
        </w:rPr>
      </w:pPr>
    </w:p>
    <w:p w14:paraId="4D234D63">
      <w:pPr>
        <w:rPr>
          <w:rFonts w:hint="eastAsia" w:ascii="宋体" w:hAnsi="宋体" w:cs="宋体"/>
          <w:color w:val="000000" w:themeColor="text1"/>
          <w:highlight w:val="none"/>
          <w14:textFill>
            <w14:solidFill>
              <w14:schemeClr w14:val="tx1"/>
            </w14:solidFill>
          </w14:textFill>
        </w:rPr>
      </w:pPr>
    </w:p>
    <w:p w14:paraId="09C89FD8">
      <w:pPr>
        <w:spacing w:before="120" w:line="480" w:lineRule="exact"/>
        <w:rPr>
          <w:rFonts w:hint="eastAsia" w:ascii="宋体" w:hAnsi="宋体" w:cs="宋体"/>
          <w:color w:val="000000" w:themeColor="text1"/>
          <w:sz w:val="30"/>
          <w:highlight w:val="none"/>
          <w14:textFill>
            <w14:solidFill>
              <w14:schemeClr w14:val="tx1"/>
            </w14:solidFill>
          </w14:textFill>
        </w:rPr>
      </w:pPr>
    </w:p>
    <w:p w14:paraId="63A913F5">
      <w:pPr>
        <w:spacing w:before="120" w:line="480" w:lineRule="exact"/>
        <w:rPr>
          <w:rFonts w:hint="eastAsia" w:ascii="宋体" w:hAnsi="宋体" w:cs="宋体"/>
          <w:color w:val="000000" w:themeColor="text1"/>
          <w:sz w:val="30"/>
          <w:highlight w:val="none"/>
          <w14:textFill>
            <w14:solidFill>
              <w14:schemeClr w14:val="tx1"/>
            </w14:solidFill>
          </w14:textFill>
        </w:rPr>
      </w:pPr>
    </w:p>
    <w:p w14:paraId="6F2A88E3">
      <w:pPr>
        <w:spacing w:before="120" w:line="480" w:lineRule="exact"/>
        <w:rPr>
          <w:rFonts w:hint="eastAsia" w:ascii="宋体" w:hAnsi="宋体" w:cs="宋体"/>
          <w:color w:val="000000" w:themeColor="text1"/>
          <w:sz w:val="30"/>
          <w:highlight w:val="none"/>
          <w14:textFill>
            <w14:solidFill>
              <w14:schemeClr w14:val="tx1"/>
            </w14:solidFill>
          </w14:textFill>
        </w:rPr>
      </w:pPr>
    </w:p>
    <w:p w14:paraId="5061F04C">
      <w:pPr>
        <w:pStyle w:val="215"/>
        <w:jc w:val="both"/>
        <w:rPr>
          <w:rFonts w:hint="eastAsia" w:ascii="宋体" w:hAnsi="宋体" w:cs="宋体"/>
          <w:color w:val="000000" w:themeColor="text1"/>
          <w:highlight w:val="none"/>
          <w14:textFill>
            <w14:solidFill>
              <w14:schemeClr w14:val="tx1"/>
            </w14:solidFill>
          </w14:textFill>
        </w:rPr>
      </w:pPr>
      <w:bookmarkStart w:id="0" w:name="_Toc254970489"/>
      <w:bookmarkStart w:id="1" w:name="_Toc254970630"/>
    </w:p>
    <w:p w14:paraId="3B2A4534">
      <w:pPr>
        <w:pStyle w:val="215"/>
        <w:jc w:val="both"/>
        <w:rPr>
          <w:rFonts w:hint="eastAsia" w:ascii="宋体" w:hAnsi="宋体" w:cs="宋体"/>
          <w:color w:val="000000" w:themeColor="text1"/>
          <w:highlight w:val="none"/>
          <w14:textFill>
            <w14:solidFill>
              <w14:schemeClr w14:val="tx1"/>
            </w14:solidFill>
          </w14:textFill>
        </w:rPr>
      </w:pPr>
    </w:p>
    <w:p w14:paraId="621B8DAC">
      <w:pPr>
        <w:pStyle w:val="215"/>
        <w:jc w:val="both"/>
        <w:rPr>
          <w:rFonts w:hint="eastAsia" w:ascii="宋体" w:hAnsi="宋体" w:cs="宋体"/>
          <w:color w:val="000000" w:themeColor="text1"/>
          <w:highlight w:val="none"/>
          <w14:textFill>
            <w14:solidFill>
              <w14:schemeClr w14:val="tx1"/>
            </w14:solidFill>
          </w14:textFill>
        </w:rPr>
      </w:pPr>
    </w:p>
    <w:p w14:paraId="05E05E4D">
      <w:pPr>
        <w:pStyle w:val="215"/>
        <w:jc w:val="both"/>
        <w:rPr>
          <w:rFonts w:hint="eastAsia" w:ascii="宋体" w:hAnsi="宋体" w:cs="宋体"/>
          <w:color w:val="000000" w:themeColor="text1"/>
          <w:highlight w:val="none"/>
          <w14:textFill>
            <w14:solidFill>
              <w14:schemeClr w14:val="tx1"/>
            </w14:solidFill>
          </w14:textFill>
        </w:rPr>
      </w:pPr>
    </w:p>
    <w:p w14:paraId="432166EE">
      <w:pPr>
        <w:pStyle w:val="215"/>
        <w:jc w:val="both"/>
        <w:rPr>
          <w:rFonts w:hint="eastAsia" w:ascii="宋体" w:hAnsi="宋体" w:cs="宋体"/>
          <w:color w:val="000000" w:themeColor="text1"/>
          <w:highlight w:val="none"/>
          <w14:textFill>
            <w14:solidFill>
              <w14:schemeClr w14:val="tx1"/>
            </w14:solidFill>
          </w14:textFill>
        </w:rPr>
      </w:pPr>
    </w:p>
    <w:p w14:paraId="5776EF5F">
      <w:pPr>
        <w:pStyle w:val="215"/>
        <w:jc w:val="both"/>
        <w:rPr>
          <w:rFonts w:hint="eastAsia" w:ascii="宋体" w:hAnsi="宋体" w:cs="宋体"/>
          <w:color w:val="000000" w:themeColor="text1"/>
          <w:highlight w:val="none"/>
          <w14:textFill>
            <w14:solidFill>
              <w14:schemeClr w14:val="tx1"/>
            </w14:solidFill>
          </w14:textFill>
        </w:rPr>
      </w:pPr>
    </w:p>
    <w:p w14:paraId="173E0C1C">
      <w:pPr>
        <w:pStyle w:val="215"/>
        <w:jc w:val="both"/>
        <w:rPr>
          <w:rFonts w:hint="eastAsia" w:ascii="宋体" w:hAnsi="宋体" w:cs="宋体"/>
          <w:color w:val="000000" w:themeColor="text1"/>
          <w:highlight w:val="none"/>
          <w14:textFill>
            <w14:solidFill>
              <w14:schemeClr w14:val="tx1"/>
            </w14:solidFill>
          </w14:textFill>
        </w:rPr>
      </w:pPr>
    </w:p>
    <w:p w14:paraId="68FE4E46">
      <w:pPr>
        <w:pStyle w:val="215"/>
        <w:jc w:val="both"/>
        <w:rPr>
          <w:rFonts w:hint="eastAsia" w:ascii="宋体" w:hAnsi="宋体" w:cs="宋体"/>
          <w:color w:val="000000" w:themeColor="text1"/>
          <w:highlight w:val="none"/>
          <w14:textFill>
            <w14:solidFill>
              <w14:schemeClr w14:val="tx1"/>
            </w14:solidFill>
          </w14:textFill>
        </w:rPr>
      </w:pPr>
    </w:p>
    <w:p w14:paraId="08B06207">
      <w:pPr>
        <w:pStyle w:val="215"/>
        <w:jc w:val="both"/>
        <w:rPr>
          <w:rFonts w:hint="eastAsia" w:ascii="宋体" w:hAnsi="宋体" w:cs="宋体"/>
          <w:color w:val="000000" w:themeColor="text1"/>
          <w:highlight w:val="none"/>
          <w14:textFill>
            <w14:solidFill>
              <w14:schemeClr w14:val="tx1"/>
            </w14:solidFill>
          </w14:textFill>
        </w:rPr>
      </w:pPr>
    </w:p>
    <w:p w14:paraId="4F8EF836">
      <w:pPr>
        <w:pStyle w:val="215"/>
        <w:jc w:val="both"/>
        <w:rPr>
          <w:rFonts w:hint="eastAsia" w:ascii="宋体" w:hAnsi="宋体" w:cs="宋体"/>
          <w:color w:val="000000" w:themeColor="text1"/>
          <w:highlight w:val="none"/>
          <w14:textFill>
            <w14:solidFill>
              <w14:schemeClr w14:val="tx1"/>
            </w14:solidFill>
          </w14:textFill>
        </w:rPr>
      </w:pPr>
    </w:p>
    <w:p w14:paraId="6F695165">
      <w:pPr>
        <w:pStyle w:val="215"/>
        <w:jc w:val="both"/>
        <w:rPr>
          <w:rFonts w:hint="eastAsia" w:ascii="宋体" w:hAnsi="宋体" w:cs="宋体"/>
          <w:color w:val="000000" w:themeColor="text1"/>
          <w:highlight w:val="none"/>
          <w14:textFill>
            <w14:solidFill>
              <w14:schemeClr w14:val="tx1"/>
            </w14:solidFill>
          </w14:textFill>
        </w:rPr>
      </w:pPr>
    </w:p>
    <w:p w14:paraId="608477D4">
      <w:pPr>
        <w:pStyle w:val="215"/>
        <w:jc w:val="both"/>
        <w:rPr>
          <w:rFonts w:hint="eastAsia" w:ascii="宋体" w:hAnsi="宋体" w:cs="宋体"/>
          <w:color w:val="000000" w:themeColor="text1"/>
          <w:highlight w:val="none"/>
          <w14:textFill>
            <w14:solidFill>
              <w14:schemeClr w14:val="tx1"/>
            </w14:solidFill>
          </w14:textFill>
        </w:rPr>
      </w:pPr>
    </w:p>
    <w:p w14:paraId="4EF7ADA3">
      <w:pPr>
        <w:pStyle w:val="215"/>
        <w:jc w:val="both"/>
        <w:rPr>
          <w:rFonts w:hint="eastAsia" w:ascii="宋体" w:hAnsi="宋体" w:cs="宋体"/>
          <w:color w:val="000000" w:themeColor="text1"/>
          <w:highlight w:val="none"/>
          <w14:textFill>
            <w14:solidFill>
              <w14:schemeClr w14:val="tx1"/>
            </w14:solidFill>
          </w14:textFill>
        </w:rPr>
      </w:pPr>
    </w:p>
    <w:p w14:paraId="52786832">
      <w:pPr>
        <w:pStyle w:val="215"/>
        <w:jc w:val="both"/>
        <w:rPr>
          <w:rFonts w:hint="eastAsia" w:ascii="宋体" w:hAnsi="宋体" w:cs="宋体"/>
          <w:color w:val="000000" w:themeColor="text1"/>
          <w:highlight w:val="none"/>
          <w14:textFill>
            <w14:solidFill>
              <w14:schemeClr w14:val="tx1"/>
            </w14:solidFill>
          </w14:textFill>
        </w:rPr>
      </w:pPr>
    </w:p>
    <w:p w14:paraId="065A4795">
      <w:pPr>
        <w:pStyle w:val="215"/>
        <w:jc w:val="both"/>
        <w:rPr>
          <w:rFonts w:hint="eastAsia" w:ascii="宋体" w:hAnsi="宋体" w:cs="宋体"/>
          <w:color w:val="000000" w:themeColor="text1"/>
          <w:highlight w:val="none"/>
          <w14:textFill>
            <w14:solidFill>
              <w14:schemeClr w14:val="tx1"/>
            </w14:solidFill>
          </w14:textFill>
        </w:rPr>
      </w:pPr>
    </w:p>
    <w:p w14:paraId="76766FBC">
      <w:pPr>
        <w:pStyle w:val="215"/>
        <w:jc w:val="both"/>
        <w:rPr>
          <w:rFonts w:hint="eastAsia" w:ascii="宋体" w:hAnsi="宋体" w:cs="宋体"/>
          <w:color w:val="000000" w:themeColor="text1"/>
          <w:highlight w:val="none"/>
          <w14:textFill>
            <w14:solidFill>
              <w14:schemeClr w14:val="tx1"/>
            </w14:solidFill>
          </w14:textFill>
        </w:rPr>
      </w:pPr>
    </w:p>
    <w:p w14:paraId="2FAF2C71">
      <w:pPr>
        <w:pStyle w:val="215"/>
        <w:jc w:val="both"/>
        <w:rPr>
          <w:rFonts w:hint="eastAsia" w:ascii="宋体" w:hAnsi="宋体" w:cs="宋体"/>
          <w:color w:val="000000" w:themeColor="text1"/>
          <w:highlight w:val="none"/>
          <w14:textFill>
            <w14:solidFill>
              <w14:schemeClr w14:val="tx1"/>
            </w14:solidFill>
          </w14:textFill>
        </w:rPr>
      </w:pPr>
    </w:p>
    <w:p w14:paraId="79BD0591">
      <w:pPr>
        <w:pStyle w:val="215"/>
        <w:jc w:val="both"/>
        <w:rPr>
          <w:rFonts w:hint="eastAsia" w:ascii="宋体" w:hAnsi="宋体" w:cs="宋体"/>
          <w:color w:val="000000" w:themeColor="text1"/>
          <w:highlight w:val="none"/>
          <w14:textFill>
            <w14:solidFill>
              <w14:schemeClr w14:val="tx1"/>
            </w14:solidFill>
          </w14:textFill>
        </w:rPr>
      </w:pPr>
    </w:p>
    <w:p w14:paraId="0293C242">
      <w:pPr>
        <w:pStyle w:val="215"/>
        <w:jc w:val="both"/>
        <w:rPr>
          <w:rFonts w:hint="eastAsia" w:ascii="宋体" w:hAnsi="宋体" w:cs="宋体"/>
          <w:color w:val="000000" w:themeColor="text1"/>
          <w:highlight w:val="none"/>
          <w14:textFill>
            <w14:solidFill>
              <w14:schemeClr w14:val="tx1"/>
            </w14:solidFill>
          </w14:textFill>
        </w:rPr>
      </w:pPr>
    </w:p>
    <w:p w14:paraId="782AB629">
      <w:pPr>
        <w:pStyle w:val="215"/>
        <w:jc w:val="both"/>
        <w:rPr>
          <w:rFonts w:hint="eastAsia" w:ascii="宋体" w:hAnsi="宋体" w:cs="宋体"/>
          <w:color w:val="000000" w:themeColor="text1"/>
          <w:highlight w:val="none"/>
          <w14:textFill>
            <w14:solidFill>
              <w14:schemeClr w14:val="tx1"/>
            </w14:solidFill>
          </w14:textFill>
        </w:rPr>
      </w:pPr>
    </w:p>
    <w:p w14:paraId="20D2305A">
      <w:pPr>
        <w:pStyle w:val="215"/>
        <w:jc w:val="both"/>
        <w:rPr>
          <w:rFonts w:hint="eastAsia" w:ascii="宋体" w:hAnsi="宋体" w:cs="宋体"/>
          <w:color w:val="000000" w:themeColor="text1"/>
          <w:highlight w:val="none"/>
          <w14:textFill>
            <w14:solidFill>
              <w14:schemeClr w14:val="tx1"/>
            </w14:solidFill>
          </w14:textFill>
        </w:rPr>
      </w:pPr>
    </w:p>
    <w:p w14:paraId="7A188458">
      <w:pPr>
        <w:pStyle w:val="215"/>
        <w:jc w:val="both"/>
        <w:rPr>
          <w:rFonts w:hint="eastAsia" w:ascii="宋体" w:hAnsi="宋体" w:cs="宋体"/>
          <w:color w:val="000000" w:themeColor="text1"/>
          <w:highlight w:val="none"/>
          <w14:textFill>
            <w14:solidFill>
              <w14:schemeClr w14:val="tx1"/>
            </w14:solidFill>
          </w14:textFill>
        </w:rPr>
      </w:pPr>
    </w:p>
    <w:p w14:paraId="70F2A297">
      <w:pPr>
        <w:pStyle w:val="215"/>
        <w:jc w:val="both"/>
        <w:rPr>
          <w:rFonts w:hint="eastAsia" w:ascii="宋体" w:hAnsi="宋体" w:cs="宋体"/>
          <w:color w:val="000000" w:themeColor="text1"/>
          <w:highlight w:val="none"/>
          <w14:textFill>
            <w14:solidFill>
              <w14:schemeClr w14:val="tx1"/>
            </w14:solidFill>
          </w14:textFill>
        </w:rPr>
      </w:pPr>
    </w:p>
    <w:p w14:paraId="1DF3129D">
      <w:pPr>
        <w:pStyle w:val="215"/>
        <w:jc w:val="both"/>
        <w:rPr>
          <w:rFonts w:hint="eastAsia" w:ascii="宋体" w:hAnsi="宋体" w:cs="宋体"/>
          <w:color w:val="000000" w:themeColor="text1"/>
          <w:highlight w:val="none"/>
          <w14:textFill>
            <w14:solidFill>
              <w14:schemeClr w14:val="tx1"/>
            </w14:solidFill>
          </w14:textFill>
        </w:rPr>
      </w:pPr>
    </w:p>
    <w:p w14:paraId="06AD37C1">
      <w:pPr>
        <w:pStyle w:val="193"/>
        <w:jc w:val="center"/>
        <w:rPr>
          <w:rFonts w:hint="eastAsia" w:ascii="宋体" w:hAnsi="宋体" w:eastAsia="宋体" w:cs="宋体"/>
          <w:color w:val="000000" w:themeColor="text1"/>
          <w:highlight w:val="none"/>
          <w14:textFill>
            <w14:solidFill>
              <w14:schemeClr w14:val="tx1"/>
            </w14:solidFill>
          </w14:textFill>
        </w:rPr>
      </w:pPr>
      <w:bookmarkStart w:id="2" w:name="_Toc24965"/>
      <w:r>
        <w:rPr>
          <w:rFonts w:hint="eastAsia" w:ascii="宋体" w:hAnsi="宋体" w:eastAsia="宋体" w:cs="宋体"/>
          <w:color w:val="000000" w:themeColor="text1"/>
          <w:highlight w:val="none"/>
          <w14:textFill>
            <w14:solidFill>
              <w14:schemeClr w14:val="tx1"/>
            </w14:solidFill>
          </w14:textFill>
        </w:rPr>
        <w:t xml:space="preserve">第一章  </w:t>
      </w:r>
      <w:bookmarkEnd w:id="0"/>
      <w:bookmarkEnd w:id="1"/>
      <w:r>
        <w:rPr>
          <w:rFonts w:hint="eastAsia" w:ascii="宋体" w:hAnsi="宋体" w:eastAsia="宋体" w:cs="宋体"/>
          <w:color w:val="000000" w:themeColor="text1"/>
          <w:highlight w:val="none"/>
          <w14:textFill>
            <w14:solidFill>
              <w14:schemeClr w14:val="tx1"/>
            </w14:solidFill>
          </w14:textFill>
        </w:rPr>
        <w:t>招标公告</w:t>
      </w:r>
      <w:bookmarkEnd w:id="2"/>
    </w:p>
    <w:p w14:paraId="70405872">
      <w:pPr>
        <w:pBdr>
          <w:top w:val="single" w:color="000000" w:sz="4" w:space="1"/>
          <w:left w:val="single" w:color="000000" w:sz="4" w:space="4"/>
          <w:bottom w:val="single" w:color="000000" w:sz="4" w:space="0"/>
          <w:right w:val="single" w:color="000000" w:sz="4" w:space="4"/>
        </w:pBdr>
        <w:spacing w:line="32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项目概况</w:t>
      </w:r>
    </w:p>
    <w:p w14:paraId="40DE0597">
      <w:pPr>
        <w:pBdr>
          <w:top w:val="single" w:color="000000" w:sz="4" w:space="1"/>
          <w:left w:val="single" w:color="000000" w:sz="4" w:space="4"/>
          <w:bottom w:val="single" w:color="000000" w:sz="4" w:space="0"/>
          <w:right w:val="single" w:color="000000" w:sz="4" w:space="4"/>
        </w:pBdr>
        <w:spacing w:line="32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highlight w:val="none"/>
          <w:u w:val="single"/>
          <w:lang w:eastAsia="zh-CN"/>
          <w14:textFill>
            <w14:solidFill>
              <w14:schemeClr w14:val="tx1"/>
            </w14:solidFill>
          </w14:textFill>
        </w:rPr>
        <w:t>2026年港北区生产障碍耕地治理项目（重）</w:t>
      </w:r>
      <w:r>
        <w:rPr>
          <w:rFonts w:hint="eastAsia" w:ascii="宋体" w:hAnsi="宋体" w:cs="宋体"/>
          <w:color w:val="000000" w:themeColor="text1"/>
          <w:highlight w:val="none"/>
          <w14:textFill>
            <w14:solidFill>
              <w14:schemeClr w14:val="tx1"/>
            </w14:solidFill>
          </w14:textFill>
        </w:rPr>
        <w:t>的潜在投标人应在</w:t>
      </w:r>
      <w:r>
        <w:rPr>
          <w:rFonts w:hint="eastAsia" w:ascii="宋体" w:hAnsi="宋体" w:cs="宋体"/>
          <w:color w:val="000000" w:themeColor="text1"/>
          <w:szCs w:val="21"/>
          <w:highlight w:val="none"/>
          <w14:textFill>
            <w14:solidFill>
              <w14:schemeClr w14:val="tx1"/>
            </w14:solidFill>
          </w14:textFill>
        </w:rPr>
        <w:t>广西政府采购云平台（https：//www.gcy.zfcg.gxzf.gov.cn/）</w:t>
      </w:r>
      <w:r>
        <w:rPr>
          <w:rFonts w:hint="eastAsia" w:ascii="宋体" w:hAnsi="宋体" w:cs="宋体"/>
          <w:color w:val="000000" w:themeColor="text1"/>
          <w:highlight w:val="none"/>
          <w14:textFill>
            <w14:solidFill>
              <w14:schemeClr w14:val="tx1"/>
            </w14:solidFill>
          </w14:textFill>
        </w:rPr>
        <w:t>获取招标文件，并于</w:t>
      </w:r>
      <w:r>
        <w:rPr>
          <w:rFonts w:hint="eastAsia" w:ascii="宋体" w:hAnsi="宋体" w:cs="宋体"/>
          <w:color w:val="000000" w:themeColor="text1"/>
          <w:highlight w:val="none"/>
          <w:u w:val="single"/>
          <w:lang w:eastAsia="zh-CN"/>
          <w14:textFill>
            <w14:solidFill>
              <w14:schemeClr w14:val="tx1"/>
            </w14:solidFill>
          </w14:textFill>
        </w:rPr>
        <w:t>2026年9月4日上午9时00分</w:t>
      </w:r>
      <w:r>
        <w:rPr>
          <w:rFonts w:hint="eastAsia" w:ascii="宋体" w:hAnsi="宋体" w:cs="宋体"/>
          <w:color w:val="000000" w:themeColor="text1"/>
          <w:highlight w:val="none"/>
          <w14:textFill>
            <w14:solidFill>
              <w14:schemeClr w14:val="tx1"/>
            </w14:solidFill>
          </w14:textFill>
        </w:rPr>
        <w:t>（北京时间）前递交投标文件。</w:t>
      </w:r>
    </w:p>
    <w:p w14:paraId="6BB32546">
      <w:pPr>
        <w:spacing w:line="320" w:lineRule="exact"/>
        <w:rPr>
          <w:rFonts w:hint="eastAsia" w:ascii="宋体" w:hAnsi="宋体" w:cs="宋体"/>
          <w:color w:val="000000" w:themeColor="text1"/>
          <w:szCs w:val="21"/>
          <w:highlight w:val="none"/>
          <w14:textFill>
            <w14:solidFill>
              <w14:schemeClr w14:val="tx1"/>
            </w14:solidFill>
          </w14:textFill>
        </w:rPr>
      </w:pPr>
    </w:p>
    <w:p w14:paraId="4FE1EF42">
      <w:pPr>
        <w:keepNext/>
        <w:keepLines/>
        <w:spacing w:line="320" w:lineRule="exact"/>
        <w:outlineLvl w:val="1"/>
        <w:rPr>
          <w:rFonts w:hint="eastAsia" w:ascii="宋体" w:hAnsi="宋体" w:cs="宋体"/>
          <w:b/>
          <w:color w:val="000000" w:themeColor="text1"/>
          <w:szCs w:val="21"/>
          <w:highlight w:val="none"/>
          <w14:textFill>
            <w14:solidFill>
              <w14:schemeClr w14:val="tx1"/>
            </w14:solidFill>
          </w14:textFill>
        </w:rPr>
      </w:pPr>
      <w:bookmarkStart w:id="3" w:name="_Toc29193"/>
      <w:bookmarkStart w:id="4" w:name="_Toc35393621"/>
      <w:bookmarkStart w:id="5" w:name="_Toc44405601"/>
      <w:bookmarkStart w:id="6" w:name="_Toc29387"/>
      <w:bookmarkStart w:id="7" w:name="_Toc35393790"/>
      <w:bookmarkStart w:id="8" w:name="_Toc28359079"/>
      <w:bookmarkStart w:id="9" w:name="_Toc28359002"/>
      <w:bookmarkStart w:id="10" w:name="_Toc26506"/>
      <w:bookmarkStart w:id="11" w:name="_Toc28595"/>
      <w:bookmarkStart w:id="12" w:name="_Toc26488"/>
      <w:bookmarkStart w:id="13" w:name="_Hlk24379207"/>
      <w:r>
        <w:rPr>
          <w:rFonts w:hint="eastAsia" w:ascii="宋体" w:hAnsi="宋体" w:cs="宋体"/>
          <w:b/>
          <w:color w:val="000000" w:themeColor="text1"/>
          <w:szCs w:val="21"/>
          <w:highlight w:val="none"/>
          <w14:textFill>
            <w14:solidFill>
              <w14:schemeClr w14:val="tx1"/>
            </w14:solidFill>
          </w14:textFill>
        </w:rPr>
        <w:t>一、项目基本情况</w:t>
      </w:r>
      <w:bookmarkEnd w:id="3"/>
      <w:bookmarkEnd w:id="4"/>
      <w:bookmarkEnd w:id="5"/>
      <w:bookmarkEnd w:id="6"/>
      <w:bookmarkEnd w:id="7"/>
      <w:bookmarkEnd w:id="8"/>
      <w:bookmarkEnd w:id="9"/>
      <w:bookmarkEnd w:id="10"/>
      <w:bookmarkEnd w:id="11"/>
      <w:bookmarkEnd w:id="12"/>
    </w:p>
    <w:p w14:paraId="1EE3D225">
      <w:pPr>
        <w:spacing w:line="320" w:lineRule="exact"/>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GGZC2026-G3-020048-YZLZ</w:t>
      </w:r>
    </w:p>
    <w:p w14:paraId="280C186E">
      <w:pPr>
        <w:spacing w:line="320" w:lineRule="exact"/>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highlight w:val="none"/>
          <w:lang w:eastAsia="zh-CN"/>
          <w14:textFill>
            <w14:solidFill>
              <w14:schemeClr w14:val="tx1"/>
            </w14:solidFill>
          </w14:textFill>
        </w:rPr>
        <w:t>2026年港北区生产障碍耕地治理项目（重）</w:t>
      </w:r>
    </w:p>
    <w:bookmarkEnd w:id="13"/>
    <w:p w14:paraId="1D4A7A6C">
      <w:pP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预算总金额（元）：894250.00</w:t>
      </w:r>
    </w:p>
    <w:p w14:paraId="646885AE">
      <w:pPr>
        <w:spacing w:line="320" w:lineRule="exact"/>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采购需求：</w:t>
      </w:r>
    </w:p>
    <w:p w14:paraId="61ACC483">
      <w:pPr>
        <w:spacing w:line="320" w:lineRule="exact"/>
        <w:ind w:left="420"/>
        <w:rPr>
          <w:rFonts w:hint="eastAsia" w:ascii="宋体" w:hAnsi="宋体" w:eastAsia="宋体" w:cs="宋体"/>
          <w:color w:val="000000" w:themeColor="text1"/>
          <w:szCs w:val="21"/>
          <w:highlight w:val="none"/>
          <w:lang w:eastAsia="zh-CN"/>
          <w14:textFill>
            <w14:solidFill>
              <w14:schemeClr w14:val="tx1"/>
            </w14:solidFill>
          </w14:textFill>
        </w:rPr>
      </w:pPr>
      <w:bookmarkStart w:id="14" w:name="_Toc44405602"/>
      <w:bookmarkStart w:id="15" w:name="_Toc28359003"/>
      <w:bookmarkStart w:id="16" w:name="_Toc28359080"/>
      <w:bookmarkStart w:id="17" w:name="_Toc29997"/>
      <w:bookmarkStart w:id="18" w:name="_Toc35393791"/>
      <w:bookmarkStart w:id="19" w:name="_Toc7802"/>
      <w:bookmarkStart w:id="20" w:name="_Toc35393622"/>
      <w:r>
        <w:rPr>
          <w:rFonts w:hint="eastAsia" w:ascii="宋体" w:hAnsi="宋体" w:cs="宋体"/>
          <w:color w:val="000000" w:themeColor="text1"/>
          <w:szCs w:val="21"/>
          <w:highlight w:val="none"/>
          <w14:textFill>
            <w14:solidFill>
              <w14:schemeClr w14:val="tx1"/>
            </w14:solidFill>
          </w14:textFill>
        </w:rPr>
        <w:t>标的四名称：</w:t>
      </w:r>
      <w:r>
        <w:rPr>
          <w:rFonts w:hint="eastAsia" w:ascii="宋体" w:hAnsi="宋体" w:cs="宋体"/>
          <w:color w:val="000000" w:themeColor="text1"/>
          <w:szCs w:val="21"/>
          <w:highlight w:val="none"/>
          <w:lang w:eastAsia="zh-CN"/>
          <w14:textFill>
            <w14:solidFill>
              <w14:schemeClr w14:val="tx1"/>
            </w14:solidFill>
          </w14:textFill>
        </w:rPr>
        <w:t>2026年生产障碍耕地治理项目:微生物修复调控技术应用示范（分标4）</w:t>
      </w:r>
    </w:p>
    <w:p w14:paraId="11362544">
      <w:pP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数量：1</w:t>
      </w:r>
    </w:p>
    <w:p w14:paraId="21574067">
      <w:pP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eastAsia="zh-CN"/>
          <w14:textFill>
            <w14:solidFill>
              <w14:schemeClr w14:val="tx1"/>
            </w14:solidFill>
          </w14:textFill>
        </w:rPr>
        <w:t>894250.00</w:t>
      </w:r>
    </w:p>
    <w:p w14:paraId="2FF20DD9">
      <w:pP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简要规格描述或项目基本概况介绍、用途：微生物修复调控技术应用示范4900亩，技术宣传指导</w:t>
      </w:r>
      <w:r>
        <w:rPr>
          <w:rFonts w:hint="eastAsia" w:ascii="宋体" w:hAnsi="宋体" w:cs="宋体"/>
          <w:color w:val="000000" w:themeColor="text1"/>
          <w:szCs w:val="21"/>
          <w:highlight w:val="none"/>
          <w:lang w:val="en-US" w:eastAsia="zh-CN"/>
          <w14:textFill>
            <w14:solidFill>
              <w14:schemeClr w14:val="tx1"/>
            </w14:solidFill>
          </w14:textFill>
        </w:rPr>
        <w:t>761</w:t>
      </w:r>
      <w:r>
        <w:rPr>
          <w:rFonts w:hint="eastAsia" w:ascii="宋体" w:hAnsi="宋体" w:cs="宋体"/>
          <w:color w:val="000000" w:themeColor="text1"/>
          <w:szCs w:val="21"/>
          <w:highlight w:val="none"/>
          <w14:textFill>
            <w14:solidFill>
              <w14:schemeClr w14:val="tx1"/>
            </w14:solidFill>
          </w14:textFill>
        </w:rPr>
        <w:t>人。具体详见招标文件。</w:t>
      </w:r>
    </w:p>
    <w:p w14:paraId="00E9A224">
      <w:pP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w:t>
      </w:r>
      <w:r>
        <w:rPr>
          <w:rFonts w:hint="eastAsia" w:ascii="宋体" w:hAnsi="宋体" w:cs="宋体"/>
          <w:color w:val="000000" w:themeColor="text1"/>
          <w:szCs w:val="21"/>
          <w:highlight w:val="none"/>
          <w:lang w:eastAsia="zh-CN"/>
          <w14:textFill>
            <w14:solidFill>
              <w14:schemeClr w14:val="tx1"/>
            </w14:solidFill>
          </w14:textFill>
        </w:rPr>
        <w:t>894250.00</w:t>
      </w:r>
    </w:p>
    <w:p w14:paraId="39918D7B">
      <w:pP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合同履行期限：</w:t>
      </w:r>
      <w:r>
        <w:rPr>
          <w:rFonts w:hint="eastAsia" w:ascii="宋体" w:hAnsi="宋体" w:cs="宋体"/>
          <w:color w:val="000000" w:themeColor="text1"/>
          <w:szCs w:val="21"/>
          <w:highlight w:val="none"/>
          <w:lang w:eastAsia="zh-CN"/>
          <w14:textFill>
            <w14:solidFill>
              <w14:schemeClr w14:val="tx1"/>
            </w14:solidFill>
          </w14:textFill>
        </w:rPr>
        <w:t>2026年12月31日前完成（如因特殊天气错过农时或实施面积不足等原因无法实施，则项目顺延至2027年实施）</w:t>
      </w:r>
      <w:r>
        <w:rPr>
          <w:rFonts w:hint="eastAsia" w:ascii="宋体" w:hAnsi="宋体" w:cs="宋体"/>
          <w:color w:val="000000" w:themeColor="text1"/>
          <w:szCs w:val="21"/>
          <w:highlight w:val="none"/>
          <w14:textFill>
            <w14:solidFill>
              <w14:schemeClr w14:val="tx1"/>
            </w14:solidFill>
          </w14:textFill>
        </w:rPr>
        <w:t>。</w:t>
      </w:r>
    </w:p>
    <w:p w14:paraId="12D5A51D">
      <w:pPr>
        <w:spacing w:line="320" w:lineRule="exact"/>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本标项（否）接受联合体投标</w:t>
      </w:r>
    </w:p>
    <w:p w14:paraId="71ED1075">
      <w:pPr>
        <w:spacing w:line="320" w:lineRule="exact"/>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78983A6F">
      <w:pPr>
        <w:keepNext/>
        <w:keepLines/>
        <w:spacing w:line="320" w:lineRule="exact"/>
        <w:outlineLvl w:val="1"/>
        <w:rPr>
          <w:rFonts w:hint="eastAsia" w:ascii="宋体" w:hAnsi="宋体" w:cs="宋体"/>
          <w:b/>
          <w:color w:val="000000" w:themeColor="text1"/>
          <w:szCs w:val="21"/>
          <w:highlight w:val="none"/>
          <w14:textFill>
            <w14:solidFill>
              <w14:schemeClr w14:val="tx1"/>
            </w14:solidFill>
          </w14:textFill>
        </w:rPr>
      </w:pPr>
      <w:bookmarkStart w:id="21" w:name="_Toc29513"/>
      <w:bookmarkStart w:id="22" w:name="_Toc27202"/>
      <w:bookmarkStart w:id="23" w:name="_Toc23522"/>
      <w:r>
        <w:rPr>
          <w:rFonts w:hint="eastAsia" w:ascii="宋体" w:hAnsi="宋体" w:cs="宋体"/>
          <w:b/>
          <w:color w:val="000000" w:themeColor="text1"/>
          <w:szCs w:val="21"/>
          <w:highlight w:val="none"/>
          <w14:textFill>
            <w14:solidFill>
              <w14:schemeClr w14:val="tx1"/>
            </w14:solidFill>
          </w14:textFill>
        </w:rPr>
        <w:t>二、投标人的资格要求：</w:t>
      </w:r>
      <w:bookmarkEnd w:id="14"/>
      <w:bookmarkEnd w:id="15"/>
      <w:bookmarkEnd w:id="16"/>
      <w:bookmarkEnd w:id="17"/>
      <w:bookmarkEnd w:id="18"/>
      <w:bookmarkEnd w:id="19"/>
      <w:bookmarkEnd w:id="20"/>
      <w:bookmarkEnd w:id="21"/>
      <w:bookmarkEnd w:id="22"/>
      <w:bookmarkEnd w:id="23"/>
    </w:p>
    <w:p w14:paraId="501B2FD4">
      <w:pPr>
        <w:spacing w:line="320" w:lineRule="exact"/>
        <w:ind w:firstLine="420"/>
        <w:rPr>
          <w:rFonts w:hint="eastAsia" w:ascii="宋体" w:hAnsi="宋体" w:cs="宋体"/>
          <w:color w:val="000000" w:themeColor="text1"/>
          <w:szCs w:val="21"/>
          <w:highlight w:val="none"/>
          <w14:textFill>
            <w14:solidFill>
              <w14:schemeClr w14:val="tx1"/>
            </w14:solidFill>
          </w14:textFill>
        </w:rPr>
      </w:pPr>
      <w:bookmarkStart w:id="24" w:name="_Toc28359081"/>
      <w:bookmarkStart w:id="25" w:name="_Toc28359004"/>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14:paraId="0A4386DD">
      <w:pP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2.落实政府采购政策需满足的资格要求：</w:t>
      </w:r>
      <w:r>
        <w:rPr>
          <w:rFonts w:hint="eastAsia" w:ascii="宋体" w:hAnsi="宋体"/>
          <w:b/>
          <w:bCs/>
          <w:color w:val="000000" w:themeColor="text1"/>
          <w:szCs w:val="21"/>
          <w:highlight w:val="none"/>
          <w14:textFill>
            <w14:solidFill>
              <w14:schemeClr w14:val="tx1"/>
            </w14:solidFill>
          </w14:textFill>
        </w:rPr>
        <w:t>本项目属于专门面向</w:t>
      </w:r>
      <w:r>
        <w:rPr>
          <w:rFonts w:hint="eastAsia" w:ascii="宋体" w:hAnsi="宋体"/>
          <w:b/>
          <w:bCs/>
          <w:color w:val="000000" w:themeColor="text1"/>
          <w:szCs w:val="21"/>
          <w:highlight w:val="none"/>
          <w:lang w:eastAsia="zh-CN"/>
          <w14:textFill>
            <w14:solidFill>
              <w14:schemeClr w14:val="tx1"/>
            </w14:solidFill>
          </w14:textFill>
        </w:rPr>
        <w:t>中小</w:t>
      </w:r>
      <w:r>
        <w:rPr>
          <w:rFonts w:hint="eastAsia" w:ascii="宋体" w:hAnsi="宋体"/>
          <w:b/>
          <w:bCs/>
          <w:color w:val="000000" w:themeColor="text1"/>
          <w:szCs w:val="21"/>
          <w:highlight w:val="none"/>
          <w14:textFill>
            <w14:solidFill>
              <w14:schemeClr w14:val="tx1"/>
            </w14:solidFill>
          </w14:textFill>
        </w:rPr>
        <w:t>企业采购的项目；供应商对应符合《政府采购促进中小企业发展管理办法》（财库〔2020〕46号）要求的</w:t>
      </w:r>
      <w:r>
        <w:rPr>
          <w:rFonts w:hint="eastAsia" w:ascii="宋体" w:hAnsi="宋体"/>
          <w:b/>
          <w:bCs/>
          <w:color w:val="000000" w:themeColor="text1"/>
          <w:szCs w:val="21"/>
          <w:highlight w:val="none"/>
          <w:lang w:eastAsia="zh-CN"/>
          <w14:textFill>
            <w14:solidFill>
              <w14:schemeClr w14:val="tx1"/>
            </w14:solidFill>
          </w14:textFill>
        </w:rPr>
        <w:t>中小</w:t>
      </w:r>
      <w:r>
        <w:rPr>
          <w:rFonts w:hint="eastAsia" w:ascii="宋体" w:hAnsi="宋体"/>
          <w:b/>
          <w:bCs/>
          <w:color w:val="000000" w:themeColor="text1"/>
          <w:szCs w:val="21"/>
          <w:highlight w:val="none"/>
          <w14:textFill>
            <w14:solidFill>
              <w14:schemeClr w14:val="tx1"/>
            </w14:solidFill>
          </w14:textFill>
        </w:rPr>
        <w:t>企业或符合《财政部、司法部关于政府采购支持监狱企业发展有关问题的通知》（财库〔2014〕68号）要求的监狱企业或符合《财政部 民政部 中国残疾人联合会关于促进残疾人就业政府采购政策的通知》（财库〔2017〕141号）要求的残疾人福利性单位，否则作无效</w:t>
      </w:r>
      <w:r>
        <w:rPr>
          <w:rFonts w:hint="eastAsia" w:ascii="宋体" w:hAnsi="宋体"/>
          <w:b/>
          <w:bCs/>
          <w:color w:val="000000" w:themeColor="text1"/>
          <w:szCs w:val="21"/>
          <w:highlight w:val="none"/>
          <w:lang w:eastAsia="zh-CN"/>
          <w14:textFill>
            <w14:solidFill>
              <w14:schemeClr w14:val="tx1"/>
            </w14:solidFill>
          </w14:textFill>
        </w:rPr>
        <w:t>投标</w:t>
      </w:r>
      <w:r>
        <w:rPr>
          <w:rFonts w:hint="eastAsia" w:ascii="宋体" w:hAnsi="宋体"/>
          <w:b/>
          <w:bCs/>
          <w:color w:val="000000" w:themeColor="text1"/>
          <w:szCs w:val="21"/>
          <w:highlight w:val="none"/>
          <w14:textFill>
            <w14:solidFill>
              <w14:schemeClr w14:val="tx1"/>
            </w14:solidFill>
          </w14:textFill>
        </w:rPr>
        <w:t>处理</w:t>
      </w:r>
      <w:r>
        <w:rPr>
          <w:rFonts w:hint="eastAsia" w:ascii="宋体" w:hAnsi="宋体" w:cs="宋体"/>
          <w:color w:val="000000" w:themeColor="text1"/>
          <w:szCs w:val="21"/>
          <w:highlight w:val="none"/>
          <w14:textFill>
            <w14:solidFill>
              <w14:schemeClr w14:val="tx1"/>
            </w14:solidFill>
          </w14:textFill>
        </w:rPr>
        <w:t>。</w:t>
      </w:r>
    </w:p>
    <w:p w14:paraId="2669F5F1">
      <w:pPr>
        <w:spacing w:line="320" w:lineRule="exact"/>
        <w:ind w:firstLine="42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3.本项目的特定资格要求：</w:t>
      </w:r>
      <w:r>
        <w:rPr>
          <w:rFonts w:hint="eastAsia" w:ascii="Calibri" w:hAnsi="Calibri" w:cs="Calibri"/>
          <w:b/>
          <w:bCs/>
          <w:color w:val="000000" w:themeColor="text1"/>
          <w:szCs w:val="21"/>
          <w:highlight w:val="none"/>
          <w:lang w:val="en-US" w:eastAsia="zh-CN"/>
          <w14:textFill>
            <w14:solidFill>
              <w14:schemeClr w14:val="tx1"/>
            </w14:solidFill>
          </w14:textFill>
        </w:rPr>
        <w:t>无。</w:t>
      </w:r>
    </w:p>
    <w:bookmarkEnd w:id="24"/>
    <w:bookmarkEnd w:id="25"/>
    <w:p w14:paraId="05D009A2">
      <w:pPr>
        <w:pStyle w:val="193"/>
        <w:spacing w:before="0" w:after="0" w:line="320" w:lineRule="exact"/>
        <w:rPr>
          <w:rFonts w:hint="eastAsia" w:ascii="宋体" w:hAnsi="宋体" w:eastAsia="宋体" w:cs="宋体"/>
          <w:bCs w:val="0"/>
          <w:color w:val="000000" w:themeColor="text1"/>
          <w:sz w:val="21"/>
          <w:szCs w:val="21"/>
          <w:highlight w:val="none"/>
          <w14:textFill>
            <w14:solidFill>
              <w14:schemeClr w14:val="tx1"/>
            </w14:solidFill>
          </w14:textFill>
        </w:rPr>
      </w:pPr>
      <w:bookmarkStart w:id="26" w:name="_Toc30063"/>
      <w:bookmarkStart w:id="27" w:name="_Toc28319"/>
      <w:bookmarkStart w:id="28" w:name="_Toc19186"/>
      <w:bookmarkStart w:id="29" w:name="_Toc35393623"/>
      <w:bookmarkStart w:id="30" w:name="_Toc44405603"/>
      <w:bookmarkStart w:id="31" w:name="_Toc35393792"/>
      <w:bookmarkStart w:id="32" w:name="_Toc4670"/>
      <w:bookmarkStart w:id="33" w:name="_Toc23891"/>
      <w:r>
        <w:rPr>
          <w:rFonts w:hint="eastAsia" w:ascii="宋体" w:hAnsi="宋体" w:eastAsia="宋体" w:cs="宋体"/>
          <w:bCs w:val="0"/>
          <w:color w:val="000000" w:themeColor="text1"/>
          <w:sz w:val="21"/>
          <w:szCs w:val="21"/>
          <w:highlight w:val="none"/>
          <w14:textFill>
            <w14:solidFill>
              <w14:schemeClr w14:val="tx1"/>
            </w14:solidFill>
          </w14:textFill>
        </w:rPr>
        <w:t>三、获取招标文件</w:t>
      </w:r>
      <w:bookmarkEnd w:id="26"/>
      <w:bookmarkEnd w:id="27"/>
      <w:bookmarkEnd w:id="28"/>
      <w:bookmarkEnd w:id="29"/>
      <w:bookmarkEnd w:id="30"/>
      <w:bookmarkEnd w:id="31"/>
      <w:bookmarkEnd w:id="32"/>
      <w:bookmarkEnd w:id="33"/>
    </w:p>
    <w:p w14:paraId="58C55D41">
      <w:pPr>
        <w:spacing w:line="320" w:lineRule="exact"/>
        <w:ind w:firstLine="54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时间：</w:t>
      </w:r>
      <w:r>
        <w:rPr>
          <w:rFonts w:hint="eastAsia" w:ascii="宋体" w:hAnsi="宋体" w:cs="宋体"/>
          <w:bCs/>
          <w:color w:val="000000" w:themeColor="text1"/>
          <w:highlight w:val="none"/>
          <w:u w:val="single"/>
          <w:lang w:eastAsia="zh-CN"/>
          <w14:textFill>
            <w14:solidFill>
              <w14:schemeClr w14:val="tx1"/>
            </w14:solidFill>
          </w14:textFill>
        </w:rPr>
        <w:t>2026</w:t>
      </w:r>
      <w:r>
        <w:rPr>
          <w:rFonts w:hint="eastAsia" w:ascii="宋体" w:hAnsi="宋体" w:cs="宋体"/>
          <w:bCs/>
          <w:color w:val="000000" w:themeColor="text1"/>
          <w:highlight w:val="none"/>
          <w:u w:val="single"/>
          <w14:textFill>
            <w14:solidFill>
              <w14:schemeClr w14:val="tx1"/>
            </w14:solidFill>
          </w14:textFill>
        </w:rPr>
        <w:t>年</w:t>
      </w:r>
      <w:r>
        <w:rPr>
          <w:rFonts w:hint="eastAsia" w:ascii="宋体" w:hAnsi="宋体" w:cs="宋体"/>
          <w:bCs/>
          <w:color w:val="000000" w:themeColor="text1"/>
          <w:highlight w:val="none"/>
          <w:u w:val="single"/>
          <w:lang w:val="en-US" w:eastAsia="zh-CN"/>
          <w14:textFill>
            <w14:solidFill>
              <w14:schemeClr w14:val="tx1"/>
            </w14:solidFill>
          </w14:textFill>
        </w:rPr>
        <w:t>8</w:t>
      </w:r>
      <w:r>
        <w:rPr>
          <w:rFonts w:hint="eastAsia" w:ascii="宋体" w:hAnsi="宋体" w:cs="宋体"/>
          <w:bCs/>
          <w:color w:val="000000" w:themeColor="text1"/>
          <w:highlight w:val="none"/>
          <w:u w:val="single"/>
          <w14:textFill>
            <w14:solidFill>
              <w14:schemeClr w14:val="tx1"/>
            </w14:solidFill>
          </w14:textFill>
        </w:rPr>
        <w:t>月</w:t>
      </w:r>
      <w:r>
        <w:rPr>
          <w:rFonts w:hint="eastAsia" w:ascii="宋体" w:hAnsi="宋体" w:cs="宋体"/>
          <w:bCs/>
          <w:color w:val="000000" w:themeColor="text1"/>
          <w:highlight w:val="none"/>
          <w:u w:val="single"/>
          <w:lang w:val="en-US" w:eastAsia="zh-CN"/>
          <w14:textFill>
            <w14:solidFill>
              <w14:schemeClr w14:val="tx1"/>
            </w14:solidFill>
          </w14:textFill>
        </w:rPr>
        <w:t>14</w:t>
      </w:r>
      <w:r>
        <w:rPr>
          <w:rFonts w:hint="eastAsia" w:ascii="宋体" w:hAnsi="宋体" w:cs="宋体"/>
          <w:bCs/>
          <w:color w:val="000000" w:themeColor="text1"/>
          <w:highlight w:val="none"/>
          <w:u w:val="single"/>
          <w14:textFill>
            <w14:solidFill>
              <w14:schemeClr w14:val="tx1"/>
            </w14:solidFill>
          </w14:textFill>
        </w:rPr>
        <w:t>日</w:t>
      </w:r>
      <w:r>
        <w:rPr>
          <w:rFonts w:hint="eastAsia" w:ascii="宋体" w:hAnsi="宋体" w:cs="宋体"/>
          <w:color w:val="000000" w:themeColor="text1"/>
          <w:highlight w:val="none"/>
          <w:u w:val="single"/>
          <w14:textFill>
            <w14:solidFill>
              <w14:schemeClr w14:val="tx1"/>
            </w14:solidFill>
          </w14:textFill>
        </w:rPr>
        <w:t>起</w:t>
      </w:r>
      <w:r>
        <w:rPr>
          <w:rFonts w:hint="eastAsia" w:ascii="宋体" w:hAnsi="宋体" w:cs="宋体"/>
          <w:color w:val="000000" w:themeColor="text1"/>
          <w:highlight w:val="none"/>
          <w14:textFill>
            <w14:solidFill>
              <w14:schemeClr w14:val="tx1"/>
            </w14:solidFill>
          </w14:textFill>
        </w:rPr>
        <w:t>至</w:t>
      </w:r>
      <w:r>
        <w:rPr>
          <w:rFonts w:hint="eastAsia" w:ascii="宋体" w:hAnsi="宋体" w:cs="宋体"/>
          <w:bCs/>
          <w:color w:val="000000" w:themeColor="text1"/>
          <w:highlight w:val="none"/>
          <w:u w:val="single"/>
          <w:lang w:eastAsia="zh-CN"/>
          <w14:textFill>
            <w14:solidFill>
              <w14:schemeClr w14:val="tx1"/>
            </w14:solidFill>
          </w14:textFill>
        </w:rPr>
        <w:t>2026年</w:t>
      </w:r>
      <w:r>
        <w:rPr>
          <w:rFonts w:hint="eastAsia" w:ascii="宋体" w:hAnsi="宋体" w:cs="宋体"/>
          <w:bCs/>
          <w:color w:val="000000" w:themeColor="text1"/>
          <w:highlight w:val="none"/>
          <w:u w:val="single"/>
          <w:lang w:val="en-US" w:eastAsia="zh-CN"/>
          <w14:textFill>
            <w14:solidFill>
              <w14:schemeClr w14:val="tx1"/>
            </w14:solidFill>
          </w14:textFill>
        </w:rPr>
        <w:t>8</w:t>
      </w:r>
      <w:r>
        <w:rPr>
          <w:rFonts w:hint="eastAsia" w:ascii="宋体" w:hAnsi="宋体" w:cs="宋体"/>
          <w:bCs/>
          <w:color w:val="000000" w:themeColor="text1"/>
          <w:highlight w:val="none"/>
          <w:u w:val="single"/>
          <w:lang w:eastAsia="zh-CN"/>
          <w14:textFill>
            <w14:solidFill>
              <w14:schemeClr w14:val="tx1"/>
            </w14:solidFill>
          </w14:textFill>
        </w:rPr>
        <w:t>月</w:t>
      </w:r>
      <w:r>
        <w:rPr>
          <w:rFonts w:hint="eastAsia" w:ascii="宋体" w:hAnsi="宋体" w:cs="宋体"/>
          <w:bCs/>
          <w:color w:val="000000" w:themeColor="text1"/>
          <w:highlight w:val="none"/>
          <w:u w:val="single"/>
          <w:lang w:val="en-US" w:eastAsia="zh-CN"/>
          <w14:textFill>
            <w14:solidFill>
              <w14:schemeClr w14:val="tx1"/>
            </w14:solidFill>
          </w14:textFill>
        </w:rPr>
        <w:t>21</w:t>
      </w:r>
      <w:r>
        <w:rPr>
          <w:rFonts w:hint="eastAsia" w:ascii="宋体" w:hAnsi="宋体" w:cs="宋体"/>
          <w:bCs/>
          <w:color w:val="000000" w:themeColor="text1"/>
          <w:highlight w:val="none"/>
          <w:u w:val="single"/>
          <w:lang w:eastAsia="zh-CN"/>
          <w14:textFill>
            <w14:solidFill>
              <w14:schemeClr w14:val="tx1"/>
            </w14:solidFill>
          </w14:textFill>
        </w:rPr>
        <w:t>日</w:t>
      </w:r>
      <w:r>
        <w:rPr>
          <w:rFonts w:hint="eastAsia" w:ascii="宋体" w:hAnsi="宋体" w:cs="宋体"/>
          <w:bCs/>
          <w:color w:val="000000" w:themeColor="text1"/>
          <w:highlight w:val="none"/>
          <w:u w:val="single"/>
          <w14:textFill>
            <w14:solidFill>
              <w14:schemeClr w14:val="tx1"/>
            </w14:solidFill>
          </w14:textFill>
        </w:rPr>
        <w:t>，每天上午00：00至12：00 ，下午12：00至23：59（北京时间，法定节假日除外）</w:t>
      </w:r>
    </w:p>
    <w:p w14:paraId="29200E0D">
      <w:pPr>
        <w:spacing w:line="360" w:lineRule="auto"/>
        <w:ind w:firstLine="540"/>
        <w:rPr>
          <w:rFonts w:hint="eastAsia" w:ascii="宋体" w:hAnsi="宋体"/>
          <w:color w:val="000000" w:themeColor="text1"/>
          <w:szCs w:val="21"/>
          <w:highlight w:val="none"/>
          <w14:textFill>
            <w14:solidFill>
              <w14:schemeClr w14:val="tx1"/>
            </w14:solidFill>
          </w14:textFill>
        </w:rPr>
      </w:pPr>
      <w:bookmarkStart w:id="34" w:name="_Toc28359082"/>
      <w:bookmarkStart w:id="35" w:name="_Toc28359005"/>
      <w:bookmarkStart w:id="36" w:name="_Toc8738"/>
      <w:bookmarkStart w:id="37" w:name="_Toc35393624"/>
      <w:bookmarkStart w:id="38" w:name="_Toc21666"/>
      <w:bookmarkStart w:id="39" w:name="_Toc35393793"/>
      <w:bookmarkStart w:id="40" w:name="_Toc19229"/>
      <w:bookmarkStart w:id="41" w:name="_Toc44405604"/>
      <w:r>
        <w:rPr>
          <w:rFonts w:hint="eastAsia" w:ascii="宋体" w:hAnsi="宋体" w:cs="宋体"/>
          <w:bCs/>
          <w:color w:val="000000" w:themeColor="text1"/>
          <w:szCs w:val="21"/>
          <w:highlight w:val="none"/>
          <w14:textFill>
            <w14:solidFill>
              <w14:schemeClr w14:val="tx1"/>
            </w14:solidFill>
          </w14:textFill>
        </w:rPr>
        <w:t>地点：</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3D398312">
      <w:pPr>
        <w:spacing w:line="360" w:lineRule="auto"/>
        <w:ind w:firstLine="54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方式：网上下载。本项目不提供纸质文件，潜在供应商需在</w:t>
      </w:r>
      <w:r>
        <w:rPr>
          <w:rFonts w:ascii="宋体" w:hAnsi="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https</w:t>
      </w:r>
      <w:r>
        <w:rPr>
          <w:rFonts w:hint="eastAsia" w:ascii="宋体" w:hAnsi="宋体"/>
          <w:bCs/>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//www.gcy.zfcg.gxzf.gov.cn</w:t>
      </w:r>
      <w:bookmarkStart w:id="155" w:name="_GoBack"/>
      <w:bookmarkEnd w:id="155"/>
      <w:r>
        <w:rPr>
          <w:rFonts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-进入“项目采购”应用，在获取采购文件菜单中选择项目，获取招标文件。</w:t>
      </w:r>
      <w:r>
        <w:rPr>
          <w:rFonts w:hint="eastAsia" w:ascii="宋体" w:hAnsi="宋体"/>
          <w:color w:val="000000" w:themeColor="text1"/>
          <w:szCs w:val="21"/>
          <w:highlight w:val="none"/>
          <w14:textFill>
            <w14:solidFill>
              <w14:schemeClr w14:val="tx1"/>
            </w14:solidFill>
          </w14:textFill>
        </w:rPr>
        <w:t>电子投标文件制作需要基于</w:t>
      </w:r>
      <w:r>
        <w:rPr>
          <w:rFonts w:ascii="宋体" w:hAnsi="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获取的招标文件编制，</w:t>
      </w:r>
      <w:r>
        <w:rPr>
          <w:rFonts w:hint="eastAsia" w:ascii="宋体" w:hAnsi="宋体" w:cs="宋体"/>
          <w:bCs/>
          <w:color w:val="000000" w:themeColor="text1"/>
          <w:szCs w:val="21"/>
          <w:highlight w:val="none"/>
          <w14:textFill>
            <w14:solidFill>
              <w14:schemeClr w14:val="tx1"/>
            </w14:solidFill>
          </w14:textFill>
        </w:rPr>
        <w:t>通过其他方式获取招标文件的，将有可能导致供应商无法在</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编制及上传投标文件。</w:t>
      </w:r>
    </w:p>
    <w:p w14:paraId="28690783">
      <w:pPr>
        <w:spacing w:line="360" w:lineRule="auto"/>
        <w:ind w:firstLine="54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 售价：0元</w:t>
      </w:r>
    </w:p>
    <w:p w14:paraId="5A73820B">
      <w:pPr>
        <w:pStyle w:val="193"/>
        <w:spacing w:before="0" w:after="0" w:line="320" w:lineRule="exact"/>
        <w:rPr>
          <w:rFonts w:hint="eastAsia" w:ascii="宋体" w:hAnsi="宋体" w:eastAsia="宋体" w:cs="宋体"/>
          <w:bCs w:val="0"/>
          <w:color w:val="000000" w:themeColor="text1"/>
          <w:sz w:val="21"/>
          <w:szCs w:val="21"/>
          <w:highlight w:val="none"/>
          <w14:textFill>
            <w14:solidFill>
              <w14:schemeClr w14:val="tx1"/>
            </w14:solidFill>
          </w14:textFill>
        </w:rPr>
      </w:pPr>
      <w:bookmarkStart w:id="42" w:name="_Toc25816"/>
      <w:bookmarkStart w:id="43" w:name="_Toc23129"/>
      <w:r>
        <w:rPr>
          <w:rFonts w:hint="eastAsia" w:ascii="宋体" w:hAnsi="宋体" w:eastAsia="宋体" w:cs="宋体"/>
          <w:bCs w:val="0"/>
          <w:color w:val="000000" w:themeColor="text1"/>
          <w:sz w:val="21"/>
          <w:szCs w:val="21"/>
          <w:highlight w:val="none"/>
          <w14:textFill>
            <w14:solidFill>
              <w14:schemeClr w14:val="tx1"/>
            </w14:solidFill>
          </w14:textFill>
        </w:rPr>
        <w:t>四、提交投标文件</w:t>
      </w:r>
      <w:bookmarkEnd w:id="34"/>
      <w:bookmarkEnd w:id="35"/>
      <w:r>
        <w:rPr>
          <w:rFonts w:hint="eastAsia" w:ascii="宋体" w:hAnsi="宋体" w:eastAsia="宋体" w:cs="宋体"/>
          <w:bCs w:val="0"/>
          <w:color w:val="000000" w:themeColor="text1"/>
          <w:sz w:val="21"/>
          <w:szCs w:val="21"/>
          <w:highlight w:val="none"/>
          <w14:textFill>
            <w14:solidFill>
              <w14:schemeClr w14:val="tx1"/>
            </w14:solidFill>
          </w14:textFill>
        </w:rPr>
        <w:t>截止时间、开标时间和地点</w:t>
      </w:r>
      <w:bookmarkEnd w:id="36"/>
      <w:bookmarkEnd w:id="37"/>
      <w:bookmarkEnd w:id="38"/>
      <w:bookmarkEnd w:id="39"/>
      <w:bookmarkEnd w:id="40"/>
      <w:bookmarkEnd w:id="41"/>
      <w:bookmarkEnd w:id="42"/>
      <w:bookmarkEnd w:id="43"/>
    </w:p>
    <w:p w14:paraId="789ECDBC">
      <w:pPr>
        <w:spacing w:line="320" w:lineRule="exact"/>
        <w:ind w:firstLine="420"/>
        <w:rPr>
          <w:rFonts w:hint="eastAsia" w:ascii="宋体" w:hAnsi="宋体" w:cs="宋体"/>
          <w:color w:val="000000" w:themeColor="text1"/>
          <w:highlight w:val="none"/>
          <w14:textFill>
            <w14:solidFill>
              <w14:schemeClr w14:val="tx1"/>
            </w14:solidFill>
          </w14:textFill>
        </w:rPr>
      </w:pPr>
      <w:bookmarkStart w:id="44" w:name="_Toc4255"/>
      <w:bookmarkStart w:id="45" w:name="_Toc35393625"/>
      <w:bookmarkStart w:id="46" w:name="_Toc28359007"/>
      <w:bookmarkStart w:id="47" w:name="_Toc44405605"/>
      <w:bookmarkStart w:id="48" w:name="_Toc28359084"/>
      <w:bookmarkStart w:id="49" w:name="_Toc35393794"/>
      <w:r>
        <w:rPr>
          <w:rFonts w:hint="eastAsia" w:ascii="宋体" w:hAnsi="宋体" w:cs="宋体"/>
          <w:color w:val="000000" w:themeColor="text1"/>
          <w:highlight w:val="none"/>
          <w14:textFill>
            <w14:solidFill>
              <w14:schemeClr w14:val="tx1"/>
            </w14:solidFill>
          </w14:textFill>
        </w:rPr>
        <w:t>时间：</w:t>
      </w:r>
      <w:r>
        <w:rPr>
          <w:rFonts w:hint="eastAsia" w:ascii="宋体" w:hAnsi="宋体" w:cs="宋体"/>
          <w:color w:val="000000" w:themeColor="text1"/>
          <w:highlight w:val="none"/>
          <w:u w:val="single"/>
          <w:lang w:eastAsia="zh-CN"/>
          <w14:textFill>
            <w14:solidFill>
              <w14:schemeClr w14:val="tx1"/>
            </w14:solidFill>
          </w14:textFill>
        </w:rPr>
        <w:t>2026年9月4日上午9时00分</w:t>
      </w:r>
      <w:r>
        <w:rPr>
          <w:rFonts w:hint="eastAsia" w:ascii="宋体" w:hAnsi="宋体" w:cs="宋体"/>
          <w:color w:val="000000" w:themeColor="text1"/>
          <w:highlight w:val="none"/>
          <w14:textFill>
            <w14:solidFill>
              <w14:schemeClr w14:val="tx1"/>
            </w14:solidFill>
          </w14:textFill>
        </w:rPr>
        <w:t>（北京时间）</w:t>
      </w:r>
    </w:p>
    <w:p w14:paraId="186A9FAA">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w:t>
      </w:r>
      <w:r>
        <w:rPr>
          <w:rFonts w:ascii="宋体" w:hAnsi="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https</w:t>
      </w:r>
      <w:r>
        <w:rPr>
          <w:rFonts w:hint="eastAsia" w:ascii="宋体" w:hAnsi="宋体"/>
          <w:bCs/>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//www.gcy.zfcg.gxzf.gov.cn/</w:t>
      </w:r>
      <w:r>
        <w:rPr>
          <w:rFonts w:hint="eastAsia" w:ascii="宋体" w:hAnsi="宋体"/>
          <w:color w:val="000000" w:themeColor="text1"/>
          <w:szCs w:val="21"/>
          <w:highlight w:val="none"/>
          <w14:textFill>
            <w14:solidFill>
              <w14:schemeClr w14:val="tx1"/>
            </w14:solidFill>
          </w14:textFill>
        </w:rPr>
        <w:t>）</w:t>
      </w:r>
    </w:p>
    <w:p w14:paraId="7A4996A2">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w:t>
      </w:r>
      <w:r>
        <w:rPr>
          <w:rFonts w:ascii="宋体" w:hAnsi="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https</w:t>
      </w:r>
      <w:r>
        <w:rPr>
          <w:rFonts w:hint="eastAsia" w:ascii="宋体" w:hAnsi="宋体"/>
          <w:bCs/>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//www.gcy.zfcg.gxzf.gov.cn/</w:t>
      </w:r>
      <w:r>
        <w:rPr>
          <w:rFonts w:hint="eastAsia" w:ascii="宋体" w:hAnsi="宋体"/>
          <w:color w:val="000000" w:themeColor="text1"/>
          <w:szCs w:val="21"/>
          <w:highlight w:val="none"/>
          <w14:textFill>
            <w14:solidFill>
              <w14:schemeClr w14:val="tx1"/>
            </w14:solidFill>
          </w14:textFill>
        </w:rPr>
        <w:t>）</w:t>
      </w:r>
    </w:p>
    <w:p w14:paraId="0442840F">
      <w:pPr>
        <w:spacing w:line="320" w:lineRule="exact"/>
        <w:ind w:firstLine="420"/>
        <w:rPr>
          <w:rFonts w:hint="eastAsia" w:ascii="宋体" w:hAnsi="宋体" w:cs="宋体"/>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开标地点：</w:t>
      </w:r>
      <w:r>
        <w:rPr>
          <w:rFonts w:ascii="宋体" w:hAnsi="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电子开标大厅</w:t>
      </w:r>
    </w:p>
    <w:p w14:paraId="73E6459B">
      <w:pPr>
        <w:pStyle w:val="193"/>
        <w:spacing w:before="0" w:after="0" w:line="320" w:lineRule="exact"/>
        <w:rPr>
          <w:rFonts w:hint="eastAsia" w:ascii="宋体" w:hAnsi="宋体" w:eastAsia="宋体" w:cs="宋体"/>
          <w:bCs w:val="0"/>
          <w:color w:val="000000" w:themeColor="text1"/>
          <w:sz w:val="21"/>
          <w:szCs w:val="21"/>
          <w:highlight w:val="none"/>
          <w14:textFill>
            <w14:solidFill>
              <w14:schemeClr w14:val="tx1"/>
            </w14:solidFill>
          </w14:textFill>
        </w:rPr>
      </w:pPr>
      <w:bookmarkStart w:id="50" w:name="_Toc30919"/>
      <w:bookmarkStart w:id="51" w:name="_Toc20853"/>
      <w:bookmarkStart w:id="52" w:name="_Toc17155"/>
      <w:bookmarkStart w:id="53" w:name="_Toc27130"/>
      <w:r>
        <w:rPr>
          <w:rFonts w:hint="eastAsia" w:ascii="宋体" w:hAnsi="宋体" w:eastAsia="宋体" w:cs="宋体"/>
          <w:bCs w:val="0"/>
          <w:color w:val="000000" w:themeColor="text1"/>
          <w:sz w:val="21"/>
          <w:szCs w:val="21"/>
          <w:highlight w:val="none"/>
          <w14:textFill>
            <w14:solidFill>
              <w14:schemeClr w14:val="tx1"/>
            </w14:solidFill>
          </w14:textFill>
        </w:rPr>
        <w:t>五、公告期限</w:t>
      </w:r>
      <w:bookmarkEnd w:id="44"/>
      <w:bookmarkEnd w:id="45"/>
      <w:bookmarkEnd w:id="46"/>
      <w:bookmarkEnd w:id="47"/>
      <w:bookmarkEnd w:id="48"/>
      <w:bookmarkEnd w:id="49"/>
      <w:bookmarkEnd w:id="50"/>
      <w:bookmarkEnd w:id="51"/>
      <w:bookmarkEnd w:id="52"/>
      <w:bookmarkEnd w:id="53"/>
    </w:p>
    <w:p w14:paraId="12CAA448">
      <w:pPr>
        <w:spacing w:line="320" w:lineRule="exact"/>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自本公告发布之日起5个工作日。</w:t>
      </w:r>
    </w:p>
    <w:p w14:paraId="189E155C">
      <w:pPr>
        <w:pStyle w:val="193"/>
        <w:spacing w:before="0" w:after="0" w:line="320" w:lineRule="exact"/>
        <w:rPr>
          <w:rFonts w:hint="eastAsia" w:ascii="宋体" w:hAnsi="宋体" w:eastAsia="宋体" w:cs="宋体"/>
          <w:bCs w:val="0"/>
          <w:color w:val="000000" w:themeColor="text1"/>
          <w:sz w:val="21"/>
          <w:szCs w:val="21"/>
          <w:highlight w:val="none"/>
          <w14:textFill>
            <w14:solidFill>
              <w14:schemeClr w14:val="tx1"/>
            </w14:solidFill>
          </w14:textFill>
        </w:rPr>
      </w:pPr>
      <w:bookmarkStart w:id="54" w:name="_Toc35393626"/>
      <w:bookmarkStart w:id="55" w:name="_Toc44405606"/>
      <w:bookmarkStart w:id="56" w:name="_Toc22774"/>
      <w:bookmarkStart w:id="57" w:name="_Toc14112"/>
      <w:bookmarkStart w:id="58" w:name="_Toc17855"/>
      <w:bookmarkStart w:id="59" w:name="_Toc18475"/>
      <w:bookmarkStart w:id="60" w:name="_Toc35393795"/>
      <w:bookmarkStart w:id="61" w:name="_Toc1241"/>
      <w:r>
        <w:rPr>
          <w:rFonts w:hint="eastAsia" w:ascii="宋体" w:hAnsi="宋体" w:eastAsia="宋体" w:cs="宋体"/>
          <w:bCs w:val="0"/>
          <w:color w:val="000000" w:themeColor="text1"/>
          <w:sz w:val="21"/>
          <w:szCs w:val="21"/>
          <w:highlight w:val="none"/>
          <w14:textFill>
            <w14:solidFill>
              <w14:schemeClr w14:val="tx1"/>
            </w14:solidFill>
          </w14:textFill>
        </w:rPr>
        <w:t>六、其他补充事宜</w:t>
      </w:r>
      <w:bookmarkEnd w:id="54"/>
      <w:bookmarkEnd w:id="55"/>
      <w:bookmarkEnd w:id="56"/>
      <w:bookmarkEnd w:id="57"/>
      <w:bookmarkEnd w:id="58"/>
      <w:bookmarkEnd w:id="59"/>
      <w:bookmarkEnd w:id="60"/>
      <w:bookmarkEnd w:id="61"/>
    </w:p>
    <w:p w14:paraId="2D7204D9">
      <w:pPr>
        <w:spacing w:line="320" w:lineRule="exact"/>
        <w:ind w:firstLine="31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1.投标保证金</w:t>
      </w:r>
    </w:p>
    <w:p w14:paraId="77B9BB39">
      <w:pPr>
        <w:spacing w:line="320" w:lineRule="exact"/>
        <w:ind w:left="49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本项目投</w:t>
      </w:r>
      <w:r>
        <w:rPr>
          <w:rFonts w:hint="eastAsia" w:ascii="宋体" w:hAnsi="宋体" w:cs="宋体"/>
          <w:color w:val="000000" w:themeColor="text1"/>
          <w:szCs w:val="21"/>
          <w:highlight w:val="none"/>
          <w14:textFill>
            <w14:solidFill>
              <w14:schemeClr w14:val="tx1"/>
            </w14:solidFill>
          </w14:textFill>
        </w:rPr>
        <w:t>标保证金：无。</w:t>
      </w:r>
    </w:p>
    <w:p w14:paraId="09AD6E73">
      <w:pPr>
        <w:spacing w:line="320" w:lineRule="exact"/>
        <w:ind w:firstLine="315"/>
        <w:rPr>
          <w:rFonts w:hint="eastAsia" w:ascii="宋体" w:hAnsi="宋体" w:cs="宋体"/>
          <w:color w:val="000000" w:themeColor="text1"/>
          <w:szCs w:val="21"/>
          <w:highlight w:val="none"/>
          <w14:textFill>
            <w14:solidFill>
              <w14:schemeClr w14:val="tx1"/>
            </w14:solidFill>
          </w14:textFill>
        </w:rPr>
      </w:pPr>
      <w:bookmarkStart w:id="62" w:name="_Hlk37429585"/>
      <w:r>
        <w:rPr>
          <w:rFonts w:hint="eastAsia" w:ascii="宋体" w:hAnsi="宋体" w:cs="宋体"/>
          <w:color w:val="000000" w:themeColor="text1"/>
          <w:szCs w:val="21"/>
          <w:highlight w:val="none"/>
          <w14:textFill>
            <w14:solidFill>
              <w14:schemeClr w14:val="tx1"/>
            </w14:solidFill>
          </w14:textFill>
        </w:rPr>
        <w:t xml:space="preserve">2. </w:t>
      </w:r>
      <w:bookmarkStart w:id="63" w:name="_Hlk37429595"/>
      <w:r>
        <w:rPr>
          <w:rFonts w:hint="eastAsia" w:ascii="宋体" w:hAnsi="宋体" w:cs="宋体"/>
          <w:color w:val="000000" w:themeColor="text1"/>
          <w:szCs w:val="21"/>
          <w:highlight w:val="none"/>
          <w14:textFill>
            <w14:solidFill>
              <w14:schemeClr w14:val="tx1"/>
            </w14:solidFill>
          </w14:textFill>
        </w:rPr>
        <w:t>网上查询地址</w:t>
      </w:r>
    </w:p>
    <w:bookmarkEnd w:id="62"/>
    <w:p w14:paraId="43A37571">
      <w:pPr>
        <w:spacing w:line="320" w:lineRule="exact"/>
        <w:ind w:left="49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http：//www.ccgp.gov.cn（中国政府采购网）、http：//</w:t>
      </w:r>
      <w:r>
        <w:rPr>
          <w:rFonts w:hint="eastAsia" w:ascii="宋体" w:hAnsi="宋体" w:cs="宋体"/>
          <w:color w:val="000000" w:themeColor="text1"/>
          <w:szCs w:val="21"/>
          <w:highlight w:val="none"/>
          <w14:textFill>
            <w14:solidFill>
              <w14:schemeClr w14:val="tx1"/>
            </w14:solidFill>
          </w14:textFill>
        </w:rPr>
        <w:fldChar w:fldCharType="begin"/>
      </w:r>
      <w:r>
        <w:rPr>
          <w:rFonts w:hint="eastAsia" w:ascii="宋体" w:hAnsi="宋体" w:cs="宋体"/>
          <w:color w:val="000000" w:themeColor="text1"/>
          <w:szCs w:val="21"/>
          <w:highlight w:val="none"/>
          <w14:textFill>
            <w14:solidFill>
              <w14:schemeClr w14:val="tx1"/>
            </w14:solidFill>
          </w14:textFill>
        </w:rPr>
        <w:instrText xml:space="preserve"> HYPERLINK "http://www.gxzfcg.gov.cn" </w:instrText>
      </w:r>
      <w:r>
        <w:rPr>
          <w:rFonts w:hint="eastAsia" w:ascii="宋体" w:hAnsi="宋体" w:cs="宋体"/>
          <w:color w:val="000000" w:themeColor="text1"/>
          <w:szCs w:val="21"/>
          <w:highlight w:val="none"/>
          <w14:textFill>
            <w14:solidFill>
              <w14:schemeClr w14:val="tx1"/>
            </w14:solidFill>
          </w14:textFill>
        </w:rPr>
        <w:fldChar w:fldCharType="separate"/>
      </w:r>
      <w:r>
        <w:rPr>
          <w:rStyle w:val="269"/>
          <w:rFonts w:hint="eastAsia" w:ascii="宋体" w:hAnsi="宋体" w:cs="宋体"/>
          <w:color w:val="000000" w:themeColor="text1"/>
          <w:szCs w:val="21"/>
          <w:highlight w:val="none"/>
          <w:u w:val="none"/>
          <w14:textFill>
            <w14:solidFill>
              <w14:schemeClr w14:val="tx1"/>
            </w14:solidFill>
          </w14:textFill>
        </w:rPr>
        <w:t>zfcg.gxzf.gov.cn/</w:t>
      </w:r>
      <w:r>
        <w:rPr>
          <w:rFonts w:hint="eastAsia"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（广西壮族自治区政府采购网）、http：//ggzy.jgswj.gxzf.gov.cn/ggggzy/全国公共资源交易平台（广西·贵港）</w:t>
      </w:r>
    </w:p>
    <w:bookmarkEnd w:id="63"/>
    <w:p w14:paraId="344B3631">
      <w:pPr>
        <w:spacing w:line="320" w:lineRule="exact"/>
        <w:ind w:firstLine="315"/>
        <w:rPr>
          <w:rFonts w:hint="eastAsia" w:ascii="宋体" w:hAnsi="宋体" w:cs="宋体"/>
          <w:color w:val="000000" w:themeColor="text1"/>
          <w:szCs w:val="21"/>
          <w:highlight w:val="none"/>
          <w14:textFill>
            <w14:solidFill>
              <w14:schemeClr w14:val="tx1"/>
            </w14:solidFill>
          </w14:textFill>
        </w:rPr>
      </w:pPr>
      <w:bookmarkStart w:id="64" w:name="_Hlk37429674"/>
      <w:r>
        <w:rPr>
          <w:rFonts w:hint="eastAsia" w:ascii="宋体" w:hAnsi="宋体" w:cs="宋体"/>
          <w:color w:val="000000" w:themeColor="text1"/>
          <w:szCs w:val="21"/>
          <w:highlight w:val="none"/>
          <w14:textFill>
            <w14:solidFill>
              <w14:schemeClr w14:val="tx1"/>
            </w14:solidFill>
          </w14:textFill>
        </w:rPr>
        <w:t>3. 本项目需要落实的政府采购政策</w:t>
      </w:r>
    </w:p>
    <w:p w14:paraId="45DCBB4E">
      <w:pPr>
        <w:spacing w:line="320" w:lineRule="exact"/>
        <w:ind w:firstLine="31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14:paraId="04FFE9A1">
      <w:pPr>
        <w:spacing w:line="320" w:lineRule="exact"/>
        <w:ind w:firstLine="31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（2）政府采购促进残疾人就业政策。</w:t>
      </w:r>
    </w:p>
    <w:p w14:paraId="338A4B61">
      <w:pPr>
        <w:spacing w:line="320" w:lineRule="exact"/>
        <w:ind w:firstLine="31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）政府采购支持监狱企业发展。</w:t>
      </w:r>
      <w:bookmarkEnd w:id="64"/>
    </w:p>
    <w:p w14:paraId="5FFDDFBF">
      <w:pPr>
        <w:spacing w:line="320" w:lineRule="exact"/>
        <w:ind w:firstLine="315"/>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lang w:eastAsia="zh-CN"/>
          <w14:textFill>
            <w14:solidFill>
              <w14:schemeClr w14:val="tx1"/>
            </w14:solidFill>
          </w14:textFill>
        </w:rPr>
        <w:t>）政府采购支持采用本国产品的政策。</w:t>
      </w:r>
    </w:p>
    <w:p w14:paraId="4E939555">
      <w:pPr>
        <w:spacing w:line="320" w:lineRule="exact"/>
        <w:ind w:firstLine="31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4.监督部门</w:t>
      </w:r>
    </w:p>
    <w:p w14:paraId="6FD8F5F5">
      <w:pPr>
        <w:spacing w:line="312" w:lineRule="auto"/>
        <w:ind w:firstLine="420"/>
        <w:rPr>
          <w:rFonts w:hint="eastAsia" w:ascii="宋体" w:hAnsi="宋体" w:cs="宋体"/>
          <w:color w:val="000000" w:themeColor="text1"/>
          <w:szCs w:val="21"/>
          <w:highlight w:val="none"/>
          <w14:textFill>
            <w14:solidFill>
              <w14:schemeClr w14:val="tx1"/>
            </w14:solidFill>
          </w14:textFill>
        </w:rPr>
      </w:pPr>
      <w:bookmarkStart w:id="65" w:name="_Toc32606"/>
      <w:bookmarkStart w:id="66" w:name="_Toc28359085"/>
      <w:bookmarkStart w:id="67" w:name="_Toc35393627"/>
      <w:bookmarkStart w:id="68" w:name="_Toc35393796"/>
      <w:bookmarkStart w:id="69" w:name="_Toc44405607"/>
      <w:bookmarkStart w:id="70" w:name="_Toc28359008"/>
      <w:r>
        <w:rPr>
          <w:rFonts w:hint="eastAsia" w:ascii="宋体" w:hAnsi="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贵港市港北区财政局综合股</w:t>
      </w:r>
      <w:r>
        <w:rPr>
          <w:rFonts w:hint="eastAsia" w:ascii="宋体" w:hAnsi="宋体" w:eastAsia="宋体" w:cs="宋体"/>
          <w:color w:val="000000" w:themeColor="text1"/>
          <w:szCs w:val="21"/>
          <w:highlight w:val="none"/>
          <w14:textFill>
            <w14:solidFill>
              <w14:schemeClr w14:val="tx1"/>
            </w14:solidFill>
          </w14:textFill>
        </w:rPr>
        <w:t xml:space="preserve"> </w:t>
      </w:r>
    </w:p>
    <w:p w14:paraId="22FE5736">
      <w:pP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话：0775-4258699,4258673</w:t>
      </w:r>
    </w:p>
    <w:p w14:paraId="5B4D6DF5">
      <w:pP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5.投标人投标注意事项</w:t>
      </w:r>
    </w:p>
    <w:p w14:paraId="179C9043">
      <w:pPr>
        <w:widowControl/>
        <w:spacing w:line="360" w:lineRule="auto"/>
        <w:ind w:firstLine="42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（1）本项目为全流程电子化采购项目，通过</w:t>
      </w:r>
      <w:r>
        <w:rPr>
          <w:rFonts w:hint="eastAsia" w:ascii="宋体" w:hAnsi="宋体"/>
          <w:color w:val="000000" w:themeColor="text1"/>
          <w:szCs w:val="21"/>
          <w:highlight w:val="none"/>
          <w:lang w:eastAsia="zh-CN"/>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https</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//www.gcy.</w:t>
      </w:r>
    </w:p>
    <w:p w14:paraId="3833D06A">
      <w:pPr>
        <w:widowControl/>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zfcg.gxzf.gov.cn/</w:t>
      </w:r>
      <w:r>
        <w:rPr>
          <w:rFonts w:hint="eastAsia" w:ascii="宋体" w:hAnsi="宋体"/>
          <w:color w:val="000000" w:themeColor="text1"/>
          <w:szCs w:val="21"/>
          <w:highlight w:val="none"/>
          <w14:textFill>
            <w14:solidFill>
              <w14:schemeClr w14:val="tx1"/>
            </w14:solidFill>
          </w14:textFill>
        </w:rPr>
        <w:t>）实行在线电子投标，投标人应按照本项目招标文件和广西政府采购云平台的要求编制、加密后在投标截止时间前通过网络上传至广西政府采购云平台（加密的电子投标文件是指</w:t>
      </w:r>
      <w:r>
        <w:rPr>
          <w:rFonts w:hint="eastAsia"/>
          <w:color w:val="000000" w:themeColor="text1"/>
          <w:highlight w:val="none"/>
          <w14:textFill>
            <w14:solidFill>
              <w14:schemeClr w14:val="tx1"/>
            </w14:solidFill>
          </w14:textFill>
        </w:rPr>
        <w:t>后缀名为“jm</w:t>
      </w:r>
      <w:r>
        <w:rPr>
          <w:color w:val="000000" w:themeColor="text1"/>
          <w:highlight w:val="none"/>
          <w14:textFill>
            <w14:solidFill>
              <w14:schemeClr w14:val="tx1"/>
            </w14:solidFill>
          </w14:textFill>
        </w:rPr>
        <w:t>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投标人在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
          <w:color w:val="000000" w:themeColor="text1"/>
          <w:szCs w:val="21"/>
          <w:highlight w:val="none"/>
          <w14:textFill>
            <w14:solidFill>
              <w14:schemeClr w14:val="tx1"/>
            </w14:solidFill>
          </w14:textFill>
        </w:rPr>
        <w:t>提交电子投标文件时，请填写参加远程开标活动经办人联系方式。</w:t>
      </w:r>
      <w:r>
        <w:rPr>
          <w:rFonts w:hint="eastAsia" w:ascii="宋体" w:hAnsi="宋体"/>
          <w:color w:val="000000" w:themeColor="text1"/>
          <w:szCs w:val="21"/>
          <w:highlight w:val="none"/>
          <w14:textFill>
            <w14:solidFill>
              <w14:schemeClr w14:val="tx1"/>
            </w14:solidFill>
          </w14:textFill>
        </w:rPr>
        <w:t>投标人登录广西政府采购云平台，依次进入“服务中心-项目采购-操作流程-电子招投标-</w:t>
      </w:r>
      <w:r>
        <w:rPr>
          <w:color w:val="000000" w:themeColor="text1"/>
          <w:highlight w:val="none"/>
          <w14:textFill>
            <w14:solidFill>
              <w14:schemeClr w14:val="tx1"/>
            </w14:solidFill>
          </w14:textFill>
        </w:rPr>
        <w:t>政府采购项目电子交易管理操作指南-供应商</w:t>
      </w:r>
      <w:r>
        <w:rPr>
          <w:rFonts w:hint="eastAsia" w:ascii="宋体" w:hAnsi="宋体"/>
          <w:color w:val="000000" w:themeColor="text1"/>
          <w:szCs w:val="21"/>
          <w:highlight w:val="none"/>
          <w14:textFill>
            <w14:solidFill>
              <w14:schemeClr w14:val="tx1"/>
            </w14:solidFill>
          </w14:textFill>
        </w:rPr>
        <w:t>”查看电子投标具体操作流程。</w:t>
      </w:r>
    </w:p>
    <w:p w14:paraId="40338D1C">
      <w:pPr>
        <w:widowControl/>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bCs/>
          <w:color w:val="000000" w:themeColor="text1"/>
          <w:szCs w:val="21"/>
          <w:highlight w:val="none"/>
          <w14:textFill>
            <w14:solidFill>
              <w14:schemeClr w14:val="tx1"/>
            </w14:solidFill>
          </w14:textFill>
        </w:rPr>
        <w:t>如在操作过程中遇到问题或者需要技术支持，请致电客服热线：95763</w:t>
      </w:r>
      <w:r>
        <w:rPr>
          <w:rFonts w:hint="eastAsia" w:ascii="宋体" w:hAnsi="宋体" w:eastAsia="宋体" w:cs="宋体"/>
          <w:color w:val="000000" w:themeColor="text1"/>
          <w:szCs w:val="21"/>
          <w:highlight w:val="none"/>
          <w14:textFill>
            <w14:solidFill>
              <w14:schemeClr w14:val="tx1"/>
            </w14:solidFill>
          </w14:textFill>
        </w:rPr>
        <w:t>或者0771-3381253</w:t>
      </w:r>
      <w:r>
        <w:rPr>
          <w:rFonts w:hint="eastAsia" w:ascii="宋体" w:hAnsi="宋体"/>
          <w:color w:val="000000" w:themeColor="text1"/>
          <w:szCs w:val="21"/>
          <w:highlight w:val="none"/>
          <w14:textFill>
            <w14:solidFill>
              <w14:schemeClr w14:val="tx1"/>
            </w14:solidFill>
          </w14:textFill>
        </w:rPr>
        <w:t>）。</w:t>
      </w:r>
    </w:p>
    <w:p w14:paraId="35A6D34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（3）CA证书在线解密：投标人投标时，需凭制作投标文件时用来加密的有效数字证书（CA认证）登录</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电子开标大厅现场按规定时间对加密的投标文件进行解密，否则后果自负。</w:t>
      </w:r>
    </w:p>
    <w:p w14:paraId="25BC5E89">
      <w:pPr>
        <w:spacing w:line="360" w:lineRule="auto"/>
        <w:ind w:firstLine="424"/>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注：1）为确保网上操作合法、有效和安全，请投标人确保在电子投标过程中能够对相关数据电文进行加密和使用电子签章，妥善保管C</w:t>
      </w:r>
      <w:r>
        <w:rPr>
          <w:rFonts w:ascii="宋体" w:hAnsi="宋体"/>
          <w:color w:val="000000" w:themeColor="text1"/>
          <w:szCs w:val="21"/>
          <w:highlight w:val="none"/>
          <w14:textFill>
            <w14:solidFill>
              <w14:schemeClr w14:val="tx1"/>
            </w14:solidFill>
          </w14:textFill>
        </w:rPr>
        <w:t>A</w:t>
      </w:r>
      <w:r>
        <w:rPr>
          <w:rFonts w:hint="eastAsia" w:ascii="宋体" w:hAnsi="宋体"/>
          <w:color w:val="000000" w:themeColor="text1"/>
          <w:szCs w:val="21"/>
          <w:highlight w:val="none"/>
          <w14:textFill>
            <w14:solidFill>
              <w14:schemeClr w14:val="tx1"/>
            </w14:solidFill>
          </w14:textFill>
        </w:rPr>
        <w:t>数字证书并使用有效的CA数字证书参与整个招标活动。2）</w:t>
      </w:r>
      <w:r>
        <w:rPr>
          <w:rFonts w:hint="eastAsia" w:ascii="宋体" w:hAnsi="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将予以拒收。</w:t>
      </w:r>
    </w:p>
    <w:p w14:paraId="071B3614">
      <w:pPr>
        <w:keepNext/>
        <w:keepLines/>
        <w:spacing w:line="320" w:lineRule="exact"/>
        <w:outlineLvl w:val="1"/>
        <w:rPr>
          <w:rFonts w:hint="eastAsia" w:ascii="宋体" w:hAnsi="宋体" w:cs="宋体"/>
          <w:b/>
          <w:color w:val="000000" w:themeColor="text1"/>
          <w:szCs w:val="21"/>
          <w:highlight w:val="none"/>
          <w14:textFill>
            <w14:solidFill>
              <w14:schemeClr w14:val="tx1"/>
            </w14:solidFill>
          </w14:textFill>
        </w:rPr>
      </w:pPr>
      <w:bookmarkStart w:id="71" w:name="_Toc2497"/>
      <w:bookmarkStart w:id="72" w:name="_Toc27703"/>
      <w:bookmarkStart w:id="73" w:name="_Toc16000"/>
      <w:bookmarkStart w:id="74" w:name="_Toc22633"/>
      <w:r>
        <w:rPr>
          <w:rFonts w:hint="eastAsia" w:ascii="宋体" w:hAnsi="宋体" w:cs="宋体"/>
          <w:b/>
          <w:color w:val="000000" w:themeColor="text1"/>
          <w:szCs w:val="21"/>
          <w:highlight w:val="none"/>
          <w14:textFill>
            <w14:solidFill>
              <w14:schemeClr w14:val="tx1"/>
            </w14:solidFill>
          </w14:textFill>
        </w:rPr>
        <w:t>七、对本次招标提出询问，请按以下方式联系。</w:t>
      </w:r>
      <w:bookmarkEnd w:id="65"/>
      <w:bookmarkEnd w:id="66"/>
      <w:bookmarkEnd w:id="67"/>
      <w:bookmarkEnd w:id="68"/>
      <w:bookmarkEnd w:id="69"/>
      <w:bookmarkEnd w:id="70"/>
      <w:bookmarkEnd w:id="71"/>
      <w:bookmarkEnd w:id="72"/>
      <w:bookmarkEnd w:id="73"/>
      <w:bookmarkEnd w:id="74"/>
    </w:p>
    <w:p w14:paraId="39929963">
      <w:pPr>
        <w:ind w:firstLine="31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032149EA">
      <w:pPr>
        <w:spacing w:line="320" w:lineRule="exact"/>
        <w:ind w:firstLine="31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w:t>
      </w:r>
      <w:r>
        <w:rPr>
          <w:rFonts w:hint="eastAsia" w:ascii="宋体" w:hAnsi="宋体" w:cs="宋体"/>
          <w:color w:val="000000" w:themeColor="text1"/>
          <w:szCs w:val="21"/>
          <w:highlight w:val="none"/>
          <w:lang w:eastAsia="zh-CN"/>
          <w14:textFill>
            <w14:solidFill>
              <w14:schemeClr w14:val="tx1"/>
            </w14:solidFill>
          </w14:textFill>
        </w:rPr>
        <w:t>贵港市港北区农业农村局</w:t>
      </w:r>
      <w:r>
        <w:rPr>
          <w:rFonts w:hint="eastAsia" w:ascii="宋体" w:hAnsi="宋体" w:cs="宋体"/>
          <w:color w:val="000000" w:themeColor="text1"/>
          <w:szCs w:val="21"/>
          <w:highlight w:val="none"/>
          <w14:textFill>
            <w14:solidFill>
              <w14:schemeClr w14:val="tx1"/>
            </w14:solidFill>
          </w14:textFill>
        </w:rPr>
        <w:t>　</w:t>
      </w:r>
    </w:p>
    <w:p w14:paraId="5666FDC8">
      <w:pPr>
        <w:spacing w:line="320" w:lineRule="exact"/>
        <w:ind w:firstLine="31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lang w:eastAsia="zh-CN"/>
          <w14:textFill>
            <w14:solidFill>
              <w14:schemeClr w14:val="tx1"/>
            </w14:solidFill>
          </w14:textFill>
        </w:rPr>
        <w:t>贵港市港北区桂林路碧桂园二期西面商铺</w:t>
      </w:r>
      <w:r>
        <w:rPr>
          <w:rFonts w:hint="eastAsia" w:ascii="宋体" w:hAnsi="宋体" w:cs="宋体"/>
          <w:color w:val="000000" w:themeColor="text1"/>
          <w:szCs w:val="21"/>
          <w:highlight w:val="none"/>
          <w14:textFill>
            <w14:solidFill>
              <w14:schemeClr w14:val="tx1"/>
            </w14:solidFill>
          </w14:textFill>
        </w:rPr>
        <w:t>　　</w:t>
      </w:r>
    </w:p>
    <w:p w14:paraId="127FE809">
      <w:pPr>
        <w:widowControl/>
        <w:ind w:firstLine="210"/>
        <w:jc w:val="left"/>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w:t>
      </w:r>
      <w:r>
        <w:rPr>
          <w:rFonts w:hint="eastAsia" w:ascii="宋体" w:hAnsi="宋体" w:cs="宋体"/>
          <w:color w:val="000000" w:themeColor="text1"/>
          <w:szCs w:val="21"/>
          <w:highlight w:val="none"/>
          <w:lang w:eastAsia="zh-CN"/>
          <w14:textFill>
            <w14:solidFill>
              <w14:schemeClr w14:val="tx1"/>
            </w14:solidFill>
          </w14:textFill>
        </w:rPr>
        <w:t>韦小缘</w:t>
      </w:r>
    </w:p>
    <w:p w14:paraId="43C2176F">
      <w:pPr>
        <w:widowControl/>
        <w:ind w:firstLine="21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项目联系方式：0775-4558680</w:t>
      </w:r>
    </w:p>
    <w:p w14:paraId="4370213D">
      <w:pPr>
        <w:spacing w:line="320" w:lineRule="exact"/>
        <w:ind w:firstLine="31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38806E69">
      <w:pPr>
        <w:spacing w:line="320" w:lineRule="exact"/>
        <w:ind w:firstLine="31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称：云之龙咨询集团有限公司　</w:t>
      </w:r>
    </w:p>
    <w:p w14:paraId="21035401">
      <w:pPr>
        <w:spacing w:line="320" w:lineRule="exact"/>
        <w:ind w:firstLine="31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址：广西贵港市港北区荷城路 1132 号华泰官邸1栋6楼</w:t>
      </w:r>
    </w:p>
    <w:p w14:paraId="0B885177">
      <w:pPr>
        <w:spacing w:line="320" w:lineRule="exact"/>
        <w:ind w:firstLine="315"/>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项目联系人：甘建程、</w:t>
      </w:r>
      <w:r>
        <w:rPr>
          <w:rFonts w:hint="eastAsia" w:ascii="宋体" w:hAnsi="宋体" w:cs="宋体"/>
          <w:color w:val="000000" w:themeColor="text1"/>
          <w:szCs w:val="21"/>
          <w:highlight w:val="none"/>
          <w:lang w:eastAsia="zh-CN"/>
          <w14:textFill>
            <w14:solidFill>
              <w14:schemeClr w14:val="tx1"/>
            </w14:solidFill>
          </w14:textFill>
        </w:rPr>
        <w:t>石宗艳</w:t>
      </w:r>
    </w:p>
    <w:p w14:paraId="05F6B6AE">
      <w:pPr>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项目联系方式：0775-4565100、4569690</w:t>
      </w:r>
    </w:p>
    <w:p w14:paraId="2BC05B63">
      <w:pPr>
        <w:ind w:firstLine="210"/>
        <w:rPr>
          <w:rFonts w:hint="eastAsia" w:ascii="宋体" w:hAnsi="宋体" w:cs="宋体"/>
          <w:color w:val="000000" w:themeColor="text1"/>
          <w:szCs w:val="21"/>
          <w:highlight w:val="none"/>
          <w14:textFill>
            <w14:solidFill>
              <w14:schemeClr w14:val="tx1"/>
            </w14:solidFill>
          </w14:textFill>
        </w:rPr>
      </w:pPr>
    </w:p>
    <w:p w14:paraId="03866340">
      <w:pPr>
        <w:ind w:firstLine="210"/>
        <w:rPr>
          <w:rFonts w:hint="eastAsia" w:ascii="宋体" w:hAnsi="宋体" w:cs="宋体"/>
          <w:color w:val="000000" w:themeColor="text1"/>
          <w:szCs w:val="21"/>
          <w:highlight w:val="none"/>
          <w14:textFill>
            <w14:solidFill>
              <w14:schemeClr w14:val="tx1"/>
            </w14:solidFill>
          </w14:textFill>
        </w:rPr>
      </w:pPr>
    </w:p>
    <w:p w14:paraId="7B563D15">
      <w:pPr>
        <w:ind w:firstLine="210"/>
        <w:rPr>
          <w:rFonts w:hint="eastAsia" w:ascii="宋体" w:hAnsi="宋体" w:cs="宋体"/>
          <w:color w:val="000000" w:themeColor="text1"/>
          <w:szCs w:val="21"/>
          <w:highlight w:val="none"/>
          <w14:textFill>
            <w14:solidFill>
              <w14:schemeClr w14:val="tx1"/>
            </w14:solidFill>
          </w14:textFill>
        </w:rPr>
      </w:pPr>
    </w:p>
    <w:p w14:paraId="3A432A7D">
      <w:pPr>
        <w:ind w:firstLine="210"/>
        <w:rPr>
          <w:rFonts w:hint="eastAsia" w:ascii="宋体" w:hAnsi="宋体" w:cs="宋体"/>
          <w:color w:val="000000" w:themeColor="text1"/>
          <w:szCs w:val="21"/>
          <w:highlight w:val="none"/>
          <w14:textFill>
            <w14:solidFill>
              <w14:schemeClr w14:val="tx1"/>
            </w14:solidFill>
          </w14:textFill>
        </w:rPr>
      </w:pPr>
    </w:p>
    <w:p w14:paraId="6B777C67">
      <w:pPr>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云之龙咨询集团有限公司</w:t>
      </w:r>
    </w:p>
    <w:p w14:paraId="5B35CED0">
      <w:pPr>
        <w:pStyle w:val="238"/>
        <w:jc w:val="center"/>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w:t>
      </w:r>
      <w:r>
        <w:rPr>
          <w:rFonts w:hint="eastAsia" w:ascii="宋体" w:hAnsi="宋体" w:cs="宋体"/>
          <w:color w:val="000000" w:themeColor="text1"/>
          <w:sz w:val="21"/>
          <w:szCs w:val="21"/>
          <w:highlight w:val="none"/>
          <w:u w:val="single"/>
          <w:lang w:eastAsia="zh-CN"/>
          <w14:textFill>
            <w14:solidFill>
              <w14:schemeClr w14:val="tx1"/>
            </w14:solidFill>
          </w14:textFill>
        </w:rPr>
        <w:t>2026</w:t>
      </w:r>
      <w:r>
        <w:rPr>
          <w:rFonts w:hint="eastAsia" w:ascii="宋体" w:hAnsi="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8</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u w:val="single"/>
          <w:lang w:val="en-US" w:eastAsia="zh-CN"/>
          <w14:textFill>
            <w14:solidFill>
              <w14:schemeClr w14:val="tx1"/>
            </w14:solidFill>
          </w14:textFill>
        </w:rPr>
        <w:t>14</w:t>
      </w:r>
      <w:r>
        <w:rPr>
          <w:rFonts w:hint="eastAsia" w:ascii="宋体" w:hAnsi="宋体" w:cs="宋体"/>
          <w:color w:val="000000" w:themeColor="text1"/>
          <w:sz w:val="21"/>
          <w:szCs w:val="21"/>
          <w:highlight w:val="none"/>
          <w14:textFill>
            <w14:solidFill>
              <w14:schemeClr w14:val="tx1"/>
            </w14:solidFill>
          </w14:textFill>
        </w:rPr>
        <w:t>日</w:t>
      </w:r>
    </w:p>
    <w:p w14:paraId="5C6CC8CF">
      <w:pPr>
        <w:pStyle w:val="238"/>
        <w:jc w:val="center"/>
        <w:rPr>
          <w:rFonts w:hint="eastAsia" w:ascii="宋体" w:hAnsi="宋体" w:cs="宋体"/>
          <w:color w:val="000000" w:themeColor="text1"/>
          <w:sz w:val="21"/>
          <w:szCs w:val="21"/>
          <w:highlight w:val="none"/>
          <w14:textFill>
            <w14:solidFill>
              <w14:schemeClr w14:val="tx1"/>
            </w14:solidFill>
          </w14:textFill>
        </w:rPr>
      </w:pPr>
    </w:p>
    <w:p w14:paraId="298BAA38">
      <w:pPr>
        <w:pStyle w:val="253"/>
        <w:rPr>
          <w:rFonts w:hint="eastAsia" w:ascii="宋体" w:hAnsi="宋体" w:cs="宋体"/>
          <w:color w:val="000000" w:themeColor="text1"/>
          <w:highlight w:val="none"/>
          <w14:textFill>
            <w14:solidFill>
              <w14:schemeClr w14:val="tx1"/>
            </w14:solidFill>
          </w14:textFill>
        </w:rPr>
      </w:pPr>
    </w:p>
    <w:p w14:paraId="465D36F0">
      <w:pPr>
        <w:rPr>
          <w:rFonts w:hint="eastAsia" w:ascii="宋体" w:hAnsi="宋体" w:cs="宋体"/>
          <w:color w:val="000000" w:themeColor="text1"/>
          <w:highlight w:val="none"/>
          <w14:textFill>
            <w14:solidFill>
              <w14:schemeClr w14:val="tx1"/>
            </w14:solidFill>
          </w14:textFill>
        </w:rPr>
      </w:pPr>
    </w:p>
    <w:p w14:paraId="34618A5A">
      <w:pPr>
        <w:pStyle w:val="273"/>
        <w:rPr>
          <w:rFonts w:hint="eastAsia" w:ascii="宋体" w:hAnsi="宋体" w:cs="宋体"/>
          <w:color w:val="000000" w:themeColor="text1"/>
          <w:highlight w:val="none"/>
          <w14:textFill>
            <w14:solidFill>
              <w14:schemeClr w14:val="tx1"/>
            </w14:solidFill>
          </w14:textFill>
        </w:rPr>
      </w:pPr>
    </w:p>
    <w:p w14:paraId="4B896B63">
      <w:pPr>
        <w:pStyle w:val="273"/>
        <w:rPr>
          <w:rFonts w:hint="eastAsia" w:ascii="宋体" w:hAnsi="宋体" w:cs="宋体"/>
          <w:color w:val="000000" w:themeColor="text1"/>
          <w:highlight w:val="none"/>
          <w14:textFill>
            <w14:solidFill>
              <w14:schemeClr w14:val="tx1"/>
            </w14:solidFill>
          </w14:textFill>
        </w:rPr>
      </w:pPr>
    </w:p>
    <w:p w14:paraId="681FC7AE">
      <w:pPr>
        <w:pStyle w:val="273"/>
        <w:rPr>
          <w:rFonts w:hint="eastAsia" w:ascii="宋体" w:hAnsi="宋体" w:cs="宋体"/>
          <w:color w:val="000000" w:themeColor="text1"/>
          <w:highlight w:val="none"/>
          <w14:textFill>
            <w14:solidFill>
              <w14:schemeClr w14:val="tx1"/>
            </w14:solidFill>
          </w14:textFill>
        </w:rPr>
      </w:pPr>
    </w:p>
    <w:p w14:paraId="1333736D">
      <w:pPr>
        <w:pStyle w:val="273"/>
        <w:rPr>
          <w:rFonts w:hint="eastAsia" w:ascii="宋体" w:hAnsi="宋体" w:cs="宋体"/>
          <w:color w:val="000000" w:themeColor="text1"/>
          <w:highlight w:val="none"/>
          <w14:textFill>
            <w14:solidFill>
              <w14:schemeClr w14:val="tx1"/>
            </w14:solidFill>
          </w14:textFill>
        </w:rPr>
      </w:pPr>
    </w:p>
    <w:p w14:paraId="7063851C">
      <w:pPr>
        <w:pStyle w:val="273"/>
        <w:rPr>
          <w:rFonts w:hint="eastAsia" w:ascii="宋体" w:hAnsi="宋体" w:cs="宋体"/>
          <w:color w:val="000000" w:themeColor="text1"/>
          <w:highlight w:val="none"/>
          <w14:textFill>
            <w14:solidFill>
              <w14:schemeClr w14:val="tx1"/>
            </w14:solidFill>
          </w14:textFill>
        </w:rPr>
      </w:pPr>
    </w:p>
    <w:p w14:paraId="6B86016E">
      <w:pPr>
        <w:pStyle w:val="273"/>
        <w:rPr>
          <w:rFonts w:hint="eastAsia" w:ascii="宋体" w:hAnsi="宋体" w:cs="宋体"/>
          <w:color w:val="000000" w:themeColor="text1"/>
          <w:highlight w:val="none"/>
          <w14:textFill>
            <w14:solidFill>
              <w14:schemeClr w14:val="tx1"/>
            </w14:solidFill>
          </w14:textFill>
        </w:rPr>
      </w:pPr>
    </w:p>
    <w:p w14:paraId="5FE1E52D">
      <w:pPr>
        <w:pStyle w:val="273"/>
        <w:rPr>
          <w:rFonts w:hint="eastAsia" w:ascii="宋体" w:hAnsi="宋体" w:cs="宋体"/>
          <w:color w:val="000000" w:themeColor="text1"/>
          <w:highlight w:val="none"/>
          <w14:textFill>
            <w14:solidFill>
              <w14:schemeClr w14:val="tx1"/>
            </w14:solidFill>
          </w14:textFill>
        </w:rPr>
      </w:pPr>
    </w:p>
    <w:p w14:paraId="7F7E6D00">
      <w:pPr>
        <w:pStyle w:val="273"/>
        <w:rPr>
          <w:rFonts w:hint="eastAsia" w:ascii="宋体" w:hAnsi="宋体" w:cs="宋体"/>
          <w:color w:val="000000" w:themeColor="text1"/>
          <w:highlight w:val="none"/>
          <w14:textFill>
            <w14:solidFill>
              <w14:schemeClr w14:val="tx1"/>
            </w14:solidFill>
          </w14:textFill>
        </w:rPr>
      </w:pPr>
    </w:p>
    <w:p w14:paraId="5D3AD384">
      <w:pPr>
        <w:pStyle w:val="273"/>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clear="all"/>
      </w:r>
    </w:p>
    <w:p w14:paraId="7535D126">
      <w:pPr>
        <w:pStyle w:val="193"/>
        <w:jc w:val="center"/>
        <w:rPr>
          <w:rFonts w:hint="eastAsia" w:ascii="宋体" w:hAnsi="宋体"/>
          <w:color w:val="000000" w:themeColor="text1"/>
          <w:szCs w:val="21"/>
          <w:highlight w:val="none"/>
          <w14:textFill>
            <w14:solidFill>
              <w14:schemeClr w14:val="tx1"/>
            </w14:solidFill>
          </w14:textFill>
        </w:rPr>
      </w:pPr>
      <w:bookmarkStart w:id="75" w:name="_Toc1871"/>
      <w:r>
        <w:rPr>
          <w:rFonts w:hint="eastAsia" w:ascii="宋体" w:hAnsi="宋体" w:eastAsia="宋体" w:cs="宋体"/>
          <w:color w:val="000000" w:themeColor="text1"/>
          <w:highlight w:val="none"/>
          <w14:textFill>
            <w14:solidFill>
              <w14:schemeClr w14:val="tx1"/>
            </w14:solidFill>
          </w14:textFill>
        </w:rPr>
        <w:t>第二章  采购需求</w:t>
      </w:r>
      <w:bookmarkEnd w:id="75"/>
    </w:p>
    <w:p w14:paraId="39AEB8E9">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45602FDD">
      <w:pPr>
        <w:spacing w:line="360" w:lineRule="auto"/>
        <w:ind w:firstLine="420"/>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1.为落实政府采购政策需满足的要求</w:t>
      </w:r>
    </w:p>
    <w:p w14:paraId="27F427BD">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2E69B198">
      <w:pPr>
        <w:spacing w:line="36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E6EF31A">
      <w:pPr>
        <w:spacing w:line="360" w:lineRule="auto"/>
        <w:ind w:firstLine="426"/>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2.“实质性要求”是指招标文件中已经指明不满足则投标无效的条款，或者不能负偏离的条款，或者采购需求中带“▲”的条款。</w:t>
      </w:r>
    </w:p>
    <w:p w14:paraId="13C63FFF">
      <w:pPr>
        <w:spacing w:line="48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.投标人必须对投标文件中提供的证明材料和资质文件真实性负责，如出现虚假应标情况，投标人除了应接受有关部门的处罚外，还应依据《中华人民共和国民法典》的相关条款来进行赔偿。</w:t>
      </w:r>
    </w:p>
    <w:p w14:paraId="06FA56C1">
      <w:pPr>
        <w:spacing w:line="48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.投标人应对投标内容所涉及的专利承担法律责任，并负责保护</w:t>
      </w:r>
      <w:r>
        <w:rPr>
          <w:rFonts w:hint="eastAsia" w:ascii="宋体" w:hAnsi="宋体" w:cs="宋体"/>
          <w:color w:val="000000" w:themeColor="text1"/>
          <w:szCs w:val="21"/>
          <w:highlight w:val="none"/>
          <w:lang w:eastAsia="zh-CN"/>
          <w14:textFill>
            <w14:solidFill>
              <w14:schemeClr w14:val="tx1"/>
            </w14:solidFill>
          </w14:textFill>
        </w:rPr>
        <w:t>采购人</w:t>
      </w:r>
      <w:r>
        <w:rPr>
          <w:rFonts w:ascii="宋体" w:hAnsi="宋体" w:cs="宋体"/>
          <w:color w:val="000000" w:themeColor="text1"/>
          <w:szCs w:val="21"/>
          <w:highlight w:val="none"/>
          <w14:textFill>
            <w14:solidFill>
              <w14:schemeClr w14:val="tx1"/>
            </w14:solidFill>
          </w14:textFill>
        </w:rPr>
        <w:t>的利益不受任何损害。一切由于文字、商标、技术和软件专利授权引起的法律裁决、诉讼和赔偿费用均由</w:t>
      </w:r>
      <w:r>
        <w:rPr>
          <w:rFonts w:hint="eastAsia" w:ascii="宋体" w:hAnsi="宋体" w:cs="宋体"/>
          <w:color w:val="000000" w:themeColor="text1"/>
          <w:szCs w:val="21"/>
          <w:highlight w:val="none"/>
          <w:lang w:eastAsia="zh-CN"/>
          <w14:textFill>
            <w14:solidFill>
              <w14:schemeClr w14:val="tx1"/>
            </w14:solidFill>
          </w14:textFill>
        </w:rPr>
        <w:t>中标供应商</w:t>
      </w:r>
      <w:r>
        <w:rPr>
          <w:rFonts w:ascii="宋体" w:hAnsi="宋体" w:cs="宋体"/>
          <w:color w:val="000000" w:themeColor="text1"/>
          <w:szCs w:val="21"/>
          <w:highlight w:val="none"/>
          <w14:textFill>
            <w14:solidFill>
              <w14:schemeClr w14:val="tx1"/>
            </w14:solidFill>
          </w14:textFill>
        </w:rPr>
        <w:t>负责。</w:t>
      </w:r>
    </w:p>
    <w:p w14:paraId="1D783105">
      <w:pPr>
        <w:spacing w:line="480" w:lineRule="auto"/>
        <w:ind w:firstLine="42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采购需求中出现的品牌、型号或者生产厂家仅起参考作用，不属于指定品牌、型号或者生产厂家的情形。投标人可以参照或者选用其他相当的品牌、型号或者生产厂家替代，但选用的投标产品参数性能必须满足实质性要求。</w:t>
      </w:r>
    </w:p>
    <w:p w14:paraId="6110016E">
      <w:pPr>
        <w:spacing w:line="480" w:lineRule="auto"/>
        <w:ind w:firstLine="424"/>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6.根据《关于在政府采购活动中对有关美国企业采取相关措施的通知》（财库〔2026〕10号）的规定，供应商提供的产品不得为财库〔2026〕10号文件附件规定的46家美国企业（不包括在华美资企业）生产的产品。</w:t>
      </w:r>
    </w:p>
    <w:p w14:paraId="2962128C">
      <w:pPr>
        <w:pStyle w:val="219"/>
        <w:rPr>
          <w:color w:val="000000" w:themeColor="text1"/>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 xml:space="preserve">     采购预算：</w:t>
      </w:r>
      <w:r>
        <w:rPr>
          <w:rFonts w:hint="eastAsia" w:ascii="宋体" w:hAnsi="宋体" w:cs="Arial"/>
          <w:b w:val="0"/>
          <w:bCs/>
          <w:color w:val="000000" w:themeColor="text1"/>
          <w:szCs w:val="21"/>
          <w:highlight w:val="none"/>
          <w:u w:val="single"/>
          <w14:textFill>
            <w14:solidFill>
              <w14:schemeClr w14:val="tx1"/>
            </w14:solidFill>
          </w14:textFill>
        </w:rPr>
        <w:t xml:space="preserve">  </w:t>
      </w:r>
      <w:r>
        <w:rPr>
          <w:rFonts w:hint="eastAsia" w:ascii="宋体" w:hAnsi="宋体" w:cs="Arial"/>
          <w:b w:val="0"/>
          <w:bCs/>
          <w:color w:val="000000" w:themeColor="text1"/>
          <w:szCs w:val="21"/>
          <w:highlight w:val="none"/>
          <w:u w:val="single"/>
          <w:lang w:eastAsia="zh-CN"/>
          <w14:textFill>
            <w14:solidFill>
              <w14:schemeClr w14:val="tx1"/>
            </w14:solidFill>
          </w14:textFill>
        </w:rPr>
        <w:t>894250.00</w:t>
      </w:r>
      <w:r>
        <w:rPr>
          <w:rFonts w:hint="eastAsia" w:ascii="宋体" w:hAnsi="宋体" w:cs="Arial"/>
          <w:b w:val="0"/>
          <w:bCs/>
          <w:color w:val="000000" w:themeColor="text1"/>
          <w:szCs w:val="21"/>
          <w:highlight w:val="none"/>
          <w:u w:val="single"/>
          <w14:textFill>
            <w14:solidFill>
              <w14:schemeClr w14:val="tx1"/>
            </w14:solidFill>
          </w14:textFill>
        </w:rPr>
        <w:t>元</w:t>
      </w:r>
    </w:p>
    <w:tbl>
      <w:tblPr>
        <w:tblStyle w:val="30"/>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0"/>
        <w:gridCol w:w="885"/>
        <w:gridCol w:w="685"/>
        <w:gridCol w:w="215"/>
        <w:gridCol w:w="810"/>
        <w:gridCol w:w="6596"/>
      </w:tblGrid>
      <w:tr w14:paraId="63BE0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center"/>
          </w:tcPr>
          <w:p w14:paraId="1906D440">
            <w:pPr>
              <w:tabs>
                <w:tab w:val="left" w:pos="180"/>
                <w:tab w:val="left" w:pos="1620"/>
              </w:tabs>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序号</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77A15A65">
            <w:pPr>
              <w:tabs>
                <w:tab w:val="left" w:pos="180"/>
                <w:tab w:val="left" w:pos="1620"/>
              </w:tabs>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标的的名称</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77B2EFD0">
            <w:pPr>
              <w:tabs>
                <w:tab w:val="left" w:pos="180"/>
                <w:tab w:val="left" w:pos="1620"/>
              </w:tabs>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数量及</w:t>
            </w:r>
          </w:p>
          <w:p w14:paraId="00BF4878">
            <w:pPr>
              <w:tabs>
                <w:tab w:val="left" w:pos="180"/>
                <w:tab w:val="left" w:pos="1620"/>
              </w:tabs>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单位</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35D1F56">
            <w:pPr>
              <w:tabs>
                <w:tab w:val="left" w:pos="180"/>
                <w:tab w:val="left" w:pos="1620"/>
              </w:tabs>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所属行业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4148DC83">
            <w:pPr>
              <w:tabs>
                <w:tab w:val="left" w:pos="180"/>
                <w:tab w:val="left" w:pos="1620"/>
              </w:tabs>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val="0"/>
                <w:color w:val="000000" w:themeColor="text1"/>
                <w:sz w:val="21"/>
                <w:szCs w:val="21"/>
                <w:highlight w:val="none"/>
                <w14:textFill>
                  <w14:solidFill>
                    <w14:schemeClr w14:val="tx1"/>
                  </w14:solidFill>
                </w14:textFill>
              </w:rPr>
              <w:t>技术要求</w:t>
            </w:r>
          </w:p>
        </w:tc>
      </w:tr>
      <w:tr w14:paraId="57154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top"/>
          </w:tcPr>
          <w:p w14:paraId="68671CC2">
            <w:pPr>
              <w:tabs>
                <w:tab w:val="left" w:pos="180"/>
                <w:tab w:val="left" w:pos="1620"/>
              </w:tabs>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1</w:t>
            </w:r>
          </w:p>
        </w:tc>
        <w:tc>
          <w:tcPr>
            <w:tcW w:w="885" w:type="dxa"/>
            <w:tcBorders>
              <w:top w:val="single" w:color="000000" w:sz="4" w:space="0"/>
              <w:left w:val="single" w:color="000000" w:sz="4" w:space="0"/>
              <w:bottom w:val="single" w:color="000000" w:sz="4" w:space="0"/>
              <w:right w:val="single" w:color="000000" w:sz="4" w:space="0"/>
            </w:tcBorders>
            <w:noWrap w:val="0"/>
            <w:vAlign w:val="top"/>
          </w:tcPr>
          <w:p w14:paraId="7D8584AF">
            <w:pPr>
              <w:tabs>
                <w:tab w:val="left" w:pos="180"/>
                <w:tab w:val="left" w:pos="1620"/>
              </w:tabs>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2026年生产障碍耕地治理项目:微生物修复调控技术应用示范（分标4）</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top"/>
          </w:tcPr>
          <w:p w14:paraId="3F0AA195">
            <w:pPr>
              <w:tabs>
                <w:tab w:val="left" w:pos="180"/>
                <w:tab w:val="left" w:pos="1620"/>
              </w:tabs>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1项</w:t>
            </w:r>
          </w:p>
        </w:tc>
        <w:tc>
          <w:tcPr>
            <w:tcW w:w="810" w:type="dxa"/>
            <w:tcBorders>
              <w:top w:val="single" w:color="000000" w:sz="4" w:space="0"/>
              <w:left w:val="single" w:color="000000" w:sz="4" w:space="0"/>
              <w:bottom w:val="single" w:color="000000" w:sz="4" w:space="0"/>
              <w:right w:val="single" w:color="000000" w:sz="4" w:space="0"/>
            </w:tcBorders>
            <w:noWrap w:val="0"/>
            <w:vAlign w:val="top"/>
          </w:tcPr>
          <w:p w14:paraId="1181A914">
            <w:pPr>
              <w:pStyle w:val="215"/>
              <w:spacing w:line="360" w:lineRule="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shd w:val="clear" w:color="auto" w:fill="FFFFFF"/>
                <w:lang w:val="en-US" w:eastAsia="zh-CN"/>
                <w14:textFill>
                  <w14:solidFill>
                    <w14:schemeClr w14:val="tx1"/>
                  </w14:solidFill>
                </w14:textFill>
              </w:rPr>
              <w:t>农、林、牧、渔业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7F6244FF">
            <w:pPr>
              <w:pStyle w:val="255"/>
              <w:widowControl/>
              <w:spacing w:after="0" w:line="360" w:lineRule="auto"/>
              <w:jc w:val="both"/>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一、项目背景及概况</w:t>
            </w:r>
          </w:p>
          <w:p w14:paraId="45223DA6">
            <w:pPr>
              <w:pStyle w:val="255"/>
              <w:widowControl/>
              <w:spacing w:after="0" w:line="360" w:lineRule="auto"/>
              <w:ind w:firstLine="42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港北区辖区耕地土壤pH值稳</w:t>
            </w:r>
            <w:r>
              <w:rPr>
                <w:rFonts w:hint="eastAsia" w:ascii="宋体" w:hAnsi="宋体" w:eastAsia="宋体" w:cs="宋体"/>
                <w:color w:val="000000" w:themeColor="text1"/>
                <w:sz w:val="21"/>
                <w:szCs w:val="21"/>
                <w:highlight w:val="none"/>
                <w14:textFill>
                  <w14:solidFill>
                    <w14:schemeClr w14:val="tx1"/>
                  </w14:solidFill>
                </w14:textFill>
              </w:rPr>
              <w:t>定在</w:t>
            </w:r>
            <w:r>
              <w:rPr>
                <w:rFonts w:hint="eastAsia" w:ascii="宋体" w:hAnsi="宋体" w:eastAsia="宋体" w:cs="宋体"/>
                <w:color w:val="000000" w:themeColor="text1"/>
                <w:sz w:val="21"/>
                <w:szCs w:val="21"/>
                <w:highlight w:val="none"/>
                <w:lang w:bidi="ar"/>
                <w14:textFill>
                  <w14:solidFill>
                    <w14:schemeClr w14:val="tx1"/>
                  </w14:solidFill>
                </w14:textFill>
              </w:rPr>
              <w:t>于5.5～6.5</w:t>
            </w:r>
            <w:r>
              <w:rPr>
                <w:rFonts w:hint="eastAsia" w:ascii="宋体" w:hAnsi="宋体" w:eastAsia="宋体" w:cs="宋体"/>
                <w:color w:val="000000" w:themeColor="text1"/>
                <w:sz w:val="21"/>
                <w:szCs w:val="21"/>
                <w:highlight w:val="none"/>
                <w14:textFill>
                  <w14:solidFill>
                    <w14:schemeClr w14:val="tx1"/>
                  </w14:solidFill>
                </w14:textFill>
              </w:rPr>
              <w:t>区间，整体呈酸性至微酸性，土壤重金属背景值高。区域耕地存在镉、砷、铅复合污染，以镉污染最为突出，历年水稻监测多次出现稻米镉超标现象，耕地生产障碍问题持续存在。本年度优化升级技术体系，在保留原有常规治理措施的基础上，新增镉低积累品种替代技术、微生物修复调控技术应用。通过多项技术集成配套、协同施治，全面提升重金属阻控效能，稳步提高稻米安全达标率，切实提升耕地安全利用整体水平，带动水稻产业绿色高质量发展。</w:t>
            </w:r>
          </w:p>
          <w:p w14:paraId="0A6D194C">
            <w:pPr>
              <w:pStyle w:val="255"/>
              <w:widowControl/>
              <w:spacing w:after="0" w:line="360" w:lineRule="auto"/>
              <w:jc w:val="both"/>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二、</w:t>
            </w:r>
            <w:r>
              <w:rPr>
                <w:rFonts w:hint="eastAsia" w:ascii="宋体" w:hAnsi="宋体" w:eastAsia="宋体" w:cs="宋体"/>
                <w:b/>
                <w:bCs/>
                <w:color w:val="000000" w:themeColor="text1"/>
                <w:sz w:val="21"/>
                <w:szCs w:val="21"/>
                <w:highlight w:val="none"/>
                <w14:textFill>
                  <w14:solidFill>
                    <w14:schemeClr w14:val="tx1"/>
                  </w14:solidFill>
                </w14:textFill>
              </w:rPr>
              <w:t>实施目标及期限</w:t>
            </w:r>
          </w:p>
          <w:p w14:paraId="01BCBE84">
            <w:pPr>
              <w:spacing w:after="0" w:line="360" w:lineRule="auto"/>
              <w:ind w:firstLine="420"/>
              <w:rPr>
                <w:rFonts w:hint="eastAsia" w:ascii="宋体" w:hAnsi="宋体" w:eastAsia="宋体" w:cs="宋体"/>
                <w:color w:val="000000" w:themeColor="text1"/>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根据</w:t>
            </w:r>
            <w:r>
              <w:rPr>
                <w:rFonts w:hint="eastAsia" w:ascii="宋体" w:hAnsi="宋体" w:eastAsia="宋体" w:cs="宋体"/>
                <w:color w:val="000000" w:themeColor="text1"/>
                <w:sz w:val="21"/>
                <w:szCs w:val="21"/>
                <w:highlight w:val="none"/>
                <w:lang w:eastAsia="zh-CN" w:bidi="ar"/>
                <w14:textFill>
                  <w14:solidFill>
                    <w14:schemeClr w14:val="tx1"/>
                  </w14:solidFill>
                </w14:textFill>
              </w:rPr>
              <w:t>广西壮族自治区农业农村厅</w:t>
            </w:r>
            <w:r>
              <w:rPr>
                <w:rFonts w:hint="eastAsia" w:ascii="宋体" w:hAnsi="宋体" w:eastAsia="宋体" w:cs="宋体"/>
                <w:color w:val="000000" w:themeColor="text1"/>
                <w:sz w:val="21"/>
                <w:szCs w:val="21"/>
                <w:highlight w:val="none"/>
                <w:lang w:bidi="ar"/>
                <w14:textFill>
                  <w14:solidFill>
                    <w14:schemeClr w14:val="tx1"/>
                  </w14:solidFill>
                </w14:textFill>
              </w:rPr>
              <w:t>2026年工作部署，需要在</w:t>
            </w:r>
            <w:r>
              <w:rPr>
                <w:rFonts w:hint="eastAsia" w:ascii="宋体" w:hAnsi="宋体" w:eastAsia="宋体" w:cs="宋体"/>
                <w:color w:val="000000" w:themeColor="text1"/>
                <w:sz w:val="21"/>
                <w:szCs w:val="21"/>
                <w:highlight w:val="none"/>
                <w:lang w:eastAsia="zh-CN" w:bidi="ar"/>
                <w14:textFill>
                  <w14:solidFill>
                    <w14:schemeClr w14:val="tx1"/>
                  </w14:solidFill>
                </w14:textFill>
              </w:rPr>
              <w:t>港北区</w:t>
            </w:r>
            <w:r>
              <w:rPr>
                <w:rFonts w:hint="eastAsia" w:ascii="宋体" w:hAnsi="宋体" w:eastAsia="宋体" w:cs="宋体"/>
                <w:color w:val="000000" w:themeColor="text1"/>
                <w:sz w:val="21"/>
                <w:szCs w:val="21"/>
                <w:highlight w:val="none"/>
                <w:lang w:bidi="ar"/>
                <w14:textFill>
                  <w14:solidFill>
                    <w14:schemeClr w14:val="tx1"/>
                  </w14:solidFill>
                </w14:textFill>
              </w:rPr>
              <w:t>范围内的安全利用类、严格管控类耕地上应用农用地安全利用技术措施。结合</w:t>
            </w:r>
            <w:r>
              <w:rPr>
                <w:rFonts w:hint="eastAsia" w:ascii="宋体" w:hAnsi="宋体" w:eastAsia="宋体" w:cs="宋体"/>
                <w:color w:val="000000" w:themeColor="text1"/>
                <w:sz w:val="21"/>
                <w:szCs w:val="21"/>
                <w:highlight w:val="none"/>
                <w:lang w:eastAsia="zh-CN" w:bidi="ar"/>
                <w14:textFill>
                  <w14:solidFill>
                    <w14:schemeClr w14:val="tx1"/>
                  </w14:solidFill>
                </w14:textFill>
              </w:rPr>
              <w:t>港北区</w:t>
            </w:r>
            <w:r>
              <w:rPr>
                <w:rFonts w:hint="eastAsia" w:ascii="宋体" w:hAnsi="宋体" w:eastAsia="宋体" w:cs="宋体"/>
                <w:color w:val="000000" w:themeColor="text1"/>
                <w:sz w:val="21"/>
                <w:szCs w:val="21"/>
                <w:highlight w:val="none"/>
                <w:lang w:bidi="ar"/>
                <w14:textFill>
                  <w14:solidFill>
                    <w14:schemeClr w14:val="tx1"/>
                  </w14:solidFill>
                </w14:textFill>
              </w:rPr>
              <w:t>实际，安排在6个乡镇实施，措施落地应用面积17960亩。其中，</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本分标微生物修复调控技术应用面积4900亩，开展技术宣传指导服务1225人</w:t>
            </w:r>
            <w:r>
              <w:rPr>
                <w:rFonts w:hint="eastAsia" w:ascii="宋体" w:hAnsi="宋体" w:eastAsia="宋体" w:cs="宋体"/>
                <w:color w:val="000000" w:themeColor="text1"/>
                <w:sz w:val="21"/>
                <w:szCs w:val="21"/>
                <w:highlight w:val="none"/>
                <w:lang w:bidi="ar"/>
                <w14:textFill>
                  <w14:solidFill>
                    <w14:schemeClr w14:val="tx1"/>
                  </w14:solidFill>
                </w14:textFill>
              </w:rPr>
              <w:t>，完成年度农用地（受污染耕地）安全利用率不低于93%的目标任务。</w:t>
            </w:r>
          </w:p>
          <w:p w14:paraId="7F5FED16">
            <w:pPr>
              <w:spacing w:after="0" w:line="360" w:lineRule="auto"/>
              <w:ind w:firstLine="420"/>
              <w:rPr>
                <w:rFonts w:hint="eastAsia" w:ascii="宋体" w:hAnsi="宋体" w:eastAsia="宋体" w:cs="宋体"/>
                <w:color w:val="000000" w:themeColor="text1"/>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项目于2026年12月底前完成。</w:t>
            </w:r>
          </w:p>
          <w:p w14:paraId="78C78BDF">
            <w:pPr>
              <w:pStyle w:val="255"/>
              <w:widowControl/>
              <w:spacing w:after="0" w:line="360" w:lineRule="auto"/>
              <w:jc w:val="both"/>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三、实施范围及内容</w:t>
            </w:r>
          </w:p>
          <w:p w14:paraId="6E377679">
            <w:pPr>
              <w:spacing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以安全利用类、严格管控类耕地为基准进行项目实施，并把握以下原则</w:t>
            </w:r>
            <w:r>
              <w:rPr>
                <w:rFonts w:hint="eastAsia" w:ascii="宋体" w:hAnsi="宋体" w:eastAsia="宋体" w:cs="宋体"/>
                <w:color w:val="000000" w:themeColor="text1"/>
                <w:sz w:val="21"/>
                <w:szCs w:val="21"/>
                <w:highlight w:val="none"/>
                <w:lang w:bidi="ar"/>
                <w14:textFill>
                  <w14:solidFill>
                    <w14:schemeClr w14:val="tx1"/>
                  </w14:solidFill>
                </w14:textFill>
              </w:rPr>
              <w:t>：1.优</w:t>
            </w:r>
            <w:r>
              <w:rPr>
                <w:rFonts w:hint="eastAsia" w:ascii="宋体" w:hAnsi="宋体" w:eastAsia="宋体" w:cs="宋体"/>
                <w:color w:val="000000" w:themeColor="text1"/>
                <w:sz w:val="21"/>
                <w:szCs w:val="21"/>
                <w:highlight w:val="none"/>
                <w14:textFill>
                  <w14:solidFill>
                    <w14:schemeClr w14:val="tx1"/>
                  </w14:solidFill>
                </w14:textFill>
              </w:rPr>
              <w:t>先选择近年来监测发现稻谷重金属超标风险较高的区域进行项目实施</w:t>
            </w:r>
            <w:r>
              <w:rPr>
                <w:rFonts w:hint="eastAsia" w:ascii="宋体" w:hAnsi="宋体" w:eastAsia="宋体" w:cs="宋体"/>
                <w:color w:val="000000" w:themeColor="text1"/>
                <w:sz w:val="21"/>
                <w:szCs w:val="21"/>
                <w:highlight w:val="none"/>
                <w:lang w:bidi="ar"/>
                <w14:textFill>
                  <w14:solidFill>
                    <w14:schemeClr w14:val="tx1"/>
                  </w14:solidFill>
                </w14:textFill>
              </w:rPr>
              <w:t>；2.优</w:t>
            </w:r>
            <w:r>
              <w:rPr>
                <w:rFonts w:hint="eastAsia" w:ascii="宋体" w:hAnsi="宋体" w:eastAsia="宋体" w:cs="宋体"/>
                <w:color w:val="000000" w:themeColor="text1"/>
                <w:sz w:val="21"/>
                <w:szCs w:val="21"/>
                <w:highlight w:val="none"/>
                <w14:textFill>
                  <w14:solidFill>
                    <w14:schemeClr w14:val="tx1"/>
                  </w14:solidFill>
                </w14:textFill>
              </w:rPr>
              <w:t>先安排在较长时间未实施相关项目的区域实施</w:t>
            </w:r>
            <w:r>
              <w:rPr>
                <w:rFonts w:hint="eastAsia" w:ascii="宋体" w:hAnsi="宋体" w:eastAsia="宋体" w:cs="宋体"/>
                <w:color w:val="000000" w:themeColor="text1"/>
                <w:sz w:val="21"/>
                <w:szCs w:val="21"/>
                <w:highlight w:val="none"/>
                <w:lang w:bidi="ar"/>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如实施面积不足可考虑在粮食和储备部门等近年来监测发现存在重金属超标的区域实施；</w:t>
            </w:r>
            <w:r>
              <w:rPr>
                <w:rFonts w:hint="eastAsia" w:ascii="宋体" w:hAnsi="宋体" w:eastAsia="宋体" w:cs="宋体"/>
                <w:color w:val="000000" w:themeColor="text1"/>
                <w:sz w:val="21"/>
                <w:szCs w:val="21"/>
                <w:highlight w:val="none"/>
                <w:lang w:bidi="ar"/>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在严格管控类耕地实施项目的，要加强风险管控和做好稻谷监测，对于检测重金属超标的稻谷要做好闭环管理。</w:t>
            </w:r>
          </w:p>
          <w:p w14:paraId="59B5B535">
            <w:pPr>
              <w:widowControl/>
              <w:spacing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结合</w:t>
            </w:r>
            <w:r>
              <w:rPr>
                <w:rFonts w:hint="eastAsia" w:ascii="宋体" w:hAnsi="宋体" w:eastAsia="宋体" w:cs="宋体"/>
                <w:color w:val="000000" w:themeColor="text1"/>
                <w:sz w:val="21"/>
                <w:szCs w:val="21"/>
                <w:highlight w:val="none"/>
                <w:lang w:eastAsia="zh-CN"/>
                <w14:textFill>
                  <w14:solidFill>
                    <w14:schemeClr w14:val="tx1"/>
                  </w14:solidFill>
                </w14:textFill>
              </w:rPr>
              <w:t>港北区</w:t>
            </w:r>
            <w:r>
              <w:rPr>
                <w:rFonts w:hint="eastAsia" w:ascii="宋体" w:hAnsi="宋体" w:eastAsia="宋体" w:cs="宋体"/>
                <w:color w:val="000000" w:themeColor="text1"/>
                <w:sz w:val="21"/>
                <w:szCs w:val="21"/>
                <w:highlight w:val="none"/>
                <w14:textFill>
                  <w14:solidFill>
                    <w14:schemeClr w14:val="tx1"/>
                  </w14:solidFill>
                </w14:textFill>
              </w:rPr>
              <w:t>实际选择港城街道、大圩镇、庆丰镇、根竹镇、武乐镇、中里乡等</w:t>
            </w:r>
            <w:r>
              <w:rPr>
                <w:rFonts w:hint="eastAsia" w:ascii="宋体" w:hAnsi="宋体" w:eastAsia="宋体" w:cs="宋体"/>
                <w:color w:val="000000" w:themeColor="text1"/>
                <w:sz w:val="21"/>
                <w:szCs w:val="21"/>
                <w:highlight w:val="none"/>
                <w:lang w:bidi="ar"/>
                <w14:textFill>
                  <w14:solidFill>
                    <w14:schemeClr w14:val="tx1"/>
                  </w14:solidFill>
                </w14:textFill>
              </w:rPr>
              <w:t>共6个乡</w:t>
            </w:r>
            <w:r>
              <w:rPr>
                <w:rFonts w:hint="eastAsia" w:ascii="宋体" w:hAnsi="宋体" w:eastAsia="宋体" w:cs="宋体"/>
                <w:color w:val="000000" w:themeColor="text1"/>
                <w:sz w:val="21"/>
                <w:szCs w:val="21"/>
                <w:highlight w:val="none"/>
                <w14:textFill>
                  <w14:solidFill>
                    <w14:schemeClr w14:val="tx1"/>
                  </w14:solidFill>
                </w14:textFill>
              </w:rPr>
              <w:t>镇的安全利用类和严格管控类生产障碍耕地区域作为项</w:t>
            </w:r>
            <w:r>
              <w:rPr>
                <w:rFonts w:hint="eastAsia" w:ascii="宋体" w:hAnsi="宋体" w:eastAsia="宋体" w:cs="宋体"/>
                <w:color w:val="000000" w:themeColor="text1"/>
                <w:sz w:val="21"/>
                <w:szCs w:val="21"/>
                <w:highlight w:val="none"/>
                <w:lang w:eastAsia="zh-CN"/>
                <w14:textFill>
                  <w14:solidFill>
                    <w14:schemeClr w14:val="tx1"/>
                  </w14:solidFill>
                </w14:textFill>
              </w:rPr>
              <w:t>目实施区域。本分标实施内容及区域分布</w:t>
            </w:r>
            <w:r>
              <w:rPr>
                <w:rFonts w:hint="eastAsia" w:ascii="宋体" w:hAnsi="宋体" w:eastAsia="宋体" w:cs="宋体"/>
                <w:color w:val="000000" w:themeColor="text1"/>
                <w:sz w:val="21"/>
                <w:szCs w:val="21"/>
                <w:highlight w:val="none"/>
                <w14:textFill>
                  <w14:solidFill>
                    <w14:schemeClr w14:val="tx1"/>
                  </w14:solidFill>
                </w14:textFill>
              </w:rPr>
              <w:t>如下：</w:t>
            </w:r>
          </w:p>
          <w:p w14:paraId="79FD602D">
            <w:pPr>
              <w:spacing w:after="0" w:line="570" w:lineRule="exact"/>
              <w:ind w:firstLine="422"/>
              <w:outlineLvl w:val="2"/>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微生物修复调控技术应用示范</w:t>
            </w:r>
          </w:p>
          <w:p w14:paraId="0495FB1F">
            <w:pPr>
              <w:pStyle w:val="273"/>
              <w:spacing w:line="570" w:lineRule="exact"/>
              <w:ind w:firstLine="42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项目采用微生物修复调控材料，通过根系吸附、离子沉淀、胞外络合、根际微环境调控等机理，实现土壤钝化、根际阻隔、植株转运抑制、壮苗抗逆等多重机制协同降低稻米重金属镉累积风险，同步指导农户开展田间水分管控。</w:t>
            </w:r>
          </w:p>
          <w:p w14:paraId="530048F5">
            <w:pPr>
              <w:spacing w:after="0" w:line="570" w:lineRule="exact"/>
              <w:ind w:firstLine="42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实施内容：</w:t>
            </w:r>
            <w:r>
              <w:rPr>
                <w:rFonts w:hint="eastAsia" w:ascii="宋体" w:hAnsi="宋体" w:eastAsia="宋体" w:cs="宋体"/>
                <w:bCs/>
                <w:color w:val="000000" w:themeColor="text1"/>
                <w:sz w:val="21"/>
                <w:szCs w:val="21"/>
                <w:highlight w:val="none"/>
                <w14:textFill>
                  <w14:solidFill>
                    <w14:schemeClr w14:val="tx1"/>
                  </w14:solidFill>
                </w14:textFill>
              </w:rPr>
              <w:t>项目优先</w:t>
            </w:r>
            <w:r>
              <w:rPr>
                <w:rFonts w:hint="eastAsia" w:ascii="宋体" w:hAnsi="宋体" w:eastAsia="宋体" w:cs="宋体"/>
                <w:color w:val="000000" w:themeColor="text1"/>
                <w:sz w:val="21"/>
                <w:szCs w:val="21"/>
                <w:highlight w:val="none"/>
                <w14:textFill>
                  <w14:solidFill>
                    <w14:schemeClr w14:val="tx1"/>
                  </w14:solidFill>
                </w14:textFill>
              </w:rPr>
              <w:t>选择微生物浓缩制剂产品。在水稻两大关键生育期喷施：</w:t>
            </w:r>
          </w:p>
          <w:p w14:paraId="26D414BF">
            <w:pPr>
              <w:pStyle w:val="273"/>
              <w:spacing w:after="0" w:line="57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第一阶段：秧苗期实施 在水稻秧苗2叶期至移栽前，统一开展第一次喷施或者浇施。实施前秧田应排干水，菌剂喷（浇）施1天后</w:t>
            </w:r>
            <w:r>
              <w:rPr>
                <w:rFonts w:hint="eastAsia" w:ascii="宋体" w:hAnsi="宋体" w:eastAsia="宋体" w:cs="宋体"/>
                <w:bCs/>
                <w:color w:val="000000" w:themeColor="text1"/>
                <w:sz w:val="21"/>
                <w:szCs w:val="21"/>
                <w:highlight w:val="none"/>
                <w14:textFill>
                  <w14:solidFill>
                    <w14:schemeClr w14:val="tx1"/>
                  </w14:solidFill>
                </w14:textFill>
              </w:rPr>
              <w:t>灌水，促进菌群定植与繁殖。</w:t>
            </w:r>
            <w:r>
              <w:rPr>
                <w:rFonts w:hint="eastAsia" w:ascii="宋体" w:hAnsi="宋体" w:eastAsia="宋体" w:cs="宋体"/>
                <w:color w:val="000000" w:themeColor="text1"/>
                <w:sz w:val="21"/>
                <w:szCs w:val="21"/>
                <w:highlight w:val="none"/>
                <w14:textFill>
                  <w14:solidFill>
                    <w14:schemeClr w14:val="tx1"/>
                  </w14:solidFill>
                </w14:textFill>
              </w:rPr>
              <w:t>通过提前在秧苗根际构建微生态防护体系，钝化秧田土壤有效镉，培育健康壮秧，减少水稻苗期重金属初始累积，为后期安全生产奠定基础。</w:t>
            </w:r>
          </w:p>
          <w:p w14:paraId="629EC4A2">
            <w:pPr>
              <w:pStyle w:val="273"/>
              <w:spacing w:after="0" w:line="570" w:lineRule="exact"/>
              <w:ind w:firstLine="42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第二阶段：破口期实施 在水稻破口抽穗关键生理窗口期实施第二次精准喷施。控制稻米重金属富集，通过叶面及根际双向调控，有效阻断植株体内重金属向籽粒转运沉淀，确保稻米产品重金属含量达标。</w:t>
            </w:r>
            <w:r>
              <w:rPr>
                <w:rFonts w:hint="eastAsia" w:ascii="宋体" w:hAnsi="宋体" w:eastAsia="宋体" w:cs="宋体"/>
                <w:bCs/>
                <w:color w:val="000000" w:themeColor="text1"/>
                <w:sz w:val="21"/>
                <w:szCs w:val="21"/>
                <w:highlight w:val="none"/>
                <w14:textFill>
                  <w14:solidFill>
                    <w14:schemeClr w14:val="tx1"/>
                  </w14:solidFill>
                </w14:textFill>
              </w:rPr>
              <w:t>连片地块统一机械作业，确保全覆盖、无漏施。水稻生长中后期开展田间水分调控，避免耕地土壤干裂，保持微生物持续发挥钝化作用。</w:t>
            </w:r>
          </w:p>
          <w:p w14:paraId="4D28F324">
            <w:pPr>
              <w:numPr>
                <w:ilvl w:val="0"/>
                <w:numId w:val="0"/>
              </w:numPr>
              <w:spacing w:after="0" w:line="570" w:lineRule="exact"/>
              <w:ind w:firstLine="422"/>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实施区域：</w:t>
            </w:r>
            <w:r>
              <w:rPr>
                <w:rFonts w:hint="eastAsia" w:ascii="宋体" w:hAnsi="宋体" w:eastAsia="宋体" w:cs="宋体"/>
                <w:color w:val="000000" w:themeColor="text1"/>
                <w:spacing w:val="6"/>
                <w:sz w:val="21"/>
                <w:szCs w:val="21"/>
                <w:highlight w:val="none"/>
                <w14:textFill>
                  <w14:solidFill>
                    <w14:schemeClr w14:val="tx1"/>
                  </w14:solidFill>
                </w14:textFill>
              </w:rPr>
              <w:t>落实在安全利用（</w:t>
            </w:r>
            <w:r>
              <w:rPr>
                <w:rFonts w:hint="eastAsia" w:ascii="宋体" w:hAnsi="宋体" w:eastAsia="宋体" w:cs="宋体"/>
                <w:color w:val="000000" w:themeColor="text1"/>
                <w:sz w:val="21"/>
                <w:szCs w:val="21"/>
                <w:highlight w:val="none"/>
                <w14:textFill>
                  <w14:solidFill>
                    <w14:schemeClr w14:val="tx1"/>
                  </w14:solidFill>
                </w14:textFill>
              </w:rPr>
              <w:t>Ⅱ</w:t>
            </w:r>
            <w:r>
              <w:rPr>
                <w:rFonts w:hint="eastAsia" w:ascii="宋体" w:hAnsi="宋体" w:eastAsia="宋体" w:cs="宋体"/>
                <w:color w:val="000000" w:themeColor="text1"/>
                <w:spacing w:val="6"/>
                <w:sz w:val="21"/>
                <w:szCs w:val="21"/>
                <w:highlight w:val="none"/>
                <w14:textFill>
                  <w14:solidFill>
                    <w14:schemeClr w14:val="tx1"/>
                  </w14:solidFill>
                </w14:textFill>
              </w:rPr>
              <w:t>类）或严格管控类耕地（</w:t>
            </w:r>
            <w:r>
              <w:rPr>
                <w:rFonts w:hint="eastAsia" w:ascii="宋体" w:hAnsi="宋体" w:eastAsia="宋体" w:cs="宋体"/>
                <w:color w:val="000000" w:themeColor="text1"/>
                <w:sz w:val="21"/>
                <w:szCs w:val="21"/>
                <w:highlight w:val="none"/>
                <w14:textFill>
                  <w14:solidFill>
                    <w14:schemeClr w14:val="tx1"/>
                  </w14:solidFill>
                </w14:textFill>
              </w:rPr>
              <w:t>Ⅲ</w:t>
            </w:r>
            <w:r>
              <w:rPr>
                <w:rFonts w:hint="eastAsia" w:ascii="宋体" w:hAnsi="宋体" w:eastAsia="宋体" w:cs="宋体"/>
                <w:color w:val="000000" w:themeColor="text1"/>
                <w:spacing w:val="6"/>
                <w:sz w:val="21"/>
                <w:szCs w:val="21"/>
                <w:highlight w:val="none"/>
                <w14:textFill>
                  <w14:solidFill>
                    <w14:schemeClr w14:val="tx1"/>
                  </w14:solidFill>
                </w14:textFill>
              </w:rPr>
              <w:t>类）地上。</w:t>
            </w:r>
            <w:r>
              <w:rPr>
                <w:rFonts w:hint="eastAsia" w:ascii="宋体" w:hAnsi="宋体" w:eastAsia="宋体" w:cs="宋体"/>
                <w:color w:val="000000" w:themeColor="text1"/>
                <w:sz w:val="21"/>
                <w:szCs w:val="21"/>
                <w:highlight w:val="none"/>
                <w14:textFill>
                  <w14:solidFill>
                    <w14:schemeClr w14:val="tx1"/>
                  </w14:solidFill>
                </w14:textFill>
              </w:rPr>
              <w:t>庆</w:t>
            </w:r>
            <w:r>
              <w:rPr>
                <w:rFonts w:hint="eastAsia" w:ascii="宋体" w:hAnsi="宋体" w:eastAsia="宋体" w:cs="宋体"/>
                <w:bCs/>
                <w:color w:val="000000" w:themeColor="text1"/>
                <w:sz w:val="21"/>
                <w:szCs w:val="21"/>
                <w:highlight w:val="none"/>
                <w14:textFill>
                  <w14:solidFill>
                    <w14:schemeClr w14:val="tx1"/>
                  </w14:solidFill>
                </w14:textFill>
              </w:rPr>
              <w:t>丰镇联塘村实施30亩</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新塘村1065亩，延塘村500亩，青岭村</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1045</w:t>
            </w:r>
            <w:r>
              <w:rPr>
                <w:rFonts w:hint="eastAsia" w:ascii="宋体" w:hAnsi="宋体" w:eastAsia="宋体" w:cs="宋体"/>
                <w:bCs/>
                <w:color w:val="000000" w:themeColor="text1"/>
                <w:sz w:val="21"/>
                <w:szCs w:val="21"/>
                <w:highlight w:val="none"/>
                <w14:textFill>
                  <w14:solidFill>
                    <w14:schemeClr w14:val="tx1"/>
                  </w14:solidFill>
                </w14:textFill>
              </w:rPr>
              <w:t>亩，</w:t>
            </w:r>
            <w:r>
              <w:rPr>
                <w:rFonts w:hint="eastAsia" w:ascii="宋体" w:hAnsi="宋体" w:eastAsia="宋体" w:cs="宋体"/>
                <w:bCs/>
                <w:color w:val="000000" w:themeColor="text1"/>
                <w:sz w:val="21"/>
                <w:szCs w:val="21"/>
                <w:highlight w:val="none"/>
                <w:lang w:bidi="ar"/>
                <w14:textFill>
                  <w14:solidFill>
                    <w14:schemeClr w14:val="tx1"/>
                  </w14:solidFill>
                </w14:textFill>
              </w:rPr>
              <w:t>鄱岭村</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1200亩，</w:t>
            </w:r>
            <w:r>
              <w:rPr>
                <w:rFonts w:hint="eastAsia" w:ascii="宋体" w:hAnsi="宋体" w:eastAsia="宋体" w:cs="宋体"/>
                <w:bCs/>
                <w:color w:val="000000" w:themeColor="text1"/>
                <w:sz w:val="21"/>
                <w:szCs w:val="21"/>
                <w:highlight w:val="none"/>
                <w14:textFill>
                  <w14:solidFill>
                    <w14:schemeClr w14:val="tx1"/>
                  </w14:solidFill>
                </w14:textFill>
              </w:rPr>
              <w:t>港城旺华村500亩，猫儿山村</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60</w:t>
            </w:r>
            <w:r>
              <w:rPr>
                <w:rFonts w:hint="eastAsia" w:ascii="宋体" w:hAnsi="宋体" w:eastAsia="宋体" w:cs="宋体"/>
                <w:bCs/>
                <w:color w:val="000000" w:themeColor="text1"/>
                <w:sz w:val="21"/>
                <w:szCs w:val="21"/>
                <w:highlight w:val="none"/>
                <w14:textFill>
                  <w14:solidFill>
                    <w14:schemeClr w14:val="tx1"/>
                  </w14:solidFill>
                </w14:textFill>
              </w:rPr>
              <w:t>亩，武乐镇逢宜</w:t>
            </w:r>
            <w:r>
              <w:rPr>
                <w:rFonts w:hint="eastAsia" w:ascii="宋体" w:hAnsi="宋体" w:eastAsia="宋体" w:cs="宋体"/>
                <w:bCs/>
                <w:color w:val="000000" w:themeColor="text1"/>
                <w:sz w:val="21"/>
                <w:szCs w:val="21"/>
                <w:highlight w:val="none"/>
                <w:lang w:bidi="ar"/>
                <w14:textFill>
                  <w14:solidFill>
                    <w14:schemeClr w14:val="tx1"/>
                  </w14:solidFill>
                </w14:textFill>
              </w:rPr>
              <w:t>村500亩</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具体实施地块及边界以项目实施单位实际组织实施为准）</w:t>
            </w:r>
            <w:r>
              <w:rPr>
                <w:rFonts w:hint="eastAsia" w:ascii="宋体" w:hAnsi="宋体" w:eastAsia="宋体" w:cs="宋体"/>
                <w:bCs/>
                <w:color w:val="000000" w:themeColor="text1"/>
                <w:sz w:val="21"/>
                <w:szCs w:val="21"/>
                <w:highlight w:val="none"/>
                <w14:textFill>
                  <w14:solidFill>
                    <w14:schemeClr w14:val="tx1"/>
                  </w14:solidFill>
                </w14:textFill>
              </w:rPr>
              <w:t>。</w:t>
            </w:r>
          </w:p>
          <w:p w14:paraId="720A735D">
            <w:pPr>
              <w:numPr>
                <w:ilvl w:val="0"/>
                <w:numId w:val="0"/>
              </w:numPr>
              <w:spacing w:after="0" w:line="570" w:lineRule="exact"/>
              <w:ind w:firstLine="42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bCs/>
                <w:color w:val="000000" w:themeColor="text1"/>
                <w:sz w:val="21"/>
                <w:szCs w:val="21"/>
                <w:highlight w:val="none"/>
                <w14:textFill>
                  <w14:solidFill>
                    <w14:schemeClr w14:val="tx1"/>
                  </w14:solidFill>
                </w14:textFill>
              </w:rPr>
              <w:t>实施原则：</w:t>
            </w:r>
            <w:r>
              <w:rPr>
                <w:rFonts w:hint="eastAsia" w:ascii="宋体" w:hAnsi="宋体" w:eastAsia="宋体" w:cs="宋体"/>
                <w:b w:val="0"/>
                <w:bCs w:val="0"/>
                <w:color w:val="000000" w:themeColor="text1"/>
                <w:sz w:val="21"/>
                <w:szCs w:val="21"/>
                <w:highlight w:val="none"/>
                <w14:textFill>
                  <w14:solidFill>
                    <w14:schemeClr w14:val="tx1"/>
                  </w14:solidFill>
                </w14:textFill>
              </w:rPr>
              <w:t>技</w:t>
            </w:r>
            <w:r>
              <w:rPr>
                <w:rFonts w:hint="eastAsia" w:ascii="宋体" w:hAnsi="宋体" w:eastAsia="宋体" w:cs="宋体"/>
                <w:color w:val="000000" w:themeColor="text1"/>
                <w:sz w:val="21"/>
                <w:szCs w:val="21"/>
                <w:highlight w:val="none"/>
                <w14:textFill>
                  <w14:solidFill>
                    <w14:schemeClr w14:val="tx1"/>
                  </w14:solidFill>
                </w14:textFill>
              </w:rPr>
              <w:t>术措施落地应用前充分征求属地乡镇、村委意见，并尊重农户生产意愿的基础上组织实施；选在安全利用类耕地和严格管控类耕地区域实施。</w:t>
            </w:r>
          </w:p>
          <w:p w14:paraId="6E46A6E1">
            <w:pPr>
              <w:pStyle w:val="262"/>
              <w:spacing w:after="0" w:line="560" w:lineRule="exact"/>
              <w:ind w:firstLine="321"/>
              <w:jc w:val="left"/>
              <w:rPr>
                <w:rFonts w:hint="eastAsia" w:ascii="宋体" w:hAnsi="宋体" w:eastAsia="宋体" w:cs="宋体"/>
                <w:b/>
                <w:bCs w:val="0"/>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bidi="ar-SA"/>
                <w14:textFill>
                  <w14:solidFill>
                    <w14:schemeClr w14:val="tx1"/>
                  </w14:solidFill>
                </w14:textFill>
              </w:rPr>
              <w:t>开展技术宣传指导</w:t>
            </w:r>
          </w:p>
          <w:p w14:paraId="40A6A212">
            <w:pPr>
              <w:pStyle w:val="262"/>
              <w:spacing w:after="0" w:line="560" w:lineRule="exact"/>
              <w:ind w:firstLine="321"/>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1.依托村级服务站，以项目区内安全利用类、严格管控类耕地为主，辐射周边种植区域，开展技术宣传、现场指导，重点指导水稻种植户土壤调理、微生物修复调控、叶面阻隔等农用地安全利用技术。</w:t>
            </w:r>
          </w:p>
          <w:p w14:paraId="3B597141">
            <w:pPr>
              <w:pStyle w:val="262"/>
              <w:spacing w:after="0" w:line="560" w:lineRule="exact"/>
              <w:ind w:firstLine="321"/>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分类精准指导，项目实施区域内涉及的水稻生产经营主体基本接受技术指导（签到时注明）；项目区外优先对科技示范户、种植大户、家庭农场等人员进行指导。使农业生产者掌握农用地安全利用技术，并能自行实施，同时根据项目进度开展现场讲解措施的作用及意义。</w:t>
            </w:r>
          </w:p>
          <w:p w14:paraId="02DDB6DE">
            <w:pPr>
              <w:pStyle w:val="262"/>
              <w:spacing w:after="0" w:line="560" w:lineRule="exact"/>
              <w:ind w:firstLine="321"/>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3.台账规范化管理，对所有接受技术指导的农户及经营主体进行登记造册，建立完整可追溯的技术服务台账，详细记录指导时间、地点、人员、技术内容，做到全程留痕、有据可查。</w:t>
            </w:r>
          </w:p>
          <w:p w14:paraId="2B6756FF">
            <w:pPr>
              <w:numPr>
                <w:ilvl w:val="0"/>
                <w:numId w:val="0"/>
              </w:numPr>
              <w:spacing w:line="360" w:lineRule="auto"/>
              <w:jc w:val="left"/>
              <w:rPr>
                <w:rFonts w:hint="eastAsia" w:ascii="宋体" w:hAnsi="宋体" w:eastAsia="宋体" w:cs="宋体"/>
                <w:b/>
                <w:bCs w:val="0"/>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bidi="ar-SA"/>
                <w14:textFill>
                  <w14:solidFill>
                    <w14:schemeClr w14:val="tx1"/>
                  </w14:solidFill>
                </w14:textFill>
              </w:rPr>
              <w:t>四、具体措施及要求</w:t>
            </w:r>
          </w:p>
          <w:p w14:paraId="3DD1B6B4">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（一）具体措施</w:t>
            </w:r>
          </w:p>
          <w:p w14:paraId="3FD38C66">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结合广西水稻产地安全利用“GTP+”技术模式，因地制宜选取“叶面阻隔+”或者“镉低积累品种替代+”技术措施模式来进行项目实施。在完成必须的技术措施模式主要实施内容外可以再选择一种或多种技术措施及相应材料、用量来加以实施，以实现实施区域农用地（受污染耕地）安全利用率不低于93%的目标。</w:t>
            </w:r>
          </w:p>
          <w:p w14:paraId="402146E6">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1.微生物修复调控：</w:t>
            </w:r>
          </w:p>
          <w:p w14:paraId="2A6CF37B">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选用稻田重金属耐性专用功能有益微生物，通过根系吸附、离子沉淀、胞外络合、根际微环境调节等作用，原位钝化土壤镉等重金属，降低重金属生物有效性与迁移活性，抑制水稻重金属根系吸收及籽粒富集。微生物修复材料包括微生物菌剂﹑微生物接种剂﹑复合微生物肥料、生物有机肥、农用微生物菌剂（执行GB 20287—2006）和微生物浓缩制剂（执行NY/T 3083—2017）等。微生物修复调控产品宜优先选用微生物浓缩制剂产品，在水稻两大关键生育期喷施：</w:t>
            </w:r>
          </w:p>
          <w:p w14:paraId="4B708D28">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第一阶段：秧苗期实施 在水稻秧苗2叶期至移栽前，统一开展第一次喷施或者浇施。通过提前在秧苗根际构建微生态防护体系，钝化秧田土壤有效镉，培育健康壮秧，减少水稻苗期重金属初始累积，为后期安全生产奠定基础。</w:t>
            </w:r>
          </w:p>
          <w:p w14:paraId="199FDBC0">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第二阶段：破口期实施 在水稻破口抽穗关键生理窗口期实施第二次精准喷施。控制稻米重金属富集，通过叶面及根际双向调控，有效阻断植株体内重金属向籽粒转运沉淀，确保稻米产品重金属含量达标（实施单位需实地逐田块巡查摸排水稻长势，以田间实际发育进程为标准灵活调整喷施时间）。</w:t>
            </w:r>
          </w:p>
          <w:p w14:paraId="47801B0F">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（二）项目实施要求</w:t>
            </w:r>
          </w:p>
          <w:p w14:paraId="7FD98A48">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中标供应商</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根据项目区具体的土壤和农产品重金属超标程度，对所在地块进行前期土壤pH值（每15亩监测1个点位）检测，增加稻谷样品采集和检测分析（每100亩采集1个混合样，检测重金属含量）。结合详查数据和以上检测结果制定详细实施方案。方案须通过贵港市港北区农业农村局认可后方能实施。具体实施要求如下：</w:t>
            </w:r>
          </w:p>
          <w:p w14:paraId="29D803F7">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1.实施面积</w:t>
            </w:r>
          </w:p>
          <w:p w14:paraId="1ADCC554">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以</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通过广西壮族自治区人民政府审</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定的全区第一次耕地土壤环境质量类别划分动态调整成果数据中安全利用类、严格管控类耕地为基准，在继续种植水稻的地块上实施，并通过贵港市农业农村局符合度确认确定最终实施的面积。</w:t>
            </w:r>
          </w:p>
          <w:p w14:paraId="62AF560E">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2.产量保障</w:t>
            </w:r>
          </w:p>
          <w:p w14:paraId="06845D66">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叶面阻隔+”技术措施模式实施过程中，项目区域内水稻减产量不得超过同等条件下正常种植区域同品种（技术措施空白对照点）产量的10%。如果出现减产超过10%的现象，相关中标供应商必须承担相应的减产损失；如果减产超过20%，中标供应商不但需要承担减产损失，同时需要承担恢复区域地力直至产量恢复正常水平的责任。</w:t>
            </w:r>
          </w:p>
          <w:p w14:paraId="4EC16294">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3.质量保障</w:t>
            </w:r>
          </w:p>
          <w:p w14:paraId="18538BCA">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中标供应商所施用土壤调理剂、叶面阻控剂、微生物修复调控材料等投入品均需提供产品质检报告和肥料登记证，并按照实施方案、合同及相关要求，接受监理单位随机抽样检测，若产品检验不合格，不合格产品一律无条件更换，直至检验合格，由此造成的损失由</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中标供应商</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负责。</w:t>
            </w:r>
          </w:p>
          <w:p w14:paraId="484B3B2C">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（三）项目监督</w:t>
            </w:r>
          </w:p>
          <w:p w14:paraId="0BA4286B">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由采购人委托第三方监理进行项目实施监督</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对项目实施投入品质量、出入库，施工进度，农时符合度，施工面积，技术措施落地、技术宣传指导等进行监理，对样品采集检测工作进行监理，同时每个分标抽不少于6个稻谷样品单独送检。对项目实施全程进行监督，完善监理台账，出具监督报告，确保项目各项工作按时按量保质完成。</w:t>
            </w:r>
          </w:p>
          <w:p w14:paraId="59CC7FD4">
            <w:pPr>
              <w:numPr>
                <w:ilvl w:val="0"/>
                <w:numId w:val="0"/>
              </w:numPr>
              <w:spacing w:after="0" w:line="360" w:lineRule="auto"/>
              <w:rPr>
                <w:rFonts w:hint="eastAsia" w:ascii="宋体" w:hAnsi="宋体" w:eastAsia="宋体" w:cs="宋体"/>
                <w:b/>
                <w:bCs w:val="0"/>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bidi="ar-SA"/>
                <w14:textFill>
                  <w14:solidFill>
                    <w14:schemeClr w14:val="tx1"/>
                  </w14:solidFill>
                </w14:textFill>
              </w:rPr>
              <w:t>五、项目验收及结算办法</w:t>
            </w:r>
          </w:p>
          <w:p w14:paraId="0C051C51">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（一）实施面积验收</w:t>
            </w:r>
          </w:p>
          <w:p w14:paraId="7B80B887">
            <w:pPr>
              <w:spacing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“叶面阻隔+”、“镉低积累品种替代+”、“ 微生物修复调控”技术措施实际实施的具体地块及面积，由监理单位或者实施方、</w:t>
            </w:r>
            <w:r>
              <w:rPr>
                <w:rFonts w:hint="eastAsia" w:ascii="宋体" w:hAnsi="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、农业生产者三方确认，同时报市级农业农村局做好项目实施所到具体地块及面积与受污染耕地比对符合度核验确认有关工作。</w:t>
            </w:r>
          </w:p>
          <w:p w14:paraId="0984771A">
            <w:pPr>
              <w:spacing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a.面积核验确认办法</w:t>
            </w:r>
          </w:p>
          <w:p w14:paraId="4F19C2F2">
            <w:pPr>
              <w:spacing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对措施实际实施的具体地块及面积进行确认，即采取的技术措施覆盖到的地块（属于受污染耕地范围且目前继续种植水稻的地块，才能算为实施所到地块）及面积，即为核验确认面积。</w:t>
            </w:r>
          </w:p>
          <w:p w14:paraId="29C548A5">
            <w:pPr>
              <w:spacing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b.符合度核验办法</w:t>
            </w:r>
          </w:p>
          <w:p w14:paraId="178D884D">
            <w:pPr>
              <w:spacing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实施方通过技术措施落实过程中，由监理方或实施方、</w:t>
            </w:r>
            <w:r>
              <w:rPr>
                <w:rFonts w:hint="eastAsia" w:ascii="宋体" w:hAnsi="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农业生产者确认的地块，并对确认地块的信息数据进行矢量化（大地2000坐标系），提交至市级农业农村局后，由市级农业农村局负责对项目实施矢量数据与受污染耕地矢量数据进行叠加分析，计算确认符合要求的地块并统计面积。</w:t>
            </w:r>
          </w:p>
          <w:p w14:paraId="70DBEA5F">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（二）稻谷质量验收</w:t>
            </w:r>
          </w:p>
          <w:p w14:paraId="3041FB1C">
            <w:pPr>
              <w:spacing w:line="360" w:lineRule="auto"/>
              <w:ind w:firstLine="420"/>
              <w:jc w:val="lef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项目区应开展稻谷产量测定和质量检测工作，掌握项目区水稻特别是镉低积累水稻产量水平和质量状况。水稻产量测定由县农业农村局组织具有农艺师以上职称3—5名组成产量验收专家组，实施的乡镇（街道）选取具有代表性实施区和非实施区（同品种、同等地力和栽培管理条件下相邻正常种植区域）各一块稻田按实收测产办法进行产量验收，出具验收报告，监理方需全程参与。稻谷质量验收合格标准，以实施区域稻谷质量符合国家食品卫生为标准。相关稻谷质量验收办法如下：</w:t>
            </w:r>
          </w:p>
          <w:p w14:paraId="0CF91C30">
            <w:pPr>
              <w:spacing w:line="360" w:lineRule="auto"/>
              <w:ind w:firstLine="420"/>
              <w:jc w:val="lef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a.稻谷样品采集及检测：参照《中华人民共和国农业行业标准耕地污染治理效果评价准则》（NY/T3343—2018），按照15-50亩/个样品的布点密度进行，涉及严格管控类耕地区域的，应适当加密布点，做好稻谷重金属质量检测。由检测评估第三方按规定采集样品，与项目实施第三方、监理单位（方法一）或者</w:t>
            </w:r>
            <w:r>
              <w:rPr>
                <w:rFonts w:hint="eastAsia" w:ascii="宋体" w:hAnsi="宋体" w:cs="宋体"/>
                <w:b w:val="0"/>
                <w:bCs/>
                <w:color w:val="000000" w:themeColor="text1"/>
                <w:sz w:val="21"/>
                <w:szCs w:val="21"/>
                <w:highlight w:val="none"/>
                <w:lang w:eastAsia="zh-CN"/>
                <w14:textFill>
                  <w14:solidFill>
                    <w14:schemeClr w14:val="tx1"/>
                  </w14:solidFill>
                </w14:textFill>
              </w:rPr>
              <w:t>采购人</w:t>
            </w:r>
            <w:r>
              <w:rPr>
                <w:rFonts w:hint="eastAsia" w:ascii="宋体" w:hAnsi="宋体" w:eastAsia="宋体" w:cs="宋体"/>
                <w:b w:val="0"/>
                <w:bCs/>
                <w:color w:val="000000" w:themeColor="text1"/>
                <w:sz w:val="21"/>
                <w:szCs w:val="21"/>
                <w:highlight w:val="none"/>
                <w14:textFill>
                  <w14:solidFill>
                    <w14:schemeClr w14:val="tx1"/>
                  </w14:solidFill>
                </w14:textFill>
              </w:rPr>
              <w:t>（方法二）人员三方一起确认后进行现场封样。农产品检测项目为总镉、总汞、总砷（稻谷测总砷超0.35mg/kg时必须测无机砷）、总铅、总铬检测5项重金属指标。样品备份、检测、保存样的管理及效果判定按照《食品安全国家标准食品中污染物限量》（GB2762-2022）规定进行，并协同现场测定样品采集地块土壤pH值。样品信息至少含水稻品种及带经纬度的采样地块位置的正东、正南、正西、正北等方向相片和工作相片，带经纬度的现场测定土壤pH值相片，信息不全、无法证明采集样地及pH仪校正与现场测定土壤pH值的，将视为无效样品。样品采样信息、土壤pH值测定及数据传输方式，按自治区农业生态与资源保护站要求进行。</w:t>
            </w:r>
          </w:p>
          <w:p w14:paraId="5DD51C7C">
            <w:pPr>
              <w:spacing w:line="360" w:lineRule="auto"/>
              <w:ind w:firstLine="420"/>
              <w:jc w:val="lef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b.抽样检测及效果评估第三方：项目业主通过政府采购方式确定采样检测服务机构，完成样品采样、检测及效果判定评价工作。抽样检测及效果评估第三方不能是项目实施方，不能是与项目实施方有利害关系的企业。</w:t>
            </w:r>
          </w:p>
          <w:p w14:paraId="3E66C980">
            <w:pPr>
              <w:spacing w:line="360" w:lineRule="auto"/>
              <w:ind w:firstLine="420"/>
              <w:jc w:val="lef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c.抽样时间：水稻成熟度80%至收割前。</w:t>
            </w:r>
          </w:p>
          <w:p w14:paraId="46E9FA9D">
            <w:pPr>
              <w:spacing w:line="360" w:lineRule="auto"/>
              <w:ind w:firstLine="420"/>
              <w:jc w:val="lef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d.样品类型：实施季稻谷样品。</w:t>
            </w:r>
          </w:p>
          <w:p w14:paraId="4AE4AEBB">
            <w:pPr>
              <w:spacing w:line="360" w:lineRule="auto"/>
              <w:ind w:firstLine="420"/>
              <w:jc w:val="lef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e.纠纷处理：2026年度实施的同类项目，如有一方对检测结果及效果评估结果存疑，实施方与检测方协商确定重新检测费用来源之后，可向自治区农业生态与资源保护站提出申诉，由自治区农业生态与资源保护站组织协调，一同协商委托其他有资质的检测单位对保存样进行重新检测（合同约定所有检测指标），或者直接向当地司法部门申请司法处理。</w:t>
            </w:r>
          </w:p>
          <w:p w14:paraId="319A7BFB">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（三）项目整体验收</w:t>
            </w:r>
          </w:p>
          <w:p w14:paraId="4B147149">
            <w:pPr>
              <w:spacing w:line="360" w:lineRule="auto"/>
              <w:ind w:firstLine="420"/>
              <w:jc w:val="lef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项目完成规模验收后，由港北区农业农村局组织，经贵港市农业农村局同意的相关单位或者专家，召开项目总验收会，核验检测结果，确认项目实施面积和培训人员数量造册工作完成情况，对照合同指标逐项验收。验收会议邀请贵港市农业农村局代表主持。</w:t>
            </w:r>
          </w:p>
          <w:p w14:paraId="7003EAB5">
            <w:pPr>
              <w:numPr>
                <w:ilvl w:val="0"/>
                <w:numId w:val="0"/>
              </w:numPr>
              <w:spacing w:line="360" w:lineRule="auto"/>
              <w:jc w:val="left"/>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（四）项目款结算办法</w:t>
            </w:r>
          </w:p>
          <w:p w14:paraId="0BF5A1CB">
            <w:pPr>
              <w:spacing w:after="0"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按照《广西壮族自治区财政厅关于持续优化政府采购营商环境推动高质量发展的通知</w:t>
            </w:r>
            <w:r>
              <w:rPr>
                <w:rFonts w:hint="eastAsia" w:ascii="宋体" w:hAnsi="宋体" w:eastAsia="宋体" w:cs="宋体"/>
                <w:bCs/>
                <w:color w:val="000000" w:themeColor="text1"/>
                <w:sz w:val="21"/>
                <w:szCs w:val="21"/>
                <w:highlight w:val="none"/>
                <w14:textFill>
                  <w14:solidFill>
                    <w14:schemeClr w14:val="tx1"/>
                  </w14:solidFill>
                </w14:textFill>
              </w:rPr>
              <w:t>》（桂财采〔2024〕55号）精神要求，项目款结算</w:t>
            </w:r>
            <w:r>
              <w:rPr>
                <w:rFonts w:hint="eastAsia" w:ascii="宋体" w:hAnsi="宋体" w:eastAsia="宋体" w:cs="宋体"/>
                <w:color w:val="000000" w:themeColor="text1"/>
                <w:sz w:val="21"/>
                <w:szCs w:val="21"/>
                <w:highlight w:val="none"/>
                <w14:textFill>
                  <w14:solidFill>
                    <w14:schemeClr w14:val="tx1"/>
                  </w14:solidFill>
                </w14:textFill>
              </w:rPr>
              <w:t>可采取拨付预付款（在签订委托合同（协议）并进场实际开工后，可拨付不超过合同</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金额40%的预付款）及分段验收、分批支付的方式，加快资金拨付。本项目具体结算办法如下：</w:t>
            </w:r>
          </w:p>
          <w:p w14:paraId="06247E4A">
            <w:pPr>
              <w:pStyle w:val="193"/>
              <w:keepNext/>
              <w:keepLines/>
              <w:widowControl w:val="0"/>
              <w:numPr>
                <w:ilvl w:val="0"/>
                <w:numId w:val="0"/>
              </w:numPr>
              <w:spacing w:before="260" w:after="260" w:line="360" w:lineRule="auto"/>
              <w:jc w:val="both"/>
              <w:outlineLvl w:val="1"/>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bookmarkStart w:id="76" w:name="_Toc1822"/>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“叶面阻隔+”、“微生物修复调控”措施模式:</w:t>
            </w:r>
            <w:bookmarkEnd w:id="76"/>
          </w:p>
          <w:p w14:paraId="321B8533">
            <w:pPr>
              <w:pStyle w:val="193"/>
              <w:keepNext/>
              <w:keepLines/>
              <w:widowControl w:val="0"/>
              <w:numPr>
                <w:ilvl w:val="0"/>
                <w:numId w:val="0"/>
              </w:numPr>
              <w:spacing w:before="260" w:after="260" w:line="360" w:lineRule="auto"/>
              <w:jc w:val="both"/>
              <w:outlineLvl w:val="1"/>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bookmarkStart w:id="77" w:name="_Toc28893"/>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合同签订，实施方案通过评审正式确定，且完成实施区域划定、实施面积核验无误后，可结算该项目中标款额的30%做为预付款；按合同完成各项措施落地及面积确认和宣传指导目标任务，并完成阶段性验收核验的，可拨付项目中标金额的40%作为项目进度款。</w:t>
            </w:r>
            <w:bookmarkEnd w:id="77"/>
          </w:p>
          <w:p w14:paraId="6D1145B3">
            <w:pPr>
              <w:pStyle w:val="193"/>
              <w:keepNext/>
              <w:keepLines/>
              <w:widowControl w:val="0"/>
              <w:numPr>
                <w:ilvl w:val="0"/>
                <w:numId w:val="0"/>
              </w:numPr>
              <w:spacing w:before="260" w:after="260" w:line="360" w:lineRule="auto"/>
              <w:jc w:val="both"/>
              <w:outlineLvl w:val="1"/>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bookmarkStart w:id="78" w:name="_Toc15180"/>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项目区产品（稻谷）质量（重金属）合格率结果出来后，并完成项目整体验收，按以下规则拨付剩余项目资金：</w:t>
            </w:r>
            <w:bookmarkEnd w:id="78"/>
          </w:p>
          <w:p w14:paraId="32A09E19">
            <w:pPr>
              <w:pStyle w:val="193"/>
              <w:keepNext/>
              <w:keepLines/>
              <w:widowControl w:val="0"/>
              <w:numPr>
                <w:ilvl w:val="0"/>
                <w:numId w:val="0"/>
              </w:numPr>
              <w:spacing w:before="260" w:after="260" w:line="360" w:lineRule="auto"/>
              <w:jc w:val="both"/>
              <w:outlineLvl w:val="1"/>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bookmarkStart w:id="79" w:name="_Toc10539"/>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（1）产品合格率：≥93%，可以结算全部剩余项目资金（项目中标金额的30%）。</w:t>
            </w:r>
            <w:bookmarkEnd w:id="79"/>
          </w:p>
          <w:p w14:paraId="7AD0BF53">
            <w:pPr>
              <w:pStyle w:val="193"/>
              <w:keepNext/>
              <w:keepLines/>
              <w:widowControl w:val="0"/>
              <w:numPr>
                <w:ilvl w:val="0"/>
                <w:numId w:val="0"/>
              </w:numPr>
              <w:spacing w:before="260" w:after="260" w:line="360" w:lineRule="auto"/>
              <w:jc w:val="both"/>
              <w:outlineLvl w:val="1"/>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bookmarkStart w:id="80" w:name="_Toc2933"/>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（2）产品合格率：60%（含）—93%（不含），可以结算30%项目中标金额×实际产品合格率÷93%的款项。</w:t>
            </w:r>
            <w:bookmarkEnd w:id="80"/>
          </w:p>
          <w:p w14:paraId="6B068E76">
            <w:pPr>
              <w:pStyle w:val="193"/>
              <w:keepNext/>
              <w:keepLines/>
              <w:widowControl w:val="0"/>
              <w:numPr>
                <w:ilvl w:val="0"/>
                <w:numId w:val="0"/>
              </w:numPr>
              <w:spacing w:before="260" w:after="260" w:line="360" w:lineRule="auto"/>
              <w:jc w:val="both"/>
              <w:outlineLvl w:val="1"/>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bookmarkStart w:id="81" w:name="_Toc26262"/>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（3）产品合格率：小于60%（不含），不再支付剩余款额。</w:t>
            </w:r>
            <w:bookmarkEnd w:id="81"/>
          </w:p>
          <w:p w14:paraId="621A1975">
            <w:pPr>
              <w:pStyle w:val="193"/>
              <w:keepNext/>
              <w:keepLines/>
              <w:widowControl w:val="0"/>
              <w:numPr>
                <w:ilvl w:val="0"/>
                <w:numId w:val="0"/>
              </w:numPr>
              <w:spacing w:before="260" w:after="260" w:line="360" w:lineRule="auto"/>
              <w:jc w:val="both"/>
              <w:outlineLvl w:val="1"/>
              <w:rPr>
                <w:rFonts w:hint="eastAsia" w:ascii="宋体" w:hAnsi="宋体" w:eastAsia="宋体" w:cs="宋体"/>
                <w:b/>
                <w:bCs w:val="0"/>
                <w:color w:val="000000" w:themeColor="text1"/>
                <w:sz w:val="21"/>
                <w:szCs w:val="21"/>
                <w:highlight w:val="none"/>
                <w14:textFill>
                  <w14:solidFill>
                    <w14:schemeClr w14:val="tx1"/>
                  </w14:solidFill>
                </w14:textFill>
              </w:rPr>
            </w:pPr>
            <w:bookmarkStart w:id="82" w:name="_Toc32295"/>
            <w:r>
              <w:rPr>
                <w:rFonts w:hint="eastAsia" w:ascii="宋体" w:hAnsi="宋体" w:eastAsia="宋体" w:cs="宋体"/>
                <w:b/>
                <w:bCs w:val="0"/>
                <w:color w:val="000000" w:themeColor="text1"/>
                <w:sz w:val="21"/>
                <w:szCs w:val="21"/>
                <w:highlight w:val="none"/>
                <w:lang w:val="en-US" w:eastAsia="zh-CN" w:bidi="ar-SA"/>
                <w14:textFill>
                  <w14:solidFill>
                    <w14:schemeClr w14:val="tx1"/>
                  </w14:solidFill>
                </w14:textFill>
              </w:rPr>
              <w:t>六、</w:t>
            </w:r>
            <w:r>
              <w:rPr>
                <w:rFonts w:hint="eastAsia" w:ascii="宋体" w:hAnsi="宋体" w:eastAsia="宋体" w:cs="宋体"/>
                <w:b/>
                <w:bCs w:val="0"/>
                <w:color w:val="000000" w:themeColor="text1"/>
                <w:sz w:val="21"/>
                <w:szCs w:val="21"/>
                <w:highlight w:val="none"/>
                <w14:textFill>
                  <w14:solidFill>
                    <w14:schemeClr w14:val="tx1"/>
                  </w14:solidFill>
                </w14:textFill>
              </w:rPr>
              <w:t>保密要求</w:t>
            </w:r>
            <w:bookmarkEnd w:id="82"/>
          </w:p>
          <w:p w14:paraId="40E6A8A0">
            <w:pPr>
              <w:spacing w:line="360" w:lineRule="auto"/>
              <w:ind w:firstLine="420"/>
              <w:jc w:val="lef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鉴于本项目内容敏感，所有接触项目内容的人员必须对信息、结果数据等按保密要求进行保密；中标人必须与</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贵港市港北区农业农村局</w:t>
            </w:r>
            <w:r>
              <w:rPr>
                <w:rFonts w:hint="eastAsia" w:ascii="宋体" w:hAnsi="宋体" w:eastAsia="宋体" w:cs="宋体"/>
                <w:b w:val="0"/>
                <w:bCs/>
                <w:color w:val="000000" w:themeColor="text1"/>
                <w:sz w:val="21"/>
                <w:szCs w:val="21"/>
                <w:highlight w:val="none"/>
                <w14:textFill>
                  <w14:solidFill>
                    <w14:schemeClr w14:val="tx1"/>
                  </w14:solidFill>
                </w14:textFill>
              </w:rPr>
              <w:t>签订保密协议，其他按关于印发《全国土壤污染状况详查工作保密管理办法》的通知（环办土 壤函[2018]729 号）文件执行，中标人一旦泄露项目秘密采购人将严格按我国相关法律法规追究法律责任。</w:t>
            </w:r>
          </w:p>
          <w:p w14:paraId="0D426D79">
            <w:pPr>
              <w:spacing w:line="360" w:lineRule="auto"/>
              <w:jc w:val="left"/>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七</w:t>
            </w:r>
            <w:r>
              <w:rPr>
                <w:rFonts w:hint="eastAsia" w:ascii="宋体" w:hAnsi="宋体" w:eastAsia="宋体" w:cs="宋体"/>
                <w:b/>
                <w:bCs w:val="0"/>
                <w:color w:val="000000" w:themeColor="text1"/>
                <w:sz w:val="21"/>
                <w:szCs w:val="21"/>
                <w:highlight w:val="none"/>
                <w14:textFill>
                  <w14:solidFill>
                    <w14:schemeClr w14:val="tx1"/>
                  </w14:solidFill>
                </w14:textFill>
              </w:rPr>
              <w:t>、其他规定</w:t>
            </w:r>
          </w:p>
          <w:p w14:paraId="5B053FA2">
            <w:pPr>
              <w:spacing w:line="360" w:lineRule="auto"/>
              <w:ind w:firstLine="420"/>
              <w:jc w:val="left"/>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eastAsia="zh-CN"/>
                <w14:textFill>
                  <w14:solidFill>
                    <w14:schemeClr w14:val="tx1"/>
                  </w14:solidFill>
                </w14:textFill>
              </w:rPr>
              <w:t>中标人与采购人签订合同及保密协议后，可申请查询本分标项目区土壤pH值等信息。</w:t>
            </w:r>
          </w:p>
        </w:tc>
      </w:tr>
      <w:tr w14:paraId="6D5EB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top"/>
          </w:tcPr>
          <w:p w14:paraId="5F5F9DB6">
            <w:pPr>
              <w:spacing w:line="360" w:lineRule="auto"/>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eastAsia="zh-CN"/>
                <w14:textFill>
                  <w14:solidFill>
                    <w14:schemeClr w14:val="tx1"/>
                  </w14:solidFill>
                </w14:textFill>
              </w:rPr>
              <w:t>一、商务要求▲</w:t>
            </w:r>
          </w:p>
        </w:tc>
      </w:tr>
      <w:tr w14:paraId="1D227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682DF47C">
            <w:pPr>
              <w:spacing w:line="360" w:lineRule="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实施的期限和地点</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41554BC6">
            <w:pPr>
              <w:spacing w:line="360" w:lineRule="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eastAsia="zh-CN"/>
                <w14:textFill>
                  <w14:solidFill>
                    <w14:schemeClr w14:val="tx1"/>
                  </w14:solidFill>
                </w14:textFill>
              </w:rPr>
              <w:t>1.</w:t>
            </w:r>
            <w:r>
              <w:rPr>
                <w:rFonts w:hint="eastAsia" w:ascii="宋体" w:hAnsi="宋体" w:eastAsia="宋体" w:cs="宋体"/>
                <w:b/>
                <w:bCs w:val="0"/>
                <w:color w:val="000000" w:themeColor="text1"/>
                <w:sz w:val="21"/>
                <w:szCs w:val="21"/>
                <w:highlight w:val="none"/>
                <w14:textFill>
                  <w14:solidFill>
                    <w14:schemeClr w14:val="tx1"/>
                  </w14:solidFill>
                </w14:textFill>
              </w:rPr>
              <w:t>实施的期限：</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2026年12月31日前完成（如因特殊天气错过农时或实施面积不足等原因无法实施，则项目顺延至2027年实施）</w:t>
            </w:r>
            <w:r>
              <w:rPr>
                <w:rFonts w:hint="eastAsia" w:ascii="宋体" w:hAnsi="宋体" w:eastAsia="宋体" w:cs="宋体"/>
                <w:b/>
                <w:bCs w:val="0"/>
                <w:color w:val="000000" w:themeColor="text1"/>
                <w:sz w:val="21"/>
                <w:szCs w:val="21"/>
                <w:highlight w:val="none"/>
                <w14:textFill>
                  <w14:solidFill>
                    <w14:schemeClr w14:val="tx1"/>
                  </w14:solidFill>
                </w14:textFill>
              </w:rPr>
              <w:t>。</w:t>
            </w:r>
          </w:p>
          <w:p w14:paraId="44697F1D">
            <w:pPr>
              <w:spacing w:line="360" w:lineRule="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eastAsia="zh-CN"/>
                <w14:textFill>
                  <w14:solidFill>
                    <w14:schemeClr w14:val="tx1"/>
                  </w14:solidFill>
                </w14:textFill>
              </w:rPr>
              <w:t>2.</w:t>
            </w:r>
            <w:r>
              <w:rPr>
                <w:rFonts w:hint="eastAsia" w:ascii="宋体" w:hAnsi="宋体" w:eastAsia="宋体" w:cs="宋体"/>
                <w:b/>
                <w:bCs w:val="0"/>
                <w:color w:val="000000" w:themeColor="text1"/>
                <w:sz w:val="21"/>
                <w:szCs w:val="21"/>
                <w:highlight w:val="none"/>
                <w14:textFill>
                  <w14:solidFill>
                    <w14:schemeClr w14:val="tx1"/>
                  </w14:solidFill>
                </w14:textFill>
              </w:rPr>
              <w:t>实施的地点：广西</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贵港市港北区范围内采购人</w:t>
            </w:r>
            <w:r>
              <w:rPr>
                <w:rFonts w:hint="eastAsia" w:ascii="宋体" w:hAnsi="宋体" w:eastAsia="宋体" w:cs="宋体"/>
                <w:b/>
                <w:bCs w:val="0"/>
                <w:color w:val="000000" w:themeColor="text1"/>
                <w:sz w:val="21"/>
                <w:szCs w:val="21"/>
                <w:highlight w:val="none"/>
                <w14:textFill>
                  <w14:solidFill>
                    <w14:schemeClr w14:val="tx1"/>
                  </w14:solidFill>
                </w14:textFill>
              </w:rPr>
              <w:t>指定地点。</w:t>
            </w:r>
          </w:p>
        </w:tc>
      </w:tr>
      <w:tr w14:paraId="31AAB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1206E1F2">
            <w:pPr>
              <w:spacing w:line="360" w:lineRule="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合同签订时间</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584A2551">
            <w:pPr>
              <w:spacing w:line="360" w:lineRule="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 xml:space="preserve">自中标通知书发出之日起 </w:t>
            </w:r>
            <w:r>
              <w:rPr>
                <w:rFonts w:hint="eastAsia" w:ascii="宋体" w:hAnsi="宋体" w:eastAsia="宋体" w:cs="宋体"/>
                <w:b/>
                <w:bCs w:val="0"/>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bCs w:val="0"/>
                <w:color w:val="000000" w:themeColor="text1"/>
                <w:sz w:val="21"/>
                <w:szCs w:val="21"/>
                <w:highlight w:val="none"/>
                <w:u w:val="single"/>
                <w:lang w:val="en-US" w:eastAsia="zh-CN"/>
                <w14:textFill>
                  <w14:solidFill>
                    <w14:schemeClr w14:val="tx1"/>
                  </w14:solidFill>
                </w14:textFill>
              </w:rPr>
              <w:t>20</w:t>
            </w:r>
            <w:r>
              <w:rPr>
                <w:rFonts w:hint="eastAsia" w:ascii="宋体" w:hAnsi="宋体" w:eastAsia="宋体" w:cs="宋体"/>
                <w:b/>
                <w:bCs w:val="0"/>
                <w:color w:val="000000" w:themeColor="text1"/>
                <w:sz w:val="21"/>
                <w:szCs w:val="21"/>
                <w:highlight w:val="none"/>
                <w14:textFill>
                  <w14:solidFill>
                    <w14:schemeClr w14:val="tx1"/>
                  </w14:solidFill>
                </w14:textFill>
              </w:rPr>
              <w:t>日内</w:t>
            </w:r>
          </w:p>
        </w:tc>
      </w:tr>
      <w:tr w14:paraId="6D77C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7EBCD899">
            <w:pPr>
              <w:spacing w:line="360" w:lineRule="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付款条件（进度和方式）</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3DB8172A">
            <w:pPr>
              <w:spacing w:line="360" w:lineRule="auto"/>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lang w:val="en-US" w:eastAsia="zh-CN"/>
                <w14:textFill>
                  <w14:solidFill>
                    <w14:schemeClr w14:val="tx1"/>
                  </w14:solidFill>
                </w14:textFill>
              </w:rPr>
              <w:t>项目合同签订，实施方案通过评审正式确定，且完成实施区域划定、实施面积核验无误后，可结算该项目中标款额的30%做为预付款；按合同完成各项措施落地及面积确认和宣传指导目标任务，并完成阶段性验收核验的，可拨付项目中标金额的40%作为项目进度款；</w:t>
            </w:r>
          </w:p>
          <w:p w14:paraId="530E4830">
            <w:pPr>
              <w:spacing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bCs w:val="0"/>
                <w:color w:val="000000" w:themeColor="text1"/>
                <w:szCs w:val="21"/>
                <w:highlight w:val="none"/>
                <w:lang w:val="en-US" w:eastAsia="zh-CN"/>
                <w14:textFill>
                  <w14:solidFill>
                    <w14:schemeClr w14:val="tx1"/>
                  </w14:solidFill>
                </w14:textFill>
              </w:rPr>
              <w:t>采购人按合同</w:t>
            </w:r>
            <w:r>
              <w:rPr>
                <w:rFonts w:hint="eastAsia" w:ascii="宋体" w:hAnsi="宋体" w:cs="宋体"/>
                <w:b/>
                <w:bCs w:val="0"/>
                <w:color w:val="000000" w:themeColor="text1"/>
                <w:szCs w:val="21"/>
                <w:highlight w:val="none"/>
                <w:lang w:val="en-US" w:eastAsia="zh-CN"/>
                <w14:textFill>
                  <w14:solidFill>
                    <w14:schemeClr w14:val="tx1"/>
                  </w14:solidFill>
                </w14:textFill>
              </w:rPr>
              <w:t>验收核验及确认各项措施的面积和宣传指导的</w:t>
            </w:r>
            <w:r>
              <w:rPr>
                <w:rFonts w:hint="eastAsia" w:ascii="宋体" w:hAnsi="宋体" w:eastAsia="宋体" w:cs="宋体"/>
                <w:b/>
                <w:bCs w:val="0"/>
                <w:color w:val="000000" w:themeColor="text1"/>
                <w:szCs w:val="21"/>
                <w:highlight w:val="none"/>
                <w:lang w:val="en-US" w:eastAsia="zh-CN"/>
                <w14:textFill>
                  <w14:solidFill>
                    <w14:schemeClr w14:val="tx1"/>
                  </w14:solidFill>
                </w14:textFill>
              </w:rPr>
              <w:t>人员数量，并结合采购确定的单价进行项目款结算。实施效果部分占合同金额的30%。根据采购人通过采样检测结果核算得出的项目实施区域产品合格率进行结算。</w:t>
            </w:r>
          </w:p>
        </w:tc>
      </w:tr>
      <w:tr w14:paraId="5DBFB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0C20D4FE">
            <w:pPr>
              <w:spacing w:line="360" w:lineRule="auto"/>
              <w:rPr>
                <w:rFonts w:hint="eastAsia" w:ascii="宋体" w:hAnsi="宋体" w:eastAsia="宋体" w:cs="宋体"/>
                <w:b/>
                <w:bCs w:val="0"/>
                <w:color w:val="000000" w:themeColor="text1"/>
                <w:sz w:val="21"/>
                <w:szCs w:val="21"/>
                <w:highlight w:val="none"/>
                <w:lang w:eastAsia="zh-CN"/>
                <w14:textFill>
                  <w14:solidFill>
                    <w14:schemeClr w14:val="tx1"/>
                  </w14:solidFill>
                </w14:textFill>
              </w:rPr>
            </w:pPr>
            <w:r>
              <w:rPr>
                <w:rFonts w:hint="eastAsia" w:ascii="宋体" w:hAnsi="宋体" w:cs="宋体"/>
                <w:b/>
                <w:bCs w:val="0"/>
                <w:color w:val="000000" w:themeColor="text1"/>
                <w:sz w:val="21"/>
                <w:szCs w:val="21"/>
                <w:highlight w:val="none"/>
                <w:lang w:eastAsia="zh-CN"/>
                <w14:textFill>
                  <w14:solidFill>
                    <w14:schemeClr w14:val="tx1"/>
                  </w14:solidFill>
                </w14:textFill>
              </w:rPr>
              <w:t>技术服务要求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20B78C9B">
            <w:pPr>
              <w:numPr>
                <w:ilvl w:val="0"/>
                <w:numId w:val="0"/>
              </w:numPr>
              <w:spacing w:line="360" w:lineRule="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bidi="ar-SA"/>
                <w14:textFill>
                  <w14:solidFill>
                    <w14:schemeClr w14:val="tx1"/>
                  </w14:solidFill>
                </w14:textFill>
              </w:rPr>
              <w:t>1</w:t>
            </w: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w:t>
            </w:r>
            <w:r>
              <w:rPr>
                <w:rFonts w:hint="eastAsia" w:ascii="宋体" w:hAnsi="宋体" w:eastAsia="宋体" w:cs="宋体"/>
                <w:b/>
                <w:bCs w:val="0"/>
                <w:color w:val="000000" w:themeColor="text1"/>
                <w:sz w:val="21"/>
                <w:szCs w:val="21"/>
                <w:highlight w:val="none"/>
                <w14:textFill>
                  <w14:solidFill>
                    <w14:schemeClr w14:val="tx1"/>
                  </w14:solidFill>
                </w14:textFill>
              </w:rPr>
              <w:t>中标人应</w:t>
            </w:r>
            <w:r>
              <w:rPr>
                <w:rFonts w:hint="eastAsia" w:ascii="宋体" w:hAnsi="宋体" w:cs="宋体"/>
                <w:b/>
                <w:bCs w:val="0"/>
                <w:color w:val="000000" w:themeColor="text1"/>
                <w:sz w:val="21"/>
                <w:szCs w:val="21"/>
                <w:highlight w:val="none"/>
                <w:lang w:eastAsia="zh-CN"/>
                <w14:textFill>
                  <w14:solidFill>
                    <w14:schemeClr w14:val="tx1"/>
                  </w14:solidFill>
                </w14:textFill>
              </w:rPr>
              <w:t>严格按照投标文件要求做好项目服务工作</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，直至项目整体验收完毕为止</w:t>
            </w:r>
            <w:r>
              <w:rPr>
                <w:rFonts w:hint="eastAsia" w:ascii="宋体" w:hAnsi="宋体" w:eastAsia="宋体" w:cs="宋体"/>
                <w:b/>
                <w:bCs w:val="0"/>
                <w:color w:val="000000" w:themeColor="text1"/>
                <w:sz w:val="21"/>
                <w:szCs w:val="21"/>
                <w:highlight w:val="none"/>
                <w14:textFill>
                  <w14:solidFill>
                    <w14:schemeClr w14:val="tx1"/>
                  </w14:solidFill>
                </w14:textFill>
              </w:rPr>
              <w:t>，由此产生的一切费用由</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中标人</w:t>
            </w:r>
            <w:r>
              <w:rPr>
                <w:rFonts w:hint="eastAsia" w:ascii="宋体" w:hAnsi="宋体" w:eastAsia="宋体" w:cs="宋体"/>
                <w:b/>
                <w:bCs w:val="0"/>
                <w:color w:val="000000" w:themeColor="text1"/>
                <w:sz w:val="21"/>
                <w:szCs w:val="21"/>
                <w:highlight w:val="none"/>
                <w14:textFill>
                  <w14:solidFill>
                    <w14:schemeClr w14:val="tx1"/>
                  </w14:solidFill>
                </w14:textFill>
              </w:rPr>
              <w:t xml:space="preserve">负责。 </w:t>
            </w:r>
          </w:p>
          <w:p w14:paraId="6491BBD5">
            <w:pPr>
              <w:numPr>
                <w:ilvl w:val="0"/>
                <w:numId w:val="0"/>
              </w:numPr>
              <w:spacing w:line="360" w:lineRule="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bidi="ar-SA"/>
                <w14:textFill>
                  <w14:solidFill>
                    <w14:schemeClr w14:val="tx1"/>
                  </w14:solidFill>
                </w14:textFill>
              </w:rPr>
              <w:t>2</w:t>
            </w: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w:t>
            </w:r>
            <w:r>
              <w:rPr>
                <w:rFonts w:hint="eastAsia" w:ascii="宋体" w:hAnsi="宋体" w:eastAsia="宋体" w:cs="宋体"/>
                <w:b/>
                <w:bCs w:val="0"/>
                <w:color w:val="000000" w:themeColor="text1"/>
                <w:sz w:val="21"/>
                <w:szCs w:val="21"/>
                <w:highlight w:val="none"/>
                <w14:textFill>
                  <w14:solidFill>
                    <w14:schemeClr w14:val="tx1"/>
                  </w14:solidFill>
                </w14:textFill>
              </w:rPr>
              <w:t>处理问题响应时间：接到采购人处理问题通知后 24 小时内到达采购人指定现场。</w:t>
            </w:r>
          </w:p>
          <w:p w14:paraId="2F09F176">
            <w:pPr>
              <w:spacing w:line="360" w:lineRule="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3</w:t>
            </w:r>
            <w:r>
              <w:rPr>
                <w:rFonts w:hint="eastAsia" w:ascii="宋体" w:hAnsi="宋体" w:cs="宋体"/>
                <w:b/>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val="0"/>
                <w:color w:val="000000" w:themeColor="text1"/>
                <w:sz w:val="21"/>
                <w:szCs w:val="21"/>
                <w:highlight w:val="none"/>
                <w14:textFill>
                  <w14:solidFill>
                    <w14:schemeClr w14:val="tx1"/>
                  </w14:solidFill>
                </w14:textFill>
              </w:rPr>
              <w:t>中标人必须配合采购人完成整体项目的验收。</w:t>
            </w:r>
          </w:p>
        </w:tc>
      </w:tr>
      <w:tr w14:paraId="1A483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53F536A4">
            <w:pPr>
              <w:spacing w:line="360" w:lineRule="exact"/>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验收标准及要</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1AE6D579">
            <w:pPr>
              <w:spacing w:line="360" w:lineRule="exact"/>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1.中标供应商向采购人提供的所有涉及成果资料必须符合国家、广西、贵港市的最新规范及要求。</w:t>
            </w:r>
          </w:p>
          <w:p w14:paraId="2DE10410">
            <w:pPr>
              <w:spacing w:line="360" w:lineRule="exact"/>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2.验收过程中所产生的一切费用均由中标人承担。报价时应考虑相关费用。</w:t>
            </w:r>
          </w:p>
          <w:p w14:paraId="12F786FE">
            <w:pPr>
              <w:spacing w:line="360" w:lineRule="exact"/>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3.采购人根据工作实际所需环节组织验收，中标人必须到场配合，验收合格后双方签署验收合格凭证。</w:t>
            </w:r>
          </w:p>
          <w:p w14:paraId="026C02B9">
            <w:pPr>
              <w:spacing w:line="360" w:lineRule="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40D67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7F975A6E">
            <w:pPr>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二、与实现项目目标相关的其他要求</w:t>
            </w:r>
          </w:p>
        </w:tc>
      </w:tr>
      <w:tr w14:paraId="1C4DE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4A1DE4F2">
            <w:pPr>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（一）投标人的履约能力要求</w:t>
            </w:r>
          </w:p>
        </w:tc>
      </w:tr>
      <w:tr w14:paraId="0E78A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3A7A56CD">
            <w:pPr>
              <w:spacing w:line="360" w:lineRule="exac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政策性加分条件</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501D2367">
            <w:pPr>
              <w:spacing w:line="360" w:lineRule="exac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见本采购文件第四章“评标方法及评标标准”。</w:t>
            </w:r>
          </w:p>
        </w:tc>
      </w:tr>
      <w:tr w14:paraId="29DEF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2008E546">
            <w:pPr>
              <w:spacing w:line="360" w:lineRule="exac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质量管理体系要求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49AF5BCD">
            <w:pPr>
              <w:spacing w:line="360" w:lineRule="exac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如有，请于投标文件中自行提供。</w:t>
            </w:r>
          </w:p>
        </w:tc>
      </w:tr>
      <w:tr w14:paraId="5BAE9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6097A316">
            <w:pPr>
              <w:spacing w:line="360" w:lineRule="exac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业绩要求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3073DFA7">
            <w:pPr>
              <w:spacing w:line="360" w:lineRule="exac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如有，请于投标文件中自行提供。</w:t>
            </w:r>
          </w:p>
        </w:tc>
      </w:tr>
      <w:tr w14:paraId="4557A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0E856E8F">
            <w:pPr>
              <w:numPr>
                <w:ilvl w:val="0"/>
                <w:numId w:val="0"/>
              </w:numPr>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（二）</w:t>
            </w:r>
            <w:r>
              <w:rPr>
                <w:rFonts w:hint="eastAsia" w:ascii="宋体" w:hAnsi="宋体" w:eastAsia="宋体" w:cs="宋体"/>
                <w:b/>
                <w:bCs w:val="0"/>
                <w:color w:val="000000" w:themeColor="text1"/>
                <w:sz w:val="21"/>
                <w:szCs w:val="21"/>
                <w:highlight w:val="none"/>
                <w14:textFill>
                  <w14:solidFill>
                    <w14:schemeClr w14:val="tx1"/>
                  </w14:solidFill>
                </w14:textFill>
              </w:rPr>
              <w:t>其他要求：</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 w:val="21"/>
                <w:szCs w:val="21"/>
                <w:highlight w:val="none"/>
                <w14:textFill>
                  <w14:solidFill>
                    <w14:schemeClr w14:val="tx1"/>
                  </w14:solidFill>
                </w14:textFill>
              </w:rPr>
              <w:t>投标人</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在投标文件中必须提供针对本项目的技术方案（可包括但不限于项目需求分析</w:t>
            </w:r>
            <w:r>
              <w:rPr>
                <w:rFonts w:hint="eastAsia" w:ascii="宋体" w:hAnsi="宋体" w:eastAsia="宋体" w:cs="宋体"/>
                <w:b/>
                <w:bCs w:val="0"/>
                <w:color w:val="000000" w:themeColor="text1"/>
                <w:sz w:val="21"/>
                <w:szCs w:val="21"/>
                <w:highlight w:val="none"/>
                <w14:textFill>
                  <w14:solidFill>
                    <w14:schemeClr w14:val="tx1"/>
                  </w14:solidFill>
                </w14:textFill>
              </w:rPr>
              <w:t>、质量保障措施、项目实施方案及对本工作的合理化建议等内容）及服务承诺。</w:t>
            </w:r>
          </w:p>
          <w:p w14:paraId="2DD18A23">
            <w:pPr>
              <w:pStyle w:val="273"/>
              <w:numPr>
                <w:ilvl w:val="0"/>
                <w:numId w:val="0"/>
              </w:numPr>
              <w:ind w:left="0"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2.如有，请提供</w:t>
            </w:r>
            <w:r>
              <w:rPr>
                <w:rFonts w:hint="eastAsia" w:ascii="宋体" w:hAnsi="宋体" w:eastAsia="宋体" w:cs="宋体"/>
                <w:color w:val="000000" w:themeColor="text1"/>
                <w:sz w:val="21"/>
                <w:szCs w:val="21"/>
                <w:highlight w:val="none"/>
                <w:lang w:eastAsia="zh-CN"/>
                <w14:textFill>
                  <w14:solidFill>
                    <w14:schemeClr w14:val="tx1"/>
                  </w14:solidFill>
                </w14:textFill>
              </w:rPr>
              <w:t>主要人员配备情况</w:t>
            </w:r>
            <w:r>
              <w:rPr>
                <w:rFonts w:hint="eastAsia" w:ascii="宋体" w:hAnsi="宋体" w:eastAsia="宋体" w:cs="宋体"/>
                <w:color w:val="000000" w:themeColor="text1"/>
                <w:sz w:val="21"/>
                <w:szCs w:val="21"/>
                <w:highlight w:val="none"/>
                <w14:textFill>
                  <w14:solidFill>
                    <w14:schemeClr w14:val="tx1"/>
                  </w14:solidFill>
                </w14:textFill>
              </w:rPr>
              <w:t>或业绩证明。</w:t>
            </w:r>
          </w:p>
        </w:tc>
      </w:tr>
    </w:tbl>
    <w:p w14:paraId="24B47CC4">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08D4F351">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3D697502">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5C921E6C">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7BD9F603">
      <w:pPr>
        <w:pStyle w:val="273"/>
        <w:rPr>
          <w:rFonts w:hint="eastAsia" w:ascii="黑体" w:hAnsi="黑体" w:eastAsia="黑体" w:cs="黑体"/>
          <w:color w:val="000000" w:themeColor="text1"/>
          <w:sz w:val="32"/>
          <w:szCs w:val="32"/>
          <w:highlight w:val="none"/>
          <w14:textFill>
            <w14:solidFill>
              <w14:schemeClr w14:val="tx1"/>
            </w14:solidFill>
          </w14:textFill>
        </w:rPr>
      </w:pPr>
    </w:p>
    <w:p w14:paraId="0F7450C0">
      <w:pPr>
        <w:pStyle w:val="273"/>
        <w:rPr>
          <w:rFonts w:hint="eastAsia" w:ascii="黑体" w:hAnsi="黑体" w:eastAsia="黑体" w:cs="黑体"/>
          <w:color w:val="000000" w:themeColor="text1"/>
          <w:sz w:val="32"/>
          <w:szCs w:val="32"/>
          <w:highlight w:val="none"/>
          <w14:textFill>
            <w14:solidFill>
              <w14:schemeClr w14:val="tx1"/>
            </w14:solidFill>
          </w14:textFill>
        </w:rPr>
      </w:pPr>
    </w:p>
    <w:p w14:paraId="5DAE8218">
      <w:pPr>
        <w:pStyle w:val="273"/>
        <w:rPr>
          <w:rFonts w:hint="eastAsia" w:ascii="黑体" w:hAnsi="黑体" w:eastAsia="黑体" w:cs="黑体"/>
          <w:color w:val="000000" w:themeColor="text1"/>
          <w:sz w:val="32"/>
          <w:szCs w:val="32"/>
          <w:highlight w:val="none"/>
          <w14:textFill>
            <w14:solidFill>
              <w14:schemeClr w14:val="tx1"/>
            </w14:solidFill>
          </w14:textFill>
        </w:rPr>
      </w:pPr>
    </w:p>
    <w:p w14:paraId="5B89A15A">
      <w:pPr>
        <w:pStyle w:val="273"/>
        <w:rPr>
          <w:rFonts w:hint="eastAsia" w:ascii="黑体" w:hAnsi="黑体" w:eastAsia="黑体" w:cs="黑体"/>
          <w:color w:val="000000" w:themeColor="text1"/>
          <w:sz w:val="32"/>
          <w:szCs w:val="32"/>
          <w:highlight w:val="none"/>
          <w14:textFill>
            <w14:solidFill>
              <w14:schemeClr w14:val="tx1"/>
            </w14:solidFill>
          </w14:textFill>
        </w:rPr>
      </w:pPr>
    </w:p>
    <w:p w14:paraId="66CCA34B">
      <w:pPr>
        <w:pStyle w:val="273"/>
        <w:rPr>
          <w:rFonts w:hint="eastAsia" w:ascii="黑体" w:hAnsi="黑体" w:eastAsia="黑体" w:cs="黑体"/>
          <w:color w:val="000000" w:themeColor="text1"/>
          <w:sz w:val="32"/>
          <w:szCs w:val="32"/>
          <w:highlight w:val="none"/>
          <w14:textFill>
            <w14:solidFill>
              <w14:schemeClr w14:val="tx1"/>
            </w14:solidFill>
          </w14:textFill>
        </w:rPr>
      </w:pPr>
    </w:p>
    <w:p w14:paraId="52556AA9">
      <w:pPr>
        <w:pStyle w:val="273"/>
        <w:rPr>
          <w:rFonts w:hint="eastAsia" w:ascii="黑体" w:hAnsi="黑体" w:eastAsia="黑体" w:cs="黑体"/>
          <w:color w:val="000000" w:themeColor="text1"/>
          <w:sz w:val="32"/>
          <w:szCs w:val="32"/>
          <w:highlight w:val="none"/>
          <w14:textFill>
            <w14:solidFill>
              <w14:schemeClr w14:val="tx1"/>
            </w14:solidFill>
          </w14:textFill>
        </w:rPr>
      </w:pPr>
    </w:p>
    <w:p w14:paraId="214CB311">
      <w:pPr>
        <w:pStyle w:val="273"/>
        <w:rPr>
          <w:rFonts w:hint="eastAsia" w:ascii="黑体" w:hAnsi="黑体" w:eastAsia="黑体" w:cs="黑体"/>
          <w:color w:val="000000" w:themeColor="text1"/>
          <w:sz w:val="32"/>
          <w:szCs w:val="32"/>
          <w:highlight w:val="none"/>
          <w14:textFill>
            <w14:solidFill>
              <w14:schemeClr w14:val="tx1"/>
            </w14:solidFill>
          </w14:textFill>
        </w:rPr>
      </w:pPr>
    </w:p>
    <w:p w14:paraId="44E1D206">
      <w:pPr>
        <w:pStyle w:val="219"/>
        <w:rPr>
          <w:rFonts w:hint="eastAsia" w:ascii="宋体" w:hAnsi="宋体" w:cs="Arial"/>
          <w:b w:val="0"/>
          <w:bCs/>
          <w:color w:val="000000" w:themeColor="text1"/>
          <w:szCs w:val="21"/>
          <w:highlight w:val="none"/>
          <w:u w:val="single"/>
          <w:lang w:val="en-US" w:eastAsia="zh-CN"/>
          <w14:textFill>
            <w14:solidFill>
              <w14:schemeClr w14:val="tx1"/>
            </w14:solidFill>
          </w14:textFill>
        </w:rPr>
      </w:pPr>
    </w:p>
    <w:p w14:paraId="35156A4C">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20493A03">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30255380">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4AB3AF76">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15E8810B">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52E6937C">
      <w:pPr>
        <w:widowControl/>
        <w:jc w:val="left"/>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附件1：</w:t>
      </w:r>
    </w:p>
    <w:p w14:paraId="60BD60FF">
      <w:pPr>
        <w:pStyle w:val="219"/>
        <w:jc w:val="center"/>
        <w:rPr>
          <w:rFonts w:hint="eastAsia"/>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中小企业划型标准规定</w:t>
      </w:r>
    </w:p>
    <w:p w14:paraId="7B76959F">
      <w:pPr>
        <w:pStyle w:val="219"/>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工信部联企业[2011]300号</w:t>
      </w:r>
    </w:p>
    <w:p w14:paraId="350143D8">
      <w:pPr>
        <w:pStyle w:val="219"/>
        <w:rPr>
          <w:rFonts w:hint="eastAsia"/>
          <w:color w:val="000000" w:themeColor="text1"/>
          <w:szCs w:val="21"/>
          <w:highlight w:val="none"/>
          <w14:textFill>
            <w14:solidFill>
              <w14:schemeClr w14:val="tx1"/>
            </w14:solidFill>
          </w14:textFill>
        </w:rPr>
      </w:pPr>
    </w:p>
    <w:p w14:paraId="676D3F44">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一、根据《中华人民共和国中小企业促进法》和《国务院关于进一步促进中小企业发展的若干意见》</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国发</w:t>
      </w:r>
      <w:r>
        <w:rPr>
          <w:color w:val="000000" w:themeColor="text1"/>
          <w:szCs w:val="21"/>
          <w:highlight w:val="none"/>
          <w14:textFill>
            <w14:solidFill>
              <w14:schemeClr w14:val="tx1"/>
            </w14:solidFill>
          </w14:textFill>
        </w:rPr>
        <w:t>[2009]36</w:t>
      </w:r>
      <w:r>
        <w:rPr>
          <w:rFonts w:hint="eastAsia"/>
          <w:color w:val="000000" w:themeColor="text1"/>
          <w:szCs w:val="21"/>
          <w:highlight w:val="none"/>
          <w14:textFill>
            <w14:solidFill>
              <w14:schemeClr w14:val="tx1"/>
            </w14:solidFill>
          </w14:textFill>
        </w:rPr>
        <w:t>号</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，制定本规定。</w:t>
      </w:r>
    </w:p>
    <w:p w14:paraId="7C5B7BB9">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0F64EF0E">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7A6E031">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四、各行业划型标准为：</w:t>
      </w:r>
    </w:p>
    <w:p w14:paraId="206B44B2">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（一）农、林、牧、渔业。营业收入</w:t>
      </w:r>
      <w:r>
        <w:rPr>
          <w:color w:val="000000" w:themeColor="text1"/>
          <w:szCs w:val="21"/>
          <w:highlight w:val="none"/>
          <w14:textFill>
            <w14:solidFill>
              <w14:schemeClr w14:val="tx1"/>
            </w14:solidFill>
          </w14:textFill>
        </w:rPr>
        <w:t>20000</w:t>
      </w:r>
      <w:r>
        <w:rPr>
          <w:rFonts w:hint="eastAsia"/>
          <w:color w:val="000000" w:themeColor="text1"/>
          <w:szCs w:val="21"/>
          <w:highlight w:val="none"/>
          <w14:textFill>
            <w14:solidFill>
              <w14:schemeClr w14:val="tx1"/>
            </w14:solidFill>
          </w14:textFill>
        </w:rPr>
        <w:t>万元以下的为中小微型企业。其中，营业收入</w:t>
      </w:r>
      <w:r>
        <w:rPr>
          <w:color w:val="000000" w:themeColor="text1"/>
          <w:szCs w:val="21"/>
          <w:highlight w:val="none"/>
          <w14:textFill>
            <w14:solidFill>
              <w14:schemeClr w14:val="tx1"/>
            </w14:solidFill>
          </w14:textFill>
        </w:rPr>
        <w:t>500</w:t>
      </w:r>
      <w:r>
        <w:rPr>
          <w:rFonts w:hint="eastAsia"/>
          <w:color w:val="000000" w:themeColor="text1"/>
          <w:szCs w:val="21"/>
          <w:highlight w:val="none"/>
          <w14:textFill>
            <w14:solidFill>
              <w14:schemeClr w14:val="tx1"/>
            </w14:solidFill>
          </w14:textFill>
        </w:rPr>
        <w:t>万元及以上的为中型企业，营业收入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万元及以上的为小型企业，营业收入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万元以下的为微型企业。</w:t>
      </w:r>
    </w:p>
    <w:p w14:paraId="02D109D3">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（二）工业。从业人员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40000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万元以下的为微型企业。</w:t>
      </w:r>
    </w:p>
    <w:p w14:paraId="35ECD386">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（三）建筑业。营业收入</w:t>
      </w:r>
      <w:r>
        <w:rPr>
          <w:color w:val="000000" w:themeColor="text1"/>
          <w:szCs w:val="21"/>
          <w:highlight w:val="none"/>
          <w14:textFill>
            <w14:solidFill>
              <w14:schemeClr w14:val="tx1"/>
            </w14:solidFill>
          </w14:textFill>
        </w:rPr>
        <w:t>80000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80000</w:t>
      </w:r>
      <w:r>
        <w:rPr>
          <w:rFonts w:hint="eastAsia"/>
          <w:color w:val="000000" w:themeColor="text1"/>
          <w:szCs w:val="21"/>
          <w:highlight w:val="none"/>
          <w14:textFill>
            <w14:solidFill>
              <w14:schemeClr w14:val="tx1"/>
            </w14:solidFill>
          </w14:textFill>
        </w:rPr>
        <w:t>万元以下的为中小微型企业。其中，营业收入</w:t>
      </w:r>
      <w:r>
        <w:rPr>
          <w:color w:val="000000" w:themeColor="text1"/>
          <w:szCs w:val="21"/>
          <w:highlight w:val="none"/>
          <w14:textFill>
            <w14:solidFill>
              <w14:schemeClr w14:val="tx1"/>
            </w14:solidFill>
          </w14:textFill>
        </w:rPr>
        <w:t>6000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5000</w:t>
      </w:r>
      <w:r>
        <w:rPr>
          <w:rFonts w:hint="eastAsia"/>
          <w:color w:val="000000" w:themeColor="text1"/>
          <w:szCs w:val="21"/>
          <w:highlight w:val="none"/>
          <w14:textFill>
            <w14:solidFill>
              <w14:schemeClr w14:val="tx1"/>
            </w14:solidFill>
          </w14:textFill>
        </w:rPr>
        <w:t>万元及以上的为中型企业；营业收入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万元及以上的为小型企业；营业收入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万元以下的为微型企业。</w:t>
      </w:r>
    </w:p>
    <w:p w14:paraId="5065385C">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（四）批发业。从业人员</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40000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5000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万元以下的为微型企业。</w:t>
      </w:r>
    </w:p>
    <w:p w14:paraId="7027EECC">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（五）零售业。从业人员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20000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500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4FC4DC50">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（六）交通运输业。从业人员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3000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万元以下的为微型企业。</w:t>
      </w:r>
    </w:p>
    <w:p w14:paraId="6F302F3C">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（七）仓储业。从业人员</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130BE075">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（八）邮政业。从业人员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3E566C21">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（九）住宿业。从业人员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38F7CED3">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（十）餐饮业。从业人员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135F36D3">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（十一）信息传输业。从业人员</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19C7CD78">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（十二）软件和信息技术服务业。从业人员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万元以下的为微型企业。</w:t>
      </w:r>
    </w:p>
    <w:p w14:paraId="6877F01A">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（十三）房地产开发经营。营业收入</w:t>
      </w:r>
      <w:r>
        <w:rPr>
          <w:color w:val="000000" w:themeColor="text1"/>
          <w:szCs w:val="21"/>
          <w:highlight w:val="none"/>
          <w14:textFill>
            <w14:solidFill>
              <w14:schemeClr w14:val="tx1"/>
            </w14:solidFill>
          </w14:textFill>
        </w:rPr>
        <w:t>200000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5000</w:t>
      </w:r>
      <w:r>
        <w:rPr>
          <w:rFonts w:hint="eastAsia"/>
          <w:color w:val="000000" w:themeColor="text1"/>
          <w:szCs w:val="21"/>
          <w:highlight w:val="none"/>
          <w14:textFill>
            <w14:solidFill>
              <w14:schemeClr w14:val="tx1"/>
            </w14:solidFill>
          </w14:textFill>
        </w:rPr>
        <w:t>万元及以上的为中型企业；营业收入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万元及以上的为小型企业；营业收入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万元以下的为微型企业。</w:t>
      </w:r>
    </w:p>
    <w:p w14:paraId="1E3E18AE">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（十四）物业管理。从业人员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5000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500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500</w:t>
      </w:r>
      <w:r>
        <w:rPr>
          <w:rFonts w:hint="eastAsia"/>
          <w:color w:val="000000" w:themeColor="text1"/>
          <w:szCs w:val="21"/>
          <w:highlight w:val="none"/>
          <w14:textFill>
            <w14:solidFill>
              <w14:schemeClr w14:val="tx1"/>
            </w14:solidFill>
          </w14:textFill>
        </w:rPr>
        <w:t>万元以下的为微型企业。</w:t>
      </w:r>
    </w:p>
    <w:p w14:paraId="44BCA2A9">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（十五）租赁和商务服务业。从业人员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人以下或资产总额</w:t>
      </w:r>
      <w:r>
        <w:rPr>
          <w:color w:val="000000" w:themeColor="text1"/>
          <w:szCs w:val="21"/>
          <w:highlight w:val="none"/>
          <w14:textFill>
            <w14:solidFill>
              <w14:schemeClr w14:val="tx1"/>
            </w14:solidFill>
          </w14:textFill>
        </w:rPr>
        <w:t>120000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人及以上，且资产总额</w:t>
      </w:r>
      <w:r>
        <w:rPr>
          <w:color w:val="000000" w:themeColor="text1"/>
          <w:szCs w:val="21"/>
          <w:highlight w:val="none"/>
          <w14:textFill>
            <w14:solidFill>
              <w14:schemeClr w14:val="tx1"/>
            </w14:solidFill>
          </w14:textFill>
        </w:rPr>
        <w:t>8000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人及以上，且资产总额</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人以下或资产总额</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67C8BBD2">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（十六）其他未列明行业。从业人员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人以下的为微型企业。</w:t>
      </w:r>
    </w:p>
    <w:p w14:paraId="7673D7AC">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五、企业类型的划分以统计部门的统计数据为依据。</w:t>
      </w:r>
    </w:p>
    <w:p w14:paraId="3125A89F">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454F4607">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5294B113">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1909A346">
      <w:pPr>
        <w:pStyle w:val="21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九、本规定由工业和信息化部、国家统计局会同有关部门负责解释。</w:t>
      </w:r>
    </w:p>
    <w:p w14:paraId="0D92F050">
      <w:pPr>
        <w:pStyle w:val="219"/>
        <w:ind w:firstLine="420"/>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十、本规定自发布之日起执行，原国家经贸委、原国家计委、财政部和国家统计局</w:t>
      </w:r>
      <w:r>
        <w:rPr>
          <w:color w:val="000000" w:themeColor="text1"/>
          <w:szCs w:val="21"/>
          <w:highlight w:val="none"/>
          <w14:textFill>
            <w14:solidFill>
              <w14:schemeClr w14:val="tx1"/>
            </w14:solidFill>
          </w14:textFill>
        </w:rPr>
        <w:t>2003</w:t>
      </w:r>
      <w:r>
        <w:rPr>
          <w:rFonts w:hint="eastAsia"/>
          <w:color w:val="000000" w:themeColor="text1"/>
          <w:szCs w:val="21"/>
          <w:highlight w:val="none"/>
          <w14:textFill>
            <w14:solidFill>
              <w14:schemeClr w14:val="tx1"/>
            </w14:solidFill>
          </w14:textFill>
        </w:rPr>
        <w:t>年颁布的《中小企业标准暂行规定》同时废止。</w:t>
      </w:r>
    </w:p>
    <w:p w14:paraId="32BE92D9">
      <w:pPr>
        <w:pStyle w:val="219"/>
        <w:ind w:firstLine="420"/>
        <w:rPr>
          <w:rFonts w:hint="eastAsia"/>
          <w:color w:val="000000" w:themeColor="text1"/>
          <w:szCs w:val="21"/>
          <w:highlight w:val="none"/>
          <w14:textFill>
            <w14:solidFill>
              <w14:schemeClr w14:val="tx1"/>
            </w14:solidFill>
          </w14:textFill>
        </w:rPr>
      </w:pPr>
    </w:p>
    <w:p w14:paraId="204B1958">
      <w:pPr>
        <w:pStyle w:val="219"/>
        <w:ind w:firstLine="420"/>
        <w:rPr>
          <w:rFonts w:hint="eastAsia"/>
          <w:color w:val="000000" w:themeColor="text1"/>
          <w:szCs w:val="21"/>
          <w:highlight w:val="none"/>
          <w14:textFill>
            <w14:solidFill>
              <w14:schemeClr w14:val="tx1"/>
            </w14:solidFill>
          </w14:textFill>
        </w:rPr>
      </w:pPr>
    </w:p>
    <w:p w14:paraId="7DA03D07">
      <w:pPr>
        <w:pStyle w:val="219"/>
        <w:ind w:firstLine="420"/>
        <w:rPr>
          <w:rFonts w:hint="eastAsia"/>
          <w:color w:val="000000" w:themeColor="text1"/>
          <w:szCs w:val="21"/>
          <w:highlight w:val="none"/>
          <w14:textFill>
            <w14:solidFill>
              <w14:schemeClr w14:val="tx1"/>
            </w14:solidFill>
          </w14:textFill>
        </w:rPr>
      </w:pPr>
    </w:p>
    <w:p w14:paraId="5009DAB1">
      <w:pPr>
        <w:pStyle w:val="219"/>
        <w:ind w:firstLine="420"/>
        <w:rPr>
          <w:rFonts w:hint="eastAsia"/>
          <w:color w:val="000000" w:themeColor="text1"/>
          <w:szCs w:val="21"/>
          <w:highlight w:val="none"/>
          <w14:textFill>
            <w14:solidFill>
              <w14:schemeClr w14:val="tx1"/>
            </w14:solidFill>
          </w14:textFill>
        </w:rPr>
      </w:pPr>
    </w:p>
    <w:p w14:paraId="16843148">
      <w:pPr>
        <w:pStyle w:val="219"/>
        <w:ind w:firstLine="420"/>
        <w:rPr>
          <w:rFonts w:hint="eastAsia"/>
          <w:color w:val="000000" w:themeColor="text1"/>
          <w:szCs w:val="21"/>
          <w:highlight w:val="none"/>
          <w14:textFill>
            <w14:solidFill>
              <w14:schemeClr w14:val="tx1"/>
            </w14:solidFill>
          </w14:textFill>
        </w:rPr>
      </w:pPr>
    </w:p>
    <w:p w14:paraId="1F37436F">
      <w:pPr>
        <w:pStyle w:val="219"/>
        <w:ind w:firstLine="420"/>
        <w:rPr>
          <w:rFonts w:hint="eastAsia"/>
          <w:color w:val="000000" w:themeColor="text1"/>
          <w:szCs w:val="21"/>
          <w:highlight w:val="none"/>
          <w14:textFill>
            <w14:solidFill>
              <w14:schemeClr w14:val="tx1"/>
            </w14:solidFill>
          </w14:textFill>
        </w:rPr>
      </w:pPr>
    </w:p>
    <w:p w14:paraId="3FE6D475">
      <w:pPr>
        <w:pStyle w:val="219"/>
        <w:ind w:firstLine="420"/>
        <w:rPr>
          <w:rFonts w:hint="eastAsia"/>
          <w:color w:val="000000" w:themeColor="text1"/>
          <w:szCs w:val="21"/>
          <w:highlight w:val="none"/>
          <w14:textFill>
            <w14:solidFill>
              <w14:schemeClr w14:val="tx1"/>
            </w14:solidFill>
          </w14:textFill>
        </w:rPr>
      </w:pPr>
    </w:p>
    <w:p w14:paraId="1B059A28">
      <w:pPr>
        <w:pStyle w:val="219"/>
        <w:ind w:firstLine="420"/>
        <w:rPr>
          <w:rFonts w:hint="eastAsia"/>
          <w:color w:val="000000" w:themeColor="text1"/>
          <w:szCs w:val="21"/>
          <w:highlight w:val="none"/>
          <w14:textFill>
            <w14:solidFill>
              <w14:schemeClr w14:val="tx1"/>
            </w14:solidFill>
          </w14:textFill>
        </w:rPr>
      </w:pPr>
    </w:p>
    <w:p w14:paraId="59A6D56D">
      <w:pPr>
        <w:pStyle w:val="219"/>
        <w:ind w:firstLine="420"/>
        <w:rPr>
          <w:rFonts w:hint="eastAsia"/>
          <w:color w:val="000000" w:themeColor="text1"/>
          <w:szCs w:val="21"/>
          <w:highlight w:val="none"/>
          <w14:textFill>
            <w14:solidFill>
              <w14:schemeClr w14:val="tx1"/>
            </w14:solidFill>
          </w14:textFill>
        </w:rPr>
      </w:pPr>
    </w:p>
    <w:p w14:paraId="1244E74D">
      <w:pPr>
        <w:pStyle w:val="219"/>
        <w:ind w:firstLine="420"/>
        <w:rPr>
          <w:rFonts w:hint="eastAsia"/>
          <w:color w:val="000000" w:themeColor="text1"/>
          <w:szCs w:val="21"/>
          <w:highlight w:val="none"/>
          <w14:textFill>
            <w14:solidFill>
              <w14:schemeClr w14:val="tx1"/>
            </w14:solidFill>
          </w14:textFill>
        </w:rPr>
      </w:pPr>
    </w:p>
    <w:p w14:paraId="18BAE510">
      <w:pPr>
        <w:pStyle w:val="219"/>
        <w:ind w:firstLine="420"/>
        <w:rPr>
          <w:rFonts w:hint="eastAsia"/>
          <w:color w:val="000000" w:themeColor="text1"/>
          <w:szCs w:val="21"/>
          <w:highlight w:val="none"/>
          <w14:textFill>
            <w14:solidFill>
              <w14:schemeClr w14:val="tx1"/>
            </w14:solidFill>
          </w14:textFill>
        </w:rPr>
      </w:pPr>
    </w:p>
    <w:p w14:paraId="1BA849CD">
      <w:pPr>
        <w:pStyle w:val="219"/>
        <w:ind w:firstLine="420"/>
        <w:rPr>
          <w:rFonts w:hint="eastAsia"/>
          <w:color w:val="000000" w:themeColor="text1"/>
          <w:szCs w:val="21"/>
          <w:highlight w:val="none"/>
          <w14:textFill>
            <w14:solidFill>
              <w14:schemeClr w14:val="tx1"/>
            </w14:solidFill>
          </w14:textFill>
        </w:rPr>
      </w:pPr>
    </w:p>
    <w:p w14:paraId="7EBEEB8A">
      <w:pPr>
        <w:pStyle w:val="219"/>
        <w:ind w:firstLine="420"/>
        <w:rPr>
          <w:rFonts w:hint="eastAsia"/>
          <w:color w:val="000000" w:themeColor="text1"/>
          <w:szCs w:val="21"/>
          <w:highlight w:val="none"/>
          <w14:textFill>
            <w14:solidFill>
              <w14:schemeClr w14:val="tx1"/>
            </w14:solidFill>
          </w14:textFill>
        </w:rPr>
      </w:pPr>
    </w:p>
    <w:p w14:paraId="7A927579">
      <w:pPr>
        <w:pStyle w:val="219"/>
        <w:ind w:firstLine="420"/>
        <w:rPr>
          <w:rFonts w:hint="eastAsia"/>
          <w:color w:val="000000" w:themeColor="text1"/>
          <w:szCs w:val="21"/>
          <w:highlight w:val="none"/>
          <w14:textFill>
            <w14:solidFill>
              <w14:schemeClr w14:val="tx1"/>
            </w14:solidFill>
          </w14:textFill>
        </w:rPr>
      </w:pPr>
    </w:p>
    <w:p w14:paraId="1297F47F">
      <w:pPr>
        <w:pStyle w:val="219"/>
        <w:rPr>
          <w:rFonts w:hint="eastAsia"/>
          <w:color w:val="000000" w:themeColor="text1"/>
          <w:szCs w:val="21"/>
          <w:highlight w:val="none"/>
          <w14:textFill>
            <w14:solidFill>
              <w14:schemeClr w14:val="tx1"/>
            </w14:solidFill>
          </w14:textFill>
        </w:rPr>
      </w:pPr>
    </w:p>
    <w:p w14:paraId="210D33F4">
      <w:pPr>
        <w:pStyle w:val="193"/>
        <w:jc w:val="center"/>
        <w:rPr>
          <w:rFonts w:hint="eastAsia" w:ascii="宋体" w:hAnsi="宋体" w:eastAsia="宋体" w:cs="宋体"/>
          <w:color w:val="000000" w:themeColor="text1"/>
          <w:highlight w:val="none"/>
          <w14:textFill>
            <w14:solidFill>
              <w14:schemeClr w14:val="tx1"/>
            </w14:solidFill>
          </w14:textFill>
        </w:rPr>
      </w:pPr>
      <w:bookmarkStart w:id="83" w:name="_Toc28618"/>
      <w:r>
        <w:rPr>
          <w:rFonts w:hint="eastAsia" w:ascii="宋体" w:hAnsi="宋体" w:eastAsia="宋体" w:cs="宋体"/>
          <w:color w:val="000000" w:themeColor="text1"/>
          <w:highlight w:val="none"/>
          <w14:textFill>
            <w14:solidFill>
              <w14:schemeClr w14:val="tx1"/>
            </w14:solidFill>
          </w14:textFill>
        </w:rPr>
        <w:t>第三章  投标人须知</w:t>
      </w:r>
      <w:bookmarkEnd w:id="83"/>
    </w:p>
    <w:p w14:paraId="2FA24E29">
      <w:pPr>
        <w:jc w:val="center"/>
        <w:rPr>
          <w:rFonts w:hint="eastAsia"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投标人须知前附表</w:t>
      </w:r>
    </w:p>
    <w:tbl>
      <w:tblPr>
        <w:tblStyle w:val="30"/>
        <w:tblW w:w="907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049FD6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5766B08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条款号</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1BF4F87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编列内容</w:t>
            </w:r>
          </w:p>
        </w:tc>
      </w:tr>
      <w:tr w14:paraId="03B670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32C7C338">
            <w:pPr>
              <w:jc w:val="center"/>
              <w:rPr>
                <w:rFonts w:hint="eastAsia" w:ascii="宋体" w:hAnsi="宋体" w:cs="宋体"/>
                <w:color w:val="000000" w:themeColor="text1"/>
                <w:highlight w:val="none"/>
                <w14:textFill>
                  <w14:solidFill>
                    <w14:schemeClr w14:val="tx1"/>
                  </w14:solidFill>
                </w14:textFill>
              </w:rPr>
            </w:pPr>
            <w:bookmarkStart w:id="84" w:name="_5"/>
            <w:bookmarkEnd w:id="84"/>
            <w:r>
              <w:rPr>
                <w:rFonts w:hint="eastAsia" w:ascii="宋体" w:hAnsi="宋体" w:cs="宋体"/>
                <w:color w:val="000000" w:themeColor="text1"/>
                <w:highlight w:val="none"/>
                <w14:textFill>
                  <w14:solidFill>
                    <w14:schemeClr w14:val="tx1"/>
                  </w14:solidFill>
                </w14:textFill>
              </w:rPr>
              <w:t>3</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0D6C3977">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1.投标人的资格要求详见招标公告。</w:t>
            </w:r>
          </w:p>
          <w:p w14:paraId="1C48FA26">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2.投标人出现下列情形之一的，不得参加政府采购活动：</w:t>
            </w:r>
          </w:p>
          <w:p w14:paraId="01F89F17">
            <w:pPr>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3A7802A">
            <w:pPr>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5EA4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4979EAC1">
            <w:pPr>
              <w:jc w:val="center"/>
              <w:rPr>
                <w:rFonts w:hint="eastAsia" w:ascii="宋体" w:hAnsi="宋体" w:cs="宋体"/>
                <w:color w:val="000000" w:themeColor="text1"/>
                <w:highlight w:val="none"/>
                <w14:textFill>
                  <w14:solidFill>
                    <w14:schemeClr w14:val="tx1"/>
                  </w14:solidFill>
                </w14:textFill>
              </w:rPr>
            </w:pPr>
            <w:bookmarkStart w:id="85" w:name="_8.1"/>
            <w:bookmarkEnd w:id="85"/>
            <w:bookmarkStart w:id="86" w:name="_9.2"/>
            <w:bookmarkEnd w:id="86"/>
            <w:r>
              <w:rPr>
                <w:rFonts w:hint="eastAsia" w:ascii="宋体" w:hAnsi="宋体" w:cs="宋体"/>
                <w:color w:val="000000" w:themeColor="text1"/>
                <w:highlight w:val="none"/>
                <w14:textFill>
                  <w14:solidFill>
                    <w14:schemeClr w14:val="tx1"/>
                  </w14:solidFill>
                </w14:textFill>
              </w:rPr>
              <w:t>6.1</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59FC25CA">
            <w:pPr>
              <w:pStyle w:val="215"/>
              <w:spacing w:line="360" w:lineRule="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本项目是否接受联合体投标：详见招标公告。</w:t>
            </w:r>
          </w:p>
        </w:tc>
      </w:tr>
      <w:tr w14:paraId="7F4157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292F51D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6.2</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3CED5BA1">
            <w:pPr>
              <w:pStyle w:val="215"/>
              <w:spacing w:line="360" w:lineRule="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联合体投标要求：无。</w:t>
            </w:r>
          </w:p>
        </w:tc>
      </w:tr>
      <w:tr w14:paraId="39BEF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3237C1E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7.2</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5938C8D0">
            <w:pPr>
              <w:pStyle w:val="215"/>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√不</w:t>
            </w:r>
            <w:r>
              <w:rPr>
                <w:rFonts w:hint="eastAsia" w:ascii="宋体" w:hAnsi="宋体" w:cs="宋体"/>
                <w:color w:val="000000" w:themeColor="text1"/>
                <w:szCs w:val="21"/>
                <w:highlight w:val="none"/>
                <w:lang w:val="en-US" w:eastAsia="zh-CN"/>
                <w14:textFill>
                  <w14:solidFill>
                    <w14:schemeClr w14:val="tx1"/>
                  </w14:solidFill>
                </w14:textFill>
              </w:rPr>
              <w:t>允许分包</w:t>
            </w:r>
          </w:p>
        </w:tc>
      </w:tr>
      <w:tr w14:paraId="7FE48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48E577D6">
            <w:pPr>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252DCC9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不组织现场考察</w:t>
            </w:r>
          </w:p>
        </w:tc>
      </w:tr>
      <w:tr w14:paraId="26E35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left w:val="single" w:color="auto" w:sz="4" w:space="0"/>
              <w:bottom w:val="single" w:color="auto" w:sz="4" w:space="0"/>
              <w:right w:val="single" w:color="auto" w:sz="4" w:space="0"/>
            </w:tcBorders>
            <w:noWrap w:val="0"/>
            <w:vAlign w:val="center"/>
          </w:tcPr>
          <w:p w14:paraId="61149E9E">
            <w:pPr>
              <w:jc w:val="center"/>
              <w:rPr>
                <w:rFonts w:hint="eastAsia" w:ascii="宋体" w:hAnsi="宋体" w:cs="宋体"/>
                <w:color w:val="000000" w:themeColor="text1"/>
                <w:highlight w:val="none"/>
                <w14:textFill>
                  <w14:solidFill>
                    <w14:schemeClr w14:val="tx1"/>
                  </w14:solidFill>
                </w14:textFill>
              </w:rPr>
            </w:pPr>
            <w:bookmarkStart w:id="87" w:name="_13.1"/>
            <w:bookmarkEnd w:id="87"/>
            <w:r>
              <w:rPr>
                <w:rFonts w:hint="eastAsia" w:ascii="宋体" w:hAnsi="宋体" w:cs="宋体"/>
                <w:color w:val="000000" w:themeColor="text1"/>
                <w:highlight w:val="none"/>
                <w14:textFill>
                  <w14:solidFill>
                    <w14:schemeClr w14:val="tx1"/>
                  </w14:solidFill>
                </w14:textFill>
              </w:rPr>
              <w:t>13</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4F87A973">
            <w:pPr>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报价文件</w:t>
            </w:r>
            <w:r>
              <w:rPr>
                <w:rFonts w:hint="eastAsia" w:ascii="宋体" w:hAnsi="宋体" w:cs="宋体"/>
                <w:b/>
                <w:color w:val="000000" w:themeColor="text1"/>
                <w:sz w:val="24"/>
                <w:highlight w:val="none"/>
                <w14:textFill>
                  <w14:solidFill>
                    <w14:schemeClr w14:val="tx1"/>
                  </w14:solidFill>
                </w14:textFill>
              </w:rPr>
              <w:t>：</w:t>
            </w:r>
          </w:p>
          <w:p w14:paraId="0D4EEA2E">
            <w:pPr>
              <w:numPr>
                <w:ilvl w:val="0"/>
                <w:numId w:val="0"/>
              </w:numPr>
              <w:tabs>
                <w:tab w:val="left" w:pos="459"/>
              </w:tabs>
              <w:ind w:left="459" w:hanging="39"/>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 w:val="21"/>
                <w:szCs w:val="21"/>
                <w:highlight w:val="none"/>
                <w:lang w:val="en-US" w:eastAsia="zh-CN" w:bidi="ar-SA"/>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投标函（格式后附）；</w:t>
            </w:r>
            <w:r>
              <w:rPr>
                <w:rFonts w:hint="eastAsia" w:ascii="宋体" w:hAnsi="宋体" w:cs="宋体"/>
                <w:b/>
                <w:color w:val="000000" w:themeColor="text1"/>
                <w:szCs w:val="21"/>
                <w:highlight w:val="none"/>
                <w14:textFill>
                  <w14:solidFill>
                    <w14:schemeClr w14:val="tx1"/>
                  </w14:solidFill>
                </w14:textFill>
              </w:rPr>
              <w:t>（必须提供，否则作无效投标处理）</w:t>
            </w:r>
          </w:p>
          <w:p w14:paraId="2C98DB9F">
            <w:pPr>
              <w:numPr>
                <w:ilvl w:val="0"/>
                <w:numId w:val="0"/>
              </w:numPr>
              <w:tabs>
                <w:tab w:val="left" w:pos="459"/>
              </w:tabs>
              <w:ind w:left="459" w:hanging="39"/>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 w:val="21"/>
                <w:szCs w:val="21"/>
                <w:highlight w:val="none"/>
                <w:lang w:val="en-US" w:eastAsia="zh-CN" w:bidi="ar-SA"/>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开标一览表（格式后附）；（</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17BFCDDC">
            <w:pPr>
              <w:tabs>
                <w:tab w:val="left" w:pos="459"/>
              </w:tabs>
              <w:ind w:left="459" w:hanging="39"/>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供应商享受中小企业扶持政策的材料（供应商根据自身响应情况，提供以下任意一项材料以证明自身可享受中小企业扶持政策）：</w:t>
            </w:r>
          </w:p>
          <w:p w14:paraId="55F147E8">
            <w:pPr>
              <w:tabs>
                <w:tab w:val="left" w:pos="459"/>
              </w:tabs>
              <w:ind w:left="42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（1）《中小企业声明函》（格式后附）；</w:t>
            </w:r>
          </w:p>
          <w:p w14:paraId="6795D646">
            <w:pPr>
              <w:tabs>
                <w:tab w:val="left" w:pos="459"/>
              </w:tabs>
              <w:ind w:left="42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（2）《残疾人福利性单位声明函》（格式后附）</w:t>
            </w:r>
          </w:p>
          <w:p w14:paraId="0750B0CE">
            <w:pPr>
              <w:tabs>
                <w:tab w:val="left" w:pos="459"/>
              </w:tabs>
              <w:ind w:left="42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（3）省级以上监狱管理局、戒毒管理局(含新疆生产建设兵团)出具的属于监狱企业的证明文件； </w:t>
            </w:r>
          </w:p>
          <w:p w14:paraId="5790F3FA">
            <w:pPr>
              <w:tabs>
                <w:tab w:val="left" w:pos="459"/>
              </w:tabs>
              <w:ind w:left="42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4.《关于符合本国产品标准的声明函》或者财政部会同有关部门规定的有关证明文件；（供应商根据自身响应情况出具）</w:t>
            </w:r>
          </w:p>
          <w:p w14:paraId="474777C1">
            <w:pPr>
              <w:tabs>
                <w:tab w:val="left" w:pos="459"/>
              </w:tabs>
              <w:ind w:left="42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5.投标人针对报价需要说明的其他文件和说明（格式自拟）。</w:t>
            </w:r>
          </w:p>
          <w:p w14:paraId="17AE9A55">
            <w:pPr>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注：以上标明“必须提供”的，必须加盖投标人电子签章，否则按无效投标处理。</w:t>
            </w:r>
          </w:p>
        </w:tc>
      </w:tr>
      <w:tr w14:paraId="0C59CF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top w:val="single" w:color="auto" w:sz="4" w:space="0"/>
              <w:left w:val="single" w:color="auto" w:sz="4" w:space="0"/>
              <w:bottom w:val="single" w:color="auto" w:sz="4" w:space="0"/>
              <w:right w:val="single" w:color="auto" w:sz="4" w:space="0"/>
            </w:tcBorders>
            <w:noWrap w:val="0"/>
            <w:vAlign w:val="center"/>
          </w:tcPr>
          <w:p w14:paraId="1D083259">
            <w:pPr>
              <w:jc w:val="center"/>
              <w:rPr>
                <w:rFonts w:hint="eastAsia" w:ascii="宋体" w:hAnsi="宋体" w:cs="宋体"/>
                <w:color w:val="000000" w:themeColor="text1"/>
                <w:highlight w:val="none"/>
                <w14:textFill>
                  <w14:solidFill>
                    <w14:schemeClr w14:val="tx1"/>
                  </w14:solidFill>
                </w14:textFill>
              </w:rPr>
            </w:pPr>
            <w:bookmarkStart w:id="88" w:name="_13.2"/>
            <w:bookmarkEnd w:id="88"/>
          </w:p>
        </w:tc>
        <w:tc>
          <w:tcPr>
            <w:tcW w:w="8160" w:type="dxa"/>
            <w:tcBorders>
              <w:top w:val="single" w:color="auto" w:sz="4" w:space="0"/>
              <w:left w:val="single" w:color="auto" w:sz="4" w:space="0"/>
              <w:bottom w:val="single" w:color="auto" w:sz="4" w:space="0"/>
              <w:right w:val="single" w:color="auto" w:sz="4" w:space="0"/>
            </w:tcBorders>
            <w:noWrap w:val="0"/>
            <w:vAlign w:val="center"/>
          </w:tcPr>
          <w:p w14:paraId="0F8F44A7">
            <w:pPr>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资格证明文件</w:t>
            </w:r>
          </w:p>
          <w:p w14:paraId="3FB9DD01">
            <w:pPr>
              <w:numPr>
                <w:ilvl w:val="0"/>
                <w:numId w:val="5"/>
              </w:num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投标人合法的主体资格证明（如营业执照、事业单位法人证书、执业许可证、资质证书、自然人身份证等）</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6D1CC9B0">
            <w:pPr>
              <w:numPr>
                <w:ilvl w:val="0"/>
                <w:numId w:val="5"/>
              </w:num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贵港</w:t>
            </w:r>
            <w:r>
              <w:rPr>
                <w:rFonts w:hint="eastAsia" w:ascii="宋体" w:hAnsi="宋体" w:cs="宋体"/>
                <w:color w:val="000000" w:themeColor="text1"/>
                <w:szCs w:val="21"/>
                <w:highlight w:val="none"/>
                <w14:textFill>
                  <w14:solidFill>
                    <w14:schemeClr w14:val="tx1"/>
                  </w14:solidFill>
                </w14:textFill>
              </w:rPr>
              <w:t>市政府采购项目投标资格承诺函》（详见附件）；（</w:t>
            </w:r>
            <w:r>
              <w:rPr>
                <w:rFonts w:hint="eastAsia" w:ascii="宋体" w:hAnsi="宋体" w:cs="宋体"/>
                <w:b/>
                <w:bCs/>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32CD65B">
            <w:pPr>
              <w:numPr>
                <w:ilvl w:val="0"/>
                <w:numId w:val="5"/>
              </w:num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投标声明（格式后附）；（</w:t>
            </w:r>
            <w:r>
              <w:rPr>
                <w:rFonts w:hint="eastAsia" w:ascii="宋体" w:hAnsi="宋体" w:cs="宋体"/>
                <w:b/>
                <w:bCs/>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7513C47">
            <w:pPr>
              <w:numPr>
                <w:ilvl w:val="0"/>
                <w:numId w:val="5"/>
              </w:num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投标人直接控股、管理关系信息表（格式后附）；（</w:t>
            </w:r>
            <w:r>
              <w:rPr>
                <w:rFonts w:hint="eastAsia" w:ascii="宋体" w:hAnsi="宋体" w:cs="宋体"/>
                <w:b/>
                <w:bCs/>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AA502D0">
            <w:pPr>
              <w:numPr>
                <w:ilvl w:val="0"/>
                <w:numId w:val="5"/>
              </w:num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中小企业声明函（格式后附）或残疾人福利性单位声明函（格式后附）或监狱企业的证明文件；</w:t>
            </w:r>
            <w:r>
              <w:rPr>
                <w:rFonts w:hint="eastAsia" w:ascii="宋体" w:hAnsi="宋体" w:cs="宋体"/>
                <w:b/>
                <w:bCs/>
                <w:color w:val="000000" w:themeColor="text1"/>
                <w:szCs w:val="21"/>
                <w:highlight w:val="none"/>
                <w:lang w:val="en-US" w:eastAsia="zh-CN"/>
                <w14:textFill>
                  <w14:solidFill>
                    <w14:schemeClr w14:val="tx1"/>
                  </w14:solidFill>
                </w14:textFill>
              </w:rPr>
              <w:t>（必须提供，</w:t>
            </w:r>
            <w:r>
              <w:rPr>
                <w:rFonts w:hint="eastAsia" w:ascii="宋体" w:hAnsi="宋体" w:cs="宋体"/>
                <w:b/>
                <w:bCs/>
                <w:color w:val="000000" w:themeColor="text1"/>
                <w:szCs w:val="21"/>
                <w:highlight w:val="none"/>
                <w14:textFill>
                  <w14:solidFill>
                    <w14:schemeClr w14:val="tx1"/>
                  </w14:solidFill>
                </w14:textFill>
              </w:rPr>
              <w:t>否则作无效投标处理</w:t>
            </w:r>
            <w:r>
              <w:rPr>
                <w:rFonts w:hint="eastAsia" w:ascii="宋体" w:hAnsi="宋体" w:cs="宋体"/>
                <w:b/>
                <w:bCs/>
                <w:color w:val="000000" w:themeColor="text1"/>
                <w:szCs w:val="21"/>
                <w:highlight w:val="none"/>
                <w:lang w:val="en-US" w:eastAsia="zh-CN"/>
                <w14:textFill>
                  <w14:solidFill>
                    <w14:schemeClr w14:val="tx1"/>
                  </w14:solidFill>
                </w14:textFill>
              </w:rPr>
              <w:t>）</w:t>
            </w:r>
          </w:p>
          <w:p w14:paraId="2F55162E">
            <w:pPr>
              <w:numPr>
                <w:ilvl w:val="0"/>
                <w:numId w:val="5"/>
              </w:numPr>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除</w:t>
            </w:r>
            <w:r>
              <w:rPr>
                <w:rFonts w:hint="eastAsia" w:ascii="宋体" w:hAnsi="宋体" w:cs="宋体"/>
                <w:color w:val="000000" w:themeColor="text1"/>
                <w:highlight w:val="none"/>
                <w14:textFill>
                  <w14:solidFill>
                    <w14:schemeClr w14:val="tx1"/>
                  </w14:solidFill>
                </w14:textFill>
              </w:rPr>
              <w:t>招标文件规定必须提供以外，投标人认为需要提供的其他证明材料。</w:t>
            </w:r>
          </w:p>
          <w:p w14:paraId="45CF71EE">
            <w:pPr>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注：以上标明“必须</w:t>
            </w:r>
            <w:r>
              <w:rPr>
                <w:rFonts w:hint="eastAsia" w:ascii="宋体" w:hAnsi="宋体"/>
                <w:b/>
                <w:bCs/>
                <w:color w:val="000000" w:themeColor="text1"/>
                <w:szCs w:val="21"/>
                <w:highlight w:val="none"/>
                <w14:textFill>
                  <w14:solidFill>
                    <w14:schemeClr w14:val="tx1"/>
                  </w14:solidFill>
                </w14:textFill>
              </w:rPr>
              <w:t>提供”的材料的，必须加盖投标人电子签章，否则按无效投标</w:t>
            </w:r>
            <w:r>
              <w:rPr>
                <w:rFonts w:hint="eastAsia" w:ascii="宋体" w:hAnsi="宋体" w:cs="Courier New"/>
                <w:b/>
                <w:color w:val="000000" w:themeColor="text1"/>
                <w:szCs w:val="21"/>
                <w:highlight w:val="none"/>
                <w14:textFill>
                  <w14:solidFill>
                    <w14:schemeClr w14:val="tx1"/>
                  </w14:solidFill>
                </w14:textFill>
              </w:rPr>
              <w:t>处理。</w:t>
            </w:r>
          </w:p>
        </w:tc>
      </w:tr>
      <w:tr w14:paraId="64CF21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top w:val="single" w:color="auto" w:sz="4" w:space="0"/>
              <w:left w:val="single" w:color="auto" w:sz="4" w:space="0"/>
              <w:bottom w:val="single" w:color="auto" w:sz="4" w:space="0"/>
              <w:right w:val="single" w:color="auto" w:sz="4" w:space="0"/>
            </w:tcBorders>
            <w:noWrap w:val="0"/>
            <w:vAlign w:val="center"/>
          </w:tcPr>
          <w:p w14:paraId="0D654399">
            <w:pPr>
              <w:jc w:val="center"/>
              <w:rPr>
                <w:rFonts w:hint="eastAsia" w:ascii="宋体" w:hAnsi="宋体" w:cs="宋体"/>
                <w:color w:val="000000" w:themeColor="text1"/>
                <w:highlight w:val="none"/>
                <w14:textFill>
                  <w14:solidFill>
                    <w14:schemeClr w14:val="tx1"/>
                  </w14:solidFill>
                </w14:textFill>
              </w:rPr>
            </w:pPr>
            <w:bookmarkStart w:id="89" w:name="_13.3"/>
            <w:bookmarkEnd w:id="89"/>
          </w:p>
        </w:tc>
        <w:tc>
          <w:tcPr>
            <w:tcW w:w="8160" w:type="dxa"/>
            <w:tcBorders>
              <w:top w:val="single" w:color="auto" w:sz="4" w:space="0"/>
              <w:left w:val="single" w:color="auto" w:sz="4" w:space="0"/>
              <w:bottom w:val="single" w:color="auto" w:sz="4" w:space="0"/>
              <w:right w:val="single" w:color="auto" w:sz="4" w:space="0"/>
            </w:tcBorders>
            <w:noWrap w:val="0"/>
            <w:vAlign w:val="center"/>
          </w:tcPr>
          <w:p w14:paraId="361E247B">
            <w:pPr>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商务文件：</w:t>
            </w:r>
          </w:p>
          <w:p w14:paraId="37B8F3E5">
            <w:pPr>
              <w:ind w:left="413"/>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1.投标人参加本项目无围标串标行为的承诺（格式后附）；（</w:t>
            </w:r>
            <w:r>
              <w:rPr>
                <w:rFonts w:hint="eastAsia" w:ascii="宋体" w:hAnsi="宋体"/>
                <w:b/>
                <w:bCs/>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2EB60CBF">
            <w:pPr>
              <w:ind w:left="413"/>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2.商务要求偏离表（格式后附）；（</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5C550EF7">
            <w:pPr>
              <w:ind w:left="413"/>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3.法定代表人(或负责人)身份证明及法定代表人(或负责人)有效身份证正反面</w:t>
            </w:r>
            <w:r>
              <w:rPr>
                <w:rFonts w:hint="eastAsia" w:ascii="宋体" w:hAnsi="宋体"/>
                <w:color w:val="000000" w:themeColor="text1"/>
                <w:szCs w:val="21"/>
                <w:highlight w:val="none"/>
                <w:lang w:eastAsia="zh-CN"/>
                <w14:textFill>
                  <w14:solidFill>
                    <w14:schemeClr w14:val="tx1"/>
                  </w14:solidFill>
                </w14:textFill>
              </w:rPr>
              <w:t>复印件（或扫描件）</w:t>
            </w:r>
            <w:r>
              <w:rPr>
                <w:rFonts w:hint="eastAsia" w:ascii="宋体" w:hAnsi="宋体"/>
                <w:color w:val="000000" w:themeColor="text1"/>
                <w:szCs w:val="21"/>
                <w:highlight w:val="none"/>
                <w14:textFill>
                  <w14:solidFill>
                    <w14:schemeClr w14:val="tx1"/>
                  </w14:solidFill>
                </w14:textFill>
              </w:rPr>
              <w:t>（格式后附）；（</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3CF71DD5">
            <w:pPr>
              <w:ind w:left="413"/>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4.法定代表人(或负责人)授权委托书及委托代理人有效身份证正反面</w:t>
            </w:r>
            <w:r>
              <w:rPr>
                <w:rFonts w:hint="eastAsia" w:ascii="宋体" w:hAnsi="宋体"/>
                <w:color w:val="000000" w:themeColor="text1"/>
                <w:szCs w:val="21"/>
                <w:highlight w:val="none"/>
                <w:lang w:eastAsia="zh-CN"/>
                <w14:textFill>
                  <w14:solidFill>
                    <w14:schemeClr w14:val="tx1"/>
                  </w14:solidFill>
                </w14:textFill>
              </w:rPr>
              <w:t>复印件（或扫描件）</w:t>
            </w:r>
            <w:r>
              <w:rPr>
                <w:rFonts w:hint="eastAsia" w:ascii="宋体" w:hAnsi="宋体"/>
                <w:color w:val="000000" w:themeColor="text1"/>
                <w:szCs w:val="21"/>
                <w:highlight w:val="none"/>
                <w14:textFill>
                  <w14:solidFill>
                    <w14:schemeClr w14:val="tx1"/>
                  </w14:solidFill>
                </w14:textFill>
              </w:rPr>
              <w:t>（格式后附）；（</w:t>
            </w:r>
            <w:r>
              <w:rPr>
                <w:rFonts w:hint="eastAsia" w:ascii="宋体" w:hAnsi="宋体"/>
                <w:b/>
                <w:color w:val="000000" w:themeColor="text1"/>
                <w:szCs w:val="21"/>
                <w:highlight w:val="none"/>
                <w14:textFill>
                  <w14:solidFill>
                    <w14:schemeClr w14:val="tx1"/>
                  </w14:solidFill>
                </w14:textFill>
              </w:rPr>
              <w:t>委托时必须提供，否则作无效投标处理</w:t>
            </w:r>
            <w:r>
              <w:rPr>
                <w:rFonts w:hint="eastAsia" w:ascii="宋体" w:hAnsi="宋体"/>
                <w:color w:val="000000" w:themeColor="text1"/>
                <w:szCs w:val="21"/>
                <w:highlight w:val="none"/>
                <w14:textFill>
                  <w14:solidFill>
                    <w14:schemeClr w14:val="tx1"/>
                  </w14:solidFill>
                </w14:textFill>
              </w:rPr>
              <w:t>）</w:t>
            </w:r>
          </w:p>
          <w:p w14:paraId="5665BA3D">
            <w:pPr>
              <w:ind w:left="413"/>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5.投标人情况介绍（格式自拟）；</w:t>
            </w:r>
          </w:p>
          <w:p w14:paraId="63887100">
            <w:pPr>
              <w:ind w:left="413"/>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6.除招标文件规定必须提供以外，投标人认为需要提供的其他证明材料（格式自拟）。</w:t>
            </w:r>
          </w:p>
          <w:p w14:paraId="5695F37C">
            <w:pPr>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注： 1.法定代表人（或负责人）授权委托书必须由法定代表人（或负责人）及委托代理人签字（或电子签名），并加盖投标人电子签章，否则作无效投标处理。</w:t>
            </w:r>
          </w:p>
          <w:p w14:paraId="74E56044">
            <w:pPr>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2.以上材料属于</w:t>
            </w:r>
            <w:r>
              <w:rPr>
                <w:rFonts w:hint="eastAsia" w:ascii="宋体" w:hAnsi="宋体" w:cs="宋体"/>
                <w:b/>
                <w:bCs/>
                <w:color w:val="000000" w:themeColor="text1"/>
                <w:sz w:val="24"/>
                <w:highlight w:val="none"/>
                <w:lang w:eastAsia="zh-CN"/>
                <w14:textFill>
                  <w14:solidFill>
                    <w14:schemeClr w14:val="tx1"/>
                  </w14:solidFill>
                </w14:textFill>
              </w:rPr>
              <w:t>复印件或扫描件的</w:t>
            </w:r>
            <w:r>
              <w:rPr>
                <w:rFonts w:hint="eastAsia" w:ascii="宋体" w:hAnsi="宋体" w:cs="宋体"/>
                <w:b/>
                <w:bCs/>
                <w:color w:val="000000" w:themeColor="text1"/>
                <w:sz w:val="24"/>
                <w:highlight w:val="none"/>
                <w14:textFill>
                  <w14:solidFill>
                    <w14:schemeClr w14:val="tx1"/>
                  </w14:solidFill>
                </w14:textFill>
              </w:rPr>
              <w:t>，必须加盖投标人电子签章，否则作无效投标处理。</w:t>
            </w:r>
          </w:p>
          <w:p w14:paraId="6FBD7E61">
            <w:pPr>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3.电子投标文件中所须加盖公章部分均建议采用</w:t>
            </w:r>
            <w:r>
              <w:rPr>
                <w:rFonts w:hint="eastAsia" w:ascii="宋体" w:hAnsi="宋体" w:cs="宋体"/>
                <w:b/>
                <w:bCs/>
                <w:color w:val="000000" w:themeColor="text1"/>
                <w:sz w:val="24"/>
                <w:highlight w:val="none"/>
                <w:lang w:eastAsia="zh-CN"/>
                <w14:textFill>
                  <w14:solidFill>
                    <w14:schemeClr w14:val="tx1"/>
                  </w14:solidFill>
                </w14:textFill>
              </w:rPr>
              <w:t>电子签章</w:t>
            </w:r>
            <w:r>
              <w:rPr>
                <w:rFonts w:hint="eastAsia" w:ascii="宋体" w:hAnsi="宋体" w:cs="宋体"/>
                <w:b/>
                <w:bCs/>
                <w:color w:val="000000" w:themeColor="text1"/>
                <w:sz w:val="24"/>
                <w:highlight w:val="none"/>
                <w14:textFill>
                  <w14:solidFill>
                    <w14:schemeClr w14:val="tx1"/>
                  </w14:solidFill>
                </w14:textFill>
              </w:rPr>
              <w:t>。若招标文件中有专门标注的某关联点，并要求投标人在电子投标系统中作出投标响应的，如投标人未对关联点进行响应或者在投标文件其它内容进行描述，造成电子评审不能查询的责任由投标人自行承担。</w:t>
            </w:r>
          </w:p>
        </w:tc>
      </w:tr>
      <w:tr w14:paraId="22035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top w:val="single" w:color="auto" w:sz="4" w:space="0"/>
              <w:left w:val="single" w:color="auto" w:sz="4" w:space="0"/>
              <w:bottom w:val="single" w:color="auto" w:sz="4" w:space="0"/>
              <w:right w:val="single" w:color="auto" w:sz="4" w:space="0"/>
            </w:tcBorders>
            <w:noWrap w:val="0"/>
            <w:vAlign w:val="center"/>
          </w:tcPr>
          <w:p w14:paraId="1F32C3F3">
            <w:pPr>
              <w:jc w:val="center"/>
              <w:rPr>
                <w:rFonts w:hint="eastAsia" w:ascii="宋体" w:hAnsi="宋体" w:cs="宋体"/>
                <w:color w:val="000000" w:themeColor="text1"/>
                <w:highlight w:val="none"/>
                <w14:textFill>
                  <w14:solidFill>
                    <w14:schemeClr w14:val="tx1"/>
                  </w14:solidFill>
                </w14:textFill>
              </w:rPr>
            </w:pPr>
            <w:bookmarkStart w:id="90" w:name="_13.4"/>
            <w:bookmarkEnd w:id="90"/>
          </w:p>
        </w:tc>
        <w:tc>
          <w:tcPr>
            <w:tcW w:w="8160" w:type="dxa"/>
            <w:tcBorders>
              <w:top w:val="single" w:color="auto" w:sz="4" w:space="0"/>
              <w:left w:val="single" w:color="auto" w:sz="4" w:space="0"/>
              <w:bottom w:val="single" w:color="auto" w:sz="4" w:space="0"/>
              <w:right w:val="single" w:color="auto" w:sz="4" w:space="0"/>
            </w:tcBorders>
            <w:noWrap w:val="0"/>
            <w:vAlign w:val="center"/>
          </w:tcPr>
          <w:p w14:paraId="69DA563C">
            <w:pPr>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技术文件：</w:t>
            </w:r>
          </w:p>
          <w:p w14:paraId="4E5E566C">
            <w:pPr>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color w:val="000000" w:themeColor="text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技术要求偏离表；（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48C2116F">
            <w:pPr>
              <w:ind w:left="420"/>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color w:val="000000" w:themeColor="text1"/>
                <w:highlight w:val="none"/>
                <w14:textFill>
                  <w14:solidFill>
                    <w14:schemeClr w14:val="tx1"/>
                  </w14:solidFill>
                </w14:textFill>
              </w:rPr>
              <w:t xml:space="preserve"> </w:t>
            </w:r>
            <w:r>
              <w:rPr>
                <w:rFonts w:hint="eastAsia"/>
                <w:color w:val="000000" w:themeColor="text1"/>
                <w:highlight w:val="none"/>
                <w:lang w:eastAsia="zh-CN"/>
                <w14:textFill>
                  <w14:solidFill>
                    <w14:schemeClr w14:val="tx1"/>
                  </w14:solidFill>
                </w14:textFill>
              </w:rPr>
              <w:t>技术方案（可包括但不限于项目需求分析、质量保障措施、项目实施方案及对本工作的合理化建议等内容）</w:t>
            </w:r>
            <w:r>
              <w:rPr>
                <w:rFonts w:hint="eastAsia"/>
                <w:color w:val="000000" w:themeColor="text1"/>
                <w:highlight w:val="none"/>
                <w14:textFill>
                  <w14:solidFill>
                    <w14:schemeClr w14:val="tx1"/>
                  </w14:solidFill>
                </w14:textFill>
              </w:rPr>
              <w:t>；（</w:t>
            </w:r>
            <w:r>
              <w:rPr>
                <w:rFonts w:hint="eastAsia"/>
                <w:b/>
                <w:bCs/>
                <w:color w:val="000000" w:themeColor="text1"/>
                <w:highlight w:val="none"/>
                <w14:textFill>
                  <w14:solidFill>
                    <w14:schemeClr w14:val="tx1"/>
                  </w14:solidFill>
                </w14:textFill>
              </w:rPr>
              <w:t>必须提供，否则作无效投标处理</w:t>
            </w:r>
            <w:r>
              <w:rPr>
                <w:rFonts w:hint="eastAsia"/>
                <w:color w:val="000000" w:themeColor="text1"/>
                <w:highlight w:val="none"/>
                <w14:textFill>
                  <w14:solidFill>
                    <w14:schemeClr w14:val="tx1"/>
                  </w14:solidFill>
                </w14:textFill>
              </w:rPr>
              <w:t>）</w:t>
            </w:r>
          </w:p>
          <w:p w14:paraId="1D8C8B32">
            <w:pPr>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对本项目总体要求的理解、合理化建议和改进措施；</w:t>
            </w:r>
          </w:p>
          <w:p w14:paraId="782319D7">
            <w:pPr>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投标人需要说明的其他文件和说明（格式略）。</w:t>
            </w:r>
          </w:p>
          <w:p w14:paraId="2F3E1482">
            <w:pPr>
              <w:ind w:left="420"/>
              <w:jc w:val="left"/>
              <w:rPr>
                <w:rFonts w:hint="eastAsia" w:ascii="宋体" w:hAnsi="宋体" w:cs="宋体"/>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除招标文件规定必须提供以外，投标人需要说明的其他文件和说明（格式自拟）。</w:t>
            </w:r>
          </w:p>
          <w:p w14:paraId="2BF6EF56">
            <w:pPr>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注： 1.以上材料属于</w:t>
            </w:r>
            <w:r>
              <w:rPr>
                <w:rFonts w:hint="eastAsia" w:ascii="宋体" w:hAnsi="宋体" w:cs="宋体"/>
                <w:b/>
                <w:bCs/>
                <w:color w:val="000000" w:themeColor="text1"/>
                <w:sz w:val="24"/>
                <w:highlight w:val="none"/>
                <w:lang w:eastAsia="zh-CN"/>
                <w14:textFill>
                  <w14:solidFill>
                    <w14:schemeClr w14:val="tx1"/>
                  </w14:solidFill>
                </w14:textFill>
              </w:rPr>
              <w:t>复印件或扫描件的</w:t>
            </w:r>
            <w:r>
              <w:rPr>
                <w:rFonts w:hint="eastAsia" w:ascii="宋体" w:hAnsi="宋体" w:cs="宋体"/>
                <w:b/>
                <w:bCs/>
                <w:color w:val="000000" w:themeColor="text1"/>
                <w:sz w:val="24"/>
                <w:highlight w:val="none"/>
                <w14:textFill>
                  <w14:solidFill>
                    <w14:schemeClr w14:val="tx1"/>
                  </w14:solidFill>
                </w14:textFill>
              </w:rPr>
              <w:t>，必须加盖投标人电子签章，否则作无效投标处理。</w:t>
            </w:r>
          </w:p>
          <w:p w14:paraId="59513C68">
            <w:pPr>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2.电子投标文件中所须加盖公章部分均建议采用</w:t>
            </w:r>
            <w:r>
              <w:rPr>
                <w:rFonts w:hint="eastAsia" w:ascii="宋体" w:hAnsi="宋体" w:cs="宋体"/>
                <w:b/>
                <w:bCs/>
                <w:color w:val="000000" w:themeColor="text1"/>
                <w:sz w:val="24"/>
                <w:highlight w:val="none"/>
                <w:lang w:eastAsia="zh-CN"/>
                <w14:textFill>
                  <w14:solidFill>
                    <w14:schemeClr w14:val="tx1"/>
                  </w14:solidFill>
                </w14:textFill>
              </w:rPr>
              <w:t>电子签章</w:t>
            </w:r>
            <w:r>
              <w:rPr>
                <w:rFonts w:hint="eastAsia" w:ascii="宋体" w:hAnsi="宋体" w:cs="宋体"/>
                <w:b/>
                <w:bCs/>
                <w:color w:val="000000" w:themeColor="text1"/>
                <w:sz w:val="24"/>
                <w:highlight w:val="none"/>
                <w14:textFill>
                  <w14:solidFill>
                    <w14:schemeClr w14:val="tx1"/>
                  </w14:solidFill>
                </w14:textFill>
              </w:rPr>
              <w:t>。若招标文件中有专门标注的某关联点，并要求投标人在电子投标系统中作出投标响应的，如投标人未对关联点进行响应或者在投标文件其它内容进行描述，造成电子评审不能查询的责任由投标人自行承担。</w:t>
            </w:r>
          </w:p>
        </w:tc>
      </w:tr>
      <w:tr w14:paraId="06A9AC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0F006F85">
            <w:pPr>
              <w:jc w:val="center"/>
              <w:rPr>
                <w:rFonts w:hint="eastAsia" w:ascii="宋体" w:hAnsi="宋体" w:cs="宋体"/>
                <w:color w:val="000000" w:themeColor="text1"/>
                <w:highlight w:val="none"/>
                <w14:textFill>
                  <w14:solidFill>
                    <w14:schemeClr w14:val="tx1"/>
                  </w14:solidFill>
                </w14:textFill>
              </w:rPr>
            </w:pPr>
            <w:bookmarkStart w:id="91" w:name="_13.5"/>
            <w:bookmarkEnd w:id="91"/>
            <w:bookmarkStart w:id="92" w:name="_16.2"/>
            <w:bookmarkEnd w:id="92"/>
            <w:r>
              <w:rPr>
                <w:rFonts w:hint="eastAsia" w:ascii="宋体" w:hAnsi="宋体" w:cs="宋体"/>
                <w:color w:val="000000" w:themeColor="text1"/>
                <w:highlight w:val="none"/>
                <w14:textFill>
                  <w14:solidFill>
                    <w14:schemeClr w14:val="tx1"/>
                  </w14:solidFill>
                </w14:textFill>
              </w:rPr>
              <w:t>16</w:t>
            </w:r>
            <w:bookmarkStart w:id="93" w:name="_Hlt19194067"/>
            <w:bookmarkStart w:id="94" w:name="_Hlt19194066"/>
            <w:bookmarkStart w:id="95" w:name="_Hlt19693758"/>
            <w:bookmarkStart w:id="96" w:name="_Hlt19693759"/>
            <w:r>
              <w:rPr>
                <w:rFonts w:hint="eastAsia" w:ascii="宋体" w:hAnsi="宋体" w:cs="宋体"/>
                <w:color w:val="000000" w:themeColor="text1"/>
                <w:highlight w:val="none"/>
                <w14:textFill>
                  <w14:solidFill>
                    <w14:schemeClr w14:val="tx1"/>
                  </w14:solidFill>
                </w14:textFill>
              </w:rPr>
              <w:t>.</w:t>
            </w:r>
            <w:bookmarkEnd w:id="93"/>
            <w:bookmarkEnd w:id="94"/>
            <w:bookmarkEnd w:id="95"/>
            <w:bookmarkEnd w:id="96"/>
            <w:r>
              <w:rPr>
                <w:rFonts w:hint="eastAsia" w:ascii="宋体" w:hAnsi="宋体" w:cs="宋体"/>
                <w:color w:val="000000" w:themeColor="text1"/>
                <w:highlight w:val="none"/>
                <w14:textFill>
                  <w14:solidFill>
                    <w14:schemeClr w14:val="tx1"/>
                  </w14:solidFill>
                </w14:textFill>
              </w:rPr>
              <w:t>2</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719640D5">
            <w:pPr>
              <w:spacing w:line="360" w:lineRule="auto"/>
              <w:ind w:firstLine="42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投标报价是履行合同的最终价格，投标报价包含实施和完成本项目全部工作所需的服务期内所需的一切费用，包括但不限于</w:t>
            </w:r>
            <w:r>
              <w:rPr>
                <w:rFonts w:hint="eastAsia" w:ascii="宋体" w:hAnsi="宋体" w:cs="宋体"/>
                <w:color w:val="000000" w:themeColor="text1"/>
                <w:szCs w:val="21"/>
                <w:highlight w:val="none"/>
                <w:lang w:eastAsia="zh-CN"/>
                <w14:textFill>
                  <w14:solidFill>
                    <w14:schemeClr w14:val="tx1"/>
                  </w14:solidFill>
                </w14:textFill>
              </w:rPr>
              <w:t>人员工资、社会保险、劳务、人工、伴随货物、培训、技术支持、售后服务、验收、保险、税金</w:t>
            </w:r>
            <w:r>
              <w:rPr>
                <w:rFonts w:hint="eastAsia" w:ascii="宋体" w:hAnsi="宋体" w:cs="宋体"/>
                <w:color w:val="000000" w:themeColor="text1"/>
                <w:szCs w:val="21"/>
                <w:highlight w:val="none"/>
                <w14:textFill>
                  <w14:solidFill>
                    <w14:schemeClr w14:val="tx1"/>
                  </w14:solidFill>
                </w14:textFill>
              </w:rPr>
              <w:t>等所有服</w:t>
            </w:r>
            <w:r>
              <w:rPr>
                <w:rFonts w:hint="eastAsia" w:ascii="宋体" w:hAnsi="宋体" w:cs="宋体"/>
                <w:color w:val="000000" w:themeColor="text1"/>
                <w:szCs w:val="21"/>
                <w:highlight w:val="none"/>
                <w:lang w:eastAsia="zh-CN"/>
                <w14:textFill>
                  <w14:solidFill>
                    <w14:schemeClr w14:val="tx1"/>
                  </w14:solidFill>
                </w14:textFill>
              </w:rPr>
              <w:t>务过程产生的费用</w:t>
            </w:r>
            <w:r>
              <w:rPr>
                <w:rFonts w:hint="eastAsia" w:ascii="宋体" w:hAnsi="宋体" w:cs="宋体"/>
                <w:b/>
                <w:bCs/>
                <w:color w:val="000000" w:themeColor="text1"/>
                <w:sz w:val="24"/>
                <w:highlight w:val="none"/>
                <w14:textFill>
                  <w14:solidFill>
                    <w14:schemeClr w14:val="tx1"/>
                  </w14:solidFill>
                </w14:textFill>
              </w:rPr>
              <w:t>。</w:t>
            </w:r>
          </w:p>
        </w:tc>
      </w:tr>
      <w:tr w14:paraId="074165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77946A95">
            <w:pPr>
              <w:jc w:val="center"/>
              <w:rPr>
                <w:rFonts w:hint="eastAsia" w:ascii="宋体" w:hAnsi="宋体" w:cs="宋体"/>
                <w:color w:val="000000" w:themeColor="text1"/>
                <w:highlight w:val="none"/>
                <w14:textFill>
                  <w14:solidFill>
                    <w14:schemeClr w14:val="tx1"/>
                  </w14:solidFill>
                </w14:textFill>
              </w:rPr>
            </w:pPr>
            <w:bookmarkStart w:id="97" w:name="_17.1"/>
            <w:bookmarkEnd w:id="97"/>
            <w:r>
              <w:rPr>
                <w:rFonts w:hint="eastAsia" w:ascii="宋体" w:hAnsi="宋体" w:cs="宋体"/>
                <w:color w:val="000000" w:themeColor="text1"/>
                <w:highlight w:val="none"/>
                <w14:textFill>
                  <w14:solidFill>
                    <w14:schemeClr w14:val="tx1"/>
                  </w14:solidFill>
                </w14:textFill>
              </w:rPr>
              <w:t>17.1</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15380BC2">
            <w:pPr>
              <w:pStyle w:val="215"/>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 xml:space="preserve">投标有效期： </w:t>
            </w:r>
            <w:r>
              <w:rPr>
                <w:rFonts w:hint="eastAsia" w:ascii="宋体" w:hAnsi="宋体" w:cs="宋体"/>
                <w:color w:val="000000" w:themeColor="text1"/>
                <w:highlight w:val="none"/>
                <w:lang w:val="en-US" w:eastAsia="zh-CN"/>
                <w14:textFill>
                  <w14:solidFill>
                    <w14:schemeClr w14:val="tx1"/>
                  </w14:solidFill>
                </w14:textFill>
              </w:rPr>
              <w:t>自投标截止之日起120日</w:t>
            </w:r>
            <w:r>
              <w:rPr>
                <w:rFonts w:hint="eastAsia" w:ascii="宋体" w:hAnsi="宋体" w:cs="宋体"/>
                <w:color w:val="000000" w:themeColor="text1"/>
                <w:szCs w:val="21"/>
                <w:highlight w:val="none"/>
                <w:lang w:val="en-US" w:eastAsia="zh-CN"/>
                <w14:textFill>
                  <w14:solidFill>
                    <w14:schemeClr w14:val="tx1"/>
                  </w14:solidFill>
                </w14:textFill>
              </w:rPr>
              <w:t>。</w:t>
            </w:r>
          </w:p>
        </w:tc>
      </w:tr>
      <w:tr w14:paraId="76C804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058562FE">
            <w:pPr>
              <w:jc w:val="center"/>
              <w:rPr>
                <w:rFonts w:hint="eastAsia" w:ascii="宋体" w:hAnsi="宋体" w:cs="宋体"/>
                <w:color w:val="000000" w:themeColor="text1"/>
                <w:highlight w:val="none"/>
                <w14:textFill>
                  <w14:solidFill>
                    <w14:schemeClr w14:val="tx1"/>
                  </w14:solidFill>
                </w14:textFill>
              </w:rPr>
            </w:pPr>
            <w:bookmarkStart w:id="98" w:name="_18"/>
            <w:bookmarkEnd w:id="98"/>
            <w:r>
              <w:rPr>
                <w:rFonts w:hint="eastAsia" w:ascii="宋体" w:hAnsi="宋体" w:cs="宋体"/>
                <w:color w:val="000000" w:themeColor="text1"/>
                <w:highlight w:val="none"/>
                <w14:textFill>
                  <w14:solidFill>
                    <w14:schemeClr w14:val="tx1"/>
                  </w14:solidFill>
                </w14:textFill>
              </w:rPr>
              <w:t>18.1</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548C2423">
            <w:pPr>
              <w:rPr>
                <w:rFonts w:hint="eastAsia" w:ascii="宋体" w:hAnsi="宋体" w:cs="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本项目不收取投标保证金</w:t>
            </w:r>
            <w:r>
              <w:rPr>
                <w:rFonts w:hint="eastAsia" w:ascii="宋体" w:hAnsi="宋体" w:cs="宋体"/>
                <w:color w:val="000000" w:themeColor="text1"/>
                <w:highlight w:val="none"/>
                <w14:textFill>
                  <w14:solidFill>
                    <w14:schemeClr w14:val="tx1"/>
                  </w14:solidFill>
                </w14:textFill>
              </w:rPr>
              <w:t>。</w:t>
            </w:r>
          </w:p>
        </w:tc>
      </w:tr>
      <w:tr w14:paraId="773739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09A92F8E">
            <w:pPr>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33EF37A4">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w:t>
            </w:r>
            <w:r>
              <w:rPr>
                <w:rFonts w:hint="eastAsia"/>
                <w:color w:val="000000" w:themeColor="text1"/>
                <w:highlight w:val="none"/>
                <w:lang w:eastAsia="zh-CN"/>
                <w14:textFill>
                  <w14:solidFill>
                    <w14:schemeClr w14:val="tx1"/>
                  </w14:solidFill>
                </w14:textFill>
              </w:rPr>
              <w:t>不</w:t>
            </w:r>
            <w:r>
              <w:rPr>
                <w:rFonts w:hint="eastAsia"/>
                <w:color w:val="000000" w:themeColor="text1"/>
                <w:highlight w:val="none"/>
                <w14:textFill>
                  <w14:solidFill>
                    <w14:schemeClr w14:val="tx1"/>
                  </w14:solidFill>
                </w14:textFill>
              </w:rPr>
              <w:t>接受电子备份投标文件。</w:t>
            </w:r>
          </w:p>
        </w:tc>
      </w:tr>
      <w:tr w14:paraId="05134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3C23DAB">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99" w:name="_21.1"/>
            <w:bookmarkEnd w:id="99"/>
            <w:bookmarkStart w:id="100" w:name="_19.2"/>
            <w:bookmarkEnd w:id="100"/>
            <w:r>
              <w:rPr>
                <w:rFonts w:hint="eastAsia" w:ascii="宋体" w:hAnsi="宋体" w:cs="宋体"/>
                <w:color w:val="000000" w:themeColor="text1"/>
                <w:szCs w:val="21"/>
                <w:highlight w:val="none"/>
                <w14:textFill>
                  <w14:solidFill>
                    <w14:schemeClr w14:val="tx1"/>
                  </w14:solidFill>
                </w14:textFill>
              </w:rPr>
              <w:t>21.1</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08593390">
            <w:pPr>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1.投标文件提交截止时间：详见招标公告</w:t>
            </w:r>
          </w:p>
          <w:p w14:paraId="1A4F434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2.投标地点：详见招标公告</w:t>
            </w:r>
          </w:p>
        </w:tc>
      </w:tr>
      <w:tr w14:paraId="7439A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6B2AEB6D">
            <w:pPr>
              <w:spacing w:line="360" w:lineRule="auto"/>
              <w:jc w:val="center"/>
              <w:rPr>
                <w:rFonts w:hint="eastAsia" w:ascii="宋体" w:hAnsi="宋体" w:cs="宋体"/>
                <w:color w:val="000000" w:themeColor="text1"/>
                <w:highlight w:val="none"/>
                <w14:textFill>
                  <w14:solidFill>
                    <w14:schemeClr w14:val="tx1"/>
                  </w14:solidFill>
                </w14:textFill>
              </w:rPr>
            </w:pPr>
            <w:bookmarkStart w:id="101" w:name="_23"/>
            <w:bookmarkEnd w:id="101"/>
            <w:r>
              <w:rPr>
                <w:rFonts w:hint="eastAsia" w:ascii="宋体" w:hAnsi="宋体" w:cs="宋体"/>
                <w:color w:val="000000" w:themeColor="text1"/>
                <w:szCs w:val="21"/>
                <w:highlight w:val="none"/>
                <w14:textFill>
                  <w14:solidFill>
                    <w14:schemeClr w14:val="tx1"/>
                  </w14:solidFill>
                </w14:textFill>
              </w:rPr>
              <w:t>23</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46C98EB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1.开标时间：详见招标公告</w:t>
            </w:r>
          </w:p>
          <w:p w14:paraId="79DE7810">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2.开标地点：详见招标公告</w:t>
            </w:r>
          </w:p>
        </w:tc>
      </w:tr>
      <w:tr w14:paraId="345B68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3F64B833">
            <w:pPr>
              <w:spacing w:line="360" w:lineRule="auto"/>
              <w:jc w:val="center"/>
              <w:rPr>
                <w:rFonts w:hint="eastAsia" w:ascii="宋体" w:hAnsi="宋体" w:cs="宋体"/>
                <w:color w:val="000000" w:themeColor="text1"/>
                <w:highlight w:val="none"/>
                <w14:textFill>
                  <w14:solidFill>
                    <w14:schemeClr w14:val="tx1"/>
                  </w14:solidFill>
                </w14:textFill>
              </w:rPr>
            </w:pPr>
            <w:bookmarkStart w:id="102" w:name="_25.3"/>
            <w:bookmarkEnd w:id="102"/>
            <w:r>
              <w:rPr>
                <w:rFonts w:hint="eastAsia" w:ascii="宋体" w:hAnsi="宋体" w:cs="宋体"/>
                <w:color w:val="000000" w:themeColor="text1"/>
                <w:szCs w:val="21"/>
                <w:highlight w:val="none"/>
                <w14:textFill>
                  <w14:solidFill>
                    <w14:schemeClr w14:val="tx1"/>
                  </w14:solidFill>
                </w14:textFill>
              </w:rPr>
              <w:t>24.3（1）</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08E577B8">
            <w:pPr>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电子投标文件解密时间：</w:t>
            </w:r>
            <w:r>
              <w:rPr>
                <w:rFonts w:hint="eastAsia" w:ascii="宋体" w:hAnsi="宋体" w:cs="宋体"/>
                <w:color w:val="000000" w:themeColor="text1"/>
                <w:highlight w:val="none"/>
                <w:u w:val="single"/>
                <w14:textFill>
                  <w14:solidFill>
                    <w14:schemeClr w14:val="tx1"/>
                  </w14:solidFill>
                </w14:textFill>
              </w:rPr>
              <w:t xml:space="preserve">  30  </w:t>
            </w:r>
            <w:r>
              <w:rPr>
                <w:rFonts w:hint="eastAsia" w:ascii="宋体" w:hAnsi="宋体" w:cs="宋体"/>
                <w:color w:val="000000" w:themeColor="text1"/>
                <w:highlight w:val="none"/>
                <w14:textFill>
                  <w14:solidFill>
                    <w14:schemeClr w14:val="tx1"/>
                  </w14:solidFill>
                </w14:textFill>
              </w:rPr>
              <w:t>分钟</w:t>
            </w:r>
          </w:p>
        </w:tc>
      </w:tr>
      <w:tr w14:paraId="1C9CA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2AB0ABE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25.3（3）</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1625268F">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采购人或者采购代理机构在资格审查结束前，对投标人进行信用查询。</w:t>
            </w:r>
          </w:p>
          <w:p w14:paraId="1EAE513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查询渠道：“信用中国”网站（www.creditchina.gov.cn） 、中国政府采购网（www.ccgp.gov.cn）。</w:t>
            </w:r>
          </w:p>
          <w:p w14:paraId="1B66FC5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信用查询截止时点：资格审查结束前</w:t>
            </w:r>
          </w:p>
          <w:p w14:paraId="52BF56B8">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查询记录和证据留存方式：在查询网站中直接截图查询记录，截图作为在广西政府采购云平台作为附件上传保存。</w:t>
            </w:r>
          </w:p>
          <w:p w14:paraId="48D834B3">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color w:val="000000" w:themeColor="text1"/>
                <w:sz w:val="22"/>
                <w:szCs w:val="22"/>
                <w:highlight w:val="none"/>
                <w14:textFill>
                  <w14:solidFill>
                    <w14:schemeClr w14:val="tx1"/>
                  </w14:solidFill>
                </w14:textFill>
              </w:rPr>
              <w:t>应当拒绝其参与政府采购活动</w:t>
            </w:r>
            <w:r>
              <w:rPr>
                <w:rFonts w:hint="eastAsia" w:ascii="宋体" w:hAnsi="宋体" w:cs="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02C68C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3ED6D12E">
            <w:pPr>
              <w:jc w:val="center"/>
              <w:rPr>
                <w:rFonts w:hint="eastAsia" w:ascii="宋体" w:hAnsi="宋体" w:cs="宋体"/>
                <w:color w:val="000000" w:themeColor="text1"/>
                <w:highlight w:val="none"/>
                <w14:textFill>
                  <w14:solidFill>
                    <w14:schemeClr w14:val="tx1"/>
                  </w14:solidFill>
                </w14:textFill>
              </w:rPr>
            </w:pPr>
            <w:bookmarkStart w:id="103" w:name="_26"/>
            <w:bookmarkEnd w:id="103"/>
            <w:r>
              <w:rPr>
                <w:rFonts w:hint="eastAsia" w:ascii="宋体" w:hAnsi="宋体" w:cs="宋体"/>
                <w:color w:val="000000" w:themeColor="text1"/>
                <w:highlight w:val="none"/>
                <w14:textFill>
                  <w14:solidFill>
                    <w14:schemeClr w14:val="tx1"/>
                  </w14:solidFill>
                </w14:textFill>
              </w:rPr>
              <w:t>26</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6D8C58D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评标委员会的人数：</w:t>
            </w:r>
            <w:r>
              <w:rPr>
                <w:rFonts w:hint="eastAsia" w:ascii="宋体" w:hAnsi="宋体" w:cs="宋体"/>
                <w:color w:val="000000" w:themeColor="text1"/>
                <w:highlight w:val="none"/>
                <w:u w:val="single"/>
                <w14:textFill>
                  <w14:solidFill>
                    <w14:schemeClr w14:val="tx1"/>
                  </w14:solidFill>
                </w14:textFill>
              </w:rPr>
              <w:t xml:space="preserve">  5  </w:t>
            </w:r>
            <w:r>
              <w:rPr>
                <w:rFonts w:hint="eastAsia" w:ascii="宋体" w:hAnsi="宋体" w:cs="宋体"/>
                <w:color w:val="000000" w:themeColor="text1"/>
                <w:highlight w:val="none"/>
                <w14:textFill>
                  <w14:solidFill>
                    <w14:schemeClr w14:val="tx1"/>
                  </w14:solidFill>
                </w14:textFill>
              </w:rPr>
              <w:t>人</w:t>
            </w:r>
          </w:p>
        </w:tc>
      </w:tr>
      <w:tr w14:paraId="74FF47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323AF66E">
            <w:pPr>
              <w:jc w:val="center"/>
              <w:rPr>
                <w:rFonts w:hint="eastAsia" w:ascii="宋体" w:hAnsi="宋体" w:cs="宋体"/>
                <w:color w:val="000000" w:themeColor="text1"/>
                <w:highlight w:val="none"/>
                <w14:textFill>
                  <w14:solidFill>
                    <w14:schemeClr w14:val="tx1"/>
                  </w14:solidFill>
                </w14:textFill>
              </w:rPr>
            </w:pPr>
            <w:bookmarkStart w:id="104" w:name="_28.3"/>
            <w:bookmarkEnd w:id="104"/>
            <w:r>
              <w:rPr>
                <w:rFonts w:hint="eastAsia" w:ascii="宋体" w:hAnsi="宋体" w:cs="宋体"/>
                <w:color w:val="000000" w:themeColor="text1"/>
                <w:highlight w:val="none"/>
                <w14:textFill>
                  <w14:solidFill>
                    <w14:schemeClr w14:val="tx1"/>
                  </w14:solidFill>
                </w14:textFill>
              </w:rPr>
              <w:t>29.1</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441DF2D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评标方法：</w:t>
            </w:r>
          </w:p>
          <w:p w14:paraId="25175DE0">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√综合评分法</w:t>
            </w:r>
          </w:p>
          <w:p w14:paraId="42007F96">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□最低评标价法</w:t>
            </w:r>
          </w:p>
        </w:tc>
      </w:tr>
      <w:tr w14:paraId="68345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1977D6F8">
            <w:pPr>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1FC859FB">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商务条款评审中允许负偏离的条款数为</w:t>
            </w:r>
            <w:r>
              <w:rPr>
                <w:rFonts w:hint="eastAsia" w:ascii="宋体" w:hAnsi="宋体" w:cs="宋体"/>
                <w:b/>
                <w:bCs/>
                <w:color w:val="000000" w:themeColor="text1"/>
                <w:szCs w:val="21"/>
                <w:highlight w:val="none"/>
                <w:u w:val="single"/>
                <w14:textFill>
                  <w14:solidFill>
                    <w14:schemeClr w14:val="tx1"/>
                  </w14:solidFill>
                </w14:textFill>
              </w:rPr>
              <w:t xml:space="preserve"> 0 </w:t>
            </w:r>
            <w:r>
              <w:rPr>
                <w:rFonts w:hint="eastAsia" w:ascii="宋体" w:hAnsi="宋体" w:cs="宋体"/>
                <w:b/>
                <w:bCs/>
                <w:color w:val="000000" w:themeColor="text1"/>
                <w:szCs w:val="21"/>
                <w:highlight w:val="none"/>
                <w14:textFill>
                  <w14:solidFill>
                    <w14:schemeClr w14:val="tx1"/>
                  </w14:solidFill>
                </w14:textFill>
              </w:rPr>
              <w:t>项。</w:t>
            </w:r>
          </w:p>
          <w:p w14:paraId="3858B56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服务需求评审中允许负偏离的条款数为</w:t>
            </w:r>
            <w:r>
              <w:rPr>
                <w:rFonts w:hint="eastAsia" w:ascii="宋体" w:hAnsi="宋体" w:cs="宋体"/>
                <w:b/>
                <w:bCs/>
                <w:color w:val="000000" w:themeColor="text1"/>
                <w:szCs w:val="21"/>
                <w:highlight w:val="none"/>
                <w:u w:val="single"/>
                <w14:textFill>
                  <w14:solidFill>
                    <w14:schemeClr w14:val="tx1"/>
                  </w14:solidFill>
                </w14:textFill>
              </w:rPr>
              <w:t xml:space="preserve"> 0</w:t>
            </w:r>
            <w:r>
              <w:rPr>
                <w:rFonts w:hint="eastAsia" w:ascii="宋体" w:hAnsi="宋体" w:cs="宋体"/>
                <w:b/>
                <w:bCs/>
                <w:color w:val="000000" w:themeColor="text1"/>
                <w:szCs w:val="21"/>
                <w:highlight w:val="none"/>
                <w14:textFill>
                  <w14:solidFill>
                    <w14:schemeClr w14:val="tx1"/>
                  </w14:solidFill>
                </w14:textFill>
              </w:rPr>
              <w:t>项。</w:t>
            </w:r>
          </w:p>
        </w:tc>
      </w:tr>
      <w:tr w14:paraId="2D99B9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149962D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3C54150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中标候选人推荐数量：</w:t>
            </w:r>
          </w:p>
          <w:p w14:paraId="6C1111D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u w:val="single"/>
                <w14:textFill>
                  <w14:solidFill>
                    <w14:schemeClr w14:val="tx1"/>
                  </w14:solidFill>
                </w14:textFill>
              </w:rPr>
              <w:t xml:space="preserve">   3 </w:t>
            </w:r>
            <w:r>
              <w:rPr>
                <w:rFonts w:hint="eastAsia" w:ascii="宋体" w:hAnsi="宋体" w:cs="宋体"/>
                <w:color w:val="000000" w:themeColor="text1"/>
                <w:highlight w:val="none"/>
                <w14:textFill>
                  <w14:solidFill>
                    <w14:schemeClr w14:val="tx1"/>
                  </w14:solidFill>
                </w14:textFill>
              </w:rPr>
              <w:t>名</w:t>
            </w:r>
          </w:p>
        </w:tc>
      </w:tr>
      <w:tr w14:paraId="2EADA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65A033C1">
            <w:pPr>
              <w:jc w:val="center"/>
              <w:rPr>
                <w:rFonts w:hint="eastAsia" w:ascii="宋体" w:hAnsi="宋体" w:cs="宋体"/>
                <w:color w:val="000000" w:themeColor="text1"/>
                <w:highlight w:val="none"/>
                <w14:textFill>
                  <w14:solidFill>
                    <w14:schemeClr w14:val="tx1"/>
                  </w14:solidFill>
                </w14:textFill>
              </w:rPr>
            </w:pPr>
            <w:bookmarkStart w:id="105" w:name="_29.2.2（2）"/>
            <w:bookmarkEnd w:id="105"/>
            <w:r>
              <w:rPr>
                <w:rFonts w:hint="eastAsia" w:ascii="宋体" w:hAnsi="宋体" w:cs="宋体"/>
                <w:color w:val="000000" w:themeColor="text1"/>
                <w:highlight w:val="none"/>
                <w14:textFill>
                  <w14:solidFill>
                    <w14:schemeClr w14:val="tx1"/>
                  </w14:solidFill>
                </w14:textFill>
              </w:rPr>
              <w:t>30</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4BEFB040">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采购人确定中标供应商时，出现中标候选人并列的情形，采购人按以下的方式确定中标供应商：</w:t>
            </w:r>
          </w:p>
          <w:p w14:paraId="0BA024F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√投标报价低优先、</w:t>
            </w:r>
            <w:r>
              <w:rPr>
                <w:rFonts w:hint="eastAsia" w:ascii="宋体" w:hAnsi="宋体" w:cs="宋体"/>
                <w:color w:val="000000" w:themeColor="text1"/>
                <w:highlight w:val="none"/>
                <w:lang w:eastAsia="zh-CN"/>
                <w14:textFill>
                  <w14:solidFill>
                    <w14:schemeClr w14:val="tx1"/>
                  </w14:solidFill>
                </w14:textFill>
              </w:rPr>
              <w:t>技术方案</w:t>
            </w:r>
            <w:r>
              <w:rPr>
                <w:rFonts w:hint="eastAsia" w:ascii="宋体" w:hAnsi="宋体" w:cs="宋体"/>
                <w:color w:val="000000" w:themeColor="text1"/>
                <w:highlight w:val="none"/>
                <w14:textFill>
                  <w14:solidFill>
                    <w14:schemeClr w14:val="tx1"/>
                  </w14:solidFill>
                </w14:textFill>
              </w:rPr>
              <w:t xml:space="preserve">评分高的优先的顺序； </w:t>
            </w:r>
          </w:p>
          <w:p w14:paraId="2CE3ACEB">
            <w:pP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□随机抽取</w:t>
            </w:r>
          </w:p>
        </w:tc>
      </w:tr>
      <w:tr w14:paraId="70E3E2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7D83EDFE">
            <w:pPr>
              <w:jc w:val="center"/>
              <w:rPr>
                <w:rFonts w:hint="eastAsia" w:ascii="宋体" w:hAnsi="宋体" w:cs="宋体"/>
                <w:color w:val="000000" w:themeColor="text1"/>
                <w:highlight w:val="none"/>
                <w14:textFill>
                  <w14:solidFill>
                    <w14:schemeClr w14:val="tx1"/>
                  </w14:solidFill>
                </w14:textFill>
              </w:rPr>
            </w:pPr>
            <w:bookmarkStart w:id="106" w:name="_39.1"/>
            <w:bookmarkEnd w:id="106"/>
            <w:r>
              <w:rPr>
                <w:rFonts w:hint="eastAsia" w:ascii="宋体" w:hAnsi="宋体" w:cs="宋体"/>
                <w:color w:val="000000" w:themeColor="text1"/>
                <w:highlight w:val="none"/>
                <w14:textFill>
                  <w14:solidFill>
                    <w14:schemeClr w14:val="tx1"/>
                  </w14:solidFill>
                </w14:textFill>
              </w:rPr>
              <w:t>35.1</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0C0CB2CB">
            <w:pPr>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履约保证金：无</w:t>
            </w:r>
            <w:r>
              <w:rPr>
                <w:rFonts w:hint="eastAsia" w:ascii="宋体" w:hAnsi="宋体"/>
                <w:b/>
                <w:color w:val="000000" w:themeColor="text1"/>
                <w:highlight w:val="none"/>
                <w14:textFill>
                  <w14:solidFill>
                    <w14:schemeClr w14:val="tx1"/>
                  </w14:solidFill>
                </w14:textFill>
              </w:rPr>
              <w:t>。</w:t>
            </w:r>
          </w:p>
        </w:tc>
      </w:tr>
      <w:tr w14:paraId="63FE9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226343B3">
            <w:pPr>
              <w:jc w:val="center"/>
              <w:rPr>
                <w:rFonts w:hint="eastAsia" w:ascii="宋体" w:hAnsi="宋体" w:cs="宋体"/>
                <w:color w:val="000000" w:themeColor="text1"/>
                <w:highlight w:val="none"/>
                <w14:textFill>
                  <w14:solidFill>
                    <w14:schemeClr w14:val="tx1"/>
                  </w14:solidFill>
                </w14:textFill>
              </w:rPr>
            </w:pPr>
            <w:bookmarkStart w:id="107" w:name="_40.1"/>
            <w:bookmarkEnd w:id="107"/>
            <w:r>
              <w:rPr>
                <w:rFonts w:hint="eastAsia" w:ascii="宋体" w:hAnsi="宋体" w:cs="宋体"/>
                <w:color w:val="000000" w:themeColor="text1"/>
                <w:highlight w:val="none"/>
                <w14:textFill>
                  <w14:solidFill>
                    <w14:schemeClr w14:val="tx1"/>
                  </w14:solidFill>
                </w14:textFill>
              </w:rPr>
              <w:t>36.1</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7E8A561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签订合同携带的资格证件： </w:t>
            </w:r>
          </w:p>
          <w:p w14:paraId="076C4F4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委托代理人负责签订合同的，须携带授权委托书及委托代理人身份证原件等其它资格证件。</w:t>
            </w:r>
          </w:p>
          <w:p w14:paraId="404778C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法定代表人（或负责人）负责签订合同的，须携带法定代表人（或负责人）身份证明原件及身份证原件等其它资格证件。</w:t>
            </w:r>
          </w:p>
        </w:tc>
      </w:tr>
      <w:tr w14:paraId="73B3A1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591DF39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38.2</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2118F2A9">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接收质疑函方式：以书面形式</w:t>
            </w:r>
          </w:p>
          <w:p w14:paraId="727E2A50">
            <w:pPr>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质疑联系部门及联系方式：云之龙咨询集团有限公司招标部，联系电话：0775-4565100、4569690，通讯地址：广西贵港市港北区荷城路1132号华泰官邸1栋6楼。</w:t>
            </w:r>
          </w:p>
          <w:p w14:paraId="7BCA2CF2">
            <w:pPr>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业务时间：工作日每天上午8时00分到12时00分，下午3时00分到6时00分。</w:t>
            </w:r>
          </w:p>
        </w:tc>
      </w:tr>
      <w:tr w14:paraId="44086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B714B6">
            <w:pPr>
              <w:jc w:val="center"/>
              <w:rPr>
                <w:rFonts w:hint="eastAsia" w:ascii="宋体" w:hAnsi="宋体" w:cs="宋体"/>
                <w:color w:val="000000" w:themeColor="text1"/>
                <w:highlight w:val="none"/>
                <w14:textFill>
                  <w14:solidFill>
                    <w14:schemeClr w14:val="tx1"/>
                  </w14:solidFill>
                </w14:textFill>
              </w:rPr>
            </w:pPr>
            <w:bookmarkStart w:id="108" w:name="_41"/>
            <w:bookmarkEnd w:id="108"/>
            <w:bookmarkStart w:id="109" w:name="_42"/>
            <w:bookmarkEnd w:id="109"/>
            <w:r>
              <w:rPr>
                <w:rFonts w:hint="eastAsia" w:ascii="宋体" w:hAnsi="宋体" w:cs="宋体"/>
                <w:color w:val="000000" w:themeColor="text1"/>
                <w:highlight w:val="none"/>
                <w14:textFill>
                  <w14:solidFill>
                    <w14:schemeClr w14:val="tx1"/>
                  </w14:solidFill>
                </w14:textFill>
              </w:rPr>
              <w:t>39.1</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6E80C1C3">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1.采购代理费支付方式：</w:t>
            </w:r>
          </w:p>
          <w:p w14:paraId="78CAEBD9">
            <w:pPr>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√中标人支付。</w:t>
            </w:r>
          </w:p>
          <w:p w14:paraId="0B81BA24">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2.采购代理费收取标准：</w:t>
            </w:r>
          </w:p>
          <w:p w14:paraId="741F07D2">
            <w:pPr>
              <w:pStyle w:val="227"/>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u w:val="single"/>
                <w:lang w:val="en-US" w:eastAsia="zh-CN"/>
                <w14:textFill>
                  <w14:solidFill>
                    <w14:schemeClr w14:val="tx1"/>
                  </w14:solidFill>
                </w14:textFill>
              </w:rPr>
              <w:t>按国家发展改革委《关于进一步放开建设项目专业服务价格的通知 》发改价格〔2015〕299号文执行，根据贵港市中介超市中选金额按固定金额收费标准：成交服务费为人民币壹万贰仟贰佰陆拾叁元整（¥12263.00）</w:t>
            </w:r>
            <w:r>
              <w:rPr>
                <w:rFonts w:hint="eastAsia" w:hAnsi="宋体" w:cs="宋体"/>
                <w:color w:val="000000" w:themeColor="text1"/>
                <w:sz w:val="21"/>
                <w:highlight w:val="none"/>
                <w:lang w:val="en-US" w:eastAsia="zh-CN"/>
                <w14:textFill>
                  <w14:solidFill>
                    <w14:schemeClr w14:val="tx1"/>
                  </w14:solidFill>
                </w14:textFill>
              </w:rPr>
              <w:t>。由中标人向招标代理机构支付。</w:t>
            </w:r>
          </w:p>
          <w:p w14:paraId="5C4B6404">
            <w:pPr>
              <w:pStyle w:val="227"/>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3.采购代理机构的银行账户：</w:t>
            </w:r>
          </w:p>
          <w:p w14:paraId="5B0F1266">
            <w:pPr>
              <w:pStyle w:val="227"/>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 xml:space="preserve">账户名称：云之龙咨询集团有限公司贵港分公司  </w:t>
            </w:r>
          </w:p>
          <w:p w14:paraId="3F5A6896">
            <w:pPr>
              <w:pStyle w:val="227"/>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开户银行：中信银行南宁园湖支行</w:t>
            </w:r>
          </w:p>
          <w:p w14:paraId="60BC1F88">
            <w:pPr>
              <w:pStyle w:val="227"/>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开户行行号：302611029137</w:t>
            </w:r>
          </w:p>
          <w:p w14:paraId="58444896">
            <w:pPr>
              <w:pStyle w:val="227"/>
              <w:ind w:firstLine="420"/>
              <w:rPr>
                <w:rFonts w:hint="eastAsia" w:hAnsi="宋体" w:cs="宋体"/>
                <w:color w:val="000000" w:themeColor="text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银行账号：8113001015100158012</w:t>
            </w:r>
          </w:p>
        </w:tc>
      </w:tr>
      <w:tr w14:paraId="6DDB4F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15F97D0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40.1</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3D38F5D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解释：构成本招标文件的各个组成文件应互为解释，互为说明；除招标文件中有特别规定外，仅适用于招标投标阶段的规定，按更正公告（澄清公告）</w:t>
            </w:r>
            <w:r>
              <w:rPr>
                <w:rFonts w:hint="eastAsia" w:ascii="宋体" w:hAnsi="宋体" w:cs="宋体"/>
                <w:bCs/>
                <w:color w:val="000000" w:themeColor="text1"/>
                <w:szCs w:val="21"/>
                <w:highlight w:val="none"/>
                <w:lang w:eastAsia="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66F2B3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noWrap w:val="0"/>
            <w:vAlign w:val="center"/>
          </w:tcPr>
          <w:p w14:paraId="52881AB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40.2</w:t>
            </w:r>
          </w:p>
        </w:tc>
        <w:tc>
          <w:tcPr>
            <w:tcW w:w="8160" w:type="dxa"/>
            <w:tcBorders>
              <w:top w:val="single" w:color="auto" w:sz="4" w:space="0"/>
              <w:left w:val="single" w:color="auto" w:sz="4" w:space="0"/>
              <w:bottom w:val="single" w:color="auto" w:sz="4" w:space="0"/>
              <w:right w:val="single" w:color="auto" w:sz="4" w:space="0"/>
            </w:tcBorders>
            <w:noWrap w:val="0"/>
            <w:vAlign w:val="center"/>
          </w:tcPr>
          <w:p w14:paraId="361AAEAA">
            <w:pPr>
              <w:pStyle w:val="227"/>
              <w:spacing w:line="360" w:lineRule="auto"/>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CAED1B3">
            <w:pPr>
              <w:pStyle w:val="227"/>
              <w:spacing w:line="360" w:lineRule="auto"/>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2.本招标文件所称的“</w:t>
            </w:r>
            <w:r>
              <w:rPr>
                <w:rFonts w:hint="eastAsia" w:hAnsi="宋体" w:cs="宋体"/>
                <w:color w:val="000000" w:themeColor="text1"/>
                <w:sz w:val="21"/>
                <w:highlight w:val="none"/>
                <w:lang w:val="en-US" w:eastAsia="zh-CN"/>
                <w14:textFill>
                  <w14:solidFill>
                    <w14:schemeClr w14:val="tx1"/>
                  </w14:solidFill>
                </w14:textFill>
              </w:rPr>
              <w:t>电子签章</w:t>
            </w:r>
            <w:r>
              <w:rPr>
                <w:rFonts w:hint="eastAsia" w:hAnsi="宋体" w:cs="宋体"/>
                <w:bCs/>
                <w:color w:val="000000" w:themeColor="text1"/>
                <w:sz w:val="21"/>
                <w:highlight w:val="none"/>
                <w:lang w:val="en-US" w:eastAsia="zh-CN"/>
                <w14:textFill>
                  <w14:solidFill>
                    <w14:schemeClr w14:val="tx1"/>
                  </w14:solidFill>
                </w14:textFill>
              </w:rPr>
              <w:t>”、“电子签名”</w:t>
            </w:r>
            <w:r>
              <w:rPr>
                <w:rFonts w:hint="eastAsia" w:hAnsi="宋体" w:cs="宋体"/>
                <w:color w:val="000000" w:themeColor="text1"/>
                <w:sz w:val="21"/>
                <w:highlight w:val="none"/>
                <w:lang w:val="en-US" w:eastAsia="zh-CN"/>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10054963">
            <w:pPr>
              <w:pStyle w:val="227"/>
              <w:spacing w:line="360" w:lineRule="auto"/>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A49F68F">
            <w:pPr>
              <w:pStyle w:val="227"/>
              <w:spacing w:line="360" w:lineRule="auto"/>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385AA232">
            <w:pPr>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本招标文件所称的“以上”“以下”“以内”“届满”，包括本数；所称的“不满”“超过”“以外”，不包括本数。</w:t>
            </w:r>
          </w:p>
        </w:tc>
      </w:tr>
    </w:tbl>
    <w:p w14:paraId="66187407">
      <w:pPr>
        <w:rPr>
          <w:rFonts w:hint="eastAsia" w:ascii="宋体" w:hAnsi="宋体" w:cs="宋体"/>
          <w:color w:val="000000" w:themeColor="text1"/>
          <w:sz w:val="24"/>
          <w:szCs w:val="20"/>
          <w:highlight w:val="none"/>
          <w14:textFill>
            <w14:solidFill>
              <w14:schemeClr w14:val="tx1"/>
            </w14:solidFill>
          </w14:textFill>
        </w:rPr>
      </w:pPr>
    </w:p>
    <w:p w14:paraId="01FC14C3">
      <w:pP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br w:type="page" w:clear="all"/>
      </w:r>
    </w:p>
    <w:p w14:paraId="5B2A13AE">
      <w:pPr>
        <w:pStyle w:val="194"/>
        <w:keepNext w:val="0"/>
        <w:keepLines w:val="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投标人须知正文</w:t>
      </w:r>
    </w:p>
    <w:p w14:paraId="39FFFCCF">
      <w:pPr>
        <w:pStyle w:val="194"/>
        <w:keepNext w:val="0"/>
        <w:keepLines w:val="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一、总  则</w:t>
      </w:r>
    </w:p>
    <w:p w14:paraId="7DFDCE0B">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bookmarkStart w:id="110" w:name="_Toc254970527"/>
      <w:bookmarkStart w:id="111" w:name="_Toc254970668"/>
      <w:r>
        <w:rPr>
          <w:rFonts w:hint="eastAsia" w:ascii="宋体" w:hAnsi="宋体" w:cs="宋体"/>
          <w:color w:val="000000" w:themeColor="text1"/>
          <w:sz w:val="24"/>
          <w:highlight w:val="none"/>
          <w14:textFill>
            <w14:solidFill>
              <w14:schemeClr w14:val="tx1"/>
            </w14:solidFill>
          </w14:textFill>
        </w:rPr>
        <w:t>1.适用范围</w:t>
      </w:r>
      <w:bookmarkEnd w:id="110"/>
      <w:bookmarkEnd w:id="111"/>
    </w:p>
    <w:p w14:paraId="0AD8CD75">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C57F564">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0BDB911A">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bookmarkStart w:id="112" w:name="_Toc254970669"/>
      <w:bookmarkStart w:id="113" w:name="_Toc254970528"/>
      <w:r>
        <w:rPr>
          <w:rFonts w:hint="eastAsia" w:ascii="宋体" w:hAnsi="宋体" w:cs="宋体"/>
          <w:color w:val="000000" w:themeColor="text1"/>
          <w:sz w:val="24"/>
          <w:highlight w:val="none"/>
          <w14:textFill>
            <w14:solidFill>
              <w14:schemeClr w14:val="tx1"/>
            </w14:solidFill>
          </w14:textFill>
        </w:rPr>
        <w:t>2.定义</w:t>
      </w:r>
      <w:bookmarkEnd w:id="112"/>
      <w:bookmarkEnd w:id="113"/>
    </w:p>
    <w:p w14:paraId="740114CA">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2.1“采购人”是指依法进行政府采购的国家机关、事业单位、团体组织。</w:t>
      </w:r>
    </w:p>
    <w:p w14:paraId="22DE4225">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2.2“采购代理机构”是指政府采购集中采购机构和集中采购机构以外的采购代理机构。</w:t>
      </w:r>
    </w:p>
    <w:p w14:paraId="372955D7">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2.3“供应商”是指向采购人提供货物、工程或者服务的法人、其他组织或者自然人。</w:t>
      </w:r>
    </w:p>
    <w:p w14:paraId="75757FA6">
      <w:pPr>
        <w:pStyle w:val="197"/>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2.4“投标人”是指响应招标、参加投标竞争的法人、非法人组织或者自然人。</w:t>
      </w:r>
    </w:p>
    <w:p w14:paraId="18B6922C">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2.5“服务”是指除货物和工程以外的其他政府采购对象。</w:t>
      </w:r>
    </w:p>
    <w:p w14:paraId="4AFF8592">
      <w:pPr>
        <w:pStyle w:val="196"/>
        <w:keepNext w:val="0"/>
        <w:keepLines w:val="0"/>
        <w:spacing w:before="0" w:after="0" w:line="360" w:lineRule="auto"/>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2.6“书面形式”是指合同书、信件和数据电文（包括电报、电传、传真、电子数据交换和电子邮件）等可以有形地表现所载内容的形式。</w:t>
      </w:r>
    </w:p>
    <w:p w14:paraId="0F1889D8">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2.7“实质性要求”是指招标文件中已经指明不满足则投标无效的条款，或者不能负偏离的条款，或者采购需求中带“▲”的条款。</w:t>
      </w:r>
    </w:p>
    <w:p w14:paraId="7835F7DB">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2.8“正偏离”，是指投标文件对招标文件“采购需求”中有关条款作出的响应优于条款要求并有利于采购人的情形。</w:t>
      </w:r>
    </w:p>
    <w:p w14:paraId="2FA39F2A">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5299AB4D">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2.10“允许负偏离的条款”是指采购需求中的不属于“实质性要求”的条款。</w:t>
      </w:r>
      <w:bookmarkStart w:id="114" w:name="_Toc254970529"/>
      <w:bookmarkStart w:id="115" w:name="_Toc254970670"/>
    </w:p>
    <w:p w14:paraId="4AC1F4D1">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bookmarkEnd w:id="114"/>
      <w:bookmarkEnd w:id="115"/>
      <w:r>
        <w:rPr>
          <w:rFonts w:hint="eastAsia" w:ascii="宋体" w:hAnsi="宋体" w:cs="宋体"/>
          <w:color w:val="000000" w:themeColor="text1"/>
          <w:sz w:val="24"/>
          <w:highlight w:val="none"/>
          <w14:textFill>
            <w14:solidFill>
              <w14:schemeClr w14:val="tx1"/>
            </w14:solidFill>
          </w14:textFill>
        </w:rPr>
        <w:t>投标人的资格要求</w:t>
      </w:r>
    </w:p>
    <w:p w14:paraId="094E02A8">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投标人的资格要求详见“投标人须知前附表”。</w:t>
      </w:r>
    </w:p>
    <w:p w14:paraId="2345E596">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bookmarkStart w:id="116" w:name="_Toc254970530"/>
      <w:bookmarkStart w:id="117" w:name="_Toc254970671"/>
      <w:r>
        <w:rPr>
          <w:rFonts w:hint="eastAsia" w:ascii="宋体" w:hAnsi="宋体" w:cs="宋体"/>
          <w:color w:val="000000" w:themeColor="text1"/>
          <w:sz w:val="24"/>
          <w:highlight w:val="none"/>
          <w14:textFill>
            <w14:solidFill>
              <w14:schemeClr w14:val="tx1"/>
            </w14:solidFill>
          </w14:textFill>
        </w:rPr>
        <w:t>4.投标委托</w:t>
      </w:r>
      <w:bookmarkEnd w:id="116"/>
      <w:bookmarkEnd w:id="117"/>
    </w:p>
    <w:p w14:paraId="42A3038A">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投标人代表参加投标活动过程中必须携带个人有效身份证件。如投标人代表不是法定代表人，须持有法定代表人授权委托书（按第六章要求格式填写）。</w:t>
      </w:r>
    </w:p>
    <w:p w14:paraId="1572CFCB">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bookmarkStart w:id="118" w:name="_5.投标费用"/>
      <w:bookmarkEnd w:id="118"/>
      <w:bookmarkStart w:id="119" w:name="_Toc254970531"/>
      <w:bookmarkStart w:id="120" w:name="_Toc254970672"/>
      <w:r>
        <w:rPr>
          <w:rFonts w:hint="eastAsia" w:ascii="宋体" w:hAnsi="宋体" w:cs="宋体"/>
          <w:color w:val="000000" w:themeColor="text1"/>
          <w:sz w:val="24"/>
          <w:highlight w:val="none"/>
          <w14:textFill>
            <w14:solidFill>
              <w14:schemeClr w14:val="tx1"/>
            </w14:solidFill>
          </w14:textFill>
        </w:rPr>
        <w:t>5.投标费用</w:t>
      </w:r>
      <w:bookmarkEnd w:id="119"/>
      <w:bookmarkEnd w:id="120"/>
    </w:p>
    <w:p w14:paraId="39E6DFDD">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047D220C">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6.联合体投标</w:t>
      </w:r>
    </w:p>
    <w:p w14:paraId="05F4AE35">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6.1本项目不接受联合体投标，详见“投标人须知前附表”。</w:t>
      </w:r>
    </w:p>
    <w:p w14:paraId="542F936F">
      <w:pPr>
        <w:spacing w:line="360" w:lineRule="auto"/>
        <w:ind w:firstLine="420"/>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6.2如接受联合体投标，联合体投标要求详见“投标人须知前附表”。</w:t>
      </w:r>
    </w:p>
    <w:p w14:paraId="3A4D4244">
      <w:pPr>
        <w:spacing w:line="360" w:lineRule="auto"/>
        <w:ind w:firstLine="42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6.3</w:t>
      </w:r>
      <w:r>
        <w:rPr>
          <w:rFonts w:hint="eastAsia" w:ascii="宋体" w:hAnsi="宋体" w:cs="宋体"/>
          <w:color w:val="000000" w:themeColor="text1"/>
          <w:szCs w:val="21"/>
          <w:highlight w:val="none"/>
          <w14:textFill>
            <w14:solidFill>
              <w14:schemeClr w14:val="tx1"/>
            </w14:solidFill>
          </w14:textFill>
        </w:rPr>
        <w:t>根据《政府采购促进中小企业发展管理办法》（财库〔2020〕46号）第九条第二款及</w:t>
      </w:r>
      <w:r>
        <w:rPr>
          <w:rFonts w:hint="eastAsia" w:ascii="宋体" w:hAnsi="宋体"/>
          <w:b w:val="0"/>
          <w:bCs/>
          <w:color w:val="000000" w:themeColor="text1"/>
          <w:sz w:val="21"/>
          <w:szCs w:val="21"/>
          <w:highlight w:val="none"/>
          <w:lang w:val="en-US"/>
          <w14:textFill>
            <w14:solidFill>
              <w14:schemeClr w14:val="tx1"/>
            </w14:solidFill>
          </w14:textFill>
        </w:rPr>
        <w:t>《广西壮族自治区财政厅关于持续优化政府采购营商环境推动高质量发展的通知》（桂财采〔2024〕55号）</w:t>
      </w:r>
      <w:r>
        <w:rPr>
          <w:rFonts w:hint="eastAsia" w:ascii="宋体" w:hAnsi="宋体" w:cs="宋体"/>
          <w:color w:val="000000" w:themeColor="text1"/>
          <w:szCs w:val="21"/>
          <w:highlight w:val="none"/>
          <w14:textFill>
            <w14:solidFill>
              <w14:schemeClr w14:val="tx1"/>
            </w14:solidFill>
          </w14:textFill>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48C58546">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7.转包与分包             </w:t>
      </w:r>
    </w:p>
    <w:p w14:paraId="0C473138">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bookmarkStart w:id="121" w:name="_Toc254970673"/>
      <w:bookmarkStart w:id="122" w:name="_Toc254970532"/>
      <w:r>
        <w:rPr>
          <w:rFonts w:hint="eastAsia" w:ascii="宋体" w:hAnsi="宋体" w:cs="宋体"/>
          <w:b w:val="0"/>
          <w:color w:val="000000" w:themeColor="text1"/>
          <w:sz w:val="21"/>
          <w:szCs w:val="21"/>
          <w:highlight w:val="none"/>
          <w14:textFill>
            <w14:solidFill>
              <w14:schemeClr w14:val="tx1"/>
            </w14:solidFill>
          </w14:textFill>
        </w:rPr>
        <w:t>7.1本项目不允许转包。</w:t>
      </w:r>
    </w:p>
    <w:p w14:paraId="274841CC">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07309EA">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34A7FC5">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8.特别说明</w:t>
      </w:r>
      <w:bookmarkEnd w:id="121"/>
      <w:bookmarkEnd w:id="122"/>
    </w:p>
    <w:p w14:paraId="3678AF2C">
      <w:pPr>
        <w:numPr>
          <w:ilvl w:val="4"/>
          <w:numId w:val="1"/>
        </w:numPr>
        <w:spacing w:line="360" w:lineRule="auto"/>
        <w:ind w:firstLine="367"/>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 。</w:t>
      </w:r>
    </w:p>
    <w:p w14:paraId="0FCFD77A">
      <w:pPr>
        <w:numPr>
          <w:ilvl w:val="4"/>
          <w:numId w:val="1"/>
        </w:numPr>
        <w:spacing w:line="360" w:lineRule="auto"/>
        <w:ind w:firstLine="367"/>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390FA1AF">
      <w:pPr>
        <w:numPr>
          <w:ilvl w:val="4"/>
          <w:numId w:val="1"/>
        </w:numPr>
        <w:spacing w:line="360" w:lineRule="auto"/>
        <w:ind w:firstLine="367"/>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2C5A360B">
      <w:pPr>
        <w:spacing w:line="360" w:lineRule="auto"/>
        <w:ind w:firstLine="420"/>
        <w:rPr>
          <w:rFonts w:ascii="宋体" w:hAnsi="宋体"/>
          <w:color w:val="000000" w:themeColor="text1"/>
          <w:szCs w:val="20"/>
          <w:highlight w:val="none"/>
          <w14:textFill>
            <w14:solidFill>
              <w14:schemeClr w14:val="tx1"/>
            </w14:solidFill>
          </w14:textFill>
        </w:rPr>
      </w:pPr>
      <w:r>
        <w:rPr>
          <w:rFonts w:ascii="宋体" w:hAnsi="宋体"/>
          <w:color w:val="000000" w:themeColor="text1"/>
          <w:szCs w:val="20"/>
          <w:highlight w:val="none"/>
          <w14:textFill>
            <w14:solidFill>
              <w14:schemeClr w14:val="tx1"/>
            </w14:solidFill>
          </w14:textFill>
        </w:rPr>
        <w:t>8.4</w:t>
      </w:r>
      <w:r>
        <w:rPr>
          <w:rFonts w:hint="eastAsia" w:ascii="宋体" w:hAnsi="宋体"/>
          <w:color w:val="000000" w:themeColor="text1"/>
          <w:szCs w:val="20"/>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6092C11">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产品在中国境内生产的组件成本占比应当达到规定比例，计算公式为：</w:t>
      </w:r>
    </w:p>
    <w:p w14:paraId="59467DC5">
      <w:pPr>
        <w:widowControl/>
        <w:shd w:val="clear" w:color="auto" w:fill="FFFFFF"/>
        <w:spacing w:before="30" w:after="30" w:line="360" w:lineRule="auto"/>
        <w:jc w:val="center"/>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fldChar w:fldCharType="begin"/>
      </w:r>
      <w:r>
        <w:rPr>
          <w:rFonts w:ascii="宋体" w:hAnsi="宋体" w:eastAsia="宋体" w:cs="宋体"/>
          <w:color w:val="000000" w:themeColor="text1"/>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eastAsia="宋体" w:cs="宋体"/>
          <w:color w:val="000000" w:themeColor="text1"/>
          <w:sz w:val="24"/>
          <w:highlight w:val="none"/>
          <w14:textFill>
            <w14:solidFill>
              <w14:schemeClr w14:val="tx1"/>
            </w14:solidFill>
          </w14:textFill>
        </w:rPr>
        <w:fldChar w:fldCharType="separate"/>
      </w:r>
      <w:r>
        <w:rPr>
          <w:rFonts w:ascii="宋体" w:hAnsi="宋体" w:eastAsia="宋体" w:cs="宋体"/>
          <w:color w:val="000000" w:themeColor="text1"/>
          <w:sz w:val="24"/>
          <w:highlight w:val="none"/>
          <w14:textFill>
            <w14:solidFill>
              <w14:schemeClr w14:val="tx1"/>
            </w14:solidFill>
          </w14:textFill>
        </w:rPr>
        <w:drawing>
          <wp:inline distT="0" distB="0" distL="0" distR="0">
            <wp:extent cx="4827905" cy="762635"/>
            <wp:effectExtent l="0" t="0" r="0" b="0"/>
            <wp:docPr id="4" name="_x0000_i3083"/>
            <wp:cNvGraphicFramePr/>
            <a:graphic xmlns:a="http://schemas.openxmlformats.org/drawingml/2006/main">
              <a:graphicData uri="http://schemas.openxmlformats.org/drawingml/2006/picture">
                <pic:pic xmlns:pic="http://schemas.openxmlformats.org/drawingml/2006/picture">
                  <pic:nvPicPr>
                    <pic:cNvPr id="4" name="_x0000_i3083"/>
                    <pic:cNvPicPr/>
                  </pic:nvPicPr>
                  <pic:blipFill>
                    <a:blip r:embed="rId17"/>
                    <a:stretch>
                      <a:fillRect/>
                    </a:stretch>
                  </pic:blipFill>
                  <pic:spPr>
                    <a:xfrm>
                      <a:off x="0" y="0"/>
                      <a:ext cx="4827905" cy="762762"/>
                    </a:xfrm>
                    <a:prstGeom prst="rect">
                      <a:avLst/>
                    </a:prstGeom>
                    <a:noFill/>
                  </pic:spPr>
                </pic:pic>
              </a:graphicData>
            </a:graphic>
          </wp:inline>
        </w:drawing>
      </w:r>
      <w:r>
        <w:rPr>
          <w:rFonts w:ascii="宋体" w:hAnsi="宋体" w:eastAsia="宋体" w:cs="宋体"/>
          <w:color w:val="000000" w:themeColor="text1"/>
          <w:sz w:val="24"/>
          <w:highlight w:val="none"/>
          <w14:textFill>
            <w14:solidFill>
              <w14:schemeClr w14:val="tx1"/>
            </w14:solidFill>
          </w14:textFill>
        </w:rPr>
        <w:fldChar w:fldCharType="end"/>
      </w:r>
    </w:p>
    <w:p w14:paraId="1C0F76DE">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3577E6C">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38E77017">
      <w:pPr>
        <w:spacing w:line="360" w:lineRule="auto"/>
        <w:ind w:firstLine="420"/>
        <w:rPr>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1FF0E20">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9.回避与串通投标</w:t>
      </w:r>
    </w:p>
    <w:p w14:paraId="6DCEF7A7">
      <w:pPr>
        <w:pStyle w:val="196"/>
        <w:keepNext w:val="0"/>
        <w:keepLines w:val="0"/>
        <w:spacing w:before="0" w:after="0" w:line="360" w:lineRule="auto"/>
        <w:ind w:firstLine="367"/>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9.1在政府采购活动中，采购人员及相关人员与供应商有下列利害关系之一的，应当回避：</w:t>
      </w:r>
    </w:p>
    <w:p w14:paraId="6C023F31">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（1）参加采购活动前3年内与供应商存在劳动关系；</w:t>
      </w:r>
    </w:p>
    <w:p w14:paraId="1728B672">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（2）参加采购活动前3年内担任供应商的董事、监事；</w:t>
      </w:r>
    </w:p>
    <w:p w14:paraId="1986E123">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（3）参加采购活动前3年内是供应商的控股股东或者实际控制人；</w:t>
      </w:r>
    </w:p>
    <w:p w14:paraId="12865C48">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（4）与供应商的法定代表人或者负责人有夫妻、直系血亲、三代以内旁系血亲或者近姻亲关系；</w:t>
      </w:r>
    </w:p>
    <w:p w14:paraId="6F6C79A0">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（5）与供应商有其他可能影响政府采购活动公平、公正进行的关系。</w:t>
      </w:r>
    </w:p>
    <w:p w14:paraId="54F8F0CD">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068E7E9">
      <w:pPr>
        <w:pStyle w:val="196"/>
        <w:keepNext w:val="0"/>
        <w:keepLines w:val="0"/>
        <w:spacing w:before="0" w:after="0" w:line="360" w:lineRule="auto"/>
        <w:ind w:left="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9.2有下列情形之一的视为投标人相互串通投标，投标文件将被视为无效：</w:t>
      </w:r>
    </w:p>
    <w:p w14:paraId="0DD55BDB">
      <w:pPr>
        <w:pStyle w:val="227"/>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 xml:space="preserve">（1）不同投标人的投标文件由同一单位或者个人编制； </w:t>
      </w:r>
    </w:p>
    <w:p w14:paraId="3BA22ACE">
      <w:pPr>
        <w:pStyle w:val="227"/>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（2）不同投标人委托同一单位或者个人办理投标事宜；</w:t>
      </w:r>
    </w:p>
    <w:p w14:paraId="0B9B3CFC">
      <w:pPr>
        <w:pStyle w:val="227"/>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（3）不同的投标人的投标文件载明的项目管理员为同一个人；</w:t>
      </w:r>
    </w:p>
    <w:p w14:paraId="2B4AEF83">
      <w:pPr>
        <w:pStyle w:val="227"/>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（4）不同投标人的投标文件异常一致或者投标报价呈规律性差异；</w:t>
      </w:r>
    </w:p>
    <w:p w14:paraId="38C333CD">
      <w:pPr>
        <w:pStyle w:val="227"/>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（5）不同投标人的投标文件相互混装；</w:t>
      </w:r>
    </w:p>
    <w:p w14:paraId="5A5EF272">
      <w:pPr>
        <w:pStyle w:val="227"/>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（6）不同投标人的投标保证金从同一单位或者个人账户转出。</w:t>
      </w:r>
    </w:p>
    <w:p w14:paraId="2261AD81">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9.3供应商有下列情形之一的，属于恶意串通行为，将报同级监督管理部门：</w:t>
      </w:r>
    </w:p>
    <w:p w14:paraId="01AB8C38">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（1）供应商直接或者间接从采购人或者采购代理机构处获得其他供应商的相关信息并修改其投标文件或者投标文件；</w:t>
      </w:r>
    </w:p>
    <w:p w14:paraId="1A0B199E">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（2）供应商按照采购人或者采购代理机构的授意撤换、修改投标文件或者投标文件；</w:t>
      </w:r>
    </w:p>
    <w:p w14:paraId="470433CB">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（3）供应商之间协商报价、技术方案等投标文件或者投标文件的实质性内容；</w:t>
      </w:r>
    </w:p>
    <w:p w14:paraId="51830F0B">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（4）属于同一集团、协会、商会等组织成员的供应商按照该组织要求协同参加政府采购活动；</w:t>
      </w:r>
    </w:p>
    <w:p w14:paraId="580BE5FE">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477E372F">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（6）供应商之间商定部分供应商放弃参加政府采购活动或者放弃中标；</w:t>
      </w:r>
    </w:p>
    <w:p w14:paraId="74EEB738">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397788FB">
      <w:pPr>
        <w:pStyle w:val="227"/>
        <w:spacing w:line="360" w:lineRule="auto"/>
        <w:ind w:left="2" w:firstLine="422"/>
        <w:rPr>
          <w:rFonts w:hint="eastAsia" w:hAnsi="宋体" w:cs="宋体"/>
          <w:b/>
          <w:color w:val="000000" w:themeColor="text1"/>
          <w:sz w:val="21"/>
          <w:highlight w:val="none"/>
          <w14:textFill>
            <w14:solidFill>
              <w14:schemeClr w14:val="tx1"/>
            </w14:solidFill>
          </w14:textFill>
        </w:rPr>
      </w:pPr>
    </w:p>
    <w:p w14:paraId="75EC4EC8">
      <w:pPr>
        <w:pStyle w:val="194"/>
        <w:keepNext w:val="0"/>
        <w:keepLines w:val="0"/>
        <w:jc w:val="center"/>
        <w:rPr>
          <w:rFonts w:hint="eastAsia" w:ascii="宋体" w:hAnsi="宋体" w:cs="宋体"/>
          <w:color w:val="000000" w:themeColor="text1"/>
          <w:highlight w:val="none"/>
          <w14:textFill>
            <w14:solidFill>
              <w14:schemeClr w14:val="tx1"/>
            </w14:solidFill>
          </w14:textFill>
        </w:rPr>
      </w:pPr>
      <w:bookmarkStart w:id="123" w:name="_Toc254970534"/>
      <w:bookmarkStart w:id="124" w:name="_Toc254970675"/>
      <w:r>
        <w:rPr>
          <w:rFonts w:hint="eastAsia" w:ascii="宋体" w:hAnsi="宋体" w:cs="宋体"/>
          <w:color w:val="000000" w:themeColor="text1"/>
          <w:highlight w:val="none"/>
          <w14:textFill>
            <w14:solidFill>
              <w14:schemeClr w14:val="tx1"/>
            </w14:solidFill>
          </w14:textFill>
        </w:rPr>
        <w:t>二、招标文件</w:t>
      </w:r>
      <w:bookmarkEnd w:id="123"/>
      <w:bookmarkEnd w:id="124"/>
    </w:p>
    <w:p w14:paraId="521E556B">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10.招标文件的组成</w:t>
      </w:r>
    </w:p>
    <w:p w14:paraId="13911AB4">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（1）招标公告；</w:t>
      </w:r>
    </w:p>
    <w:p w14:paraId="430111F2">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（2）采购需求； </w:t>
      </w:r>
    </w:p>
    <w:p w14:paraId="57CA2CD1">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（3）投标人须知；</w:t>
      </w:r>
    </w:p>
    <w:p w14:paraId="3CBDC772">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（4）评标方法及评标标准；</w:t>
      </w:r>
    </w:p>
    <w:p w14:paraId="277427EA">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（5）拟签订的合同文本；</w:t>
      </w:r>
    </w:p>
    <w:p w14:paraId="4E0045A5">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（6）投标文件格式。</w:t>
      </w:r>
    </w:p>
    <w:p w14:paraId="3C588806">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11.招标文件的澄清、修改 、现场考察和答疑会</w:t>
      </w:r>
    </w:p>
    <w:p w14:paraId="7B7BCB5A">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F3274B7">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投标人应当按照桂财采【2007】65号文件第二十九条规定，在澄清或者修改通知发出后24小时内以书面形式进行确认（采用网上下载招标文件形式的除外），否则视为已经收到。</w:t>
      </w:r>
    </w:p>
    <w:p w14:paraId="0003BEA7">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11.2</w:t>
      </w:r>
      <w:bookmarkStart w:id="125" w:name="_Hlk53134511"/>
      <w:r>
        <w:rPr>
          <w:rFonts w:hint="eastAsia" w:hAnsi="宋体" w:cs="宋体"/>
          <w:color w:val="000000" w:themeColor="text1"/>
          <w:sz w:val="2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125"/>
    <w:p w14:paraId="6EB1191F">
      <w:pPr>
        <w:pStyle w:val="194"/>
        <w:keepNext w:val="0"/>
        <w:keepLines w:val="0"/>
        <w:jc w:val="center"/>
        <w:rPr>
          <w:rFonts w:hint="eastAsia" w:ascii="宋体" w:hAnsi="宋体" w:cs="宋体"/>
          <w:color w:val="000000" w:themeColor="text1"/>
          <w:highlight w:val="none"/>
          <w14:textFill>
            <w14:solidFill>
              <w14:schemeClr w14:val="tx1"/>
            </w14:solidFill>
          </w14:textFill>
        </w:rPr>
      </w:pPr>
      <w:bookmarkStart w:id="126" w:name="_Toc254970676"/>
      <w:bookmarkStart w:id="127" w:name="_Toc254970535"/>
      <w:r>
        <w:rPr>
          <w:rFonts w:hint="eastAsia" w:ascii="宋体" w:hAnsi="宋体" w:cs="宋体"/>
          <w:color w:val="000000" w:themeColor="text1"/>
          <w:highlight w:val="none"/>
          <w14:textFill>
            <w14:solidFill>
              <w14:schemeClr w14:val="tx1"/>
            </w14:solidFill>
          </w14:textFill>
        </w:rPr>
        <w:t>三、投标文件的编制</w:t>
      </w:r>
      <w:bookmarkEnd w:id="126"/>
      <w:bookmarkEnd w:id="127"/>
    </w:p>
    <w:p w14:paraId="36536E80">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bookmarkStart w:id="128" w:name="_Toc254970677"/>
      <w:bookmarkStart w:id="129" w:name="_Toc254970536"/>
      <w:r>
        <w:rPr>
          <w:rFonts w:hint="eastAsia" w:ascii="宋体" w:hAnsi="宋体" w:cs="宋体"/>
          <w:color w:val="000000" w:themeColor="text1"/>
          <w:sz w:val="24"/>
          <w:highlight w:val="none"/>
          <w14:textFill>
            <w14:solidFill>
              <w14:schemeClr w14:val="tx1"/>
            </w14:solidFill>
          </w14:textFill>
        </w:rPr>
        <w:t>12.投标文件的编制原则</w:t>
      </w:r>
    </w:p>
    <w:p w14:paraId="03C6C069">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5111D960">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13.投标文件的组成</w:t>
      </w:r>
      <w:bookmarkEnd w:id="128"/>
      <w:bookmarkEnd w:id="129"/>
    </w:p>
    <w:p w14:paraId="4654705B">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13.1投标文件由报价文件、资格证明文件、商务文件、技术文件四部分组成。</w:t>
      </w:r>
    </w:p>
    <w:p w14:paraId="38B058E6">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bookmarkStart w:id="130" w:name="_13.1报价文件:_具体材料见“投标人须知前附表”。"/>
      <w:bookmarkEnd w:id="130"/>
      <w:r>
        <w:rPr>
          <w:rFonts w:hint="eastAsia" w:ascii="宋体" w:hAnsi="宋体" w:cs="宋体"/>
          <w:b w:val="0"/>
          <w:color w:val="000000" w:themeColor="text1"/>
          <w:sz w:val="21"/>
          <w:szCs w:val="21"/>
          <w:highlight w:val="none"/>
          <w14:textFill>
            <w14:solidFill>
              <w14:schemeClr w14:val="tx1"/>
            </w14:solidFill>
          </w14:textFill>
        </w:rPr>
        <w:t>（1）报价文件： 具体材料见“投标人须知前附表”。</w:t>
      </w:r>
    </w:p>
    <w:p w14:paraId="7748A124">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bookmarkStart w:id="131" w:name="_13.2资格证明文件：具体材料见“投标人须知前附表”。"/>
      <w:bookmarkEnd w:id="131"/>
      <w:r>
        <w:rPr>
          <w:rFonts w:hint="eastAsia" w:ascii="宋体" w:hAnsi="宋体" w:cs="宋体"/>
          <w:b w:val="0"/>
          <w:color w:val="000000" w:themeColor="text1"/>
          <w:sz w:val="21"/>
          <w:szCs w:val="21"/>
          <w:highlight w:val="none"/>
          <w14:textFill>
            <w14:solidFill>
              <w14:schemeClr w14:val="tx1"/>
            </w14:solidFill>
          </w14:textFill>
        </w:rPr>
        <w:t>（2）资格证明文件：具体材料见“投标人须知前附表”。</w:t>
      </w:r>
    </w:p>
    <w:p w14:paraId="524BB840">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bookmarkStart w:id="132" w:name="_13.3商务文件:_具体材料见“投标人须知前附表”。"/>
      <w:bookmarkEnd w:id="132"/>
      <w:r>
        <w:rPr>
          <w:rFonts w:hint="eastAsia" w:ascii="宋体" w:hAnsi="宋体" w:cs="宋体"/>
          <w:b w:val="0"/>
          <w:color w:val="000000" w:themeColor="text1"/>
          <w:sz w:val="21"/>
          <w:szCs w:val="21"/>
          <w:highlight w:val="none"/>
          <w14:textFill>
            <w14:solidFill>
              <w14:schemeClr w14:val="tx1"/>
            </w14:solidFill>
          </w14:textFill>
        </w:rPr>
        <w:t>（3）商务文件：具体材料见“投标人须知前附表”。</w:t>
      </w:r>
    </w:p>
    <w:p w14:paraId="01BFCCE0">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bookmarkStart w:id="133" w:name="_13.4技术文件：具体材料见“投标人须知前附表”。"/>
      <w:bookmarkEnd w:id="133"/>
      <w:r>
        <w:rPr>
          <w:rFonts w:hint="eastAsia" w:ascii="宋体" w:hAnsi="宋体" w:cs="宋体"/>
          <w:b w:val="0"/>
          <w:color w:val="000000" w:themeColor="text1"/>
          <w:sz w:val="21"/>
          <w:szCs w:val="21"/>
          <w:highlight w:val="none"/>
          <w14:textFill>
            <w14:solidFill>
              <w14:schemeClr w14:val="tx1"/>
            </w14:solidFill>
          </w14:textFill>
        </w:rPr>
        <w:t>（4）技术文件：具体材料见“投标人须知前附表”。</w:t>
      </w:r>
    </w:p>
    <w:p w14:paraId="4A6D8B0A">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bookmarkStart w:id="134" w:name="_13.5投标文件电子版：具体材料见“投标人须知前附表”。"/>
      <w:bookmarkEnd w:id="134"/>
      <w:r>
        <w:rPr>
          <w:rFonts w:hint="eastAsia" w:ascii="宋体" w:hAnsi="宋体" w:cs="宋体"/>
          <w:b w:val="0"/>
          <w:color w:val="000000" w:themeColor="text1"/>
          <w:sz w:val="21"/>
          <w:szCs w:val="21"/>
          <w:highlight w:val="none"/>
          <w14:textFill>
            <w14:solidFill>
              <w14:schemeClr w14:val="tx1"/>
            </w14:solidFill>
          </w14:textFill>
        </w:rPr>
        <w:t>13.2投标文件电子版：具体要求见“投标人须知前附表”。</w:t>
      </w:r>
    </w:p>
    <w:p w14:paraId="448CEEF0">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bookmarkStart w:id="135" w:name="_Toc254970678"/>
      <w:bookmarkStart w:id="136" w:name="_Toc254970537"/>
      <w:r>
        <w:rPr>
          <w:rFonts w:hint="eastAsia" w:ascii="宋体" w:hAnsi="宋体" w:cs="宋体"/>
          <w:color w:val="000000" w:themeColor="text1"/>
          <w:sz w:val="24"/>
          <w:highlight w:val="none"/>
          <w14:textFill>
            <w14:solidFill>
              <w14:schemeClr w14:val="tx1"/>
            </w14:solidFill>
          </w14:textFill>
        </w:rPr>
        <w:t>14.投标文件的语言及计量</w:t>
      </w:r>
      <w:bookmarkEnd w:id="135"/>
      <w:bookmarkEnd w:id="136"/>
    </w:p>
    <w:p w14:paraId="2058F4A1">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14.1语言文字</w:t>
      </w:r>
    </w:p>
    <w:p w14:paraId="7ED7529D">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1E78113">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14.2投标计量单位</w:t>
      </w:r>
    </w:p>
    <w:p w14:paraId="28D1CCCC">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153A8E95">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15.投标的风险</w:t>
      </w:r>
    </w:p>
    <w:p w14:paraId="54E61714">
      <w:pPr>
        <w:pStyle w:val="227"/>
        <w:spacing w:line="360" w:lineRule="auto"/>
        <w:ind w:firstLine="420"/>
        <w:jc w:val="lef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7EB245C8">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bookmarkStart w:id="137" w:name="_Toc254970538"/>
      <w:bookmarkStart w:id="138" w:name="_Toc254970679"/>
      <w:r>
        <w:rPr>
          <w:rFonts w:hint="eastAsia" w:ascii="宋体" w:hAnsi="宋体" w:cs="宋体"/>
          <w:color w:val="000000" w:themeColor="text1"/>
          <w:sz w:val="24"/>
          <w:highlight w:val="none"/>
          <w14:textFill>
            <w14:solidFill>
              <w14:schemeClr w14:val="tx1"/>
            </w14:solidFill>
          </w14:textFill>
        </w:rPr>
        <w:t>16.投标报价</w:t>
      </w:r>
      <w:bookmarkEnd w:id="137"/>
      <w:bookmarkEnd w:id="138"/>
    </w:p>
    <w:p w14:paraId="4E34E4E2">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16.1投标报价应按“第六章　投标文件格式”中“开标一览表”和广西政府采购云平台系统中“开标一览表”格式填写。</w:t>
      </w:r>
    </w:p>
    <w:p w14:paraId="5184F1E4">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bookmarkStart w:id="139" w:name="_16.2投标报价具体定义见投标人须知前附表。"/>
      <w:bookmarkEnd w:id="139"/>
      <w:r>
        <w:rPr>
          <w:rFonts w:hint="eastAsia" w:ascii="宋体" w:hAnsi="宋体" w:cs="宋体"/>
          <w:b w:val="0"/>
          <w:color w:val="000000" w:themeColor="text1"/>
          <w:sz w:val="21"/>
          <w:szCs w:val="21"/>
          <w:highlight w:val="none"/>
          <w14:textFill>
            <w14:solidFill>
              <w14:schemeClr w14:val="tx1"/>
            </w14:solidFill>
          </w14:textFill>
        </w:rPr>
        <w:t>16.2投标报价具体包括内容详见“投标人须知前附表”。</w:t>
      </w:r>
    </w:p>
    <w:p w14:paraId="409AE3F7">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16.3投标人必须就所投全部内容分别作完整唯一总价报价，不得存在漏项报价；投标人必须就所投单项内容作唯一报价。</w:t>
      </w:r>
    </w:p>
    <w:p w14:paraId="3C4AD7EE">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17.投标有效期</w:t>
      </w:r>
    </w:p>
    <w:p w14:paraId="44001CC4">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bookmarkStart w:id="140" w:name="_17.1投标有效期应按“投标人须知中的前附表”规定的期限。"/>
      <w:bookmarkEnd w:id="140"/>
      <w:r>
        <w:rPr>
          <w:rFonts w:hint="eastAsia" w:ascii="宋体" w:hAnsi="宋体" w:cs="宋体"/>
          <w:b w:val="0"/>
          <w:color w:val="000000" w:themeColor="text1"/>
          <w:sz w:val="2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194E0BF7">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17.2</w:t>
      </w:r>
      <w:bookmarkStart w:id="141" w:name="_Toc254970540"/>
      <w:bookmarkStart w:id="142" w:name="_Toc254970681"/>
      <w:r>
        <w:rPr>
          <w:rFonts w:hint="eastAsia" w:ascii="宋体" w:hAnsi="宋体" w:cs="宋体"/>
          <w:b w:val="0"/>
          <w:color w:val="000000" w:themeColor="text1"/>
          <w:sz w:val="21"/>
          <w:szCs w:val="21"/>
          <w:highlight w:val="none"/>
          <w14:textFill>
            <w14:solidFill>
              <w14:schemeClr w14:val="tx1"/>
            </w14:solidFill>
          </w14:textFill>
        </w:rPr>
        <w:t xml:space="preserve"> 投标有效期应按规定的期限作出承诺，具体详见“投标人须知前附表”。</w:t>
      </w:r>
    </w:p>
    <w:p w14:paraId="72B6EA5A">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17.3投标人的投标文件在投标有效期内均保持有效。</w:t>
      </w:r>
      <w:bookmarkEnd w:id="141"/>
      <w:bookmarkEnd w:id="142"/>
    </w:p>
    <w:p w14:paraId="75FCDD18">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bookmarkStart w:id="143" w:name="_18.投标保证金"/>
      <w:bookmarkEnd w:id="143"/>
      <w:bookmarkStart w:id="144" w:name="_Toc254970682"/>
      <w:bookmarkStart w:id="145" w:name="_Toc254970541"/>
      <w:r>
        <w:rPr>
          <w:rFonts w:hint="eastAsia" w:ascii="宋体" w:hAnsi="宋体" w:cs="宋体"/>
          <w:color w:val="000000" w:themeColor="text1"/>
          <w:sz w:val="24"/>
          <w:highlight w:val="none"/>
          <w14:textFill>
            <w14:solidFill>
              <w14:schemeClr w14:val="tx1"/>
            </w14:solidFill>
          </w14:textFill>
        </w:rPr>
        <w:t>18.投标保证金</w:t>
      </w:r>
      <w:bookmarkEnd w:id="144"/>
      <w:bookmarkEnd w:id="145"/>
    </w:p>
    <w:p w14:paraId="6A14D7A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投标保证金</w:t>
      </w:r>
      <w:bookmarkStart w:id="146" w:name="_Toc254970542"/>
      <w:bookmarkStart w:id="147" w:name="_Toc254970683"/>
      <w:r>
        <w:rPr>
          <w:rFonts w:hint="eastAsia" w:ascii="宋体" w:hAnsi="宋体" w:cs="宋体"/>
          <w:color w:val="000000" w:themeColor="text1"/>
          <w:szCs w:val="21"/>
          <w:highlight w:val="none"/>
          <w14:textFill>
            <w14:solidFill>
              <w14:schemeClr w14:val="tx1"/>
            </w14:solidFill>
          </w14:textFill>
        </w:rPr>
        <w:t>：无。</w:t>
      </w:r>
    </w:p>
    <w:p w14:paraId="7DFC4CA8">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19.投标文件的</w:t>
      </w:r>
      <w:bookmarkEnd w:id="146"/>
      <w:bookmarkEnd w:id="147"/>
      <w:r>
        <w:rPr>
          <w:rFonts w:hint="eastAsia" w:ascii="宋体" w:hAnsi="宋体" w:cs="宋体"/>
          <w:color w:val="000000" w:themeColor="text1"/>
          <w:sz w:val="24"/>
          <w:highlight w:val="none"/>
          <w14:textFill>
            <w14:solidFill>
              <w14:schemeClr w14:val="tx1"/>
            </w14:solidFill>
          </w14:textFill>
        </w:rPr>
        <w:t>编制</w:t>
      </w:r>
    </w:p>
    <w:p w14:paraId="683B9AE3">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53A3FD32">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bookmarkStart w:id="148" w:name="_19.2投标文件应按报价文件、资格证明文件、商务文件、技术文件分别编制"/>
      <w:bookmarkEnd w:id="148"/>
      <w:r>
        <w:rPr>
          <w:rFonts w:hint="eastAsia" w:ascii="宋体" w:hAnsi="宋体" w:cs="宋体"/>
          <w:b w:val="0"/>
          <w:color w:val="000000" w:themeColor="text1"/>
          <w:sz w:val="21"/>
          <w:szCs w:val="21"/>
          <w:highlight w:val="none"/>
          <w14:textFill>
            <w14:solidFill>
              <w14:schemeClr w14:val="tx1"/>
            </w14:solidFill>
          </w14:textFill>
        </w:rPr>
        <w:t>19.2为确保网上操作合法、有效和安全，投标人应当在投标截止时间前完成在广西政府采购云平台的身份认证，确保在电子投标过程中能够对相关数据电文进行加密和使用电子签章。</w:t>
      </w:r>
    </w:p>
    <w:p w14:paraId="259E50C5">
      <w:pPr>
        <w:pStyle w:val="196"/>
        <w:keepNext w:val="0"/>
        <w:keepLines w:val="0"/>
        <w:spacing w:before="0" w:after="0" w:line="360" w:lineRule="auto"/>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cs="宋体"/>
          <w:bCs/>
          <w:color w:val="000000" w:themeColor="text1"/>
          <w:sz w:val="21"/>
          <w:szCs w:val="21"/>
          <w:highlight w:val="none"/>
          <w14:textFill>
            <w14:solidFill>
              <w14:schemeClr w14:val="tx1"/>
            </w14:solidFill>
          </w14:textFill>
        </w:rPr>
        <w:t>否则按无效投标处理</w:t>
      </w:r>
      <w:r>
        <w:rPr>
          <w:rFonts w:hint="eastAsia" w:ascii="宋体" w:hAnsi="宋体" w:cs="宋体"/>
          <w:b w:val="0"/>
          <w:color w:val="000000" w:themeColor="text1"/>
          <w:sz w:val="21"/>
          <w:szCs w:val="21"/>
          <w:highlight w:val="none"/>
          <w14:textFill>
            <w14:solidFill>
              <w14:schemeClr w14:val="tx1"/>
            </w14:solidFill>
          </w14:textFill>
        </w:rPr>
        <w:t>。</w:t>
      </w:r>
    </w:p>
    <w:p w14:paraId="25F447C3">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color w:val="000000" w:themeColor="text1"/>
          <w:sz w:val="21"/>
          <w:szCs w:val="21"/>
          <w:highlight w:val="none"/>
          <w14:textFill>
            <w14:solidFill>
              <w14:schemeClr w14:val="tx1"/>
            </w14:solidFill>
          </w14:textFill>
        </w:rPr>
        <w:t>否则按无效投标处理</w:t>
      </w:r>
      <w:r>
        <w:rPr>
          <w:rFonts w:hint="eastAsia" w:ascii="宋体" w:hAnsi="宋体" w:cs="宋体"/>
          <w:b w:val="0"/>
          <w:color w:val="000000" w:themeColor="text1"/>
          <w:sz w:val="21"/>
          <w:szCs w:val="21"/>
          <w:highlight w:val="none"/>
          <w14:textFill>
            <w14:solidFill>
              <w14:schemeClr w14:val="tx1"/>
            </w14:solidFill>
          </w14:textFill>
        </w:rPr>
        <w:t>。</w:t>
      </w:r>
    </w:p>
    <w:p w14:paraId="10C7E6E3">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3C41D664">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20.电子备份投标文件</w:t>
      </w:r>
    </w:p>
    <w:p w14:paraId="49207A67">
      <w:pPr>
        <w:spacing w:line="360" w:lineRule="auto"/>
        <w:ind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电子备份投标文件是指通过在线编制生成且后缀名为“bfbs”的文件，是否接受电子备份投标文件详见“投标人须知前附表”。</w:t>
      </w:r>
    </w:p>
    <w:p w14:paraId="0A0ECB68">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21.投标文件的提交</w:t>
      </w:r>
    </w:p>
    <w:p w14:paraId="4E0AA866">
      <w:pPr>
        <w:spacing w:line="360" w:lineRule="auto"/>
        <w:ind w:firstLine="420"/>
        <w:rPr>
          <w:rFonts w:hint="eastAsia" w:ascii="宋体" w:hAnsi="宋体" w:cs="宋体"/>
          <w:b/>
          <w:color w:val="000000" w:themeColor="text1"/>
          <w:highlight w:val="none"/>
          <w14:textFill>
            <w14:solidFill>
              <w14:schemeClr w14:val="tx1"/>
            </w14:solidFill>
          </w14:textFill>
        </w:rPr>
      </w:pPr>
      <w:bookmarkStart w:id="149" w:name="_21.1投标人必须在“投标人须知中的前附表”规定的投标文件接收时间和投"/>
      <w:bookmarkEnd w:id="149"/>
      <w:r>
        <w:rPr>
          <w:rFonts w:hint="eastAsia" w:ascii="宋体" w:hAnsi="宋体" w:cs="宋体"/>
          <w:bCs/>
          <w:color w:val="000000" w:themeColor="text1"/>
          <w:szCs w:val="21"/>
          <w:highlight w:val="none"/>
          <w14:textFill>
            <w14:solidFill>
              <w14:schemeClr w14:val="tx1"/>
            </w14:solidFill>
          </w14:textFill>
        </w:rPr>
        <w:t>21.1投标人必须在“投标人须知前附表”规定的</w:t>
      </w:r>
      <w:r>
        <w:rPr>
          <w:rFonts w:hint="eastAsia" w:ascii="宋体" w:hAnsi="宋体" w:cs="宋体"/>
          <w:color w:val="000000" w:themeColor="text1"/>
          <w:szCs w:val="21"/>
          <w:highlight w:val="none"/>
          <w14:textFill>
            <w14:solidFill>
              <w14:schemeClr w14:val="tx1"/>
            </w14:solidFill>
          </w14:textFill>
        </w:rPr>
        <w:t>投标文件提交截止时间前将</w:t>
      </w:r>
      <w:r>
        <w:rPr>
          <w:rFonts w:hint="eastAsia" w:ascii="宋体" w:hAnsi="宋体" w:cs="宋体"/>
          <w:bCs/>
          <w:color w:val="000000" w:themeColor="text1"/>
          <w:szCs w:val="21"/>
          <w:highlight w:val="none"/>
          <w14:textFill>
            <w14:solidFill>
              <w14:schemeClr w14:val="tx1"/>
            </w14:solidFill>
          </w14:textFill>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 xml:space="preserve">。 </w:t>
      </w:r>
      <w:r>
        <w:rPr>
          <w:rFonts w:hint="eastAsia" w:ascii="宋体" w:hAnsi="宋体" w:cs="宋体"/>
          <w:b/>
          <w:color w:val="000000" w:themeColor="text1"/>
          <w:highlight w:val="none"/>
          <w14:textFill>
            <w14:solidFill>
              <w14:schemeClr w14:val="tx1"/>
            </w14:solidFill>
          </w14:textFill>
        </w:rPr>
        <w:t xml:space="preserve"> </w:t>
      </w:r>
    </w:p>
    <w:p w14:paraId="7FC18963">
      <w:pPr>
        <w:spacing w:line="360" w:lineRule="auto"/>
        <w:ind w:firstLine="422"/>
        <w:rPr>
          <w:rFonts w:hint="eastAsia" w:ascii="宋体" w:hAnsi="宋体" w:cs="宋体"/>
          <w:b/>
          <w:color w:val="000000" w:themeColor="text1"/>
          <w:szCs w:val="20"/>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21.2未在规定时间内提交或者未按照招标文件要求加密的电子投标文件，广西政府采购云平台将拒收。</w:t>
      </w:r>
    </w:p>
    <w:p w14:paraId="768FC477">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 投标文件的补充、修改、撤回与退回</w:t>
      </w:r>
    </w:p>
    <w:p w14:paraId="601AAFAA">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bookmarkStart w:id="150" w:name="_Toc254970543"/>
      <w:r>
        <w:rPr>
          <w:rFonts w:hint="eastAsia" w:ascii="宋体" w:hAnsi="宋体" w:cs="宋体"/>
          <w:color w:val="000000" w:themeColor="text1"/>
          <w:szCs w:val="21"/>
          <w:highlight w:val="none"/>
          <w14:textFill>
            <w14:solidFill>
              <w14:schemeClr w14:val="tx1"/>
            </w14:solidFill>
          </w14:textFill>
        </w:rPr>
        <w:t>22.1</w:t>
      </w:r>
      <w:r>
        <w:rPr>
          <w:rFonts w:hint="eastAsia" w:ascii="宋体" w:hAnsi="宋体" w:cs="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000000" w:themeColor="text1"/>
          <w:szCs w:val="21"/>
          <w:highlight w:val="none"/>
          <w14:textFill>
            <w14:solidFill>
              <w14:schemeClr w14:val="tx1"/>
            </w14:solidFill>
          </w14:textFill>
        </w:rPr>
        <w:t>（补充、修改或者撤回方式可登录广西政府采购云平台，依次进入“服务中心”中查看 “电子投标文件制作与投送教程”）</w:t>
      </w:r>
    </w:p>
    <w:bookmarkEnd w:id="150"/>
    <w:p w14:paraId="70522E6C">
      <w:pPr>
        <w:pStyle w:val="303"/>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22.2广西政府采购云平台收到投标文件后向供应商发出确认回执通知。在投标截止时间前，除供应商补充、修改或者撤回投标文件外，任何单位和个人不得解密或提取投标文件。</w:t>
      </w:r>
    </w:p>
    <w:p w14:paraId="36FED32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22.3在投标截止时间后，采购人和采购代理机构对已提交的投标文件概不退回。</w:t>
      </w:r>
    </w:p>
    <w:p w14:paraId="4D2DF1D5">
      <w:pPr>
        <w:pStyle w:val="221"/>
        <w:spacing w:line="360" w:lineRule="auto"/>
        <w:ind w:firstLine="739"/>
        <w:rPr>
          <w:rFonts w:hint="eastAsia" w:ascii="宋体" w:hAnsi="宋体" w:eastAsia="宋体" w:cs="宋体"/>
          <w:color w:val="000000" w:themeColor="text1"/>
          <w:sz w:val="21"/>
          <w:szCs w:val="21"/>
          <w:highlight w:val="none"/>
          <w14:textFill>
            <w14:solidFill>
              <w14:schemeClr w14:val="tx1"/>
            </w14:solidFill>
          </w14:textFill>
        </w:rPr>
      </w:pPr>
    </w:p>
    <w:p w14:paraId="1953B943">
      <w:pPr>
        <w:pStyle w:val="194"/>
        <w:keepNext w:val="0"/>
        <w:keepLines w:val="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四、开    标</w:t>
      </w:r>
    </w:p>
    <w:p w14:paraId="2D5F43F8">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23.开标时间和地点</w:t>
      </w:r>
    </w:p>
    <w:p w14:paraId="00A98BDE">
      <w:pPr>
        <w:spacing w:line="360" w:lineRule="auto"/>
        <w:ind w:firstLine="42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开标时间及地点详见“投标人须知前附表”</w:t>
      </w:r>
    </w:p>
    <w:p w14:paraId="1C87DD30">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24.开标程序</w:t>
      </w:r>
    </w:p>
    <w:p w14:paraId="19C6244F">
      <w:pPr>
        <w:pStyle w:val="197"/>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24.1提交投标文件截止时间止，投标人不足3家的，不得开标。</w:t>
      </w:r>
    </w:p>
    <w:p w14:paraId="46D0DB82">
      <w:pPr>
        <w:pStyle w:val="197"/>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1F3CA1BE">
      <w:pPr>
        <w:pStyle w:val="197"/>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24.3开标程序</w:t>
      </w:r>
    </w:p>
    <w:p w14:paraId="15754B90">
      <w:pPr>
        <w:pStyle w:val="197"/>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000000" w:themeColor="text1"/>
          <w:szCs w:val="21"/>
          <w:highlight w:val="none"/>
          <w14:textFill>
            <w14:solidFill>
              <w14:schemeClr w14:val="tx1"/>
            </w14:solidFill>
          </w14:textFill>
        </w:rPr>
        <w:t>“投标人须知前附表”</w:t>
      </w:r>
      <w:r>
        <w:rPr>
          <w:rFonts w:hint="eastAsia" w:ascii="宋体" w:hAnsi="宋体" w:cs="宋体"/>
          <w:color w:val="000000" w:themeColor="text1"/>
          <w:highlight w:val="none"/>
          <w14:textFill>
            <w14:solidFill>
              <w14:schemeClr w14:val="tx1"/>
            </w14:solidFill>
          </w14:textFill>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000000" w:themeColor="text1"/>
          <w:highlight w:val="none"/>
          <w14:textFill>
            <w14:solidFill>
              <w14:schemeClr w14:val="tx1"/>
            </w14:solidFill>
          </w14:textFill>
        </w:rPr>
        <w:t>投标人未在规定的时间内解密投标文件或者解密失败的，</w:t>
      </w:r>
      <w:r>
        <w:rPr>
          <w:rFonts w:hint="eastAsia" w:ascii="宋体" w:hAnsi="宋体" w:cs="宋体"/>
          <w:b/>
          <w:color w:val="000000" w:themeColor="text1"/>
          <w:szCs w:val="21"/>
          <w:highlight w:val="none"/>
          <w14:textFill>
            <w14:solidFill>
              <w14:schemeClr w14:val="tx1"/>
            </w14:solidFill>
          </w14:textFill>
        </w:rPr>
        <w:t>投标人的投标文件作无效处理</w:t>
      </w:r>
      <w:r>
        <w:rPr>
          <w:rFonts w:hint="eastAsia" w:ascii="宋体" w:hAnsi="宋体" w:cs="宋体"/>
          <w:b/>
          <w:color w:val="000000" w:themeColor="text1"/>
          <w:highlight w:val="none"/>
          <w14:textFill>
            <w14:solidFill>
              <w14:schemeClr w14:val="tx1"/>
            </w14:solidFill>
          </w14:textFill>
        </w:rPr>
        <w:t>。</w:t>
      </w:r>
    </w:p>
    <w:p w14:paraId="7134E6C2">
      <w:pPr>
        <w:pStyle w:val="197"/>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（2）电子唱标。投标文件解密结束，宣布的内容均在广西政府采购云平台远程开标大厅展示，具体详见</w:t>
      </w:r>
      <w:r>
        <w:rPr>
          <w:rFonts w:hint="eastAsia" w:ascii="宋体" w:hAnsi="宋体" w:cs="宋体"/>
          <w:bCs/>
          <w:color w:val="000000" w:themeColor="text1"/>
          <w:highlight w:val="none"/>
          <w14:textFill>
            <w14:solidFill>
              <w14:schemeClr w14:val="tx1"/>
            </w14:solidFill>
          </w14:textFill>
        </w:rPr>
        <w:t>“投标人须知前附表”</w:t>
      </w:r>
      <w:r>
        <w:rPr>
          <w:rFonts w:hint="eastAsia" w:ascii="宋体" w:hAnsi="宋体" w:cs="宋体"/>
          <w:color w:val="000000" w:themeColor="text1"/>
          <w:highlight w:val="none"/>
          <w14:textFill>
            <w14:solidFill>
              <w14:schemeClr w14:val="tx1"/>
            </w14:solidFill>
          </w14:textFill>
        </w:rPr>
        <w:t>；</w:t>
      </w:r>
    </w:p>
    <w:p w14:paraId="7D0F8E3E">
      <w:pPr>
        <w:pStyle w:val="197"/>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14842B51">
      <w:pPr>
        <w:pStyle w:val="197"/>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9FB7AF2">
      <w:pPr>
        <w:pStyle w:val="197"/>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（5）开标结束。</w:t>
      </w:r>
    </w:p>
    <w:p w14:paraId="0DDF2FD7">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特别说明：如遇广西政府采购云平台电子化开标或评审程序调整的，按调整后执行。</w:t>
      </w:r>
    </w:p>
    <w:p w14:paraId="695BAA38">
      <w:pPr>
        <w:pStyle w:val="227"/>
        <w:spacing w:line="360" w:lineRule="auto"/>
        <w:ind w:left="689" w:hanging="210"/>
        <w:rPr>
          <w:rFonts w:hint="eastAsia" w:hAnsi="宋体" w:cs="宋体"/>
          <w:color w:val="000000" w:themeColor="text1"/>
          <w:sz w:val="21"/>
          <w:highlight w:val="none"/>
          <w14:textFill>
            <w14:solidFill>
              <w14:schemeClr w14:val="tx1"/>
            </w14:solidFill>
          </w14:textFill>
        </w:rPr>
      </w:pPr>
    </w:p>
    <w:p w14:paraId="67F51BAF">
      <w:pPr>
        <w:pStyle w:val="194"/>
        <w:keepNext w:val="0"/>
        <w:keepLines w:val="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五、资格审查</w:t>
      </w:r>
    </w:p>
    <w:p w14:paraId="0C34A6AF">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25.资格审查</w:t>
      </w:r>
    </w:p>
    <w:p w14:paraId="6D1847B8">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25.1开标结束后，采购人或者采购代理机构通过电子开评标系统依据招标文件对电子投标文件进行线上资格审查。</w:t>
      </w:r>
    </w:p>
    <w:p w14:paraId="0CB199FA">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34453089">
      <w:pPr>
        <w:pStyle w:val="196"/>
        <w:keepNext w:val="0"/>
        <w:keepLines w:val="0"/>
        <w:numPr>
          <w:ilvl w:val="0"/>
          <w:numId w:val="0"/>
        </w:numPr>
        <w:spacing w:before="0" w:after="0" w:line="360" w:lineRule="auto"/>
        <w:ind w:firstLine="42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25.3 投标人有下列情形之一的，资格审查不通过，作无效投标处理：</w:t>
      </w:r>
    </w:p>
    <w:p w14:paraId="6C4CCF0E">
      <w:pPr>
        <w:pStyle w:val="227"/>
        <w:spacing w:line="360" w:lineRule="auto"/>
        <w:ind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（1）不具备招标文件中规定的资格要求的；</w:t>
      </w:r>
    </w:p>
    <w:p w14:paraId="74441FA6">
      <w:pPr>
        <w:pStyle w:val="227"/>
        <w:spacing w:line="360" w:lineRule="auto"/>
        <w:ind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22A0D88C">
      <w:pPr>
        <w:pStyle w:val="227"/>
        <w:spacing w:line="360" w:lineRule="auto"/>
        <w:ind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5682D120">
      <w:pPr>
        <w:pStyle w:val="227"/>
        <w:spacing w:line="360" w:lineRule="auto"/>
        <w:ind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（4）投标文件中的资格证明文件缺少任一项“投标人须知前附表”资格证明文件规定“必须提供”的文件资料的；</w:t>
      </w:r>
    </w:p>
    <w:p w14:paraId="1F9E5A63">
      <w:pPr>
        <w:pStyle w:val="227"/>
        <w:spacing w:line="360" w:lineRule="auto"/>
        <w:ind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（5）投标文件中的资格证明文件出现任一项不符合“投标人须知前附表”资格证明文件规定“必须提供”的文件资料要求或者无效的。</w:t>
      </w:r>
    </w:p>
    <w:p w14:paraId="543F6907">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25.4合格投标人不足3家的，不得评标。</w:t>
      </w:r>
    </w:p>
    <w:p w14:paraId="45BEF3D2">
      <w:pPr>
        <w:pStyle w:val="227"/>
        <w:spacing w:line="360" w:lineRule="auto"/>
        <w:ind w:left="689" w:hanging="210"/>
        <w:rPr>
          <w:rFonts w:hint="eastAsia" w:hAnsi="宋体" w:cs="宋体"/>
          <w:color w:val="000000" w:themeColor="text1"/>
          <w:sz w:val="21"/>
          <w:highlight w:val="none"/>
          <w14:textFill>
            <w14:solidFill>
              <w14:schemeClr w14:val="tx1"/>
            </w14:solidFill>
          </w14:textFill>
        </w:rPr>
      </w:pPr>
    </w:p>
    <w:p w14:paraId="52F31792">
      <w:pPr>
        <w:pStyle w:val="194"/>
        <w:keepNext w:val="0"/>
        <w:keepLines w:val="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六、评   标</w:t>
      </w:r>
    </w:p>
    <w:p w14:paraId="00CFBDAD">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26.组建评标委员会</w:t>
      </w:r>
    </w:p>
    <w:p w14:paraId="4D88C3AC">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26.1评标委员会由采购人代表和评审专家组成，具体人数详见“投标人须知前附表”，其中评审专家不得少于成员总数的三分之二。</w:t>
      </w:r>
    </w:p>
    <w:p w14:paraId="13D262C2">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26.2参加过采购项目前期咨询论证的专家，不得参加该采购项目的评审活动。</w:t>
      </w:r>
    </w:p>
    <w:p w14:paraId="5974B07A">
      <w:pPr>
        <w:pStyle w:val="227"/>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26.3</w:t>
      </w:r>
      <w:r>
        <w:rPr>
          <w:rFonts w:hint="eastAsia" w:hAnsi="宋体" w:cs="宋体"/>
          <w:bCs/>
          <w:color w:val="000000" w:themeColor="text1"/>
          <w:sz w:val="21"/>
          <w:highlight w:val="none"/>
          <w14:textFill>
            <w14:solidFill>
              <w14:schemeClr w14:val="tx1"/>
            </w14:solidFill>
          </w14:textFill>
        </w:rPr>
        <w:t>采购代理机构应当基于广西政府采购云平台抽（选）取评审专家。</w:t>
      </w:r>
    </w:p>
    <w:p w14:paraId="2CC46A98">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27.评标的依据</w:t>
      </w:r>
    </w:p>
    <w:p w14:paraId="63E08D33">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评标委员会以“第四章 评标方法和评标标准”为依据对投标文件进行评审，没有规定的方法、评审因素和标准，不作为评标依据。</w:t>
      </w:r>
    </w:p>
    <w:p w14:paraId="7BC97DB2">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28.评标原则</w:t>
      </w:r>
    </w:p>
    <w:p w14:paraId="6EA6D52B">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F2F7787">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28.2评委表决。评标委员会成员对需要共同认定的事项存在争议的，应当按照少数服从多数的原则作出结论。</w:t>
      </w:r>
    </w:p>
    <w:p w14:paraId="71B15C83">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4133615">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28.4评标过程的监控。本项目电子评标过程实行网上留痕、全程录音、录像监控，</w:t>
      </w:r>
      <w:r>
        <w:rPr>
          <w:rFonts w:hint="eastAsia" w:hAnsi="宋体" w:cs="宋体"/>
          <w:b/>
          <w:color w:val="000000" w:themeColor="text1"/>
          <w:sz w:val="21"/>
          <w:highlight w:val="none"/>
          <w14:textFill>
            <w14:solidFill>
              <w14:schemeClr w14:val="tx1"/>
            </w14:solidFill>
          </w14:textFill>
        </w:rPr>
        <w:t>投标人在评标过程中所进行的试图影响评标结果的不公正活动，可能导致其投标按无效处理。</w:t>
      </w:r>
    </w:p>
    <w:p w14:paraId="69AE9580">
      <w:pPr>
        <w:pStyle w:val="196"/>
        <w:keepNext w:val="0"/>
        <w:keepLines w:val="0"/>
        <w:spacing w:before="0" w:after="0" w:line="360" w:lineRule="auto"/>
        <w:ind w:left="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29.评标方法及中标候选人推荐</w:t>
      </w:r>
    </w:p>
    <w:p w14:paraId="22917769">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29.1本项目的评标方法详见“投标人须知前附表”。</w:t>
      </w:r>
    </w:p>
    <w:p w14:paraId="6931B148">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29.2 商务/技术要求允许负偏离的条款数详见“投标人须知前附表”。</w:t>
      </w:r>
    </w:p>
    <w:p w14:paraId="4F60E825">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29.3 中标候选人推荐数量详见“投标人须知前附表”。</w:t>
      </w:r>
    </w:p>
    <w:p w14:paraId="6D993F2A">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 电子交易活动的中止。采购过程中出现以下情形，导致</w:t>
      </w:r>
      <w:r>
        <w:rPr>
          <w:rFonts w:hint="eastAsia" w:ascii="宋体" w:hAnsi="宋体" w:cs="宋体"/>
          <w:color w:val="000000" w:themeColor="text1"/>
          <w:highlight w:val="none"/>
          <w14:textFill>
            <w14:solidFill>
              <w14:schemeClr w14:val="tx1"/>
            </w14:solidFill>
          </w14:textFill>
        </w:rPr>
        <w:t>电子交易平台无法正常运行，或者无法保证电子交易的公平、公正和安全时，采购代理机构可以中止电子交易活动：</w:t>
      </w:r>
    </w:p>
    <w:p w14:paraId="1097CF9E">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（1）电子交易平台发生故障而无法登录访问的； </w:t>
      </w:r>
    </w:p>
    <w:p w14:paraId="07F783A3">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（2）电子交易平台应用或数据库出现错误，不能进行正常操作的；</w:t>
      </w:r>
    </w:p>
    <w:p w14:paraId="150D6182">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（3）电子交易平台发现严重安全漏洞，有潜在泄密危险的；</w:t>
      </w:r>
    </w:p>
    <w:p w14:paraId="0FD37106">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（4）病毒发作导致不能进行正常操作的； </w:t>
      </w:r>
    </w:p>
    <w:p w14:paraId="20787CB5">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（5）其他无法保证电子交易的公平、公正和安全的情况。</w:t>
      </w:r>
    </w:p>
    <w:p w14:paraId="27B26D54">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B8D1A9D">
      <w:pPr>
        <w:pStyle w:val="227"/>
        <w:spacing w:line="360" w:lineRule="auto"/>
        <w:rPr>
          <w:rFonts w:hint="eastAsia" w:hAnsi="宋体" w:cs="宋体"/>
          <w:color w:val="000000" w:themeColor="text1"/>
          <w:sz w:val="21"/>
          <w:highlight w:val="none"/>
          <w14:textFill>
            <w14:solidFill>
              <w14:schemeClr w14:val="tx1"/>
            </w14:solidFill>
          </w14:textFill>
        </w:rPr>
      </w:pPr>
    </w:p>
    <w:p w14:paraId="09676458">
      <w:pPr>
        <w:pStyle w:val="194"/>
        <w:keepNext w:val="0"/>
        <w:keepLines w:val="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七、中标和合同</w:t>
      </w:r>
    </w:p>
    <w:p w14:paraId="5B76FD96">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30 确定中标人</w:t>
      </w:r>
    </w:p>
    <w:p w14:paraId="2471BA31">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30.1采购代理机构在评标结束之日起2个工作日内将评标报告送采购人，采购人在收到评标报告之日起2个工作日内，在评标报告确定的中标候选人名单中按顺序确定中标人。中标候选人并列的，按照“投标人须知前附表”规定的方式确定中标人。采购人也可以事先授权评标委员会直接确定中标人。</w:t>
      </w:r>
    </w:p>
    <w:p w14:paraId="3BA58A7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30.2采购人在收到评标报告2个工作日内未按评标报告推荐的中标候选人顺序确定中标人，又不能说明合法理由的，视同按评标报告推荐的顺序确定排名第一的中标候选人为中标人。</w:t>
      </w:r>
    </w:p>
    <w:p w14:paraId="2E29920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30.3出现下列情形之一的，应予废标：</w:t>
      </w:r>
    </w:p>
    <w:p w14:paraId="2C41823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（1）符合专业条件的供应商或者对招标文件作实质响应的供应商不足三家的；</w:t>
      </w:r>
    </w:p>
    <w:p w14:paraId="738460A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（2）出现影响采购公正的违法、违规行为的；</w:t>
      </w:r>
    </w:p>
    <w:p w14:paraId="62B4B52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（3）投标人的报价均超过了采购预算，采购人不能支付的；</w:t>
      </w:r>
    </w:p>
    <w:p w14:paraId="0F90E14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（4）因重大变故，采购任务取消的。</w:t>
      </w:r>
    </w:p>
    <w:p w14:paraId="77E706E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废标后，采购人应当将废标理由通知所有投标人。</w:t>
      </w:r>
    </w:p>
    <w:p w14:paraId="61F15C2A">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31. 结果公告</w:t>
      </w:r>
    </w:p>
    <w:p w14:paraId="2AE0D7BB">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6F8A5F0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以上信息查询记录及相关证据与采购文件一并保存。</w:t>
      </w:r>
    </w:p>
    <w:p w14:paraId="4F6FF149">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31.2中标供应商享受《政府采购促进中小企业发展管理办法》（财库〔2020〕46号）规定的中小企业扶持政策的，采购人、采购代理机构应当随中标结果公开中标供应商的《中小企业声明函》。</w:t>
      </w:r>
    </w:p>
    <w:p w14:paraId="4B0B4A0A">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32.发出中标通知书</w:t>
      </w:r>
    </w:p>
    <w:p w14:paraId="693ECC81">
      <w:pPr>
        <w:pStyle w:val="196"/>
        <w:keepNext w:val="0"/>
        <w:keepLines w:val="0"/>
        <w:spacing w:before="0" w:after="0" w:line="360" w:lineRule="auto"/>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C8CF086">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33. 无义务解释未中标原因</w:t>
      </w:r>
    </w:p>
    <w:p w14:paraId="7309F2B8">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采购代理机构无义务向未中标的投标人解释未中标原因。</w:t>
      </w:r>
    </w:p>
    <w:p w14:paraId="60820247">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34.合同授予标准</w:t>
      </w:r>
    </w:p>
    <w:p w14:paraId="460F92E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合同将授予被确定实质上响应招标文件要求，具备履行合同能力的中标人。</w:t>
      </w:r>
    </w:p>
    <w:p w14:paraId="7B1F4BB3">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35.履约保证金</w:t>
      </w:r>
    </w:p>
    <w:p w14:paraId="343214CB">
      <w:pPr>
        <w:pStyle w:val="196"/>
        <w:keepNext w:val="0"/>
        <w:keepLines w:val="0"/>
        <w:spacing w:before="0" w:after="0" w:line="360" w:lineRule="auto"/>
        <w:ind w:firstLine="315"/>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w:t>
      </w:r>
      <w:r>
        <w:rPr>
          <w:rFonts w:hint="eastAsia" w:ascii="宋体" w:hAnsi="宋体" w:cs="宋体"/>
          <w:b w:val="0"/>
          <w:bCs/>
          <w:color w:val="000000" w:themeColor="text1"/>
          <w:sz w:val="21"/>
          <w:szCs w:val="21"/>
          <w:highlight w:val="none"/>
          <w14:textFill>
            <w14:solidFill>
              <w14:schemeClr w14:val="tx1"/>
            </w14:solidFill>
          </w14:textFill>
        </w:rPr>
        <w:t>履约保证金：</w:t>
      </w:r>
      <w:r>
        <w:rPr>
          <w:rFonts w:hint="eastAsia" w:ascii="宋体" w:hAnsi="宋体" w:cs="宋体"/>
          <w:b w:val="0"/>
          <w:bCs/>
          <w:color w:val="000000" w:themeColor="text1"/>
          <w:sz w:val="21"/>
          <w:szCs w:val="21"/>
          <w:highlight w:val="none"/>
          <w:lang w:eastAsia="zh-CN"/>
          <w14:textFill>
            <w14:solidFill>
              <w14:schemeClr w14:val="tx1"/>
            </w14:solidFill>
          </w14:textFill>
        </w:rPr>
        <w:t>按投标人须知前附表中执行</w:t>
      </w:r>
      <w:r>
        <w:rPr>
          <w:rFonts w:hint="eastAsia" w:ascii="宋体" w:hAnsi="宋体" w:cs="宋体"/>
          <w:b w:val="0"/>
          <w:bCs/>
          <w:color w:val="000000" w:themeColor="text1"/>
          <w:sz w:val="21"/>
          <w:szCs w:val="21"/>
          <w:highlight w:val="none"/>
          <w14:textFill>
            <w14:solidFill>
              <w14:schemeClr w14:val="tx1"/>
            </w14:solidFill>
          </w14:textFill>
        </w:rPr>
        <w:t>。</w:t>
      </w:r>
    </w:p>
    <w:p w14:paraId="5B5C3E64">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36.签订合同</w:t>
      </w:r>
    </w:p>
    <w:p w14:paraId="670369C8">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36.1签订电子采购合同：中标人领取电子中标通知书后，在</w:t>
      </w:r>
      <w:r>
        <w:rPr>
          <w:rFonts w:hint="eastAsia" w:ascii="宋体" w:hAnsi="宋体" w:cs="宋体"/>
          <w:color w:val="000000" w:themeColor="text1"/>
          <w:sz w:val="21"/>
          <w:szCs w:val="21"/>
          <w:highlight w:val="none"/>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79F6F818">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43844CA2">
      <w:pPr>
        <w:pStyle w:val="196"/>
        <w:keepNext w:val="0"/>
        <w:keepLines w:val="0"/>
        <w:numPr>
          <w:ilvl w:val="0"/>
          <w:numId w:val="0"/>
        </w:numPr>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36.2签订合同时间：中标通知书发出后</w:t>
      </w:r>
      <w:r>
        <w:rPr>
          <w:rFonts w:hint="eastAsia" w:ascii="宋体" w:hAnsi="宋体" w:cs="宋体"/>
          <w:b w:val="0"/>
          <w:color w:val="000000" w:themeColor="text1"/>
          <w:sz w:val="21"/>
          <w:szCs w:val="21"/>
          <w:highlight w:val="none"/>
          <w:lang w:val="en-US" w:eastAsia="zh-CN"/>
          <w14:textFill>
            <w14:solidFill>
              <w14:schemeClr w14:val="tx1"/>
            </w14:solidFill>
          </w14:textFill>
        </w:rPr>
        <w:t>20</w:t>
      </w:r>
      <w:r>
        <w:rPr>
          <w:rFonts w:hint="eastAsia" w:ascii="宋体" w:hAnsi="宋体" w:cs="宋体"/>
          <w:b w:val="0"/>
          <w:color w:val="000000" w:themeColor="text1"/>
          <w:sz w:val="21"/>
          <w:szCs w:val="21"/>
          <w:highlight w:val="none"/>
          <w14:textFill>
            <w14:solidFill>
              <w14:schemeClr w14:val="tx1"/>
            </w14:solidFill>
          </w14:textFill>
        </w:rPr>
        <w:t>个日历日内与采购人签订合同。</w:t>
      </w:r>
    </w:p>
    <w:p w14:paraId="6A82DAD5">
      <w:pPr>
        <w:pStyle w:val="196"/>
        <w:keepNext w:val="0"/>
        <w:keepLines w:val="0"/>
        <w:spacing w:before="0" w:after="0" w:line="360" w:lineRule="auto"/>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49DD799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1E94B6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36.5采购人或中标供应商不得单方面向合同另一方提出任何招标文件没有约定的条件或不合理的要求，作为签订合同的条件；也不得协商另行订立背离招标文件和合同实质性内容的协议。</w:t>
      </w:r>
    </w:p>
    <w:p w14:paraId="0B666C8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36.6如签订合同并生效后，供应商无故拒绝或延期，除按照合同条款处理外，将承担相应的法律责任。</w:t>
      </w:r>
    </w:p>
    <w:p w14:paraId="62B4F6F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5CE4D58A">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37.政府采购合同公告</w:t>
      </w:r>
    </w:p>
    <w:p w14:paraId="4EBF954C">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采购人或者受托采购代理机构应当自政府采购合同签订之日起2个工作日内，将政府采购合同在省级以上人民政府财政部门指定的媒体上公告，但政府采购合同中涉及国家秘密、商业秘密的内容除外。</w:t>
      </w:r>
    </w:p>
    <w:p w14:paraId="26FCDE26">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38. 询问、质疑和投诉</w:t>
      </w:r>
    </w:p>
    <w:p w14:paraId="52CCD71E">
      <w:pPr>
        <w:pStyle w:val="197"/>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38.1供应商对政府采购活动事项有疑问的，可以向采购人提出询问，采购人或者采购代理机构应当在3个工作日内对供应商依法提出的询问作出答复，但答复的内容不得涉及商业秘密。</w:t>
      </w:r>
    </w:p>
    <w:p w14:paraId="16C21C9F">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11D36BC9">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（1）对可以质疑的招标文件提出质疑的，为收到招标文件之日或者招标文件公告期限届满之日；</w:t>
      </w:r>
    </w:p>
    <w:p w14:paraId="323AB4DA">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（2）对采购过程提出质疑的，为各采购程序环节结束之日；</w:t>
      </w:r>
    </w:p>
    <w:p w14:paraId="32FE8620">
      <w:pPr>
        <w:pStyle w:val="227"/>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（3）对中标结果提出质疑的，为中标结果公告期限届满之日。</w:t>
      </w:r>
    </w:p>
    <w:p w14:paraId="23A17E9B">
      <w:pPr>
        <w:pStyle w:val="196"/>
        <w:keepNext w:val="0"/>
        <w:keepLines w:val="0"/>
        <w:spacing w:before="0" w:after="0" w:line="360" w:lineRule="auto"/>
        <w:ind w:firstLine="315"/>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38.3 </w:t>
      </w:r>
      <w:r>
        <w:rPr>
          <w:rFonts w:hint="eastAsia" w:ascii="宋体" w:hAnsi="宋体" w:cs="宋体"/>
          <w:b w:val="0"/>
          <w:bCs/>
          <w:color w:val="000000" w:themeColor="text1"/>
          <w:sz w:val="2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45EE5F03">
      <w:pPr>
        <w:pStyle w:val="227"/>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（1）供应商的姓名或者名称、地址、邮编、联系人及联系电话；</w:t>
      </w:r>
    </w:p>
    <w:p w14:paraId="4FE58442">
      <w:pPr>
        <w:pStyle w:val="227"/>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（2）质疑项目的名称、编号；</w:t>
      </w:r>
    </w:p>
    <w:p w14:paraId="0301598F">
      <w:pPr>
        <w:pStyle w:val="227"/>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（3）具体、明确的质疑事项和与质疑事项相关的请求；</w:t>
      </w:r>
    </w:p>
    <w:p w14:paraId="32D7D92A">
      <w:pPr>
        <w:pStyle w:val="227"/>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（4）事实依据；</w:t>
      </w:r>
    </w:p>
    <w:p w14:paraId="2EA7132C">
      <w:pPr>
        <w:pStyle w:val="227"/>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（5）必要的法律依据；</w:t>
      </w:r>
    </w:p>
    <w:p w14:paraId="196F62F8">
      <w:pPr>
        <w:pStyle w:val="227"/>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（6）提出质疑的日期。</w:t>
      </w:r>
    </w:p>
    <w:p w14:paraId="2B72A4A0">
      <w:pPr>
        <w:pStyle w:val="227"/>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71D4A3E5">
      <w:pPr>
        <w:pStyle w:val="196"/>
        <w:keepNext w:val="0"/>
        <w:keepLines w:val="0"/>
        <w:spacing w:before="0" w:after="0" w:line="360" w:lineRule="auto"/>
        <w:ind w:firstLine="420"/>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w:t>
      </w:r>
      <w:r>
        <w:rPr>
          <w:rFonts w:hint="eastAsia" w:ascii="宋体" w:hAnsi="宋体" w:cs="宋体"/>
          <w:b w:val="0"/>
          <w:bCs/>
          <w:color w:val="000000" w:themeColor="text1"/>
          <w:sz w:val="21"/>
          <w:szCs w:val="21"/>
          <w:highlight w:val="none"/>
          <w14:textFill>
            <w14:solidFill>
              <w14:schemeClr w14:val="tx1"/>
            </w14:solidFill>
          </w14:textFill>
        </w:rPr>
        <w:t>8.4采购人、采购代理机构认为供应商质疑不成立，或者成立但未对中标结果构成影响的，继续开展采购活动；认为供应商质疑成立且影响或者可能影响中标结果的，按照下列情况处理：</w:t>
      </w:r>
    </w:p>
    <w:p w14:paraId="520BFA37">
      <w:pPr>
        <w:pStyle w:val="227"/>
        <w:spacing w:line="360" w:lineRule="auto"/>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20274EA2">
      <w:pPr>
        <w:pStyle w:val="227"/>
        <w:spacing w:line="360" w:lineRule="auto"/>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66714810">
      <w:pPr>
        <w:pStyle w:val="227"/>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质疑答复导致中标结果改变的，采购人或者采购代理机构应当将有关情况书面报告本级财政部门。</w:t>
      </w:r>
    </w:p>
    <w:p w14:paraId="79FA43BF">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EFAEDFA">
      <w:pPr>
        <w:pStyle w:val="194"/>
        <w:keepNext w:val="0"/>
        <w:keepLines w:val="0"/>
        <w:spacing w:before="240" w:after="240" w:line="415"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八、其他事项</w:t>
      </w:r>
    </w:p>
    <w:p w14:paraId="4AC280EA">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39.代理服务费</w:t>
      </w:r>
    </w:p>
    <w:p w14:paraId="7670C926">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39.1代理服务收费标准及缴费账户详见“投标人须知前附表”，投标人为联合体的，可以由联合体中的一方或者多方共同交纳代理服务费。</w:t>
      </w:r>
    </w:p>
    <w:p w14:paraId="083A835E">
      <w:pPr>
        <w:pStyle w:val="196"/>
        <w:keepNext w:val="0"/>
        <w:keepLines w:val="0"/>
        <w:spacing w:before="0" w:after="0" w:line="360" w:lineRule="auto"/>
        <w:ind w:left="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40. 需要补充的其他内容</w:t>
      </w:r>
    </w:p>
    <w:p w14:paraId="4F524445">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40.1本招标文件解释规则详见“投标人须知前附表”。</w:t>
      </w:r>
    </w:p>
    <w:p w14:paraId="3861A28B">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40.2 其他事项详见“投标人须知前附表”。</w:t>
      </w:r>
    </w:p>
    <w:p w14:paraId="3DF8D9F6">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6D1ABE93">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089B2F0D">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4EAB54EF">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（3）在服务采购项目中，服务由中小企业承接，即提供服务的人员为中小企业依照《中华人民共和国</w:t>
      </w:r>
      <w:r>
        <w:rPr>
          <w:rFonts w:hint="eastAsia" w:hAnsi="宋体" w:cs="宋体"/>
          <w:color w:val="000000" w:themeColor="text1"/>
          <w:sz w:val="21"/>
          <w:highlight w:val="none"/>
          <w:lang w:eastAsia="zh-CN"/>
          <w14:textFill>
            <w14:solidFill>
              <w14:schemeClr w14:val="tx1"/>
            </w14:solidFill>
          </w14:textFill>
        </w:rPr>
        <w:t>劳动合同法</w:t>
      </w:r>
      <w:r>
        <w:rPr>
          <w:rFonts w:hint="eastAsia" w:hAnsi="宋体" w:cs="宋体"/>
          <w:color w:val="000000" w:themeColor="text1"/>
          <w:sz w:val="21"/>
          <w:highlight w:val="none"/>
          <w14:textFill>
            <w14:solidFill>
              <w14:schemeClr w14:val="tx1"/>
            </w14:solidFill>
          </w14:textFill>
        </w:rPr>
        <w:t>》订立劳动合同的从业人员，不对其中涉及的货物的制造商和工程承建商作出要求。</w:t>
      </w:r>
    </w:p>
    <w:p w14:paraId="6AAA82B8">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5A8AE0F">
      <w:pPr>
        <w:pStyle w:val="227"/>
        <w:ind w:firstLine="420"/>
        <w:rPr>
          <w:rFonts w:hint="eastAsia" w:hAnsi="宋体" w:cs="宋体"/>
          <w:color w:val="000000" w:themeColor="text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依据本文件规定享受扶持政策获得政府采购合同的，小微企业不得将合同分包给大中型企业，中型企业不得将合同分包给大型企业。</w:t>
      </w:r>
      <w:r>
        <w:rPr>
          <w:rFonts w:hint="eastAsia" w:hAnsi="宋体" w:cs="宋体"/>
          <w:color w:val="000000" w:themeColor="text1"/>
          <w:highlight w:val="none"/>
          <w14:textFill>
            <w14:solidFill>
              <w14:schemeClr w14:val="tx1"/>
            </w14:solidFill>
          </w14:textFill>
        </w:rPr>
        <w:br w:type="page" w:clear="all"/>
      </w:r>
      <w:r>
        <w:rPr>
          <w:rFonts w:hint="eastAsia" w:hAnsi="宋体" w:cs="宋体"/>
          <w:color w:val="000000" w:themeColor="text1"/>
          <w:highlight w:val="none"/>
          <w14:textFill>
            <w14:solidFill>
              <w14:schemeClr w14:val="tx1"/>
            </w14:solidFill>
          </w14:textFill>
        </w:rPr>
        <w:t>附件1：</w:t>
      </w:r>
    </w:p>
    <w:p w14:paraId="4CFF8971">
      <w:pPr>
        <w:widowControl/>
        <w:shd w:val="clear" w:color="auto" w:fill="FFFFFF"/>
        <w:spacing w:line="480" w:lineRule="atLeas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广西壮族自治区政府采购项目合同验收书（格式）</w:t>
      </w:r>
    </w:p>
    <w:p w14:paraId="4D3E04C9">
      <w:pPr>
        <w:widowControl/>
        <w:shd w:val="clear" w:color="auto" w:fill="FFFFFF"/>
        <w:spacing w:line="480" w:lineRule="atLeast"/>
        <w:jc w:val="center"/>
        <w:rPr>
          <w:rFonts w:hint="eastAsia" w:ascii="宋体" w:hAnsi="宋体" w:cs="宋体"/>
          <w:color w:val="000000" w:themeColor="text1"/>
          <w:sz w:val="32"/>
          <w:szCs w:val="32"/>
          <w:highlight w:val="none"/>
          <w14:textFill>
            <w14:solidFill>
              <w14:schemeClr w14:val="tx1"/>
            </w14:solidFill>
          </w14:textFill>
        </w:rPr>
      </w:pPr>
    </w:p>
    <w:p w14:paraId="7336F698">
      <w:pPr>
        <w:widowControl/>
        <w:shd w:val="clear" w:color="auto" w:fill="FFFFFF"/>
        <w:spacing w:line="320" w:lineRule="atLeast"/>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根据政府采购项目（</w:t>
      </w:r>
      <w:r>
        <w:rPr>
          <w:rFonts w:hint="eastAsia" w:ascii="宋体" w:hAnsi="宋体" w:cs="宋体"/>
          <w:color w:val="000000" w:themeColor="text1"/>
          <w:szCs w:val="21"/>
          <w:highlight w:val="none"/>
          <w:u w:val="single"/>
          <w14:textFill>
            <w14:solidFill>
              <w14:schemeClr w14:val="tx1"/>
            </w14:solidFill>
          </w14:textFill>
        </w:rPr>
        <w:t xml:space="preserve">采购合同编号： </w:t>
      </w:r>
      <w:r>
        <w:rPr>
          <w:rFonts w:hint="eastAsia" w:ascii="宋体" w:hAnsi="宋体" w:cs="宋体"/>
          <w:color w:val="000000" w:themeColor="text1"/>
          <w:szCs w:val="21"/>
          <w:highlight w:val="none"/>
          <w14:textFill>
            <w14:solidFill>
              <w14:schemeClr w14:val="tx1"/>
            </w14:solidFill>
          </w14:textFill>
        </w:rPr>
        <w:t>）的约定，我单位对（</w:t>
      </w:r>
      <w:r>
        <w:rPr>
          <w:rFonts w:hint="eastAsia" w:ascii="宋体" w:hAnsi="宋体" w:cs="宋体"/>
          <w:color w:val="000000" w:themeColor="text1"/>
          <w:szCs w:val="21"/>
          <w:highlight w:val="none"/>
          <w:u w:val="single"/>
          <w14:textFill>
            <w14:solidFill>
              <w14:schemeClr w14:val="tx1"/>
            </w14:solidFill>
          </w14:textFill>
        </w:rPr>
        <w:t xml:space="preserve"> 项目名称 </w:t>
      </w:r>
      <w:r>
        <w:rPr>
          <w:rFonts w:hint="eastAsia" w:ascii="宋体" w:hAnsi="宋体" w:cs="宋体"/>
          <w:color w:val="000000" w:themeColor="text1"/>
          <w:szCs w:val="21"/>
          <w:highlight w:val="none"/>
          <w14:textFill>
            <w14:solidFill>
              <w14:schemeClr w14:val="tx1"/>
            </w14:solidFill>
          </w14:textFill>
        </w:rPr>
        <w:t>） 政府采购项目中标供应商（</w:t>
      </w:r>
      <w:r>
        <w:rPr>
          <w:rFonts w:hint="eastAsia" w:ascii="宋体" w:hAnsi="宋体" w:cs="宋体"/>
          <w:color w:val="000000" w:themeColor="text1"/>
          <w:szCs w:val="21"/>
          <w:highlight w:val="none"/>
          <w:u w:val="single"/>
          <w14:textFill>
            <w14:solidFill>
              <w14:schemeClr w14:val="tx1"/>
            </w14:solidFill>
          </w14:textFill>
        </w:rPr>
        <w:t xml:space="preserve"> 公司名称 </w:t>
      </w:r>
      <w:r>
        <w:rPr>
          <w:rFonts w:hint="eastAsia" w:ascii="宋体" w:hAnsi="宋体" w:cs="宋体"/>
          <w:color w:val="000000" w:themeColor="text1"/>
          <w:szCs w:val="21"/>
          <w:highlight w:val="none"/>
          <w14:textFill>
            <w14:solidFill>
              <w14:schemeClr w14:val="tx1"/>
            </w14:solidFill>
          </w14:textFill>
        </w:rPr>
        <w:t>） 提供的服务进行了验收，验收情况如下：</w:t>
      </w:r>
    </w:p>
    <w:tbl>
      <w:tblPr>
        <w:tblStyle w:val="30"/>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72A6A65A">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7CDE4A59">
            <w:pPr>
              <w:widowControl/>
              <w:spacing w:before="100" w:beforeAutospacing="1" w:after="100" w:afterAutospacing="1" w:line="320" w:lineRule="atLeast"/>
              <w:ind w:firstLine="5"/>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28EC345B">
            <w:pPr>
              <w:widowControl/>
              <w:spacing w:before="100" w:beforeAutospacing="1" w:after="100" w:afterAutospacing="1" w:line="320" w:lineRule="atLeast"/>
              <w:ind w:firstLine="48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□自行验收 □委托验收</w:t>
            </w:r>
          </w:p>
        </w:tc>
      </w:tr>
      <w:tr w14:paraId="5BA49F6E">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26AEA03">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921" w:type="dxa"/>
            <w:tcBorders>
              <w:top w:val="nil"/>
              <w:left w:val="nil"/>
              <w:bottom w:val="single" w:color="auto" w:sz="8" w:space="0"/>
              <w:right w:val="single" w:color="auto" w:sz="8" w:space="0"/>
            </w:tcBorders>
            <w:noWrap w:val="0"/>
            <w:vAlign w:val="center"/>
          </w:tcPr>
          <w:p w14:paraId="615F49AC">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w:t>
            </w:r>
          </w:p>
        </w:tc>
        <w:tc>
          <w:tcPr>
            <w:tcW w:w="2902" w:type="dxa"/>
            <w:gridSpan w:val="3"/>
            <w:tcBorders>
              <w:top w:val="nil"/>
              <w:left w:val="nil"/>
              <w:bottom w:val="single" w:color="auto" w:sz="8" w:space="0"/>
              <w:right w:val="single" w:color="auto" w:sz="8" w:space="0"/>
            </w:tcBorders>
            <w:noWrap w:val="0"/>
            <w:vAlign w:val="center"/>
          </w:tcPr>
          <w:p w14:paraId="28C53946">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服务内容、行业标准</w:t>
            </w:r>
          </w:p>
        </w:tc>
        <w:tc>
          <w:tcPr>
            <w:tcW w:w="863" w:type="dxa"/>
            <w:gridSpan w:val="2"/>
            <w:tcBorders>
              <w:top w:val="nil"/>
              <w:left w:val="nil"/>
              <w:bottom w:val="single" w:color="auto" w:sz="8" w:space="0"/>
              <w:right w:val="single" w:color="auto" w:sz="8" w:space="0"/>
            </w:tcBorders>
            <w:noWrap w:val="0"/>
            <w:vAlign w:val="center"/>
          </w:tcPr>
          <w:p w14:paraId="3962A399">
            <w:pPr>
              <w:widowControl/>
              <w:spacing w:before="100" w:beforeAutospacing="1" w:after="100" w:afterAutospacing="1" w:line="32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2354" w:type="dxa"/>
            <w:tcBorders>
              <w:top w:val="nil"/>
              <w:left w:val="nil"/>
              <w:bottom w:val="single" w:color="auto" w:sz="8" w:space="0"/>
              <w:right w:val="single" w:color="auto" w:sz="8" w:space="0"/>
            </w:tcBorders>
            <w:noWrap w:val="0"/>
            <w:vAlign w:val="center"/>
          </w:tcPr>
          <w:p w14:paraId="7C0A2F34">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 额</w:t>
            </w:r>
          </w:p>
        </w:tc>
      </w:tr>
      <w:tr w14:paraId="3FA2643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F411B62">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noWrap w:val="0"/>
            <w:vAlign w:val="center"/>
          </w:tcPr>
          <w:p w14:paraId="5659B6C7">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25D5751D">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7E5CCBC5">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noWrap w:val="0"/>
            <w:vAlign w:val="center"/>
          </w:tcPr>
          <w:p w14:paraId="03C6BCB7">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69405AAC">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8D80BC2">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noWrap w:val="0"/>
            <w:vAlign w:val="center"/>
          </w:tcPr>
          <w:p w14:paraId="3DEB4D0D">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17DB3F33">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7A3D48B6">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noWrap w:val="0"/>
            <w:vAlign w:val="center"/>
          </w:tcPr>
          <w:p w14:paraId="570AFC13">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3BF975F1">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0B7E1D7">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noWrap w:val="0"/>
            <w:vAlign w:val="center"/>
          </w:tcPr>
          <w:p w14:paraId="5E45C13F">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31C6B691">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5FEC9BBD">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noWrap w:val="0"/>
            <w:vAlign w:val="center"/>
          </w:tcPr>
          <w:p w14:paraId="02956DFB">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54E26E81">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5E3D35EF">
            <w:pPr>
              <w:widowControl/>
              <w:spacing w:before="100" w:beforeAutospacing="1" w:after="100" w:afterAutospacing="1" w:line="320" w:lineRule="atLeast"/>
              <w:ind w:firstLine="5"/>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noWrap w:val="0"/>
            <w:vAlign w:val="center"/>
          </w:tcPr>
          <w:p w14:paraId="64002AD4">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noWrap w:val="0"/>
            <w:vAlign w:val="center"/>
          </w:tcPr>
          <w:p w14:paraId="3BA8244A">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0DA8A96C">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6BAF3EF6">
            <w:pPr>
              <w:widowControl/>
              <w:spacing w:before="100" w:beforeAutospacing="1" w:after="100" w:afterAutospacing="1" w:line="320" w:lineRule="atLeast"/>
              <w:ind w:firstLine="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合计大写金额：  仟 佰 拾 万 仟 佰 拾 元</w:t>
            </w:r>
          </w:p>
        </w:tc>
      </w:tr>
      <w:tr w14:paraId="7F8ECF4A">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2554DDB2">
            <w:pPr>
              <w:widowControl/>
              <w:spacing w:before="100" w:beforeAutospacing="1" w:after="100" w:afterAutospacing="1" w:line="320" w:lineRule="atLeast"/>
              <w:ind w:firstLine="2"/>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实际</w:t>
            </w:r>
            <w:r>
              <w:rPr>
                <w:rFonts w:hint="eastAsia" w:ascii="宋体" w:hAnsi="宋体" w:cs="宋体"/>
                <w:color w:val="000000" w:themeColor="text1"/>
                <w:szCs w:val="21"/>
                <w:highlight w:val="none"/>
                <w:lang w:eastAsia="zh-CN"/>
                <w14:textFill>
                  <w14:solidFill>
                    <w14:schemeClr w14:val="tx1"/>
                  </w14:solidFill>
                </w14:textFill>
              </w:rPr>
              <w:t>实施的期限</w:t>
            </w:r>
          </w:p>
        </w:tc>
        <w:tc>
          <w:tcPr>
            <w:tcW w:w="2719" w:type="dxa"/>
            <w:gridSpan w:val="2"/>
            <w:tcBorders>
              <w:top w:val="nil"/>
              <w:left w:val="nil"/>
              <w:bottom w:val="single" w:color="auto" w:sz="8" w:space="0"/>
              <w:right w:val="single" w:color="auto" w:sz="8" w:space="0"/>
            </w:tcBorders>
            <w:noWrap w:val="0"/>
            <w:vAlign w:val="center"/>
          </w:tcPr>
          <w:p w14:paraId="51C5A95F">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noWrap w:val="0"/>
            <w:vAlign w:val="center"/>
          </w:tcPr>
          <w:p w14:paraId="60AD54EE">
            <w:pPr>
              <w:widowControl/>
              <w:spacing w:before="100" w:beforeAutospacing="1" w:after="100" w:afterAutospacing="1" w:line="320" w:lineRule="atLeast"/>
              <w:ind w:firstLine="4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合同服务验收日期</w:t>
            </w:r>
          </w:p>
        </w:tc>
        <w:tc>
          <w:tcPr>
            <w:tcW w:w="3039" w:type="dxa"/>
            <w:gridSpan w:val="2"/>
            <w:tcBorders>
              <w:top w:val="nil"/>
              <w:left w:val="nil"/>
              <w:bottom w:val="single" w:color="auto" w:sz="8" w:space="0"/>
              <w:right w:val="single" w:color="auto" w:sz="8" w:space="0"/>
            </w:tcBorders>
            <w:noWrap w:val="0"/>
            <w:vAlign w:val="center"/>
          </w:tcPr>
          <w:p w14:paraId="6502028E">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5A8CEA4C">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6BA6A1F7">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719" w:type="dxa"/>
            <w:gridSpan w:val="2"/>
            <w:tcBorders>
              <w:top w:val="nil"/>
              <w:left w:val="nil"/>
              <w:bottom w:val="single" w:color="auto" w:sz="8" w:space="0"/>
              <w:right w:val="single" w:color="auto" w:sz="8" w:space="0"/>
            </w:tcBorders>
            <w:noWrap w:val="0"/>
            <w:vAlign w:val="center"/>
          </w:tcPr>
          <w:p w14:paraId="7AA75F90">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noWrap w:val="0"/>
            <w:vAlign w:val="center"/>
          </w:tcPr>
          <w:p w14:paraId="7FFDE3F2">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3039" w:type="dxa"/>
            <w:gridSpan w:val="2"/>
            <w:tcBorders>
              <w:top w:val="nil"/>
              <w:left w:val="nil"/>
              <w:bottom w:val="single" w:color="auto" w:sz="8" w:space="0"/>
              <w:right w:val="single" w:color="auto" w:sz="8" w:space="0"/>
            </w:tcBorders>
            <w:noWrap w:val="0"/>
            <w:vAlign w:val="center"/>
          </w:tcPr>
          <w:p w14:paraId="1CD11637">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484CFE01">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0ADEF7">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5E6ABC4">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（应按采购合同、采购文件、投标文件及验收方案等进行验收；并核对中标供应商是否违反合同约定或服务规范要求）</w:t>
            </w:r>
          </w:p>
        </w:tc>
      </w:tr>
      <w:tr w14:paraId="30E63DBE">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DF91FE">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验收小组意见</w:t>
            </w:r>
          </w:p>
        </w:tc>
        <w:tc>
          <w:tcPr>
            <w:tcW w:w="8040" w:type="dxa"/>
            <w:gridSpan w:val="7"/>
            <w:tcBorders>
              <w:top w:val="nil"/>
              <w:left w:val="nil"/>
              <w:bottom w:val="single" w:color="auto" w:sz="8" w:space="0"/>
              <w:right w:val="single" w:color="auto" w:sz="8" w:space="0"/>
            </w:tcBorders>
            <w:noWrap w:val="0"/>
            <w:vAlign w:val="center"/>
          </w:tcPr>
          <w:p w14:paraId="7B0E289F">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验收结论性意见：</w:t>
            </w:r>
          </w:p>
        </w:tc>
      </w:tr>
      <w:tr w14:paraId="4B9D0BF5">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2941F47F">
            <w:pPr>
              <w:widowControl/>
              <w:jc w:val="left"/>
              <w:rPr>
                <w:rFonts w:hint="eastAsia" w:ascii="宋体" w:hAnsi="宋体" w:cs="宋体"/>
                <w:color w:val="000000" w:themeColor="text1"/>
                <w:szCs w:val="21"/>
                <w:highlight w:val="none"/>
                <w14:textFill>
                  <w14:solidFill>
                    <w14:schemeClr w14:val="tx1"/>
                  </w14:solidFill>
                </w14:textFill>
              </w:rPr>
            </w:pPr>
          </w:p>
        </w:tc>
        <w:tc>
          <w:tcPr>
            <w:tcW w:w="8040" w:type="dxa"/>
            <w:gridSpan w:val="7"/>
            <w:tcBorders>
              <w:top w:val="nil"/>
              <w:left w:val="nil"/>
              <w:bottom w:val="single" w:color="auto" w:sz="8" w:space="0"/>
              <w:right w:val="single" w:color="auto" w:sz="8" w:space="0"/>
            </w:tcBorders>
            <w:noWrap w:val="0"/>
            <w:vAlign w:val="center"/>
          </w:tcPr>
          <w:p w14:paraId="441CE9E9">
            <w:pPr>
              <w:widowControl/>
              <w:spacing w:before="100" w:beforeAutospacing="1" w:after="100" w:afterAutospacing="1" w:line="320" w:lineRule="atLeast"/>
              <w:ind w:firstLine="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有异议的意见和说明理由：</w:t>
            </w:r>
          </w:p>
          <w:p w14:paraId="78CB6873">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签字：</w:t>
            </w:r>
          </w:p>
        </w:tc>
      </w:tr>
      <w:tr w14:paraId="67B0ED88">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F5B8B3C">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验收小组成员签字：</w:t>
            </w:r>
          </w:p>
        </w:tc>
      </w:tr>
      <w:tr w14:paraId="6D0C4C2D">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BA78D77">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监督人员或其他相关人员签字：</w:t>
            </w:r>
          </w:p>
          <w:p w14:paraId="14D1D008">
            <w:pPr>
              <w:widowControl/>
              <w:spacing w:before="100" w:beforeAutospacing="1" w:after="100" w:afterAutospacing="1" w:line="320" w:lineRule="atLeast"/>
              <w:ind w:firstLine="7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或受邀机构的意见（盖章）：</w:t>
            </w:r>
          </w:p>
        </w:tc>
      </w:tr>
      <w:tr w14:paraId="3ED8E0B1">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76DB2518">
            <w:pPr>
              <w:widowControl/>
              <w:spacing w:before="100" w:beforeAutospacing="1" w:after="100" w:afterAutospacing="1" w:line="320" w:lineRule="atLeast"/>
              <w:ind w:firstLine="7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中标供应商负责人签字或盖章：</w:t>
            </w:r>
          </w:p>
          <w:p w14:paraId="318669F9">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 年 月 日</w:t>
            </w:r>
          </w:p>
        </w:tc>
        <w:tc>
          <w:tcPr>
            <w:tcW w:w="5219" w:type="dxa"/>
            <w:gridSpan w:val="4"/>
            <w:tcBorders>
              <w:top w:val="nil"/>
              <w:left w:val="nil"/>
              <w:bottom w:val="single" w:color="auto" w:sz="8" w:space="0"/>
              <w:right w:val="single" w:color="auto" w:sz="8" w:space="0"/>
            </w:tcBorders>
            <w:noWrap w:val="0"/>
            <w:vAlign w:val="center"/>
          </w:tcPr>
          <w:p w14:paraId="74336508">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采购人或委托单位</w:t>
            </w:r>
            <w:r>
              <w:rPr>
                <w:rFonts w:hint="eastAsia" w:ascii="宋体" w:hAnsi="宋体" w:cs="宋体"/>
                <w:color w:val="000000" w:themeColor="text1"/>
                <w:szCs w:val="21"/>
                <w:highlight w:val="none"/>
                <w14:textFill>
                  <w14:solidFill>
                    <w14:schemeClr w14:val="tx1"/>
                  </w14:solidFill>
                </w14:textFill>
              </w:rPr>
              <w:t>的意见（盖章）：</w:t>
            </w:r>
          </w:p>
          <w:p w14:paraId="15E45E09">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 年 月 日</w:t>
            </w:r>
          </w:p>
        </w:tc>
      </w:tr>
    </w:tbl>
    <w:p w14:paraId="76EA9F38">
      <w:pPr>
        <w:pStyle w:val="227"/>
        <w:spacing w:before="120" w:after="120"/>
        <w:rPr>
          <w:rFonts w:hint="eastAsia" w:hAnsi="宋体" w:cs="宋体"/>
          <w:b/>
          <w:bCs/>
          <w:color w:val="000000" w:themeColor="text1"/>
          <w:sz w:val="21"/>
          <w:highlight w:val="none"/>
          <w14:textFill>
            <w14:solidFill>
              <w14:schemeClr w14:val="tx1"/>
            </w14:solidFill>
          </w14:textFill>
        </w:rPr>
        <w:sectPr>
          <w:footerReference r:id="rId10" w:type="first"/>
          <w:headerReference r:id="rId7" w:type="default"/>
          <w:footerReference r:id="rId8" w:type="default"/>
          <w:footerReference r:id="rId9" w:type="even"/>
          <w:pgSz w:w="11906" w:h="16838"/>
          <w:pgMar w:top="1440" w:right="1797" w:bottom="1440" w:left="1797" w:header="851" w:footer="992" w:gutter="0"/>
          <w:cols w:space="1701" w:num="1"/>
        </w:sectPr>
      </w:pPr>
      <w:r>
        <w:rPr>
          <w:rFonts w:hint="eastAsia" w:hAnsi="宋体" w:cs="宋体"/>
          <w:b/>
          <w:bCs/>
          <w:color w:val="000000" w:themeColor="text1"/>
          <w:sz w:val="21"/>
          <w:highlight w:val="none"/>
          <w14:textFill>
            <w14:solidFill>
              <w14:schemeClr w14:val="tx1"/>
            </w14:solidFill>
          </w14:textFill>
        </w:rPr>
        <w:t>备注：本表为参考格式及内容，验收时经双方协商，按照实际服务内容及验收标准进行填写。</w:t>
      </w:r>
    </w:p>
    <w:p w14:paraId="6251DE3C">
      <w:pPr>
        <w:pStyle w:val="195"/>
        <w:rPr>
          <w:rFonts w:hint="eastAsia"/>
          <w:color w:val="000000" w:themeColor="text1"/>
          <w:highlight w:val="none"/>
          <w14:textFill>
            <w14:solidFill>
              <w14:schemeClr w14:val="tx1"/>
            </w14:solidFill>
          </w14:textFill>
        </w:rPr>
      </w:pPr>
    </w:p>
    <w:p w14:paraId="3562EA6E">
      <w:pPr>
        <w:rPr>
          <w:rFonts w:hint="eastAsia" w:ascii="宋体" w:hAnsi="宋体" w:cs="宋体"/>
          <w:color w:val="000000" w:themeColor="text1"/>
          <w:highlight w:val="none"/>
          <w14:textFill>
            <w14:solidFill>
              <w14:schemeClr w14:val="tx1"/>
            </w14:solidFill>
          </w14:textFill>
        </w:rPr>
      </w:pPr>
    </w:p>
    <w:p w14:paraId="42859C3A">
      <w:pPr>
        <w:pStyle w:val="275"/>
        <w:rPr>
          <w:rFonts w:hint="eastAsia" w:ascii="宋体" w:hAnsi="宋体" w:cs="宋体"/>
          <w:color w:val="000000" w:themeColor="text1"/>
          <w:highlight w:val="none"/>
          <w14:textFill>
            <w14:solidFill>
              <w14:schemeClr w14:val="tx1"/>
            </w14:solidFill>
          </w14:textFill>
        </w:rPr>
      </w:pPr>
    </w:p>
    <w:p w14:paraId="662E514C">
      <w:pPr>
        <w:pStyle w:val="227"/>
        <w:spacing w:before="120" w:after="120"/>
        <w:rPr>
          <w:rFonts w:hint="eastAsia" w:hAnsi="宋体" w:cs="宋体"/>
          <w:color w:val="000000" w:themeColor="text1"/>
          <w:highlight w:val="none"/>
          <w14:textFill>
            <w14:solidFill>
              <w14:schemeClr w14:val="tx1"/>
            </w14:solidFill>
          </w14:textFill>
        </w:rPr>
      </w:pPr>
    </w:p>
    <w:p w14:paraId="68EFC044">
      <w:pPr>
        <w:pStyle w:val="227"/>
        <w:spacing w:before="120" w:after="120"/>
        <w:rPr>
          <w:rFonts w:hint="eastAsia" w:hAnsi="宋体" w:cs="宋体"/>
          <w:color w:val="000000" w:themeColor="text1"/>
          <w:highlight w:val="none"/>
          <w14:textFill>
            <w14:solidFill>
              <w14:schemeClr w14:val="tx1"/>
            </w14:solidFill>
          </w14:textFill>
        </w:rPr>
      </w:pPr>
    </w:p>
    <w:p w14:paraId="3927E060">
      <w:pPr>
        <w:pStyle w:val="227"/>
        <w:spacing w:before="120" w:after="120"/>
        <w:rPr>
          <w:rFonts w:hint="eastAsia" w:hAnsi="宋体" w:cs="宋体"/>
          <w:color w:val="000000" w:themeColor="text1"/>
          <w:highlight w:val="none"/>
          <w14:textFill>
            <w14:solidFill>
              <w14:schemeClr w14:val="tx1"/>
            </w14:solidFill>
          </w14:textFill>
        </w:rPr>
      </w:pPr>
    </w:p>
    <w:p w14:paraId="0134438C">
      <w:pPr>
        <w:pStyle w:val="227"/>
        <w:spacing w:before="120" w:after="120"/>
        <w:rPr>
          <w:rFonts w:hint="eastAsia" w:hAnsi="宋体" w:cs="宋体"/>
          <w:color w:val="000000" w:themeColor="text1"/>
          <w:highlight w:val="none"/>
          <w14:textFill>
            <w14:solidFill>
              <w14:schemeClr w14:val="tx1"/>
            </w14:solidFill>
          </w14:textFill>
        </w:rPr>
      </w:pPr>
    </w:p>
    <w:p w14:paraId="2B2342A6">
      <w:pPr>
        <w:pStyle w:val="227"/>
        <w:spacing w:before="120" w:after="120"/>
        <w:rPr>
          <w:rFonts w:hint="eastAsia" w:hAnsi="宋体" w:cs="宋体"/>
          <w:color w:val="000000" w:themeColor="text1"/>
          <w:highlight w:val="none"/>
          <w14:textFill>
            <w14:solidFill>
              <w14:schemeClr w14:val="tx1"/>
            </w14:solidFill>
          </w14:textFill>
        </w:rPr>
      </w:pPr>
    </w:p>
    <w:p w14:paraId="0CE02F0E">
      <w:pPr>
        <w:pStyle w:val="227"/>
        <w:spacing w:before="120" w:after="120"/>
        <w:rPr>
          <w:rFonts w:hint="eastAsia" w:hAnsi="宋体" w:cs="宋体"/>
          <w:color w:val="000000" w:themeColor="text1"/>
          <w:highlight w:val="none"/>
          <w14:textFill>
            <w14:solidFill>
              <w14:schemeClr w14:val="tx1"/>
            </w14:solidFill>
          </w14:textFill>
        </w:rPr>
      </w:pPr>
    </w:p>
    <w:p w14:paraId="65733D85">
      <w:pPr>
        <w:pStyle w:val="227"/>
        <w:spacing w:before="120" w:after="120"/>
        <w:rPr>
          <w:rFonts w:hint="eastAsia" w:hAnsi="宋体" w:cs="宋体"/>
          <w:color w:val="000000" w:themeColor="text1"/>
          <w:highlight w:val="none"/>
          <w14:textFill>
            <w14:solidFill>
              <w14:schemeClr w14:val="tx1"/>
            </w14:solidFill>
          </w14:textFill>
        </w:rPr>
      </w:pPr>
    </w:p>
    <w:p w14:paraId="357C3005">
      <w:pPr>
        <w:pStyle w:val="193"/>
        <w:jc w:val="center"/>
        <w:rPr>
          <w:rFonts w:hint="eastAsia" w:ascii="宋体" w:hAnsi="宋体" w:eastAsia="宋体" w:cs="宋体"/>
          <w:color w:val="000000" w:themeColor="text1"/>
          <w:highlight w:val="none"/>
          <w14:textFill>
            <w14:solidFill>
              <w14:schemeClr w14:val="tx1"/>
            </w14:solidFill>
          </w14:textFill>
        </w:rPr>
      </w:pPr>
      <w:bookmarkStart w:id="151" w:name="_Toc6219"/>
      <w:r>
        <w:rPr>
          <w:rFonts w:hint="eastAsia" w:ascii="宋体" w:hAnsi="宋体" w:eastAsia="宋体" w:cs="宋体"/>
          <w:color w:val="000000" w:themeColor="text1"/>
          <w:highlight w:val="none"/>
          <w14:textFill>
            <w14:solidFill>
              <w14:schemeClr w14:val="tx1"/>
            </w14:solidFill>
          </w14:textFill>
        </w:rPr>
        <w:t>第四章  评标方法及评标标准</w:t>
      </w:r>
      <w:bookmarkEnd w:id="151"/>
    </w:p>
    <w:p w14:paraId="2B6ED924">
      <w:pPr>
        <w:pStyle w:val="227"/>
        <w:spacing w:before="120" w:after="120"/>
        <w:outlineLvl w:val="0"/>
        <w:rPr>
          <w:rFonts w:hint="eastAsia" w:hAnsi="宋体" w:cs="宋体"/>
          <w:b/>
          <w:color w:val="000000" w:themeColor="text1"/>
          <w:highlight w:val="none"/>
          <w14:textFill>
            <w14:solidFill>
              <w14:schemeClr w14:val="tx1"/>
            </w14:solidFill>
          </w14:textFill>
        </w:rPr>
      </w:pPr>
    </w:p>
    <w:p w14:paraId="0ACD3486">
      <w:pPr>
        <w:pStyle w:val="227"/>
        <w:spacing w:before="120" w:after="120"/>
        <w:outlineLvl w:val="0"/>
        <w:rPr>
          <w:rFonts w:hint="eastAsia" w:hAnsi="宋体" w:cs="宋体"/>
          <w:bCs/>
          <w:color w:val="000000" w:themeColor="text1"/>
          <w:sz w:val="32"/>
          <w:szCs w:val="32"/>
          <w:highlight w:val="none"/>
          <w14:textFill>
            <w14:solidFill>
              <w14:schemeClr w14:val="tx1"/>
            </w14:solidFill>
          </w14:textFill>
        </w:rPr>
      </w:pPr>
    </w:p>
    <w:p w14:paraId="12158567">
      <w:pPr>
        <w:pStyle w:val="227"/>
        <w:spacing w:before="120" w:after="120"/>
        <w:outlineLvl w:val="0"/>
        <w:rPr>
          <w:rFonts w:hint="eastAsia" w:hAnsi="宋体" w:cs="宋体"/>
          <w:bCs/>
          <w:color w:val="000000" w:themeColor="text1"/>
          <w:sz w:val="32"/>
          <w:szCs w:val="32"/>
          <w:highlight w:val="none"/>
          <w14:textFill>
            <w14:solidFill>
              <w14:schemeClr w14:val="tx1"/>
            </w14:solidFill>
          </w14:textFill>
        </w:rPr>
      </w:pPr>
    </w:p>
    <w:p w14:paraId="717D84E2">
      <w:pPr>
        <w:pStyle w:val="227"/>
        <w:spacing w:before="120" w:after="120"/>
        <w:outlineLvl w:val="0"/>
        <w:rPr>
          <w:rFonts w:hint="eastAsia" w:hAnsi="宋体" w:cs="宋体"/>
          <w:bCs/>
          <w:color w:val="000000" w:themeColor="text1"/>
          <w:sz w:val="32"/>
          <w:szCs w:val="32"/>
          <w:highlight w:val="none"/>
          <w14:textFill>
            <w14:solidFill>
              <w14:schemeClr w14:val="tx1"/>
            </w14:solidFill>
          </w14:textFill>
        </w:rPr>
      </w:pPr>
    </w:p>
    <w:p w14:paraId="6C09D2F1">
      <w:pPr>
        <w:spacing w:before="120" w:after="120" w:line="400" w:lineRule="exact"/>
        <w:rPr>
          <w:rFonts w:hint="eastAsia" w:ascii="宋体" w:hAnsi="宋体" w:cs="宋体"/>
          <w:b/>
          <w:color w:val="000000" w:themeColor="text1"/>
          <w:sz w:val="24"/>
          <w:highlight w:val="none"/>
          <w14:textFill>
            <w14:solidFill>
              <w14:schemeClr w14:val="tx1"/>
            </w14:solidFill>
          </w14:textFill>
        </w:rPr>
      </w:pPr>
    </w:p>
    <w:p w14:paraId="75D92204">
      <w:pPr>
        <w:spacing w:before="120" w:after="120" w:line="400" w:lineRule="exact"/>
        <w:rPr>
          <w:rFonts w:hint="eastAsia" w:ascii="宋体" w:hAnsi="宋体" w:cs="宋体"/>
          <w:b/>
          <w:color w:val="000000" w:themeColor="text1"/>
          <w:sz w:val="24"/>
          <w:highlight w:val="none"/>
          <w14:textFill>
            <w14:solidFill>
              <w14:schemeClr w14:val="tx1"/>
            </w14:solidFill>
          </w14:textFill>
        </w:rPr>
      </w:pPr>
    </w:p>
    <w:p w14:paraId="58104BA6">
      <w:pPr>
        <w:spacing w:before="120" w:after="120" w:line="400" w:lineRule="exact"/>
        <w:rPr>
          <w:rFonts w:hint="eastAsia" w:ascii="宋体" w:hAnsi="宋体" w:cs="宋体"/>
          <w:b/>
          <w:color w:val="000000" w:themeColor="text1"/>
          <w:sz w:val="24"/>
          <w:highlight w:val="none"/>
          <w14:textFill>
            <w14:solidFill>
              <w14:schemeClr w14:val="tx1"/>
            </w14:solidFill>
          </w14:textFill>
        </w:rPr>
      </w:pPr>
    </w:p>
    <w:p w14:paraId="0A543871">
      <w:pPr>
        <w:spacing w:before="120" w:after="120" w:line="400" w:lineRule="exact"/>
        <w:rPr>
          <w:rFonts w:hint="eastAsia" w:ascii="宋体" w:hAnsi="宋体" w:cs="宋体"/>
          <w:b/>
          <w:color w:val="000000" w:themeColor="text1"/>
          <w:sz w:val="24"/>
          <w:highlight w:val="none"/>
          <w14:textFill>
            <w14:solidFill>
              <w14:schemeClr w14:val="tx1"/>
            </w14:solidFill>
          </w14:textFill>
        </w:rPr>
      </w:pPr>
    </w:p>
    <w:p w14:paraId="26251E6F">
      <w:pPr>
        <w:spacing w:before="120" w:after="120" w:line="400" w:lineRule="exact"/>
        <w:rPr>
          <w:rFonts w:hint="eastAsia" w:ascii="宋体" w:hAnsi="宋体" w:cs="宋体"/>
          <w:b/>
          <w:color w:val="000000" w:themeColor="text1"/>
          <w:sz w:val="24"/>
          <w:highlight w:val="none"/>
          <w14:textFill>
            <w14:solidFill>
              <w14:schemeClr w14:val="tx1"/>
            </w14:solidFill>
          </w14:textFill>
        </w:rPr>
      </w:pPr>
    </w:p>
    <w:p w14:paraId="3CA3ABDF">
      <w:pPr>
        <w:spacing w:before="120" w:after="120" w:line="400" w:lineRule="exact"/>
        <w:rPr>
          <w:rFonts w:hint="eastAsia" w:ascii="宋体" w:hAnsi="宋体" w:cs="宋体"/>
          <w:b/>
          <w:color w:val="000000" w:themeColor="text1"/>
          <w:sz w:val="24"/>
          <w:highlight w:val="none"/>
          <w14:textFill>
            <w14:solidFill>
              <w14:schemeClr w14:val="tx1"/>
            </w14:solidFill>
          </w14:textFill>
        </w:rPr>
      </w:pPr>
    </w:p>
    <w:p w14:paraId="35058BDC">
      <w:pPr>
        <w:spacing w:before="120" w:after="120" w:line="400" w:lineRule="exact"/>
        <w:rPr>
          <w:rFonts w:hint="eastAsia" w:ascii="宋体" w:hAnsi="宋体" w:cs="宋体"/>
          <w:b/>
          <w:color w:val="000000" w:themeColor="text1"/>
          <w:sz w:val="24"/>
          <w:highlight w:val="none"/>
          <w14:textFill>
            <w14:solidFill>
              <w14:schemeClr w14:val="tx1"/>
            </w14:solidFill>
          </w14:textFill>
        </w:rPr>
      </w:pPr>
    </w:p>
    <w:p w14:paraId="04917A40">
      <w:pPr>
        <w:pStyle w:val="227"/>
        <w:spacing w:line="360" w:lineRule="exact"/>
        <w:rPr>
          <w:rFonts w:hint="eastAsia" w:hAnsi="宋体" w:cs="宋体"/>
          <w:b/>
          <w:color w:val="000000" w:themeColor="text1"/>
          <w:sz w:val="24"/>
          <w:highlight w:val="none"/>
          <w14:textFill>
            <w14:solidFill>
              <w14:schemeClr w14:val="tx1"/>
            </w14:solidFill>
          </w14:textFill>
        </w:rPr>
      </w:pPr>
    </w:p>
    <w:p w14:paraId="7BFD435A">
      <w:pPr>
        <w:pStyle w:val="227"/>
        <w:spacing w:line="360" w:lineRule="exact"/>
        <w:rPr>
          <w:rFonts w:hint="eastAsia" w:hAnsi="宋体" w:cs="宋体"/>
          <w:b/>
          <w:color w:val="000000" w:themeColor="text1"/>
          <w:sz w:val="24"/>
          <w:highlight w:val="none"/>
          <w14:textFill>
            <w14:solidFill>
              <w14:schemeClr w14:val="tx1"/>
            </w14:solidFill>
          </w14:textFill>
        </w:rPr>
      </w:pPr>
    </w:p>
    <w:p w14:paraId="073A51FF">
      <w:pPr>
        <w:rPr>
          <w:rFonts w:hint="eastAsia" w:ascii="宋体" w:hAnsi="宋体" w:cs="宋体"/>
          <w:b/>
          <w:color w:val="000000" w:themeColor="text1"/>
          <w:sz w:val="24"/>
          <w:highlight w:val="none"/>
          <w14:textFill>
            <w14:solidFill>
              <w14:schemeClr w14:val="tx1"/>
            </w14:solidFill>
          </w14:textFill>
        </w:rPr>
      </w:pPr>
    </w:p>
    <w:p w14:paraId="1BE2717F">
      <w:pPr>
        <w:pStyle w:val="275"/>
        <w:rPr>
          <w:rFonts w:hint="eastAsia" w:ascii="宋体" w:hAnsi="宋体" w:cs="宋体"/>
          <w:color w:val="000000" w:themeColor="text1"/>
          <w:highlight w:val="none"/>
          <w14:textFill>
            <w14:solidFill>
              <w14:schemeClr w14:val="tx1"/>
            </w14:solidFill>
          </w14:textFill>
        </w:rPr>
      </w:pPr>
    </w:p>
    <w:p w14:paraId="68ABA589">
      <w:pPr>
        <w:pStyle w:val="227"/>
        <w:spacing w:line="360" w:lineRule="exact"/>
        <w:rPr>
          <w:rFonts w:hint="eastAsia" w:hAnsi="宋体" w:cs="宋体"/>
          <w:b/>
          <w:color w:val="000000" w:themeColor="text1"/>
          <w:sz w:val="24"/>
          <w:highlight w:val="none"/>
          <w14:textFill>
            <w14:solidFill>
              <w14:schemeClr w14:val="tx1"/>
            </w14:solidFill>
          </w14:textFill>
        </w:rPr>
      </w:pPr>
    </w:p>
    <w:p w14:paraId="1FDE913A">
      <w:pPr>
        <w:pStyle w:val="227"/>
        <w:spacing w:line="360" w:lineRule="exact"/>
        <w:rPr>
          <w:rFonts w:hint="eastAsia" w:hAnsi="宋体" w:cs="宋体"/>
          <w:b/>
          <w:color w:val="000000" w:themeColor="text1"/>
          <w:sz w:val="24"/>
          <w:highlight w:val="none"/>
          <w14:textFill>
            <w14:solidFill>
              <w14:schemeClr w14:val="tx1"/>
            </w14:solidFill>
          </w14:textFill>
        </w:rPr>
      </w:pPr>
    </w:p>
    <w:p w14:paraId="42F20954">
      <w:pPr>
        <w:pStyle w:val="194"/>
        <w:keepNext w:val="0"/>
        <w:keepLines w:val="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一、评标方法</w:t>
      </w:r>
    </w:p>
    <w:p w14:paraId="116AC30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（一）综合评分法，是指投标文件满足招标文件全部实质性要求，且按照评审因素的量化指标评审得分最高的投标人为中标候选人的评标方法。</w:t>
      </w:r>
    </w:p>
    <w:p w14:paraId="728E3FD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（二）组建评标委员会</w:t>
      </w:r>
    </w:p>
    <w:p w14:paraId="00B7C22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评标委员会由采购人代表和评审专家组成，成员人数见“投标人须知前附表”，其中评审专家不得少于成员总数的三分之二。</w:t>
      </w:r>
    </w:p>
    <w:p w14:paraId="39C7A6E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参加过采购项目前期咨询论证的专家，不得参加该采购项目的评审活动。</w:t>
      </w:r>
    </w:p>
    <w:p w14:paraId="5D5B90B2">
      <w:pPr>
        <w:pStyle w:val="194"/>
        <w:keepNext w:val="0"/>
        <w:keepLines w:val="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二、评标程序</w:t>
      </w:r>
    </w:p>
    <w:p w14:paraId="035D8244">
      <w:pPr>
        <w:pStyle w:val="196"/>
        <w:keepNext w:val="0"/>
        <w:keepLines w:val="0"/>
        <w:spacing w:before="0" w:after="0" w:line="360" w:lineRule="auto"/>
        <w:ind w:left="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1.符合性审查</w:t>
      </w:r>
    </w:p>
    <w:p w14:paraId="6414E821">
      <w:pPr>
        <w:pStyle w:val="227"/>
        <w:spacing w:line="360" w:lineRule="auto"/>
        <w:ind w:left="1" w:firstLine="420"/>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51F3840D">
      <w:pPr>
        <w:pStyle w:val="196"/>
        <w:keepNext w:val="0"/>
        <w:keepLines w:val="0"/>
        <w:spacing w:before="0" w:after="0" w:line="360" w:lineRule="auto"/>
        <w:ind w:left="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2.符合性审查不通过而导致投标无效的情形</w:t>
      </w:r>
    </w:p>
    <w:p w14:paraId="3E2D29B6">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310EA885">
      <w:pPr>
        <w:pStyle w:val="196"/>
        <w:keepNext w:val="0"/>
        <w:keepLines w:val="0"/>
        <w:spacing w:before="0" w:after="0" w:line="360" w:lineRule="auto"/>
        <w:ind w:left="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2.1在报价评审时，如发现下列情形之一的，将被视为投标无效：</w:t>
      </w:r>
    </w:p>
    <w:p w14:paraId="3B9CBDD6">
      <w:pPr>
        <w:pStyle w:val="197"/>
        <w:numPr>
          <w:ilvl w:val="0"/>
          <w:numId w:val="6"/>
        </w:numPr>
        <w:spacing w:line="360" w:lineRule="auto"/>
        <w:ind w:firstLine="398"/>
        <w:rPr>
          <w:rFonts w:hint="eastAsia" w:ascii="宋体" w:hAnsi="宋体" w:cs="宋体"/>
          <w:b/>
          <w:color w:val="000000" w:themeColor="text1"/>
          <w:spacing w:val="-6"/>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报价文件未提供“投标人须知前附表”第13.1条规定中“必须提供”的文件资料的；</w:t>
      </w:r>
    </w:p>
    <w:p w14:paraId="50857D9E">
      <w:pPr>
        <w:pStyle w:val="197"/>
        <w:numPr>
          <w:ilvl w:val="0"/>
          <w:numId w:val="6"/>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未采用人民币报价或者未按照招标文件标明的币种报价的；</w:t>
      </w:r>
    </w:p>
    <w:p w14:paraId="34AAF00E">
      <w:pPr>
        <w:pStyle w:val="197"/>
        <w:numPr>
          <w:ilvl w:val="0"/>
          <w:numId w:val="6"/>
        </w:numPr>
        <w:spacing w:line="360" w:lineRule="auto"/>
        <w:ind w:left="-2" w:firstLine="422"/>
        <w:rPr>
          <w:rFonts w:hint="eastAsia" w:ascii="宋体" w:hAnsi="宋体" w:cs="宋体"/>
          <w:b/>
          <w:color w:val="000000" w:themeColor="text1"/>
          <w:spacing w:val="-6"/>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报价超出招标文件规定最高限价，或者超出采购预算金额的；</w:t>
      </w:r>
    </w:p>
    <w:p w14:paraId="6BACF708">
      <w:pPr>
        <w:pStyle w:val="197"/>
        <w:numPr>
          <w:ilvl w:val="0"/>
          <w:numId w:val="6"/>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未就所投项目进行报价或者存在漏项报价；投标人未就所投项目的单项内容作唯一报价；投标人未就所投项目的全部内容作完整唯一总价报价；存在有选择、有条件报价的（招标文件允许有备选方案或者其他约定的除外）；</w:t>
      </w:r>
    </w:p>
    <w:p w14:paraId="121BF71F">
      <w:pPr>
        <w:pStyle w:val="197"/>
        <w:numPr>
          <w:ilvl w:val="0"/>
          <w:numId w:val="6"/>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修正后的报价，投标人不确认的；</w:t>
      </w:r>
    </w:p>
    <w:p w14:paraId="6D161BF5">
      <w:pPr>
        <w:pStyle w:val="197"/>
        <w:numPr>
          <w:ilvl w:val="0"/>
          <w:numId w:val="6"/>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投标人属于本章第5.1条（2）或者第5.2条（2）项情形的。</w:t>
      </w:r>
    </w:p>
    <w:p w14:paraId="6E78C2C4">
      <w:pPr>
        <w:pStyle w:val="197"/>
        <w:numPr>
          <w:ilvl w:val="0"/>
          <w:numId w:val="6"/>
        </w:numPr>
        <w:spacing w:line="360" w:lineRule="auto"/>
        <w:ind w:firstLine="398"/>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w:t>
      </w:r>
      <w:r>
        <w:rPr>
          <w:rFonts w:hint="eastAsia" w:ascii="宋体" w:hAnsi="宋体" w:cs="宋体"/>
          <w:b/>
          <w:color w:val="000000" w:themeColor="text1"/>
          <w:szCs w:val="21"/>
          <w:highlight w:val="none"/>
          <w14:textFill>
            <w14:solidFill>
              <w14:schemeClr w14:val="tx1"/>
            </w14:solidFill>
          </w14:textFill>
        </w:rPr>
        <w:t>响应的标的数量及单位与招标文件要求实质性不一致的。</w:t>
      </w:r>
    </w:p>
    <w:p w14:paraId="3A3D5549">
      <w:pPr>
        <w:pStyle w:val="196"/>
        <w:keepNext w:val="0"/>
        <w:keepLines w:val="0"/>
        <w:spacing w:before="0" w:after="0" w:line="360" w:lineRule="auto"/>
        <w:ind w:left="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2.2在商务评审时，如发现下列情形之一的，将被视为投标无效：</w:t>
      </w:r>
    </w:p>
    <w:p w14:paraId="5600F747">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投标文件未按招标文件要求签署、盖章的；</w:t>
      </w:r>
    </w:p>
    <w:p w14:paraId="3EC17F6A">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委托代理人未能出具有效身份证或者出具的身份证与授权委托书中的信息不符的； </w:t>
      </w:r>
    </w:p>
    <w:p w14:paraId="7116F203">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为无效投标保证金的或者未按照招标文件的规定提交投标保证金的；</w:t>
      </w:r>
    </w:p>
    <w:p w14:paraId="60F5809D">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投标文件未提供“投标人须知前附表”第13.1条规定中“必须提供”或者“委托时必须提供”的文件资料的；</w:t>
      </w:r>
    </w:p>
    <w:p w14:paraId="0152747D">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商务要求评审允许负偏离的条款数超过“投标人须知前附表”规定项数的；</w:t>
      </w:r>
    </w:p>
    <w:p w14:paraId="03E3E716">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投标文件的实质性内容未使用中文表述、使用计量单位不符合招标文件要求的；</w:t>
      </w:r>
    </w:p>
    <w:p w14:paraId="0137179F">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28AB1C90">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投标文件含有采购人不能接受的附加条件的；</w:t>
      </w:r>
    </w:p>
    <w:p w14:paraId="01F82B76">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属于投标人须知正文第9.2条情形的；</w:t>
      </w:r>
    </w:p>
    <w:p w14:paraId="1BF2759B">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1CCAF3E3">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招标文件明确不允许分包，投标文件拟分包的；</w:t>
      </w:r>
    </w:p>
    <w:p w14:paraId="125B4935">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未响应招标文件实质性要求的；</w:t>
      </w:r>
    </w:p>
    <w:p w14:paraId="5DDA5F4E">
      <w:pPr>
        <w:numPr>
          <w:ilvl w:val="0"/>
          <w:numId w:val="7"/>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法律、法规和招标文件规定的其他无效情形。</w:t>
      </w:r>
    </w:p>
    <w:p w14:paraId="5A93FC8E">
      <w:pPr>
        <w:pStyle w:val="196"/>
        <w:keepNext w:val="0"/>
        <w:keepLines w:val="0"/>
        <w:spacing w:before="0" w:after="0" w:line="360" w:lineRule="auto"/>
        <w:ind w:left="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2.3在技术评审时，如发现下列情形之一的，将被视为投标无效：</w:t>
      </w:r>
    </w:p>
    <w:p w14:paraId="20BA46D2">
      <w:pPr>
        <w:pStyle w:val="221"/>
        <w:spacing w:line="360" w:lineRule="auto"/>
        <w:ind w:firstLine="41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（1）技术要求评审允许负偏离的条款数超过“投标人须知前附表”规定项数的；</w:t>
      </w:r>
    </w:p>
    <w:p w14:paraId="2B078590">
      <w:pPr>
        <w:pStyle w:val="221"/>
        <w:spacing w:line="360" w:lineRule="auto"/>
        <w:ind w:firstLine="41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（2）投标文件未提供“投标人须知前附表”第13.1条规定中“必须提供”的文件资料的；</w:t>
      </w:r>
    </w:p>
    <w:p w14:paraId="6308CD1C">
      <w:pPr>
        <w:pStyle w:val="221"/>
        <w:spacing w:line="360" w:lineRule="auto"/>
        <w:ind w:firstLine="41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（3）虚假投标，或者出现其他情形而导致被评标委员会认定无效的；</w:t>
      </w:r>
    </w:p>
    <w:p w14:paraId="6CCE605D">
      <w:pPr>
        <w:pStyle w:val="221"/>
        <w:spacing w:line="360" w:lineRule="auto"/>
        <w:ind w:firstLine="41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（4）招标文件未载明允许提供备选（替代）投标方案或明确不允许提供备选（替代）投标方案时，投标人提供了备选（替代）投标方案的；</w:t>
      </w:r>
    </w:p>
    <w:p w14:paraId="667A4C8B">
      <w:pPr>
        <w:pStyle w:val="221"/>
        <w:spacing w:line="360" w:lineRule="auto"/>
        <w:ind w:firstLine="41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（5）未响应招标文件实质性要求的。</w:t>
      </w:r>
    </w:p>
    <w:p w14:paraId="19DE5E0B">
      <w:pPr>
        <w:pStyle w:val="196"/>
        <w:keepNext w:val="0"/>
        <w:keepLines w:val="0"/>
        <w:spacing w:before="0" w:after="0" w:line="360" w:lineRule="auto"/>
        <w:ind w:left="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3.澄清补正</w:t>
      </w:r>
    </w:p>
    <w:p w14:paraId="268AAA0D">
      <w:pPr>
        <w:spacing w:line="360" w:lineRule="auto"/>
        <w:ind w:firstLine="42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9DF50D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22527B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未按评标委员会的要求作出明确澄清、说明或者更正的投标人的投标文件将按照有利于采购人的原则由评标委员会进行判定。</w:t>
      </w:r>
    </w:p>
    <w:p w14:paraId="05E37186">
      <w:pPr>
        <w:pStyle w:val="196"/>
        <w:keepNext w:val="0"/>
        <w:keepLines w:val="0"/>
        <w:spacing w:before="0" w:after="0" w:line="360" w:lineRule="auto"/>
        <w:ind w:left="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4.投标文件修正</w:t>
      </w:r>
    </w:p>
    <w:p w14:paraId="3286E453">
      <w:pPr>
        <w:pStyle w:val="196"/>
        <w:keepNext w:val="0"/>
        <w:keepLines w:val="0"/>
        <w:spacing w:before="0" w:after="0" w:line="360" w:lineRule="auto"/>
        <w:ind w:left="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4.1投标文件报价出现前后不一致的，按照下列规定修正： </w:t>
      </w:r>
    </w:p>
    <w:p w14:paraId="49C5CCE9">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（1）投标文件中开标一览表（报价表）内容与投标文件中相应内容不一致的，以开标一览表（报价表）为准；</w:t>
      </w:r>
    </w:p>
    <w:p w14:paraId="478EC34A">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（2）大写金额和小写金额不一致的，以大写金额为准；</w:t>
      </w:r>
    </w:p>
    <w:p w14:paraId="6C0B3610">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（3）单价金额小数点或者百分比有明显错位的，以开标一览表的总价为准，并修改单价；</w:t>
      </w:r>
    </w:p>
    <w:p w14:paraId="00153F01">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（4）总价金额与按单价汇总金额不一致的，以单价金额计算结果为准。</w:t>
      </w:r>
    </w:p>
    <w:p w14:paraId="406AA4B9">
      <w:pPr>
        <w:pStyle w:val="2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hAnsi="宋体" w:cs="宋体"/>
          <w:b/>
          <w:color w:val="000000" w:themeColor="text1"/>
          <w:sz w:val="21"/>
          <w:highlight w:val="none"/>
          <w14:textFill>
            <w14:solidFill>
              <w14:schemeClr w14:val="tx1"/>
            </w14:solidFill>
          </w14:textFill>
        </w:rPr>
        <w:t>其投标无效</w:t>
      </w:r>
      <w:r>
        <w:rPr>
          <w:rFonts w:hint="eastAsia" w:hAnsi="宋体" w:cs="宋体"/>
          <w:color w:val="000000" w:themeColor="text1"/>
          <w:sz w:val="21"/>
          <w:highlight w:val="none"/>
          <w14:textFill>
            <w14:solidFill>
              <w14:schemeClr w14:val="tx1"/>
            </w14:solidFill>
          </w14:textFill>
        </w:rPr>
        <w:t>。</w:t>
      </w:r>
    </w:p>
    <w:p w14:paraId="1F952A73">
      <w:pPr>
        <w:pStyle w:val="196"/>
        <w:keepNext w:val="0"/>
        <w:keepLines w:val="0"/>
        <w:spacing w:before="0" w:after="0" w:line="360" w:lineRule="auto"/>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4.2经投标人确认修正后的报价若超过采购预算金额或者最高限价，</w:t>
      </w:r>
      <w:r>
        <w:rPr>
          <w:rFonts w:hint="eastAsia" w:ascii="宋体" w:hAnsi="宋体" w:cs="宋体"/>
          <w:color w:val="000000" w:themeColor="text1"/>
          <w:sz w:val="21"/>
          <w:szCs w:val="21"/>
          <w:highlight w:val="none"/>
          <w14:textFill>
            <w14:solidFill>
              <w14:schemeClr w14:val="tx1"/>
            </w14:solidFill>
          </w14:textFill>
        </w:rPr>
        <w:t>投标人的投标文件作无效投标处理</w:t>
      </w:r>
      <w:r>
        <w:rPr>
          <w:rFonts w:hint="eastAsia" w:ascii="宋体" w:hAnsi="宋体" w:cs="宋体"/>
          <w:b w:val="0"/>
          <w:color w:val="000000" w:themeColor="text1"/>
          <w:sz w:val="21"/>
          <w:szCs w:val="21"/>
          <w:highlight w:val="none"/>
          <w14:textFill>
            <w14:solidFill>
              <w14:schemeClr w14:val="tx1"/>
            </w14:solidFill>
          </w14:textFill>
        </w:rPr>
        <w:t>。</w:t>
      </w:r>
    </w:p>
    <w:p w14:paraId="6D80EC4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4.3经投标人确认修正后的报价作为签订合同的依据，并以此报价计算价格分。</w:t>
      </w:r>
    </w:p>
    <w:p w14:paraId="3D0EFB40">
      <w:pPr>
        <w:pStyle w:val="196"/>
        <w:keepNext w:val="0"/>
        <w:keepLines w:val="0"/>
        <w:spacing w:before="0" w:after="0" w:line="360" w:lineRule="auto"/>
        <w:ind w:left="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5.比较与评价</w:t>
      </w:r>
    </w:p>
    <w:p w14:paraId="39DAA03E">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5.1采用综合评分法的</w:t>
      </w:r>
    </w:p>
    <w:p w14:paraId="06832484">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6C05FE53">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（2）评标委员会独立对每个投标人的投标文件进行评价，并汇总每个投标人的得分。</w:t>
      </w:r>
    </w:p>
    <w:p w14:paraId="6183F042">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1）评标委员会在评审中发现下列情形之一的，应当启动异常低价投标审查程序：</w:t>
      </w:r>
    </w:p>
    <w:p w14:paraId="26932A87">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①投标报价低于全部通过符合性审查供应商投标报价平均值65%的，即投标报价＜全部通过符合性审查供应商投标报价平均值×65%；（范围为50%-65%）</w:t>
      </w:r>
    </w:p>
    <w:p w14:paraId="38B0859B">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②投标报价低于通过符合性审查的次低报价供应商投标报价65%的，即投标报价＜通过符合性审查的次低报价供应商投标报价×65%；（范围为50%-65%）</w:t>
      </w:r>
    </w:p>
    <w:p w14:paraId="573C706D">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③投标报价低于采购项目最高限价65%的，即投标报价＜采购项目最高限价×65%；（范围为45%-65%）</w:t>
      </w:r>
    </w:p>
    <w:p w14:paraId="1061266F">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2CC3455B">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1684F26">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3ECEC14E">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4866797">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3）评标委员会按照招标文件中规定的评标方法和标准计算各投标人的报价得分。在计算过程中，不得去掉最高报价或者最低报价。</w:t>
      </w:r>
    </w:p>
    <w:p w14:paraId="00FAE48D">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（4）各投标人的得分为所有评委的有效评分的算术平均数。</w:t>
      </w:r>
    </w:p>
    <w:p w14:paraId="4DAC902C">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（5）评标委员会按照招标文件中的规定推荐中标候选人。</w:t>
      </w:r>
    </w:p>
    <w:p w14:paraId="6F9C4A81">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203F9AD">
      <w:pPr>
        <w:spacing w:line="360" w:lineRule="auto"/>
        <w:ind w:firstLine="42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5.2采用</w:t>
      </w:r>
      <w:r>
        <w:rPr>
          <w:rFonts w:hint="eastAsia" w:ascii="宋体" w:hAnsi="宋体" w:eastAsia="宋体" w:cs="宋体"/>
          <w:color w:val="000000" w:themeColor="text1"/>
          <w:highlight w:val="none"/>
          <w14:textFill>
            <w14:solidFill>
              <w14:schemeClr w14:val="tx1"/>
            </w14:solidFill>
          </w14:textFill>
        </w:rPr>
        <w:t>最低评标价法</w:t>
      </w:r>
      <w:r>
        <w:rPr>
          <w:rFonts w:hint="eastAsia" w:ascii="宋体" w:hAnsi="宋体" w:eastAsia="宋体" w:cs="宋体"/>
          <w:color w:val="000000" w:themeColor="text1"/>
          <w:szCs w:val="21"/>
          <w:highlight w:val="none"/>
          <w14:textFill>
            <w14:solidFill>
              <w14:schemeClr w14:val="tx1"/>
            </w14:solidFill>
          </w14:textFill>
        </w:rPr>
        <w:t>的</w:t>
      </w:r>
    </w:p>
    <w:p w14:paraId="7E0BF84A">
      <w:pPr>
        <w:spacing w:line="360" w:lineRule="auto"/>
        <w:ind w:firstLine="424"/>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（1）评标委员会按照招标文件中规定的评标方法及评标标准，对符合性审查合格的投标文件报价进行比较。</w:t>
      </w:r>
    </w:p>
    <w:p w14:paraId="766D2EBB">
      <w:pPr>
        <w:spacing w:line="360" w:lineRule="auto"/>
        <w:ind w:firstLine="424"/>
        <w:jc w:val="left"/>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b/>
          <w:color w:val="000000" w:themeColor="text1"/>
          <w:szCs w:val="21"/>
          <w:highlight w:val="none"/>
          <w14:textFill>
            <w14:solidFill>
              <w14:schemeClr w14:val="tx1"/>
            </w14:solidFill>
          </w14:textFill>
        </w:rPr>
        <w:t>投标人不能证明其报价合理性的，评标委员会将其作为无效投标处理。</w:t>
      </w:r>
    </w:p>
    <w:p w14:paraId="5C641B6A">
      <w:pPr>
        <w:spacing w:line="360" w:lineRule="auto"/>
        <w:ind w:firstLine="424"/>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（3）评标委员会按照招标文件中的规定推荐中标候选人。</w:t>
      </w:r>
    </w:p>
    <w:p w14:paraId="3155793F">
      <w:pPr>
        <w:spacing w:line="360" w:lineRule="auto"/>
        <w:ind w:firstLine="424"/>
        <w:jc w:val="lef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8A5000F">
      <w:pPr>
        <w:spacing w:line="360" w:lineRule="auto"/>
        <w:ind w:firstLine="424"/>
        <w:jc w:val="left"/>
        <w:rPr>
          <w:rFonts w:hint="eastAsia" w:ascii="宋体" w:hAnsi="宋体" w:cs="宋体"/>
          <w:color w:val="000000" w:themeColor="text1"/>
          <w:szCs w:val="21"/>
          <w:highlight w:val="none"/>
          <w14:textFill>
            <w14:solidFill>
              <w14:schemeClr w14:val="tx1"/>
            </w14:solidFill>
          </w14:textFill>
        </w:rPr>
      </w:pPr>
    </w:p>
    <w:p w14:paraId="6FE43D95">
      <w:pPr>
        <w:pStyle w:val="227"/>
        <w:spacing w:line="420" w:lineRule="exact"/>
        <w:ind w:firstLine="420"/>
        <w:rPr>
          <w:rFonts w:hint="eastAsia" w:hAnsi="宋体" w:cs="宋体"/>
          <w:color w:val="000000" w:themeColor="text1"/>
          <w:highlight w:val="none"/>
          <w14:textFill>
            <w14:solidFill>
              <w14:schemeClr w14:val="tx1"/>
            </w14:solidFill>
          </w14:textFill>
        </w:rPr>
      </w:pPr>
    </w:p>
    <w:p w14:paraId="1BC2A3A6">
      <w:pPr>
        <w:pStyle w:val="219"/>
        <w:rPr>
          <w:rFonts w:hint="eastAsia" w:ascii="宋体" w:hAnsi="宋体" w:cs="宋体"/>
          <w:color w:val="000000" w:themeColor="text1"/>
          <w:highlight w:val="none"/>
          <w14:textFill>
            <w14:solidFill>
              <w14:schemeClr w14:val="tx1"/>
            </w14:solidFill>
          </w14:textFill>
        </w:rPr>
      </w:pPr>
    </w:p>
    <w:p w14:paraId="69AC60CB">
      <w:pPr>
        <w:pStyle w:val="219"/>
        <w:rPr>
          <w:rFonts w:hint="eastAsia" w:ascii="宋体" w:hAnsi="宋体" w:cs="宋体"/>
          <w:color w:val="000000" w:themeColor="text1"/>
          <w:highlight w:val="none"/>
          <w14:textFill>
            <w14:solidFill>
              <w14:schemeClr w14:val="tx1"/>
            </w14:solidFill>
          </w14:textFill>
        </w:rPr>
      </w:pPr>
    </w:p>
    <w:p w14:paraId="7E2095DB">
      <w:pPr>
        <w:pStyle w:val="273"/>
        <w:rPr>
          <w:rFonts w:hint="eastAsia" w:cs="宋体"/>
          <w:color w:val="000000" w:themeColor="text1"/>
          <w:highlight w:val="none"/>
          <w14:textFill>
            <w14:solidFill>
              <w14:schemeClr w14:val="tx1"/>
            </w14:solidFill>
          </w14:textFill>
        </w:rPr>
      </w:pPr>
    </w:p>
    <w:p w14:paraId="72F487DC">
      <w:pPr>
        <w:pStyle w:val="227"/>
        <w:numPr>
          <w:ilvl w:val="0"/>
          <w:numId w:val="0"/>
        </w:numPr>
        <w:spacing w:line="420" w:lineRule="exact"/>
        <w:ind w:firstLine="420"/>
        <w:jc w:val="left"/>
        <w:rPr>
          <w:rFonts w:hint="eastAsia"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lang w:val="en-US" w:eastAsia="zh-CN" w:bidi="ar-SA"/>
          <w14:textFill>
            <w14:solidFill>
              <w14:schemeClr w14:val="tx1"/>
            </w14:solidFill>
          </w14:textFill>
        </w:rPr>
        <w:t>二、</w:t>
      </w:r>
      <w:r>
        <w:rPr>
          <w:rFonts w:hint="eastAsia" w:hAnsi="宋体" w:cs="宋体"/>
          <w:b/>
          <w:bCs/>
          <w:color w:val="000000" w:themeColor="text1"/>
          <w:sz w:val="24"/>
          <w:szCs w:val="24"/>
          <w:highlight w:val="none"/>
          <w14:textFill>
            <w14:solidFill>
              <w14:schemeClr w14:val="tx1"/>
            </w14:solidFill>
          </w14:textFill>
        </w:rPr>
        <w:t>评标标准</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184"/>
        <w:gridCol w:w="6599"/>
      </w:tblGrid>
      <w:tr w14:paraId="5A36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7" w:type="pct"/>
            <w:tcBorders>
              <w:top w:val="single" w:color="auto" w:sz="4" w:space="0"/>
              <w:left w:val="single" w:color="auto" w:sz="4" w:space="0"/>
              <w:bottom w:val="single" w:color="auto" w:sz="4" w:space="0"/>
              <w:right w:val="single" w:color="auto" w:sz="4" w:space="0"/>
            </w:tcBorders>
            <w:noWrap w:val="0"/>
            <w:vAlign w:val="center"/>
          </w:tcPr>
          <w:p w14:paraId="6D7FB87D">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0FD82864">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3867" w:type="pct"/>
            <w:tcBorders>
              <w:top w:val="single" w:color="auto" w:sz="4" w:space="0"/>
              <w:left w:val="single" w:color="auto" w:sz="4" w:space="0"/>
              <w:bottom w:val="single" w:color="auto" w:sz="4" w:space="0"/>
              <w:right w:val="single" w:color="auto" w:sz="4" w:space="0"/>
            </w:tcBorders>
            <w:noWrap w:val="0"/>
            <w:vAlign w:val="center"/>
          </w:tcPr>
          <w:p w14:paraId="0E69147D">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评标标准</w:t>
            </w:r>
          </w:p>
        </w:tc>
      </w:tr>
      <w:tr w14:paraId="6039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tcBorders>
              <w:top w:val="single" w:color="auto" w:sz="4" w:space="0"/>
              <w:left w:val="single" w:color="auto" w:sz="4" w:space="0"/>
              <w:bottom w:val="single" w:color="auto" w:sz="4" w:space="0"/>
              <w:right w:val="single" w:color="auto" w:sz="4" w:space="0"/>
            </w:tcBorders>
            <w:noWrap w:val="0"/>
            <w:vAlign w:val="center"/>
          </w:tcPr>
          <w:p w14:paraId="79FC23F6">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4809382F">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价格分</w:t>
            </w:r>
          </w:p>
          <w:p w14:paraId="455262BD">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u w:val="single"/>
                <w14:textFill>
                  <w14:solidFill>
                    <w14:schemeClr w14:val="tx1"/>
                  </w14:solidFill>
                </w14:textFill>
              </w:rPr>
              <w:t>10</w:t>
            </w:r>
            <w:r>
              <w:rPr>
                <w:rFonts w:hint="eastAsia" w:ascii="宋体" w:hAnsi="宋体" w:cs="宋体"/>
                <w:b/>
                <w:bCs/>
                <w:color w:val="000000" w:themeColor="text1"/>
                <w:szCs w:val="21"/>
                <w:highlight w:val="none"/>
                <w14:textFill>
                  <w14:solidFill>
                    <w14:schemeClr w14:val="tx1"/>
                  </w14:solidFill>
                </w14:textFill>
              </w:rPr>
              <w:t>分）</w:t>
            </w:r>
          </w:p>
        </w:tc>
        <w:tc>
          <w:tcPr>
            <w:tcW w:w="3867" w:type="pct"/>
            <w:tcBorders>
              <w:top w:val="single" w:color="auto" w:sz="4" w:space="0"/>
              <w:left w:val="single" w:color="auto" w:sz="4" w:space="0"/>
              <w:bottom w:val="single" w:color="auto" w:sz="4" w:space="0"/>
              <w:right w:val="single" w:color="auto" w:sz="4" w:space="0"/>
            </w:tcBorders>
            <w:noWrap w:val="0"/>
            <w:vAlign w:val="center"/>
          </w:tcPr>
          <w:p w14:paraId="1E49C6A7">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（1）评标报价为投标人的</w:t>
            </w:r>
            <w:r>
              <w:rPr>
                <w:rFonts w:hint="eastAsia" w:ascii="宋体" w:hAnsi="宋体" w:cs="宋体"/>
                <w:color w:val="000000" w:themeColor="text1"/>
                <w:szCs w:val="21"/>
                <w:highlight w:val="none"/>
                <w14:textFill>
                  <w14:solidFill>
                    <w14:schemeClr w14:val="tx1"/>
                  </w14:solidFill>
                </w14:textFill>
              </w:rPr>
              <w:t>投标报价</w:t>
            </w:r>
            <w:r>
              <w:rPr>
                <w:rFonts w:hint="eastAsia" w:ascii="宋体" w:hAnsi="宋体"/>
                <w:bCs/>
                <w:color w:val="000000" w:themeColor="text1"/>
                <w:szCs w:val="21"/>
                <w:highlight w:val="none"/>
                <w14:textFill>
                  <w14:solidFill>
                    <w14:schemeClr w14:val="tx1"/>
                  </w14:solidFill>
                </w14:textFill>
              </w:rPr>
              <w:t>进行政策性扣除后的价格，评标报价只是作为评标时使用。最终</w:t>
            </w:r>
            <w:r>
              <w:rPr>
                <w:rFonts w:hint="eastAsia" w:ascii="宋体" w:hAnsi="宋体"/>
                <w:bCs/>
                <w:color w:val="000000" w:themeColor="text1"/>
                <w:szCs w:val="21"/>
                <w:highlight w:val="none"/>
                <w:lang w:eastAsia="zh-CN"/>
                <w14:textFill>
                  <w14:solidFill>
                    <w14:schemeClr w14:val="tx1"/>
                  </w14:solidFill>
                </w14:textFill>
              </w:rPr>
              <w:t>中标供应商</w:t>
            </w:r>
            <w:r>
              <w:rPr>
                <w:rFonts w:hint="eastAsia" w:ascii="宋体" w:hAnsi="宋体"/>
                <w:bCs/>
                <w:color w:val="000000" w:themeColor="text1"/>
                <w:szCs w:val="21"/>
                <w:highlight w:val="none"/>
                <w14:textFill>
                  <w14:solidFill>
                    <w14:schemeClr w14:val="tx1"/>
                  </w14:solidFill>
                </w14:textFill>
              </w:rPr>
              <w:t>的中标</w:t>
            </w:r>
            <w:r>
              <w:rPr>
                <w:rFonts w:hint="eastAsia" w:ascii="宋体" w:hAnsi="宋体"/>
                <w:bCs/>
                <w:color w:val="000000" w:themeColor="text1"/>
                <w:szCs w:val="21"/>
                <w:highlight w:val="none"/>
                <w:lang w:eastAsia="zh-CN"/>
                <w14:textFill>
                  <w14:solidFill>
                    <w14:schemeClr w14:val="tx1"/>
                  </w14:solidFill>
                </w14:textFill>
              </w:rPr>
              <w:t>价</w:t>
            </w:r>
            <w:r>
              <w:rPr>
                <w:rFonts w:hint="eastAsia" w:ascii="宋体" w:hAnsi="宋体"/>
                <w:bCs/>
                <w:color w:val="000000" w:themeColor="text1"/>
                <w:szCs w:val="21"/>
                <w:highlight w:val="none"/>
                <w14:textFill>
                  <w14:solidFill>
                    <w14:schemeClr w14:val="tx1"/>
                  </w14:solidFill>
                </w14:textFill>
              </w:rPr>
              <w:t>等于投标</w:t>
            </w:r>
            <w:r>
              <w:rPr>
                <w:rFonts w:hint="eastAsia" w:ascii="宋体" w:hAnsi="宋体" w:cs="宋体"/>
                <w:color w:val="000000" w:themeColor="text1"/>
                <w:szCs w:val="21"/>
                <w:highlight w:val="none"/>
                <w:lang w:eastAsia="zh-CN"/>
                <w14:textFill>
                  <w14:solidFill>
                    <w14:schemeClr w14:val="tx1"/>
                  </w14:solidFill>
                </w14:textFill>
              </w:rPr>
              <w:t>价</w:t>
            </w:r>
            <w:r>
              <w:rPr>
                <w:rFonts w:hint="eastAsia" w:ascii="宋体" w:hAnsi="宋体"/>
                <w:bCs/>
                <w:color w:val="000000" w:themeColor="text1"/>
                <w:szCs w:val="21"/>
                <w:highlight w:val="none"/>
                <w14:textFill>
                  <w14:solidFill>
                    <w14:schemeClr w14:val="tx1"/>
                  </w14:solidFill>
                </w14:textFill>
              </w:rPr>
              <w:t>。</w:t>
            </w:r>
          </w:p>
          <w:p w14:paraId="2C35C117">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2</w:t>
            </w:r>
            <w:r>
              <w:rPr>
                <w:rFonts w:hint="eastAsia" w:ascii="宋体" w:hAnsi="宋体"/>
                <w:bCs/>
                <w:color w:val="000000" w:themeColor="text1"/>
                <w:szCs w:val="21"/>
                <w:highlight w:val="none"/>
                <w14:textFill>
                  <w14:solidFill>
                    <w14:schemeClr w14:val="tx1"/>
                  </w14:solidFill>
                </w14:textFill>
              </w:rPr>
              <w:t>）政策性扣除计算方法。</w:t>
            </w:r>
          </w:p>
          <w:p w14:paraId="6E82474C">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本项目为专门面向中小企业项目，小微企业、监狱企业、残疾人福利性单位不再执行价格评审优惠的扶持政策</w:t>
            </w:r>
            <w:r>
              <w:rPr>
                <w:rFonts w:hint="eastAsia" w:ascii="宋体" w:hAnsi="宋体" w:cs="宋体"/>
                <w:bCs/>
                <w:color w:val="000000" w:themeColor="text1"/>
                <w:szCs w:val="21"/>
                <w:highlight w:val="none"/>
                <w:lang w:eastAsia="zh-CN"/>
                <w14:textFill>
                  <w14:solidFill>
                    <w14:schemeClr w14:val="tx1"/>
                  </w14:solidFill>
                </w14:textFill>
              </w:rPr>
              <w:t>，评标报价等于投标价</w:t>
            </w:r>
            <w:r>
              <w:rPr>
                <w:rFonts w:hint="eastAsia" w:ascii="宋体" w:hAnsi="宋体" w:cs="宋体"/>
                <w:color w:val="000000" w:themeColor="text1"/>
                <w:szCs w:val="21"/>
                <w:highlight w:val="none"/>
                <w14:textFill>
                  <w14:solidFill>
                    <w14:schemeClr w14:val="tx1"/>
                  </w14:solidFill>
                </w14:textFill>
              </w:rPr>
              <w:t>。</w:t>
            </w:r>
          </w:p>
          <w:p w14:paraId="6C867ECC">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（3）本国产品政策性扣除计算方法。</w:t>
            </w:r>
          </w:p>
          <w:p w14:paraId="29F5188F">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6DF65346">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71AB7D01">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供应商在其投标文件中提供《关于符合本国产品标准的声明函》或财政部会同有关部门规定的有关证明文件，出具符合要求的《声明函》或有关证明文件的，该产品视为本国产品。</w:t>
            </w:r>
          </w:p>
          <w:p w14:paraId="7B7F8585">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如果所有参与竞争的供应商均可享受本国产品价格评审优惠，则统一不进行价格扣除。</w:t>
            </w:r>
          </w:p>
          <w:p w14:paraId="1D5643BC">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lang w:eastAsia="zh-CN"/>
                <w14:textFill>
                  <w14:solidFill>
                    <w14:schemeClr w14:val="tx1"/>
                  </w14:solidFill>
                </w14:textFill>
              </w:rPr>
              <w:t>评标报</w:t>
            </w:r>
            <w:r>
              <w:rPr>
                <w:rFonts w:hint="eastAsia" w:ascii="宋体" w:hAnsi="宋体"/>
                <w:bCs/>
                <w:color w:val="000000" w:themeColor="text1"/>
                <w:szCs w:val="21"/>
                <w:highlight w:val="none"/>
                <w14:textFill>
                  <w14:solidFill>
                    <w14:schemeClr w14:val="tx1"/>
                  </w14:solidFill>
                </w14:textFill>
              </w:rPr>
              <w:t>价=投标报价-本国产品折扣，除上述情况外，评审价=投标报价。</w:t>
            </w:r>
          </w:p>
          <w:p w14:paraId="54272112">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（4）满足招标文件要求且评标报价最低的评标报价为评标基准价，其价格分为满分。</w:t>
            </w:r>
          </w:p>
          <w:p w14:paraId="18BEDEA2">
            <w:pPr>
              <w:keepNext w:val="0"/>
              <w:keepLines w:val="0"/>
              <w:pageBreakBefore w:val="0"/>
              <w:widowControl w:val="0"/>
              <w:bidi w:val="0"/>
              <w:spacing w:line="360" w:lineRule="exact"/>
              <w:ind w:firstLine="233"/>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（5）价格分计算公式：        </w:t>
            </w:r>
          </w:p>
          <w:p w14:paraId="1C7CAAC7">
            <w:pPr>
              <w:pStyle w:val="227"/>
              <w:keepNext w:val="0"/>
              <w:keepLines w:val="0"/>
              <w:pageBreakBefore w:val="0"/>
              <w:widowControl w:val="0"/>
              <w:bidi w:val="0"/>
              <w:spacing w:line="360" w:lineRule="exact"/>
              <w:ind w:firstLine="233"/>
              <w:rPr>
                <w:rFonts w:hint="eastAsia" w:ascii="宋体" w:hAnsi="宋体" w:cs="宋体"/>
                <w:bCs/>
                <w:color w:val="000000" w:themeColor="text1"/>
                <w:szCs w:val="21"/>
                <w:highlight w:val="none"/>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价格分</w:t>
            </w:r>
            <w:r>
              <w:rPr>
                <w:rFonts w:hint="eastAsia" w:hAnsi="宋体" w:cs="Courier New"/>
                <w:bCs/>
                <w:color w:val="000000" w:themeColor="text1"/>
                <w:sz w:val="21"/>
                <w:highlight w:val="none"/>
                <w:lang w:val="en-US" w:eastAsia="zh-CN"/>
                <w14:textFill>
                  <w14:solidFill>
                    <w14:schemeClr w14:val="tx1"/>
                  </w14:solidFill>
                </w14:textFill>
              </w:rPr>
              <w:t>=（评标基准价／评标报价）×</w:t>
            </w:r>
            <w:r>
              <w:rPr>
                <w:rFonts w:hint="eastAsia" w:hAnsi="宋体"/>
                <w:bCs/>
                <w:color w:val="000000" w:themeColor="text1"/>
                <w:sz w:val="21"/>
                <w:highlight w:val="none"/>
                <w:u w:val="single"/>
                <w:lang w:val="en-US" w:eastAsia="zh-CN"/>
                <w14:textFill>
                  <w14:solidFill>
                    <w14:schemeClr w14:val="tx1"/>
                  </w14:solidFill>
                </w14:textFill>
              </w:rPr>
              <w:t xml:space="preserve"> </w:t>
            </w:r>
            <w:r>
              <w:rPr>
                <w:rFonts w:hint="eastAsia" w:hAnsi="宋体" w:cs="宋体"/>
                <w:bCs/>
                <w:color w:val="000000" w:themeColor="text1"/>
                <w:sz w:val="21"/>
                <w:highlight w:val="none"/>
                <w:u w:val="single"/>
                <w:lang w:val="en-US" w:eastAsia="zh-CN"/>
                <w14:textFill>
                  <w14:solidFill>
                    <w14:schemeClr w14:val="tx1"/>
                  </w14:solidFill>
                </w14:textFill>
              </w:rPr>
              <w:t xml:space="preserve">10  </w:t>
            </w:r>
            <w:r>
              <w:rPr>
                <w:rFonts w:hint="eastAsia" w:hAnsi="宋体" w:cs="宋体"/>
                <w:bCs/>
                <w:color w:val="000000" w:themeColor="text1"/>
                <w:sz w:val="21"/>
                <w:highlight w:val="none"/>
                <w:lang w:val="en-US" w:eastAsia="zh-CN"/>
                <w14:textFill>
                  <w14:solidFill>
                    <w14:schemeClr w14:val="tx1"/>
                  </w14:solidFill>
                </w14:textFill>
              </w:rPr>
              <w:t>分</w:t>
            </w:r>
          </w:p>
        </w:tc>
      </w:tr>
      <w:tr w14:paraId="032C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tcBorders>
              <w:top w:val="single" w:color="auto" w:sz="4" w:space="0"/>
              <w:left w:val="single" w:color="auto" w:sz="4" w:space="0"/>
              <w:bottom w:val="single" w:color="auto" w:sz="4" w:space="0"/>
              <w:right w:val="single" w:color="auto" w:sz="4" w:space="0"/>
            </w:tcBorders>
            <w:noWrap w:val="0"/>
            <w:vAlign w:val="center"/>
          </w:tcPr>
          <w:p w14:paraId="3A598824">
            <w:pPr>
              <w:spacing w:line="360" w:lineRule="atLeast"/>
              <w:ind w:left="-105" w:right="-105"/>
              <w:jc w:val="center"/>
              <w:rPr>
                <w:rFonts w:hint="eastAsia" w:ascii="宋体" w:hAnsi="宋体" w:cs="宋体"/>
                <w:b/>
                <w:color w:val="000000" w:themeColor="text1"/>
                <w:spacing w:val="-18"/>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4EA67F04">
            <w:pPr>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技术方案分（满分</w:t>
            </w:r>
            <w:r>
              <w:rPr>
                <w:rFonts w:hint="eastAsia" w:ascii="宋体" w:hAnsi="宋体" w:cs="宋体"/>
                <w:b/>
                <w:color w:val="000000" w:themeColor="text1"/>
                <w:szCs w:val="21"/>
                <w:highlight w:val="none"/>
                <w:lang w:val="en-US" w:eastAsia="zh-CN"/>
                <w14:textFill>
                  <w14:solidFill>
                    <w14:schemeClr w14:val="tx1"/>
                  </w14:solidFill>
                </w14:textFill>
              </w:rPr>
              <w:t>61</w:t>
            </w:r>
            <w:r>
              <w:rPr>
                <w:rFonts w:hint="eastAsia" w:ascii="宋体" w:hAnsi="宋体" w:cs="宋体"/>
                <w:b/>
                <w:color w:val="000000" w:themeColor="text1"/>
                <w:szCs w:val="21"/>
                <w:highlight w:val="none"/>
                <w14:textFill>
                  <w14:solidFill>
                    <w14:schemeClr w14:val="tx1"/>
                  </w14:solidFill>
                </w14:textFill>
              </w:rPr>
              <w:t>分）</w:t>
            </w:r>
          </w:p>
        </w:tc>
        <w:tc>
          <w:tcPr>
            <w:tcW w:w="3867" w:type="pct"/>
            <w:tcBorders>
              <w:top w:val="single" w:color="auto" w:sz="4" w:space="0"/>
              <w:left w:val="single" w:color="auto" w:sz="4" w:space="0"/>
              <w:bottom w:val="single" w:color="auto" w:sz="4" w:space="0"/>
              <w:right w:val="single" w:color="auto" w:sz="4" w:space="0"/>
            </w:tcBorders>
            <w:noWrap w:val="0"/>
            <w:vAlign w:val="center"/>
          </w:tcPr>
          <w:p w14:paraId="4F8EA2FF">
            <w:pPr>
              <w:pStyle w:val="227"/>
              <w:keepNext w:val="0"/>
              <w:keepLines w:val="0"/>
              <w:pageBreakBefore w:val="0"/>
              <w:widowControl w:val="0"/>
              <w:bidi w:val="0"/>
              <w:spacing w:line="360" w:lineRule="exact"/>
              <w:contextualSpacing/>
              <w:rPr>
                <w:rFonts w:hint="eastAsia" w:hAnsi="宋体" w:cs="宋体"/>
                <w:b/>
                <w:bCs w:val="0"/>
                <w:color w:val="000000" w:themeColor="text1"/>
                <w:sz w:val="21"/>
                <w:highlight w:val="none"/>
                <w14:textFill>
                  <w14:solidFill>
                    <w14:schemeClr w14:val="tx1"/>
                  </w14:solidFill>
                </w14:textFill>
              </w:rPr>
            </w:pPr>
            <w:r>
              <w:rPr>
                <w:rFonts w:hint="eastAsia" w:hAnsi="宋体" w:cs="宋体"/>
                <w:b/>
                <w:bCs w:val="0"/>
                <w:color w:val="000000" w:themeColor="text1"/>
                <w:sz w:val="21"/>
                <w:highlight w:val="none"/>
                <w14:textFill>
                  <w14:solidFill>
                    <w14:schemeClr w14:val="tx1"/>
                  </w14:solidFill>
                </w14:textFill>
              </w:rPr>
              <w:t>（1）</w:t>
            </w:r>
            <w:r>
              <w:rPr>
                <w:rFonts w:hint="eastAsia" w:hAnsi="宋体" w:cs="宋体"/>
                <w:b/>
                <w:bCs w:val="0"/>
                <w:color w:val="000000" w:themeColor="text1"/>
                <w:sz w:val="21"/>
                <w:highlight w:val="none"/>
                <w:lang w:eastAsia="zh-CN"/>
                <w14:textFill>
                  <w14:solidFill>
                    <w14:schemeClr w14:val="tx1"/>
                  </w14:solidFill>
                </w14:textFill>
              </w:rPr>
              <w:t>项目需求分析</w:t>
            </w:r>
            <w:r>
              <w:rPr>
                <w:rFonts w:hint="eastAsia" w:hAnsi="宋体" w:cs="宋体"/>
                <w:b/>
                <w:bCs w:val="0"/>
                <w:color w:val="000000" w:themeColor="text1"/>
                <w:sz w:val="21"/>
                <w:highlight w:val="none"/>
                <w14:textFill>
                  <w14:solidFill>
                    <w14:schemeClr w14:val="tx1"/>
                  </w14:solidFill>
                </w14:textFill>
              </w:rPr>
              <w:t xml:space="preserve"> （满分1</w:t>
            </w:r>
            <w:r>
              <w:rPr>
                <w:rFonts w:hint="eastAsia" w:hAnsi="宋体" w:cs="宋体"/>
                <w:b/>
                <w:bCs w:val="0"/>
                <w:color w:val="000000" w:themeColor="text1"/>
                <w:sz w:val="21"/>
                <w:highlight w:val="none"/>
                <w:lang w:val="en-US" w:eastAsia="zh-CN"/>
                <w14:textFill>
                  <w14:solidFill>
                    <w14:schemeClr w14:val="tx1"/>
                  </w14:solidFill>
                </w14:textFill>
              </w:rPr>
              <w:t>2</w:t>
            </w:r>
            <w:r>
              <w:rPr>
                <w:rFonts w:hint="eastAsia" w:hAnsi="宋体" w:cs="宋体"/>
                <w:b/>
                <w:bCs w:val="0"/>
                <w:color w:val="000000" w:themeColor="text1"/>
                <w:sz w:val="21"/>
                <w:highlight w:val="none"/>
                <w14:textFill>
                  <w14:solidFill>
                    <w14:schemeClr w14:val="tx1"/>
                  </w14:solidFill>
                </w14:textFill>
              </w:rPr>
              <w:t>分）</w:t>
            </w:r>
          </w:p>
          <w:p w14:paraId="31CE4F88">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一档（3分）：基于对项目的理解不够完整，项目需求总体认识概述未结合本项目实际，各主要施工阶段关键技术方法没有论述，无具体规划论述。</w:t>
            </w:r>
          </w:p>
          <w:p w14:paraId="4F81F73B">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二档（6分）：基于对项目的理解完整，项目需求总体认识概述结合本项目实际展开论述，有各主要施工阶段关键技术方法的论述，有实现生产障碍耕地治理的规划论述。</w:t>
            </w:r>
          </w:p>
          <w:p w14:paraId="1E2E96C6">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三档（9分）：基于对项目的理解全面，项目需求总体认识概述结合本项目实际具体论述，有各主要施工阶段关键技术方法的具体论述，有实现生产障碍耕地治理的具体规划论述，项目重难点分析准确。</w:t>
            </w:r>
          </w:p>
          <w:p w14:paraId="26AD8AB9">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12分）：基于对项目的理解全面、准确，项目需求总体认识概述充分结合本项目实际详细论述，有各主要施工阶段关键技术方法的详细论述，有实现生产障碍耕地治理的具体规划论述，项目重难点分析准确，能提出合理性、有效性与针对性的意见和应对措施的。</w:t>
            </w:r>
          </w:p>
          <w:p w14:paraId="67B0112B">
            <w:pPr>
              <w:pStyle w:val="227"/>
              <w:keepNext w:val="0"/>
              <w:keepLines w:val="0"/>
              <w:pageBreakBefore w:val="0"/>
              <w:widowControl w:val="0"/>
              <w:bidi w:val="0"/>
              <w:spacing w:line="360" w:lineRule="exact"/>
              <w:contextualSpacing/>
              <w:rPr>
                <w:rFonts w:hint="eastAsia" w:hAnsi="宋体" w:cs="宋体"/>
                <w:b/>
                <w:bCs w:val="0"/>
                <w:color w:val="000000" w:themeColor="text1"/>
                <w:sz w:val="21"/>
                <w:highlight w:val="none"/>
                <w14:textFill>
                  <w14:solidFill>
                    <w14:schemeClr w14:val="tx1"/>
                  </w14:solidFill>
                </w14:textFill>
              </w:rPr>
            </w:pPr>
            <w:r>
              <w:rPr>
                <w:rFonts w:hint="eastAsia" w:hAnsi="宋体" w:cs="宋体"/>
                <w:b/>
                <w:bCs w:val="0"/>
                <w:color w:val="000000" w:themeColor="text1"/>
                <w:sz w:val="21"/>
                <w:highlight w:val="none"/>
                <w14:textFill>
                  <w14:solidFill>
                    <w14:schemeClr w14:val="tx1"/>
                  </w14:solidFill>
                </w14:textFill>
              </w:rPr>
              <w:t>（2）质量保障措施分（满分</w:t>
            </w:r>
            <w:r>
              <w:rPr>
                <w:rFonts w:hint="eastAsia" w:hAnsi="宋体" w:cs="宋体"/>
                <w:b/>
                <w:bCs w:val="0"/>
                <w:color w:val="000000" w:themeColor="text1"/>
                <w:sz w:val="21"/>
                <w:highlight w:val="none"/>
                <w:lang w:val="en-US" w:eastAsia="zh-CN"/>
                <w14:textFill>
                  <w14:solidFill>
                    <w14:schemeClr w14:val="tx1"/>
                  </w14:solidFill>
                </w14:textFill>
              </w:rPr>
              <w:t>12</w:t>
            </w:r>
            <w:r>
              <w:rPr>
                <w:rFonts w:hint="eastAsia" w:hAnsi="宋体" w:cs="宋体"/>
                <w:b/>
                <w:bCs w:val="0"/>
                <w:color w:val="000000" w:themeColor="text1"/>
                <w:sz w:val="21"/>
                <w:highlight w:val="none"/>
                <w14:textFill>
                  <w14:solidFill>
                    <w14:schemeClr w14:val="tx1"/>
                  </w14:solidFill>
                </w14:textFill>
              </w:rPr>
              <w:t>分）</w:t>
            </w:r>
          </w:p>
          <w:p w14:paraId="2D040ABF">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一档（3分）：提供的技术质量控制措施保证项目成果质量达到验收标准，无具体的保障措施，无项目进度计划安排；</w:t>
            </w:r>
          </w:p>
          <w:p w14:paraId="7B428664">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二档（6分）：提供的技术质量控制措施能保证项目成果质量达到验收标准，提供了项目进度计划安排，提供安全防护措施及环境保护措施；</w:t>
            </w:r>
          </w:p>
          <w:p w14:paraId="2DB2E772">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三档（9分）：提供的技术质量控制措施能有效保证项目成果质量达到验收标准，提供了具体的项目进度计划安排，提供具体的安全防护措施、应急救援预案，提供了环境保护措施能有效防止二次污染；</w:t>
            </w:r>
          </w:p>
          <w:p w14:paraId="5C403DCF">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12分）：提供了详细的技术质量控制措施能有效保证项目成果质量达到验收标准，提供了详细的项目进度计划安排，安排结合实际工作要求，安全防护措施及应急救援预案内容完整全面、关键技术点描述清晰，提供了环境保护措施能有效防止二次污染，保密措施齐全，满足项目的保密要求。</w:t>
            </w:r>
          </w:p>
          <w:p w14:paraId="06113828">
            <w:pPr>
              <w:keepNext w:val="0"/>
              <w:keepLines w:val="0"/>
              <w:pageBreakBefore w:val="0"/>
              <w:widowControl w:val="0"/>
              <w:numPr>
                <w:ilvl w:val="0"/>
                <w:numId w:val="0"/>
              </w:numPr>
              <w:bidi w:val="0"/>
              <w:spacing w:line="360" w:lineRule="exact"/>
              <w:ind w:firstLine="422"/>
              <w:rPr>
                <w:rFonts w:hint="eastAsia" w:hAnsi="宋体" w:cs="宋体"/>
                <w:b/>
                <w:bCs w:val="0"/>
                <w:color w:val="000000" w:themeColor="text1"/>
                <w:highlight w:val="none"/>
                <w14:textFill>
                  <w14:solidFill>
                    <w14:schemeClr w14:val="tx1"/>
                  </w14:solidFill>
                </w14:textFill>
              </w:rPr>
            </w:pPr>
            <w:r>
              <w:rPr>
                <w:rFonts w:hint="eastAsia" w:hAnsi="宋体" w:cs="宋体"/>
                <w:b/>
                <w:bCs w:val="0"/>
                <w:color w:val="000000" w:themeColor="text1"/>
                <w:sz w:val="21"/>
                <w:szCs w:val="24"/>
                <w:highlight w:val="none"/>
                <w:lang w:val="en-US" w:eastAsia="zh-CN" w:bidi="ar-SA"/>
                <w14:textFill>
                  <w14:solidFill>
                    <w14:schemeClr w14:val="tx1"/>
                  </w14:solidFill>
                </w14:textFill>
              </w:rPr>
              <w:t>（3）</w:t>
            </w:r>
            <w:r>
              <w:rPr>
                <w:rFonts w:hint="eastAsia" w:hAnsi="宋体" w:cs="宋体"/>
                <w:b/>
                <w:bCs w:val="0"/>
                <w:color w:val="000000" w:themeColor="text1"/>
                <w:highlight w:val="none"/>
                <w14:textFill>
                  <w14:solidFill>
                    <w14:schemeClr w14:val="tx1"/>
                  </w14:solidFill>
                </w14:textFill>
              </w:rPr>
              <w:t>项目实施方案（满分16分）</w:t>
            </w:r>
          </w:p>
          <w:p w14:paraId="7DC2474E">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一档（4分）：实施方案内容不够完整，没有展开论述，不具备操作性，提出的服务保障方案不具体；</w:t>
            </w:r>
          </w:p>
          <w:p w14:paraId="4BAA99FD">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二档（8分）：实施方案内容完整，对每个区域的实施技术路线描述完整，生产障碍耕地治理项目实施流程、技术方法服务保障方案可行；</w:t>
            </w:r>
          </w:p>
          <w:p w14:paraId="4D849090">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12分）：实施方案内容整体合理、具备操作性，对本项目的顺利实施提出的方案有针对性，能保障项目顺利实施，对每个区域的实施技术路线描述完整，生产障碍耕地治理项目实施流程、技术方法完整，有具体材料物资投入计划，提出的服务保障方案合理可行，具备本地化服务能力；</w:t>
            </w:r>
          </w:p>
          <w:p w14:paraId="049CA729">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16分）：实施方案内容整体合理、可操作，对本项目的顺利实施提出了可行的方案，能有利保障项目顺利实施，每个区域的实施技术路线描述完整，生产障碍耕地治理项目实施流程、技术方法完整，有具体材料物资投入计划，具备实施重点、难点分析与对应的解决方法，提出的服务保障方案契合项目需求，具备突出且适应本地化的技术方案。</w:t>
            </w:r>
          </w:p>
          <w:p w14:paraId="1001E92B">
            <w:pPr>
              <w:pStyle w:val="227"/>
              <w:keepNext w:val="0"/>
              <w:keepLines w:val="0"/>
              <w:pageBreakBefore w:val="0"/>
              <w:widowControl w:val="0"/>
              <w:bidi w:val="0"/>
              <w:spacing w:line="360" w:lineRule="exact"/>
              <w:ind w:firstLine="422"/>
              <w:contextualSpacing/>
              <w:rPr>
                <w:rFonts w:hint="eastAsia" w:hAnsi="宋体" w:cs="宋体"/>
                <w:b/>
                <w:bCs w:val="0"/>
                <w:color w:val="000000" w:themeColor="text1"/>
                <w:sz w:val="21"/>
                <w:highlight w:val="none"/>
                <w14:textFill>
                  <w14:solidFill>
                    <w14:schemeClr w14:val="tx1"/>
                  </w14:solidFill>
                </w14:textFill>
              </w:rPr>
            </w:pP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
                <w:bCs w:val="0"/>
                <w:color w:val="000000" w:themeColor="text1"/>
                <w:sz w:val="21"/>
                <w:highlight w:val="none"/>
                <w:lang w:val="en-US" w:eastAsia="zh-CN"/>
                <w14:textFill>
                  <w14:solidFill>
                    <w14:schemeClr w14:val="tx1"/>
                  </w14:solidFill>
                </w14:textFill>
              </w:rPr>
              <w:t>4</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
                <w:bCs w:val="0"/>
                <w:color w:val="000000" w:themeColor="text1"/>
                <w:sz w:val="21"/>
                <w:highlight w:val="none"/>
                <w14:textFill>
                  <w14:solidFill>
                    <w14:schemeClr w14:val="tx1"/>
                  </w14:solidFill>
                </w14:textFill>
              </w:rPr>
              <w:t>对本工作的合理化建议（满分</w:t>
            </w:r>
            <w:r>
              <w:rPr>
                <w:rFonts w:hint="eastAsia" w:hAnsi="宋体" w:cs="宋体"/>
                <w:b/>
                <w:bCs w:val="0"/>
                <w:color w:val="000000" w:themeColor="text1"/>
                <w:sz w:val="21"/>
                <w:highlight w:val="none"/>
                <w:lang w:val="en-US" w:eastAsia="zh-CN"/>
                <w14:textFill>
                  <w14:solidFill>
                    <w14:schemeClr w14:val="tx1"/>
                  </w14:solidFill>
                </w14:textFill>
              </w:rPr>
              <w:t>12</w:t>
            </w:r>
            <w:r>
              <w:rPr>
                <w:rFonts w:hint="eastAsia" w:hAnsi="宋体" w:cs="宋体"/>
                <w:b/>
                <w:bCs w:val="0"/>
                <w:color w:val="000000" w:themeColor="text1"/>
                <w:sz w:val="21"/>
                <w:highlight w:val="none"/>
                <w14:textFill>
                  <w14:solidFill>
                    <w14:schemeClr w14:val="tx1"/>
                  </w14:solidFill>
                </w14:textFill>
              </w:rPr>
              <w:t>分）</w:t>
            </w:r>
          </w:p>
          <w:p w14:paraId="4C3408B1">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一档（3分）：针对本项目所提建议不具备可操作性；</w:t>
            </w:r>
          </w:p>
          <w:p w14:paraId="13DA274F">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二档（6分）：针对本项目提出了至少1条合理化的建议，符合项目要求；</w:t>
            </w:r>
          </w:p>
          <w:p w14:paraId="00C23C29">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三档（9分）：针对本项目提出了2条合理化的建议，符合项目要求；</w:t>
            </w:r>
          </w:p>
          <w:p w14:paraId="00D3A8E3">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四档（12分）：针对本项目提出了至少2条合理化的建议，并且切合项目实际，有可操作性，指导项目执行。</w:t>
            </w:r>
          </w:p>
          <w:p w14:paraId="4E985DBB">
            <w:pPr>
              <w:keepNext w:val="0"/>
              <w:keepLines w:val="0"/>
              <w:pageBreakBefore w:val="0"/>
              <w:widowControl w:val="0"/>
              <w:numPr>
                <w:ilvl w:val="0"/>
                <w:numId w:val="0"/>
              </w:numPr>
              <w:bidi w:val="0"/>
              <w:spacing w:line="360" w:lineRule="exact"/>
              <w:ind w:firstLine="422"/>
              <w:rPr>
                <w:rFonts w:hint="eastAsia"/>
                <w:b/>
                <w:bCs/>
                <w:color w:val="000000" w:themeColor="text1"/>
                <w:highlight w:val="none"/>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（5）</w:t>
            </w:r>
            <w:r>
              <w:rPr>
                <w:rFonts w:hint="eastAsia"/>
                <w:b/>
                <w:bCs/>
                <w:color w:val="000000" w:themeColor="text1"/>
                <w:highlight w:val="none"/>
                <w:lang w:eastAsia="zh-CN"/>
                <w14:textFill>
                  <w14:solidFill>
                    <w14:schemeClr w14:val="tx1"/>
                  </w14:solidFill>
                </w14:textFill>
              </w:rPr>
              <w:t>培训方案</w:t>
            </w:r>
            <w:r>
              <w:rPr>
                <w:rFonts w:hint="eastAsia"/>
                <w:b/>
                <w:bCs/>
                <w:color w:val="000000" w:themeColor="text1"/>
                <w:highlight w:val="none"/>
                <w14:textFill>
                  <w14:solidFill>
                    <w14:schemeClr w14:val="tx1"/>
                  </w14:solidFill>
                </w14:textFill>
              </w:rPr>
              <w:t>（满分</w:t>
            </w:r>
            <w:r>
              <w:rPr>
                <w:rFonts w:hint="eastAsia"/>
                <w:b/>
                <w:bCs/>
                <w:color w:val="000000" w:themeColor="text1"/>
                <w:highlight w:val="none"/>
                <w:lang w:val="en-US" w:eastAsia="zh-CN"/>
                <w14:textFill>
                  <w14:solidFill>
                    <w14:schemeClr w14:val="tx1"/>
                  </w14:solidFill>
                </w14:textFill>
              </w:rPr>
              <w:t>9</w:t>
            </w:r>
            <w:r>
              <w:rPr>
                <w:rFonts w:hint="eastAsia"/>
                <w:b/>
                <w:bCs/>
                <w:color w:val="000000" w:themeColor="text1"/>
                <w:highlight w:val="none"/>
                <w14:textFill>
                  <w14:solidFill>
                    <w14:schemeClr w14:val="tx1"/>
                  </w14:solidFill>
                </w14:textFill>
              </w:rPr>
              <w:t>分）</w:t>
            </w:r>
          </w:p>
          <w:p w14:paraId="57A50818">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一档（3分）：</w:t>
            </w:r>
            <w:r>
              <w:rPr>
                <w:rFonts w:hint="eastAsia" w:ascii="宋体" w:hAnsi="宋体" w:eastAsia="宋体" w:cs="宋体"/>
                <w:b w:val="0"/>
                <w:bCs/>
                <w:color w:val="000000" w:themeColor="text1"/>
                <w:sz w:val="21"/>
                <w:highlight w:val="none"/>
                <w:lang w:val="en-US" w:eastAsia="zh-CN"/>
                <w14:textFill>
                  <w14:solidFill>
                    <w14:schemeClr w14:val="tx1"/>
                  </w14:solidFill>
                </w14:textFill>
              </w:rPr>
              <w:t>培训方案内容不</w:t>
            </w:r>
            <w:r>
              <w:rPr>
                <w:rFonts w:hint="eastAsia" w:hAnsi="宋体" w:cs="宋体"/>
                <w:b w:val="0"/>
                <w:bCs/>
                <w:color w:val="000000" w:themeColor="text1"/>
                <w:sz w:val="21"/>
                <w:highlight w:val="none"/>
                <w:lang w:val="en-US" w:eastAsia="zh-CN"/>
                <w14:textFill>
                  <w14:solidFill>
                    <w14:schemeClr w14:val="tx1"/>
                  </w14:solidFill>
                </w14:textFill>
              </w:rPr>
              <w:t>够</w:t>
            </w:r>
            <w:r>
              <w:rPr>
                <w:rFonts w:hint="eastAsia" w:ascii="宋体" w:hAnsi="宋体" w:eastAsia="宋体" w:cs="宋体"/>
                <w:b w:val="0"/>
                <w:bCs/>
                <w:color w:val="000000" w:themeColor="text1"/>
                <w:sz w:val="21"/>
                <w:highlight w:val="none"/>
                <w:lang w:val="en-US" w:eastAsia="zh-CN"/>
                <w14:textFill>
                  <w14:solidFill>
                    <w14:schemeClr w14:val="tx1"/>
                  </w14:solidFill>
                </w14:textFill>
              </w:rPr>
              <w:t>完整，未针对项目对培训内容、时间、人员等展开论述</w:t>
            </w:r>
            <w:r>
              <w:rPr>
                <w:rFonts w:hint="eastAsia" w:hAnsi="宋体" w:cs="宋体"/>
                <w:b w:val="0"/>
                <w:bCs/>
                <w:color w:val="000000" w:themeColor="text1"/>
                <w:sz w:val="21"/>
                <w:highlight w:val="none"/>
                <w:lang w:val="en-US" w:eastAsia="zh-CN"/>
                <w14:textFill>
                  <w14:solidFill>
                    <w14:schemeClr w14:val="tx1"/>
                  </w14:solidFill>
                </w14:textFill>
              </w:rPr>
              <w:t>；</w:t>
            </w:r>
          </w:p>
          <w:p w14:paraId="02A8F6AB">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二档（6分）：</w:t>
            </w:r>
            <w:r>
              <w:rPr>
                <w:rFonts w:hint="eastAsia" w:ascii="宋体" w:hAnsi="宋体" w:eastAsia="宋体" w:cs="宋体"/>
                <w:b w:val="0"/>
                <w:bCs/>
                <w:color w:val="000000" w:themeColor="text1"/>
                <w:sz w:val="21"/>
                <w:highlight w:val="none"/>
                <w:lang w:val="en-US" w:eastAsia="zh-CN"/>
                <w14:textFill>
                  <w14:solidFill>
                    <w14:schemeClr w14:val="tx1"/>
                  </w14:solidFill>
                </w14:textFill>
              </w:rPr>
              <w:t>方案内容包括农用地安全利用技术落地需要的培训，培训内容具体，有具体的培训时间、人员、课时安排</w:t>
            </w:r>
            <w:r>
              <w:rPr>
                <w:rFonts w:hint="eastAsia" w:hAnsi="宋体" w:cs="宋体"/>
                <w:b w:val="0"/>
                <w:bCs/>
                <w:color w:val="000000" w:themeColor="text1"/>
                <w:sz w:val="21"/>
                <w:highlight w:val="none"/>
                <w:lang w:val="en-US" w:eastAsia="zh-CN"/>
                <w14:textFill>
                  <w14:solidFill>
                    <w14:schemeClr w14:val="tx1"/>
                  </w14:solidFill>
                </w14:textFill>
              </w:rPr>
              <w:t>；</w:t>
            </w:r>
          </w:p>
          <w:p w14:paraId="06AA0A88">
            <w:pPr>
              <w:pStyle w:val="227"/>
              <w:keepNext w:val="0"/>
              <w:keepLines w:val="0"/>
              <w:pageBreakBefore w:val="0"/>
              <w:widowControl w:val="0"/>
              <w:bidi w:val="0"/>
              <w:spacing w:line="360" w:lineRule="exact"/>
              <w:ind w:firstLine="420"/>
              <w:contextualSpacing/>
              <w:rPr>
                <w:rFonts w:hint="eastAsia"/>
                <w:color w:val="000000" w:themeColor="text1"/>
                <w:highlight w:val="none"/>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三档（9分）：</w:t>
            </w:r>
            <w:r>
              <w:rPr>
                <w:rFonts w:hint="eastAsia" w:ascii="宋体" w:hAnsi="宋体" w:eastAsia="宋体" w:cs="宋体"/>
                <w:b w:val="0"/>
                <w:bCs/>
                <w:color w:val="000000" w:themeColor="text1"/>
                <w:sz w:val="21"/>
                <w:highlight w:val="none"/>
                <w:lang w:val="en-US" w:eastAsia="zh-CN"/>
                <w14:textFill>
                  <w14:solidFill>
                    <w14:schemeClr w14:val="tx1"/>
                  </w14:solidFill>
                </w14:textFill>
              </w:rPr>
              <w:t>方案内容包括农用地安全利用技术落地需要的培训、宣传等方面的技术培训，培训内容具体，有具体的培训时间、人员、课时安排，培训工作能根据项目实际内容及质量目标进行开展，培训质量有保障</w:t>
            </w:r>
            <w:r>
              <w:rPr>
                <w:rFonts w:hint="eastAsia" w:hAnsi="宋体" w:cs="宋体"/>
                <w:b w:val="0"/>
                <w:bCs/>
                <w:color w:val="000000" w:themeColor="text1"/>
                <w:sz w:val="21"/>
                <w:highlight w:val="none"/>
                <w:lang w:val="en-US" w:eastAsia="zh-CN"/>
                <w14:textFill>
                  <w14:solidFill>
                    <w14:schemeClr w14:val="tx1"/>
                  </w14:solidFill>
                </w14:textFill>
              </w:rPr>
              <w:t>。</w:t>
            </w:r>
          </w:p>
        </w:tc>
      </w:tr>
      <w:tr w14:paraId="55F0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tcBorders>
              <w:top w:val="single" w:color="auto" w:sz="4" w:space="0"/>
              <w:left w:val="single" w:color="auto" w:sz="4" w:space="0"/>
              <w:bottom w:val="single" w:color="auto" w:sz="4" w:space="0"/>
              <w:right w:val="single" w:color="auto" w:sz="4" w:space="0"/>
            </w:tcBorders>
            <w:noWrap w:val="0"/>
            <w:vAlign w:val="center"/>
          </w:tcPr>
          <w:p w14:paraId="19589575">
            <w:pPr>
              <w:spacing w:line="360" w:lineRule="atLeast"/>
              <w:ind w:left="-105" w:right="-105"/>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57C3B444">
            <w:pPr>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服务承诺(满分</w:t>
            </w:r>
            <w:r>
              <w:rPr>
                <w:rFonts w:hint="eastAsia" w:ascii="宋体" w:hAnsi="宋体" w:cs="宋体"/>
                <w:b/>
                <w:color w:val="000000" w:themeColor="text1"/>
                <w:szCs w:val="21"/>
                <w:highlight w:val="none"/>
                <w:lang w:val="en-US" w:eastAsia="zh-CN"/>
                <w14:textFill>
                  <w14:solidFill>
                    <w14:schemeClr w14:val="tx1"/>
                  </w14:solidFill>
                </w14:textFill>
              </w:rPr>
              <w:t>12</w:t>
            </w:r>
            <w:r>
              <w:rPr>
                <w:rFonts w:hint="eastAsia" w:ascii="宋体" w:hAnsi="宋体" w:cs="宋体"/>
                <w:b/>
                <w:color w:val="000000" w:themeColor="text1"/>
                <w:szCs w:val="21"/>
                <w:highlight w:val="none"/>
                <w14:textFill>
                  <w14:solidFill>
                    <w14:schemeClr w14:val="tx1"/>
                  </w14:solidFill>
                </w14:textFill>
              </w:rPr>
              <w:t>分）</w:t>
            </w:r>
          </w:p>
        </w:tc>
        <w:tc>
          <w:tcPr>
            <w:tcW w:w="3867" w:type="pct"/>
            <w:tcBorders>
              <w:top w:val="single" w:color="auto" w:sz="4" w:space="0"/>
              <w:left w:val="single" w:color="auto" w:sz="4" w:space="0"/>
              <w:bottom w:val="single" w:color="auto" w:sz="4" w:space="0"/>
              <w:right w:val="single" w:color="auto" w:sz="4" w:space="0"/>
            </w:tcBorders>
            <w:noWrap w:val="0"/>
            <w:vAlign w:val="center"/>
          </w:tcPr>
          <w:p w14:paraId="42207887">
            <w:pPr>
              <w:pStyle w:val="227"/>
              <w:keepNext w:val="0"/>
              <w:keepLines w:val="0"/>
              <w:pageBreakBefore w:val="0"/>
              <w:widowControl w:val="0"/>
              <w:bidi w:val="0"/>
              <w:spacing w:line="360" w:lineRule="exact"/>
              <w:ind w:firstLine="420"/>
              <w:contextualSpacing/>
              <w:rPr>
                <w:rFonts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一档（3分）：服务承诺内容不够完整，服务承诺未展开对项目质量进度进行描述；承诺接到采购人处理问题通知后24小时内到达采购人指定现场。</w:t>
            </w:r>
          </w:p>
          <w:p w14:paraId="65264524">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二档（6分）：服务承诺内容完整，服务承诺有实现功能要求的解决方案、措施，能保证项目质量进度，承诺接到采购人处理问题通知后20小时内到达采购人指定现场。</w:t>
            </w:r>
          </w:p>
          <w:p w14:paraId="7776DD38">
            <w:pPr>
              <w:pStyle w:val="227"/>
              <w:keepNext w:val="0"/>
              <w:keepLines w:val="0"/>
              <w:pageBreakBefore w:val="0"/>
              <w:widowControl w:val="0"/>
              <w:bidi w:val="0"/>
              <w:spacing w:line="360" w:lineRule="exact"/>
              <w:ind w:firstLine="420"/>
              <w:contextualSpacing/>
              <w:rPr>
                <w:rFonts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 （9分）：服务承诺内容具体，服务承诺有实现功能要求的解决方案、措施，能保证项目质量进度，设置有专门的售后服务机构，承诺接到采购人处理问题通知后16小时内到达采购人指定现场。</w:t>
            </w:r>
          </w:p>
          <w:p w14:paraId="569CC47E">
            <w:pPr>
              <w:pStyle w:val="227"/>
              <w:keepNext w:val="0"/>
              <w:keepLines w:val="0"/>
              <w:pageBreakBefore w:val="0"/>
              <w:widowControl w:val="0"/>
              <w:bidi w:val="0"/>
              <w:spacing w:line="360" w:lineRule="exact"/>
              <w:ind w:firstLine="420"/>
              <w:contextualSpacing/>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highlight w:val="none"/>
                <w:lang w:val="en-US" w:eastAsia="zh-CN"/>
                <w14:textFill>
                  <w14:solidFill>
                    <w14:schemeClr w14:val="tx1"/>
                  </w14:solidFill>
                </w14:textFill>
              </w:rPr>
              <w:t>四档 （12分）：</w:t>
            </w:r>
            <w:r>
              <w:rPr>
                <w:rFonts w:hint="eastAsia" w:hAnsi="宋体" w:cs="宋体"/>
                <w:b w:val="0"/>
                <w:bCs/>
                <w:color w:val="000000" w:themeColor="text1"/>
                <w:sz w:val="21"/>
                <w:highlight w:val="none"/>
                <w:lang w:val="en-US" w:eastAsia="zh-CN"/>
                <w14:textFill>
                  <w14:solidFill>
                    <w14:schemeClr w14:val="tx1"/>
                  </w14:solidFill>
                </w14:textFill>
              </w:rPr>
              <w:t>服务承诺内容详细，服务承诺有实现功能要求的具体解决方案、具体措施，能保证项目质量进度，设置有专门的售后服务机构，能安排有项目人员常驻项目所在地负责服务工作，承诺接到采购人处理问题通知后12小时内到达采购人指定现场</w:t>
            </w:r>
            <w:r>
              <w:rPr>
                <w:rFonts w:hint="eastAsia" w:ascii="宋体" w:hAnsi="宋体" w:eastAsia="宋体" w:cs="宋体"/>
                <w:b w:val="0"/>
                <w:bCs/>
                <w:color w:val="000000" w:themeColor="text1"/>
                <w:sz w:val="21"/>
                <w:highlight w:val="none"/>
                <w:lang w:val="en-US" w:eastAsia="zh-CN"/>
                <w14:textFill>
                  <w14:solidFill>
                    <w14:schemeClr w14:val="tx1"/>
                  </w14:solidFill>
                </w14:textFill>
              </w:rPr>
              <w:t>。</w:t>
            </w:r>
          </w:p>
        </w:tc>
      </w:tr>
      <w:tr w14:paraId="0572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4" w:hRule="atLeast"/>
          <w:jc w:val="center"/>
        </w:trPr>
        <w:tc>
          <w:tcPr>
            <w:tcW w:w="437" w:type="pct"/>
            <w:tcBorders>
              <w:top w:val="single" w:color="auto" w:sz="4" w:space="0"/>
              <w:left w:val="single" w:color="auto" w:sz="4" w:space="0"/>
              <w:bottom w:val="single" w:color="auto" w:sz="4" w:space="0"/>
              <w:right w:val="single" w:color="auto" w:sz="4" w:space="0"/>
            </w:tcBorders>
            <w:noWrap w:val="0"/>
            <w:vAlign w:val="center"/>
          </w:tcPr>
          <w:p w14:paraId="79D6951C">
            <w:pPr>
              <w:spacing w:line="360" w:lineRule="atLeast"/>
              <w:ind w:left="-105" w:right="-105"/>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3F4AC978">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主要人员配备情况</w:t>
            </w:r>
          </w:p>
          <w:p w14:paraId="5D52FA20">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（满分</w:t>
            </w:r>
            <w:r>
              <w:rPr>
                <w:rFonts w:hint="eastAsia" w:ascii="宋体" w:hAnsi="宋体" w:cs="宋体"/>
                <w:b/>
                <w:color w:val="000000" w:themeColor="text1"/>
                <w:szCs w:val="21"/>
                <w:highlight w:val="none"/>
                <w:lang w:val="en-US" w:eastAsia="zh-CN"/>
                <w14:textFill>
                  <w14:solidFill>
                    <w14:schemeClr w14:val="tx1"/>
                  </w14:solidFill>
                </w14:textFill>
              </w:rPr>
              <w:t>13</w:t>
            </w:r>
            <w:r>
              <w:rPr>
                <w:rFonts w:hint="eastAsia" w:ascii="宋体" w:hAnsi="宋体" w:cs="宋体"/>
                <w:b/>
                <w:color w:val="000000" w:themeColor="text1"/>
                <w:szCs w:val="21"/>
                <w:highlight w:val="none"/>
                <w14:textFill>
                  <w14:solidFill>
                    <w14:schemeClr w14:val="tx1"/>
                  </w14:solidFill>
                </w14:textFill>
              </w:rPr>
              <w:t>分）</w:t>
            </w:r>
          </w:p>
        </w:tc>
        <w:tc>
          <w:tcPr>
            <w:tcW w:w="3867" w:type="pct"/>
            <w:tcBorders>
              <w:top w:val="single" w:color="auto" w:sz="4" w:space="0"/>
              <w:left w:val="single" w:color="auto" w:sz="4" w:space="0"/>
              <w:bottom w:val="single" w:color="auto" w:sz="4" w:space="0"/>
              <w:right w:val="single" w:color="auto" w:sz="4" w:space="0"/>
            </w:tcBorders>
            <w:noWrap w:val="0"/>
            <w:vAlign w:val="center"/>
          </w:tcPr>
          <w:p w14:paraId="64F40E09">
            <w:pPr>
              <w:keepNext w:val="0"/>
              <w:keepLines w:val="0"/>
              <w:pageBreakBefore w:val="0"/>
              <w:widowControl w:val="0"/>
              <w:numPr>
                <w:ilvl w:val="0"/>
                <w:numId w:val="0"/>
              </w:numPr>
              <w:bidi w:val="0"/>
              <w:spacing w:line="360" w:lineRule="exact"/>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项目负责人具有中级职称或土壤学、栽培学、生态学、环境工程、农学、农业资源与环境、土肥、农作、智慧农业、植物保护其中之一相关专业大专学历的得2分；具有高级职称或土壤学、栽培学、生态学、环境工程、农学、农业资源与环境、土肥、农作、智慧农业、植物保护其中之一相关专业</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大学</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本科及以上学历的得4分。本项满分得4分。</w:t>
            </w:r>
          </w:p>
          <w:p w14:paraId="33ACADED">
            <w:pPr>
              <w:pStyle w:val="2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（2）项目团队成员</w:t>
            </w:r>
            <w:r>
              <w:rPr>
                <w:rFonts w:hint="eastAsia" w:hAnsi="宋体" w:cs="宋体"/>
                <w:b w:val="0"/>
                <w:bCs/>
                <w:color w:val="000000" w:themeColor="text1"/>
                <w:sz w:val="21"/>
                <w:highlight w:val="none"/>
                <w:lang w:val="en-US" w:eastAsia="zh-CN"/>
                <w14:textFill>
                  <w14:solidFill>
                    <w14:schemeClr w14:val="tx1"/>
                  </w14:solidFill>
                </w14:textFill>
              </w:rPr>
              <w:t>情况：具备</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中级职称或土壤学、栽培学、生态学、环境工程、农学、农业资源与环境、土肥、农作、智慧农业、植物保护其中之一相关专业大专学历的</w:t>
            </w:r>
            <w:r>
              <w:rPr>
                <w:rFonts w:hint="eastAsia" w:hAnsi="宋体" w:cs="宋体"/>
                <w:b w:val="0"/>
                <w:bCs/>
                <w:color w:val="000000" w:themeColor="text1"/>
                <w:sz w:val="21"/>
                <w:highlight w:val="none"/>
                <w:lang w:val="en-US" w:eastAsia="zh-CN"/>
                <w14:textFill>
                  <w14:solidFill>
                    <w14:schemeClr w14:val="tx1"/>
                  </w14:solidFill>
                </w14:textFill>
              </w:rPr>
              <w:t>每人得1分，最多得3分；具备</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高级职称或土壤学、栽培学、生态学、环境工程、农学、农业资源与环境、土肥、农作、智慧农业、植物保护其中之一相关专业</w:t>
            </w:r>
            <w:r>
              <w:rPr>
                <w:rFonts w:hint="eastAsia" w:hAnsi="宋体" w:cs="宋体"/>
                <w:b w:val="0"/>
                <w:bCs/>
                <w:color w:val="000000" w:themeColor="text1"/>
                <w:sz w:val="21"/>
                <w:szCs w:val="21"/>
                <w:highlight w:val="none"/>
                <w:lang w:val="en-US" w:eastAsia="zh-CN" w:bidi="ar-SA"/>
                <w14:textFill>
                  <w14:solidFill>
                    <w14:schemeClr w14:val="tx1"/>
                  </w14:solidFill>
                </w14:textFill>
              </w:rPr>
              <w:t>大学</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本科及以上学历</w:t>
            </w:r>
            <w:r>
              <w:rPr>
                <w:rFonts w:hint="eastAsia" w:hAnsi="宋体" w:cs="宋体"/>
                <w:b w:val="0"/>
                <w:bCs/>
                <w:color w:val="000000" w:themeColor="text1"/>
                <w:sz w:val="21"/>
                <w:highlight w:val="none"/>
                <w:lang w:val="en-US" w:eastAsia="zh-CN"/>
                <w14:textFill>
                  <w14:solidFill>
                    <w14:schemeClr w14:val="tx1"/>
                  </w14:solidFill>
                </w14:textFill>
              </w:rPr>
              <w:t>的每人得2分，最多得6分。本项满分得9分。</w:t>
            </w:r>
          </w:p>
          <w:p w14:paraId="14131AAE">
            <w:pPr>
              <w:pStyle w:val="227"/>
              <w:keepNext w:val="0"/>
              <w:keepLines w:val="0"/>
              <w:pageBreakBefore w:val="0"/>
              <w:widowControl w:val="0"/>
              <w:bidi w:val="0"/>
              <w:spacing w:line="360" w:lineRule="exact"/>
              <w:ind w:firstLine="420"/>
              <w:contextualSpacing/>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注：所有拟投入人员必须是供应商本单位人员(须提供劳动合同或聘书或其他能证明属于供应商单位人员的材料)，必须提供相关身份证复印件（或扫描件）、职称证书复印件（或扫描件）或学历证书复印件（或扫描件）等证明材料复印件（或扫描件）并加盖单位公章，否则不得分。</w:t>
            </w:r>
          </w:p>
        </w:tc>
      </w:tr>
      <w:tr w14:paraId="341A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7A15D0ED">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5AF2226">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业绩</w:t>
            </w:r>
            <w:r>
              <w:rPr>
                <w:rFonts w:hint="eastAsia" w:ascii="宋体" w:hAnsi="宋体" w:cs="宋体"/>
                <w:b/>
                <w:color w:val="000000" w:themeColor="text1"/>
                <w:szCs w:val="21"/>
                <w:highlight w:val="none"/>
                <w14:textFill>
                  <w14:solidFill>
                    <w14:schemeClr w14:val="tx1"/>
                  </w14:solidFill>
                </w14:textFill>
              </w:rPr>
              <w:t>（满分</w:t>
            </w:r>
            <w:r>
              <w:rPr>
                <w:rFonts w:hint="eastAsia" w:ascii="宋体" w:hAnsi="宋体" w:cs="宋体"/>
                <w:b/>
                <w:color w:val="000000" w:themeColor="text1"/>
                <w:szCs w:val="21"/>
                <w:highlight w:val="none"/>
                <w:lang w:val="en-US" w:eastAsia="zh-CN"/>
                <w14:textFill>
                  <w14:solidFill>
                    <w14:schemeClr w14:val="tx1"/>
                  </w14:solidFill>
                </w14:textFill>
              </w:rPr>
              <w:t>4</w:t>
            </w:r>
            <w:r>
              <w:rPr>
                <w:rFonts w:hint="eastAsia" w:ascii="宋体" w:hAnsi="宋体" w:cs="宋体"/>
                <w:b/>
                <w:color w:val="000000" w:themeColor="text1"/>
                <w:szCs w:val="21"/>
                <w:highlight w:val="none"/>
                <w14:textFill>
                  <w14:solidFill>
                    <w14:schemeClr w14:val="tx1"/>
                  </w14:solidFill>
                </w14:textFill>
              </w:rPr>
              <w:t>分）</w:t>
            </w:r>
          </w:p>
        </w:tc>
        <w:tc>
          <w:tcPr>
            <w:tcW w:w="6596" w:type="dxa"/>
            <w:tcBorders>
              <w:top w:val="single" w:color="auto" w:sz="4" w:space="0"/>
              <w:left w:val="single" w:color="auto" w:sz="4" w:space="0"/>
              <w:bottom w:val="single" w:color="auto" w:sz="4" w:space="0"/>
              <w:right w:val="single" w:color="auto" w:sz="4" w:space="0"/>
            </w:tcBorders>
            <w:noWrap w:val="0"/>
            <w:vAlign w:val="center"/>
          </w:tcPr>
          <w:p w14:paraId="00EF3AEE">
            <w:pPr>
              <w:pStyle w:val="227"/>
              <w:keepNext w:val="0"/>
              <w:keepLines w:val="0"/>
              <w:pageBreakBefore w:val="0"/>
              <w:widowControl w:val="0"/>
              <w:bidi w:val="0"/>
              <w:spacing w:line="360" w:lineRule="exact"/>
              <w:ind w:firstLine="420"/>
              <w:contextualSpacing/>
              <w:rPr>
                <w:rFonts w:hint="eastAsia" w:ascii="宋体" w:hAnsi="宋体" w:cs="宋体"/>
                <w:color w:val="000000" w:themeColor="text1"/>
                <w:highlight w:val="none"/>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2023年1月1日以来至投标文件递交截止日期止，供应商承担过类似项目的，每项得2分，满分4分。[以合同或中标（成交）通知书复印件（或扫描件）为准，并加盖供应商公章]。</w:t>
            </w:r>
          </w:p>
        </w:tc>
      </w:tr>
      <w:tr w14:paraId="52CB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183DA5F6">
            <w:pPr>
              <w:pStyle w:val="227"/>
              <w:spacing w:line="360" w:lineRule="atLeast"/>
              <w:rPr>
                <w:rFonts w:hint="eastAsia" w:hAnsi="宋体" w:cs="宋体"/>
                <w:b/>
                <w:bCs/>
                <w:color w:val="000000" w:themeColor="text1"/>
                <w:sz w:val="21"/>
                <w:highlight w:val="none"/>
                <w:lang w:val="en-US" w:eastAsia="zh-CN"/>
                <w14:textFill>
                  <w14:solidFill>
                    <w14:schemeClr w14:val="tx1"/>
                  </w14:solidFill>
                </w14:textFill>
              </w:rPr>
            </w:pPr>
            <w:r>
              <w:rPr>
                <w:rFonts w:hint="eastAsia" w:hAnsi="宋体" w:cs="宋体"/>
                <w:b/>
                <w:bCs/>
                <w:color w:val="000000" w:themeColor="text1"/>
                <w:sz w:val="21"/>
                <w:highlight w:val="none"/>
                <w:lang w:val="en-US" w:eastAsia="zh-CN"/>
                <w14:textFill>
                  <w14:solidFill>
                    <w14:schemeClr w14:val="tx1"/>
                  </w14:solidFill>
                </w14:textFill>
              </w:rPr>
              <w:t>总得分=1+2+3+4+5</w:t>
            </w:r>
          </w:p>
          <w:p w14:paraId="5F6954E6">
            <w:pPr>
              <w:pStyle w:val="227"/>
              <w:spacing w:line="360" w:lineRule="atLeast"/>
              <w:rPr>
                <w:rFonts w:hint="eastAsia" w:hAnsi="宋体" w:cs="宋体"/>
                <w:b/>
                <w:bCs/>
                <w:color w:val="000000" w:themeColor="text1"/>
                <w:sz w:val="21"/>
                <w:highlight w:val="none"/>
                <w:lang w:val="en-US" w:eastAsia="zh-CN"/>
                <w14:textFill>
                  <w14:solidFill>
                    <w14:schemeClr w14:val="tx1"/>
                  </w14:solidFill>
                </w14:textFill>
              </w:rPr>
            </w:pPr>
            <w:r>
              <w:rPr>
                <w:rFonts w:hint="eastAsia" w:hAnsi="宋体" w:cs="宋体"/>
                <w:b/>
                <w:bCs/>
                <w:color w:val="000000" w:themeColor="text1"/>
                <w:sz w:val="21"/>
                <w:highlight w:val="none"/>
                <w:lang w:val="en-US" w:eastAsia="zh-CN"/>
                <w14:textFill>
                  <w14:solidFill>
                    <w14:schemeClr w14:val="tx1"/>
                  </w14:solidFill>
                </w14:textFill>
              </w:rPr>
              <w:t>备注：本项目为服务类项目，不涉及节能环保政策考核。</w:t>
            </w:r>
          </w:p>
        </w:tc>
      </w:tr>
    </w:tbl>
    <w:p w14:paraId="656AA284">
      <w:pPr>
        <w:pStyle w:val="227"/>
        <w:spacing w:line="420" w:lineRule="exact"/>
        <w:rPr>
          <w:rFonts w:hint="eastAsia" w:hAnsi="宋体" w:cs="宋体"/>
          <w:b/>
          <w:color w:val="000000" w:themeColor="text1"/>
          <w:sz w:val="21"/>
          <w:highlight w:val="none"/>
          <w14:textFill>
            <w14:solidFill>
              <w14:schemeClr w14:val="tx1"/>
            </w14:solidFill>
          </w14:textFill>
        </w:rPr>
      </w:pPr>
    </w:p>
    <w:p w14:paraId="1B2F1D0F">
      <w:pPr>
        <w:pStyle w:val="227"/>
        <w:spacing w:line="420" w:lineRule="exact"/>
        <w:ind w:firstLine="420"/>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三、中标候选人推荐原则</w:t>
      </w:r>
    </w:p>
    <w:p w14:paraId="4D560743">
      <w:pPr>
        <w:pStyle w:val="227"/>
        <w:spacing w:line="360" w:lineRule="exact"/>
        <w:ind w:firstLine="420"/>
        <w:rPr>
          <w:rFonts w:hint="eastAsia" w:ascii="宋体" w:hAnsi="宋体" w:eastAsia="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1.评标委员会根据原始评</w:t>
      </w:r>
      <w:r>
        <w:rPr>
          <w:rFonts w:hint="eastAsia" w:ascii="宋体" w:hAnsi="宋体" w:eastAsia="宋体" w:cs="宋体"/>
          <w:color w:val="000000" w:themeColor="text1"/>
          <w:sz w:val="21"/>
          <w:highlight w:val="none"/>
          <w14:textFill>
            <w14:solidFill>
              <w14:schemeClr w14:val="tx1"/>
            </w14:solidFill>
          </w14:textFill>
        </w:rPr>
        <w:t>标记录和评标结果编写评标报告，并通过电子交易平台向采购人、采购代理机构提交。</w:t>
      </w:r>
    </w:p>
    <w:p w14:paraId="65F765F5">
      <w:pPr>
        <w:pStyle w:val="227"/>
        <w:spacing w:line="360" w:lineRule="exact"/>
        <w:ind w:firstLine="420"/>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2.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4C7A6127">
      <w:pPr>
        <w:spacing w:before="120" w:after="120" w:line="400" w:lineRule="exact"/>
        <w:ind w:firstLine="420"/>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clear="all"/>
      </w:r>
    </w:p>
    <w:p w14:paraId="3FC6583C">
      <w:pPr>
        <w:pStyle w:val="193"/>
        <w:jc w:val="center"/>
        <w:rPr>
          <w:rFonts w:hint="eastAsia" w:ascii="宋体" w:hAnsi="宋体" w:eastAsia="宋体" w:cs="宋体"/>
          <w:color w:val="000000" w:themeColor="text1"/>
          <w:highlight w:val="none"/>
          <w14:textFill>
            <w14:solidFill>
              <w14:schemeClr w14:val="tx1"/>
            </w14:solidFill>
          </w14:textFill>
        </w:rPr>
      </w:pPr>
      <w:bookmarkStart w:id="152" w:name="_Toc29495"/>
      <w:r>
        <w:rPr>
          <w:rFonts w:hint="eastAsia" w:ascii="宋体" w:hAnsi="宋体" w:eastAsia="宋体" w:cs="宋体"/>
          <w:color w:val="000000" w:themeColor="text1"/>
          <w:highlight w:val="none"/>
          <w14:textFill>
            <w14:solidFill>
              <w14:schemeClr w14:val="tx1"/>
            </w14:solidFill>
          </w14:textFill>
        </w:rPr>
        <w:t>第五章  拟签订的合同文本</w:t>
      </w:r>
      <w:bookmarkEnd w:id="152"/>
    </w:p>
    <w:p w14:paraId="2A420A73">
      <w:pPr>
        <w:jc w:val="center"/>
        <w:rPr>
          <w:rFonts w:hint="eastAsia" w:ascii="宋体" w:hAnsi="宋体" w:cs="宋体"/>
          <w:bCs/>
          <w:color w:val="000000" w:themeColor="text1"/>
          <w:sz w:val="32"/>
          <w:szCs w:val="32"/>
          <w:highlight w:val="none"/>
          <w14:textFill>
            <w14:solidFill>
              <w14:schemeClr w14:val="tx1"/>
            </w14:solidFill>
          </w14:textFill>
        </w:rPr>
      </w:pPr>
    </w:p>
    <w:p w14:paraId="092BA7B2">
      <w:pPr>
        <w:jc w:val="center"/>
        <w:rPr>
          <w:rFonts w:hint="eastAsia" w:ascii="宋体" w:hAnsi="宋体" w:cs="宋体"/>
          <w:bCs/>
          <w:color w:val="000000" w:themeColor="text1"/>
          <w:sz w:val="32"/>
          <w:szCs w:val="32"/>
          <w:highlight w:val="none"/>
          <w14:textFill>
            <w14:solidFill>
              <w14:schemeClr w14:val="tx1"/>
            </w14:solidFill>
          </w14:textFill>
        </w:rPr>
      </w:pPr>
    </w:p>
    <w:p w14:paraId="7E0F431C">
      <w:pPr>
        <w:jc w:val="center"/>
        <w:rPr>
          <w:rFonts w:hint="eastAsia" w:ascii="宋体" w:hAnsi="宋体" w:cs="宋体"/>
          <w:bCs/>
          <w:color w:val="000000" w:themeColor="text1"/>
          <w:sz w:val="32"/>
          <w:szCs w:val="32"/>
          <w:highlight w:val="none"/>
          <w14:textFill>
            <w14:solidFill>
              <w14:schemeClr w14:val="tx1"/>
            </w14:solidFill>
          </w14:textFill>
        </w:rPr>
      </w:pPr>
    </w:p>
    <w:p w14:paraId="3BBC4411">
      <w:pPr>
        <w:jc w:val="center"/>
        <w:rPr>
          <w:rFonts w:hint="eastAsia" w:ascii="宋体" w:hAnsi="宋体" w:cs="宋体"/>
          <w:bCs/>
          <w:color w:val="000000" w:themeColor="text1"/>
          <w:sz w:val="32"/>
          <w:szCs w:val="32"/>
          <w:highlight w:val="none"/>
          <w14:textFill>
            <w14:solidFill>
              <w14:schemeClr w14:val="tx1"/>
            </w14:solidFill>
          </w14:textFill>
        </w:rPr>
      </w:pPr>
    </w:p>
    <w:p w14:paraId="05D22784">
      <w:pPr>
        <w:jc w:val="center"/>
        <w:rPr>
          <w:rFonts w:hint="eastAsia" w:ascii="宋体" w:hAnsi="宋体" w:cs="宋体"/>
          <w:bCs/>
          <w:color w:val="000000" w:themeColor="text1"/>
          <w:sz w:val="32"/>
          <w:szCs w:val="32"/>
          <w:highlight w:val="none"/>
          <w14:textFill>
            <w14:solidFill>
              <w14:schemeClr w14:val="tx1"/>
            </w14:solidFill>
          </w14:textFill>
        </w:rPr>
      </w:pPr>
    </w:p>
    <w:p w14:paraId="6BF2CAC1">
      <w:pPr>
        <w:jc w:val="center"/>
        <w:rPr>
          <w:rFonts w:hint="eastAsia" w:ascii="宋体" w:hAnsi="宋体" w:cs="宋体"/>
          <w:bCs/>
          <w:color w:val="000000" w:themeColor="text1"/>
          <w:sz w:val="32"/>
          <w:szCs w:val="32"/>
          <w:highlight w:val="none"/>
          <w14:textFill>
            <w14:solidFill>
              <w14:schemeClr w14:val="tx1"/>
            </w14:solidFill>
          </w14:textFill>
        </w:rPr>
      </w:pPr>
    </w:p>
    <w:p w14:paraId="48AC55F4">
      <w:pPr>
        <w:jc w:val="center"/>
        <w:rPr>
          <w:rFonts w:hint="eastAsia" w:ascii="宋体" w:hAnsi="宋体" w:cs="宋体"/>
          <w:bCs/>
          <w:color w:val="000000" w:themeColor="text1"/>
          <w:sz w:val="32"/>
          <w:szCs w:val="32"/>
          <w:highlight w:val="none"/>
          <w14:textFill>
            <w14:solidFill>
              <w14:schemeClr w14:val="tx1"/>
            </w14:solidFill>
          </w14:textFill>
        </w:rPr>
      </w:pPr>
    </w:p>
    <w:p w14:paraId="6B8484F3">
      <w:pPr>
        <w:spacing w:line="380" w:lineRule="exact"/>
        <w:rPr>
          <w:rFonts w:hint="eastAsia" w:ascii="新宋体" w:hAnsi="新宋体" w:eastAsia="新宋体"/>
          <w:b/>
          <w:bCs/>
          <w:color w:val="000000" w:themeColor="text1"/>
          <w:sz w:val="32"/>
          <w:szCs w:val="32"/>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br w:type="page" w:clear="all"/>
      </w:r>
    </w:p>
    <w:p w14:paraId="310B183D">
      <w:pPr>
        <w:pStyle w:val="193"/>
        <w:spacing w:line="520" w:lineRule="exact"/>
        <w:jc w:val="center"/>
        <w:rPr>
          <w:rFonts w:hint="eastAsia"/>
          <w:b w:val="0"/>
          <w:bCs/>
          <w:color w:val="000000" w:themeColor="text1"/>
          <w:highlight w:val="none"/>
          <w14:textFill>
            <w14:solidFill>
              <w14:schemeClr w14:val="tx1"/>
            </w14:solidFill>
          </w14:textFill>
        </w:rPr>
      </w:pPr>
      <w:bookmarkStart w:id="153" w:name="_Toc16153"/>
      <w:r>
        <w:rPr>
          <w:rFonts w:hint="eastAsia"/>
          <w:b w:val="0"/>
          <w:bCs/>
          <w:color w:val="000000" w:themeColor="text1"/>
          <w:highlight w:val="none"/>
          <w14:textFill>
            <w14:solidFill>
              <w14:schemeClr w14:val="tx1"/>
            </w14:solidFill>
          </w14:textFill>
        </w:rPr>
        <w:t>合同文本</w:t>
      </w:r>
      <w:bookmarkEnd w:id="153"/>
    </w:p>
    <w:p w14:paraId="0C02E00B">
      <w:pPr>
        <w:spacing w:line="520" w:lineRule="exact"/>
        <w:rPr>
          <w:rFonts w:hint="eastAsia" w:ascii="宋体" w:hAnsi="宋体" w:cs="Courier New"/>
          <w:b w:val="0"/>
          <w:bCs/>
          <w:color w:val="000000" w:themeColor="text1"/>
          <w:sz w:val="32"/>
          <w:szCs w:val="32"/>
          <w:highlight w:val="none"/>
          <w14:textFill>
            <w14:solidFill>
              <w14:schemeClr w14:val="tx1"/>
            </w14:solidFill>
          </w14:textFill>
        </w:rPr>
      </w:pPr>
    </w:p>
    <w:p w14:paraId="3576FC83">
      <w:pPr>
        <w:spacing w:line="360" w:lineRule="auto"/>
        <w:ind w:right="800"/>
        <w:rPr>
          <w:rFonts w:ascii="宋体" w:hAnsi="宋体" w:cs="宋体"/>
          <w:b w:val="0"/>
          <w:bCs/>
          <w:color w:val="000000" w:themeColor="text1"/>
          <w:szCs w:val="21"/>
          <w:highlight w:val="none"/>
          <w:u w:val="singl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采购计划号：</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合同编号：</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u w:val="single"/>
          <w14:textFill>
            <w14:solidFill>
              <w14:schemeClr w14:val="tx1"/>
            </w14:solidFill>
          </w14:textFill>
        </w:rPr>
        <w:t xml:space="preserve">  </w:t>
      </w:r>
    </w:p>
    <w:p w14:paraId="5AD28BA8">
      <w:pPr>
        <w:spacing w:line="360" w:lineRule="auto"/>
        <w:rPr>
          <w:rFonts w:ascii="宋体" w:hAnsi="宋体" w:cs="宋体"/>
          <w:b w:val="0"/>
          <w:bCs/>
          <w:color w:val="000000" w:themeColor="text1"/>
          <w:szCs w:val="21"/>
          <w:highlight w:val="none"/>
          <w:u w:val="singl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采购人（甲方）：</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 xml:space="preserve">   供应商（乙方）：</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 xml:space="preserve">    </w:t>
      </w:r>
    </w:p>
    <w:p w14:paraId="13E8A320">
      <w:pPr>
        <w:spacing w:line="360" w:lineRule="auto"/>
        <w:rPr>
          <w:rFonts w:hint="eastAsia" w:ascii="宋体" w:hAnsi="宋体" w:cs="宋体"/>
          <w:b w:val="0"/>
          <w:bCs/>
          <w:color w:val="000000" w:themeColor="text1"/>
          <w:szCs w:val="21"/>
          <w:highlight w:val="none"/>
          <w:u w:val="singl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项目名称：</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项目编号：</w:t>
      </w:r>
      <w:r>
        <w:rPr>
          <w:rFonts w:ascii="宋体" w:hAnsi="宋体" w:cs="宋体"/>
          <w:b w:val="0"/>
          <w:bCs/>
          <w:color w:val="000000" w:themeColor="text1"/>
          <w:szCs w:val="21"/>
          <w:highlight w:val="none"/>
          <w:u w:val="single"/>
          <w14:textFill>
            <w14:solidFill>
              <w14:schemeClr w14:val="tx1"/>
            </w14:solidFill>
          </w14:textFill>
        </w:rPr>
        <w:t xml:space="preserve">                          </w:t>
      </w:r>
    </w:p>
    <w:p w14:paraId="15D3358A">
      <w:pPr>
        <w:spacing w:line="360" w:lineRule="auto"/>
        <w:rPr>
          <w:rFonts w:hint="eastAsia" w:ascii="宋体" w:hAnsi="宋体" w:cs="宋体"/>
          <w:b w:val="0"/>
          <w:bCs/>
          <w:color w:val="000000" w:themeColor="text1"/>
          <w:sz w:val="21"/>
          <w:szCs w:val="21"/>
          <w:highlight w:val="none"/>
          <w:u w:val="singl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签订地点：</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cs="宋体"/>
          <w:b w:val="0"/>
          <w:bCs/>
          <w:color w:val="000000" w:themeColor="text1"/>
          <w:sz w:val="21"/>
          <w:szCs w:val="21"/>
          <w:highlight w:val="none"/>
          <w:u w:val="single"/>
          <w14:textFill>
            <w14:solidFill>
              <w14:schemeClr w14:val="tx1"/>
            </w14:solidFill>
          </w14:textFill>
        </w:rPr>
        <w:t xml:space="preserve">  </w:t>
      </w:r>
      <w:r>
        <w:rPr>
          <w:rFonts w:ascii="宋体" w:hAnsi="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cs="宋体"/>
          <w:b w:val="0"/>
          <w:bCs/>
          <w:color w:val="000000" w:themeColor="text1"/>
          <w:sz w:val="21"/>
          <w:szCs w:val="21"/>
          <w:highlight w:val="none"/>
          <w14:textFill>
            <w14:solidFill>
              <w14:schemeClr w14:val="tx1"/>
            </w14:solidFill>
          </w14:textFill>
        </w:rPr>
        <w:t xml:space="preserve">   签订时间：</w:t>
      </w:r>
      <w:r>
        <w:rPr>
          <w:rFonts w:hint="eastAsia" w:ascii="宋体" w:hAnsi="宋体" w:cs="宋体"/>
          <w:b w:val="0"/>
          <w:bCs/>
          <w:color w:val="000000" w:themeColor="text1"/>
          <w:sz w:val="21"/>
          <w:szCs w:val="21"/>
          <w:highlight w:val="none"/>
          <w:u w:val="single"/>
          <w14:textFill>
            <w14:solidFill>
              <w14:schemeClr w14:val="tx1"/>
            </w14:solidFill>
          </w14:textFill>
        </w:rPr>
        <w:t xml:space="preserve">        </w:t>
      </w:r>
      <w:r>
        <w:rPr>
          <w:rFonts w:ascii="宋体" w:hAnsi="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cs="宋体"/>
          <w:b w:val="0"/>
          <w:bCs/>
          <w:color w:val="000000" w:themeColor="text1"/>
          <w:sz w:val="21"/>
          <w:szCs w:val="21"/>
          <w:highlight w:val="none"/>
          <w:u w:val="single"/>
          <w14:textFill>
            <w14:solidFill>
              <w14:schemeClr w14:val="tx1"/>
            </w14:solidFill>
          </w14:textFill>
        </w:rPr>
        <w:t xml:space="preserve">     </w:t>
      </w:r>
    </w:p>
    <w:p w14:paraId="04A731FF">
      <w:pPr>
        <w:pStyle w:val="273"/>
        <w:rPr>
          <w:rFonts w:hint="eastAsia" w:ascii="宋体" w:hAnsi="宋体" w:cs="宋体"/>
          <w:b w:val="0"/>
          <w:bCs/>
          <w:color w:val="000000" w:themeColor="text1"/>
          <w:sz w:val="21"/>
          <w:szCs w:val="21"/>
          <w:highlight w:val="none"/>
          <w:u w:val="single"/>
          <w:lang w:val="en-US" w:eastAsia="zh-CN"/>
          <w14:textFill>
            <w14:solidFill>
              <w14:schemeClr w14:val="tx1"/>
            </w14:solidFill>
          </w14:textFill>
        </w:rPr>
      </w:pPr>
      <w:r>
        <w:rPr>
          <w:rFonts w:hint="eastAsia" w:ascii="宋体" w:hAnsi="宋体" w:cs="宋体"/>
          <w:b w:val="0"/>
          <w:bCs/>
          <w:color w:val="000000" w:themeColor="text1"/>
          <w:sz w:val="21"/>
          <w:szCs w:val="21"/>
          <w:highlight w:val="none"/>
          <w:u w:val="none"/>
          <w:lang w:eastAsia="zh-CN"/>
          <w14:textFill>
            <w14:solidFill>
              <w14:schemeClr w14:val="tx1"/>
            </w14:solidFill>
          </w14:textFill>
        </w:rPr>
        <w:t>分标号：</w:t>
      </w:r>
      <w:r>
        <w:rPr>
          <w:rFonts w:hint="eastAsia" w:ascii="宋体" w:hAnsi="宋体" w:cs="宋体"/>
          <w:b w:val="0"/>
          <w:bCs/>
          <w:color w:val="000000" w:themeColor="text1"/>
          <w:sz w:val="21"/>
          <w:szCs w:val="21"/>
          <w:highlight w:val="none"/>
          <w:u w:val="single"/>
          <w:lang w:val="en-US" w:eastAsia="zh-CN"/>
          <w14:textFill>
            <w14:solidFill>
              <w14:schemeClr w14:val="tx1"/>
            </w14:solidFill>
          </w14:textFill>
        </w:rPr>
        <w:t xml:space="preserve">            </w:t>
      </w:r>
    </w:p>
    <w:p w14:paraId="65CACD2F">
      <w:pPr>
        <w:pStyle w:val="273"/>
        <w:rPr>
          <w:rFonts w:ascii="宋体" w:hAnsi="宋体" w:cs="宋体"/>
          <w:b w:val="0"/>
          <w:bCs/>
          <w:color w:val="000000" w:themeColor="text1"/>
          <w:sz w:val="21"/>
          <w:szCs w:val="21"/>
          <w:highlight w:val="none"/>
          <w:u w:val="single"/>
          <w:lang w:val="en-US" w:eastAsia="zh-CN"/>
          <w14:textFill>
            <w14:solidFill>
              <w14:schemeClr w14:val="tx1"/>
            </w14:solidFill>
          </w14:textFill>
        </w:rPr>
      </w:pPr>
    </w:p>
    <w:p w14:paraId="5BC0A181">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本合同为中小企业预留合同：</w:t>
      </w:r>
      <w:r>
        <w:rPr>
          <w:rFonts w:hint="eastAsia" w:ascii="宋体" w:hAnsi="宋体" w:cs="宋体"/>
          <w:b w:val="0"/>
          <w:bCs/>
          <w:color w:val="000000" w:themeColor="text1"/>
          <w:szCs w:val="21"/>
          <w:highlight w:val="none"/>
          <w:u w:val="single"/>
          <w14:textFill>
            <w14:solidFill>
              <w14:schemeClr w14:val="tx1"/>
            </w14:solidFill>
          </w14:textFill>
        </w:rPr>
        <w:t>（是/否）</w:t>
      </w:r>
      <w:r>
        <w:rPr>
          <w:rFonts w:hint="eastAsia" w:ascii="宋体" w:hAnsi="宋体" w:cs="宋体"/>
          <w:b w:val="0"/>
          <w:bCs/>
          <w:color w:val="000000" w:themeColor="text1"/>
          <w:szCs w:val="21"/>
          <w:highlight w:val="none"/>
          <w14:textFill>
            <w14:solidFill>
              <w14:schemeClr w14:val="tx1"/>
            </w14:solidFill>
          </w14:textFill>
        </w:rPr>
        <w:t>。</w:t>
      </w:r>
    </w:p>
    <w:p w14:paraId="04DDC9B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根据《中华人民共和国政府采购法》、《中华人民共和国民法典》等法律、法规规定，按照</w:t>
      </w:r>
      <w:r>
        <w:rPr>
          <w:rFonts w:hint="eastAsia" w:ascii="宋体" w:hAnsi="宋体"/>
          <w:b w:val="0"/>
          <w:bCs/>
          <w:color w:val="000000" w:themeColor="text1"/>
          <w:szCs w:val="21"/>
          <w:highlight w:val="none"/>
          <w14:textFill>
            <w14:solidFill>
              <w14:schemeClr w14:val="tx1"/>
            </w14:solidFill>
          </w14:textFill>
        </w:rPr>
        <w:t>招标文件规定条款和乙方投标文件及其承诺，甲乙双方签订本合同。</w:t>
      </w:r>
    </w:p>
    <w:p w14:paraId="40F6BF03">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第一条　合同标的</w:t>
      </w:r>
    </w:p>
    <w:p w14:paraId="45A81CE1">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1、项目一览表</w:t>
      </w:r>
    </w:p>
    <w:p w14:paraId="06F383D4">
      <w:pPr>
        <w:pStyle w:val="273"/>
        <w:rPr>
          <w:rFonts w:eastAsia="宋体"/>
          <w:color w:val="000000" w:themeColor="text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分标：</w:t>
      </w:r>
      <w:r>
        <w:rPr>
          <w:rFonts w:hint="eastAsia" w:ascii="宋体" w:hAnsi="宋体" w:cs="宋体"/>
          <w:b w:val="0"/>
          <w:bCs/>
          <w:color w:val="000000" w:themeColor="text1"/>
          <w:szCs w:val="21"/>
          <w:highlight w:val="none"/>
          <w:u w:val="single"/>
          <w:lang w:val="en-US" w:eastAsia="zh-CN"/>
          <w14:textFill>
            <w14:solidFill>
              <w14:schemeClr w14:val="tx1"/>
            </w14:solidFill>
          </w14:textFill>
        </w:rPr>
        <w:t xml:space="preserve">     </w:t>
      </w:r>
    </w:p>
    <w:tbl>
      <w:tblPr>
        <w:tblStyle w:val="30"/>
        <w:tblW w:w="936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2456"/>
        <w:gridCol w:w="1251"/>
      </w:tblGrid>
      <w:tr w14:paraId="14DE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8A5E766">
            <w:pPr>
              <w:spacing w:before="50" w:after="50"/>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258EE263">
            <w:pPr>
              <w:spacing w:before="50" w:after="50"/>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标的名称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106B109D">
            <w:pPr>
              <w:spacing w:before="50" w:after="50"/>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数量</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FBAF294">
            <w:pPr>
              <w:spacing w:before="50" w:after="50"/>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单价</w:t>
            </w:r>
          </w:p>
        </w:tc>
        <w:tc>
          <w:tcPr>
            <w:tcW w:w="2456" w:type="dxa"/>
            <w:tcBorders>
              <w:top w:val="single" w:color="auto" w:sz="4" w:space="0"/>
              <w:left w:val="single" w:color="auto" w:sz="4" w:space="0"/>
              <w:bottom w:val="single" w:color="auto" w:sz="4" w:space="0"/>
              <w:right w:val="single" w:color="auto" w:sz="4" w:space="0"/>
            </w:tcBorders>
            <w:noWrap w:val="0"/>
            <w:vAlign w:val="center"/>
          </w:tcPr>
          <w:p w14:paraId="65C810AD">
            <w:pPr>
              <w:spacing w:before="50" w:after="50"/>
              <w:jc w:val="center"/>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总价</w:t>
            </w:r>
          </w:p>
          <w:p w14:paraId="4B249BF0">
            <w:pPr>
              <w:spacing w:before="50" w:after="50"/>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（单位：元）</w:t>
            </w:r>
          </w:p>
        </w:tc>
        <w:tc>
          <w:tcPr>
            <w:tcW w:w="1251" w:type="dxa"/>
            <w:tcBorders>
              <w:top w:val="single" w:color="auto" w:sz="4" w:space="0"/>
              <w:left w:val="single" w:color="auto" w:sz="4" w:space="0"/>
              <w:bottom w:val="single" w:color="auto" w:sz="4" w:space="0"/>
              <w:right w:val="single" w:color="auto" w:sz="4" w:space="0"/>
            </w:tcBorders>
            <w:noWrap w:val="0"/>
            <w:vAlign w:val="center"/>
          </w:tcPr>
          <w:p w14:paraId="3A87F3AD">
            <w:pPr>
              <w:spacing w:line="360" w:lineRule="auto"/>
              <w:jc w:val="center"/>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 w:val="21"/>
                <w:szCs w:val="21"/>
                <w:highlight w:val="none"/>
                <w:lang w:eastAsia="zh-CN"/>
                <w14:textFill>
                  <w14:solidFill>
                    <w14:schemeClr w14:val="tx1"/>
                  </w14:solidFill>
                </w14:textFill>
              </w:rPr>
              <w:t>备注</w:t>
            </w:r>
          </w:p>
        </w:tc>
      </w:tr>
      <w:tr w14:paraId="5D71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7AE4DA05">
            <w:pPr>
              <w:spacing w:line="360" w:lineRule="auto"/>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详见开标一览表</w:t>
            </w:r>
          </w:p>
        </w:tc>
      </w:tr>
      <w:tr w14:paraId="2AA2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46D3F8F5">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人民币合计金额（大写）：</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元整（¥</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 xml:space="preserve">）              </w:t>
            </w:r>
          </w:p>
        </w:tc>
      </w:tr>
    </w:tbl>
    <w:p w14:paraId="4A4D2CB6">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合同合计金额包括但不限于满足本次投标全部采购需求所应提供的服务，以及伴随的货物和工程（如有）的价格；报价是履行合同的最终价格，投标报价包含实施和完成本项目全部工作所需的服务期内所需的一切费用，包括但不限于人员工资、社会保险、劳务、人工、伴随货物、培训、技术支持、售后服务、验收、保险、税金等所有服</w:t>
      </w:r>
      <w:r>
        <w:rPr>
          <w:rFonts w:hint="eastAsia" w:ascii="宋体" w:hAnsi="宋体" w:cs="宋体"/>
          <w:b w:val="0"/>
          <w:bCs/>
          <w:color w:val="000000" w:themeColor="text1"/>
          <w:szCs w:val="21"/>
          <w:highlight w:val="none"/>
          <w:lang w:eastAsia="zh-CN"/>
          <w14:textFill>
            <w14:solidFill>
              <w14:schemeClr w14:val="tx1"/>
            </w14:solidFill>
          </w14:textFill>
        </w:rPr>
        <w:t>务过程产生的费用</w:t>
      </w:r>
      <w:r>
        <w:rPr>
          <w:rFonts w:hint="eastAsia" w:ascii="宋体" w:hAnsi="宋体" w:cs="宋体"/>
          <w:b w:val="0"/>
          <w:bCs/>
          <w:color w:val="000000" w:themeColor="text1"/>
          <w:szCs w:val="21"/>
          <w:highlight w:val="none"/>
          <w14:textFill>
            <w14:solidFill>
              <w14:schemeClr w14:val="tx1"/>
            </w14:solidFill>
          </w14:textFill>
        </w:rPr>
        <w:t>。</w:t>
      </w:r>
    </w:p>
    <w:p w14:paraId="0259B4F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第二条　质量保证</w:t>
      </w:r>
    </w:p>
    <w:p w14:paraId="7AF6912E">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乙方所提供的服务及服务内容必须与投标文件承诺相一致，有国家强制性标准的，还必须符合国家强制性标准的规定，没有国家强制性标准但有其他强制性标准的，必须符合其他强制性标准的规定。</w:t>
      </w:r>
    </w:p>
    <w:p w14:paraId="121AD03F">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第三条　权利保证</w:t>
      </w:r>
    </w:p>
    <w:p w14:paraId="1AB17DD5">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14:paraId="21B789A6">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0F42577B">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第四条　交付和验收</w:t>
      </w:r>
    </w:p>
    <w:p w14:paraId="0AFFAD39">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w:t>
      </w:r>
      <w:r>
        <w:rPr>
          <w:rFonts w:hint="eastAsia" w:ascii="宋体" w:hAnsi="宋体" w:cs="宋体"/>
          <w:b w:val="0"/>
          <w:bCs/>
          <w:color w:val="000000" w:themeColor="text1"/>
          <w:szCs w:val="21"/>
          <w:highlight w:val="none"/>
          <w:lang w:eastAsia="zh-CN"/>
          <w14:textFill>
            <w14:solidFill>
              <w14:schemeClr w14:val="tx1"/>
            </w14:solidFill>
          </w14:textFill>
        </w:rPr>
        <w:t>实施</w:t>
      </w:r>
      <w:r>
        <w:rPr>
          <w:rFonts w:hint="eastAsia" w:ascii="宋体" w:hAnsi="宋体" w:cs="宋体"/>
          <w:b w:val="0"/>
          <w:bCs/>
          <w:color w:val="000000" w:themeColor="text1"/>
          <w:szCs w:val="21"/>
          <w:highlight w:val="none"/>
          <w14:textFill>
            <w14:solidFill>
              <w14:schemeClr w14:val="tx1"/>
            </w14:solidFill>
          </w14:textFill>
        </w:rPr>
        <w:t>期限：</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u w:val="single"/>
          <w14:textFill>
            <w14:solidFill>
              <w14:schemeClr w14:val="tx1"/>
            </w14:solidFill>
          </w14:textFill>
        </w:rPr>
        <w:t>起至</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，服务地点：</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w:t>
      </w:r>
    </w:p>
    <w:p w14:paraId="5A5106E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2、乙方应按投标文件的承诺向甲方提供相应的服务，并提供所服务内容的相关技术资料。</w:t>
      </w:r>
    </w:p>
    <w:p w14:paraId="5C958F84">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3、乙方提供不符合投标文件和本合同规定的服务成果，甲方有权拒绝接受。</w:t>
      </w:r>
    </w:p>
    <w:p w14:paraId="7A04987C">
      <w:pPr>
        <w:spacing w:line="360" w:lineRule="auto"/>
        <w:ind w:firstLine="420"/>
        <w:rPr>
          <w:rFonts w:hint="eastAsia"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1C36AA02">
      <w:pPr>
        <w:spacing w:line="360" w:lineRule="auto"/>
        <w:ind w:firstLine="420"/>
        <w:rPr>
          <w:rFonts w:hint="eastAsia" w:ascii="宋体" w:hAnsi="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5、甲乙双方应按照《</w:t>
      </w:r>
      <w:r>
        <w:rPr>
          <w:rFonts w:ascii="宋体" w:hAnsi="宋体" w:cs="宋体"/>
          <w:b w:val="0"/>
          <w:bCs/>
          <w:color w:val="000000" w:themeColor="text1"/>
          <w:szCs w:val="21"/>
          <w:highlight w:val="none"/>
          <w14:textFill>
            <w14:solidFill>
              <w14:schemeClr w14:val="tx1"/>
            </w14:solidFill>
          </w14:textFill>
        </w:rPr>
        <w:t>广西壮族自治区政府采购项目履约验收管理办法</w:t>
      </w:r>
      <w:r>
        <w:rPr>
          <w:rFonts w:hint="eastAsia" w:ascii="宋体" w:hAnsi="宋体" w:cs="宋体"/>
          <w:b w:val="0"/>
          <w:bCs/>
          <w:color w:val="000000" w:themeColor="text1"/>
          <w:szCs w:val="21"/>
          <w:highlight w:val="none"/>
          <w14:textFill>
            <w14:solidFill>
              <w14:schemeClr w14:val="tx1"/>
            </w14:solidFill>
          </w14:textFill>
        </w:rPr>
        <w:t>》、双方合同、投标文件验收。</w:t>
      </w:r>
    </w:p>
    <w:p w14:paraId="23A7E48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6、甲方在初步验收或者最终验收过程中如发现乙方提供的服务成果不满足投标文件及本合同规定的，可暂缓向乙方付款，直到乙方及时完善并提交相应的服务成果且经甲方验收合格后，方可办理付款。</w:t>
      </w:r>
    </w:p>
    <w:p w14:paraId="773973AE">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7、甲方验收时以书面形式提出异议的，乙方应自收到甲方书面异议后五个工作日内及时予以解决，否则甲方有权不出具服务验收合格单。</w:t>
      </w:r>
    </w:p>
    <w:p w14:paraId="48352A8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第五条  服务及培训</w:t>
      </w:r>
    </w:p>
    <w:p w14:paraId="167283C3">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1、乙方应按照国家有关法律法规和本合同所附的《服务承诺》要求为甲方提供相应的服务。</w:t>
      </w:r>
    </w:p>
    <w:p w14:paraId="53FEB17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2、甲方应提供必要测试条件（如场地、电源、水源等）。</w:t>
      </w:r>
    </w:p>
    <w:p w14:paraId="222E4114">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3、乙方负责甲方有关人员的培训。培训时间、地点：</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w:t>
      </w:r>
    </w:p>
    <w:p w14:paraId="4FAA7D34">
      <w:pPr>
        <w:spacing w:line="360" w:lineRule="auto"/>
        <w:ind w:firstLine="420"/>
        <w:rPr>
          <w:rFonts w:hint="eastAsia" w:ascii="宋体" w:hAnsi="宋体" w:cs="宋体"/>
          <w:b w:val="0"/>
          <w:bCs/>
          <w:color w:val="000000" w:themeColor="text1"/>
          <w:szCs w:val="21"/>
          <w:highlight w:val="none"/>
          <w:u w:val="singl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第六条　付款方式</w:t>
      </w:r>
    </w:p>
    <w:p w14:paraId="20E48C0D">
      <w:pPr>
        <w:spacing w:line="360" w:lineRule="auto"/>
        <w:ind w:firstLine="420"/>
        <w:rPr>
          <w:rFonts w:hint="eastAsia" w:ascii="宋体" w:hAnsi="宋体"/>
          <w:b w:val="0"/>
          <w:bCs/>
          <w:color w:val="000000" w:themeColor="text1"/>
          <w:szCs w:val="21"/>
          <w:highlight w:val="none"/>
          <w:u w:val="singl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甲乙双方同意本合同金额的支付按以下第</w:t>
      </w:r>
      <w:r>
        <w:rPr>
          <w:rFonts w:hint="eastAsia" w:ascii="宋体" w:hAnsi="宋体"/>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u w:val="single"/>
          <w:lang w:val="en-US" w:eastAsia="zh-CN"/>
          <w14:textFill>
            <w14:solidFill>
              <w14:schemeClr w14:val="tx1"/>
            </w14:solidFill>
          </w14:textFill>
        </w:rPr>
        <w:t>2</w:t>
      </w:r>
      <w:r>
        <w:rPr>
          <w:rFonts w:hint="eastAsia" w:ascii="宋体" w:hAnsi="宋体"/>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14:textFill>
            <w14:solidFill>
              <w14:schemeClr w14:val="tx1"/>
            </w14:solidFill>
          </w14:textFill>
        </w:rPr>
        <w:t>项约定执行：</w:t>
      </w:r>
    </w:p>
    <w:p w14:paraId="33164638">
      <w:pPr>
        <w:spacing w:line="360" w:lineRule="auto"/>
        <w:ind w:firstLine="420"/>
        <w:rPr>
          <w:rFonts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1、一次性支付：</w:t>
      </w:r>
      <w:r>
        <w:rPr>
          <w:rFonts w:hint="eastAsia" w:ascii="宋体" w:hAnsi="宋体"/>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14:textFill>
            <w14:solidFill>
              <w14:schemeClr w14:val="tx1"/>
            </w14:solidFill>
          </w14:textFill>
        </w:rPr>
        <w:t>。</w:t>
      </w:r>
    </w:p>
    <w:p w14:paraId="3F8E12F1">
      <w:pPr>
        <w:spacing w:line="360" w:lineRule="auto"/>
        <w:ind w:firstLine="420"/>
        <w:rPr>
          <w:rFonts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2、分期支付：</w:t>
      </w:r>
      <w:r>
        <w:rPr>
          <w:rFonts w:hint="eastAsia" w:ascii="宋体" w:hAnsi="宋体"/>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u w:val="single"/>
          <w:lang w:eastAsia="zh-CN"/>
          <w14:textFill>
            <w14:solidFill>
              <w14:schemeClr w14:val="tx1"/>
            </w14:solidFill>
          </w14:textFill>
        </w:rPr>
        <w:t>按第二章采购需求中执行</w:t>
      </w:r>
      <w:r>
        <w:rPr>
          <w:rFonts w:hint="eastAsia" w:ascii="宋体" w:hAnsi="宋体"/>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14:textFill>
            <w14:solidFill>
              <w14:schemeClr w14:val="tx1"/>
            </w14:solidFill>
          </w14:textFill>
        </w:rPr>
        <w:t>。</w:t>
      </w:r>
    </w:p>
    <w:p w14:paraId="176135AD">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第七条　履约保证金</w:t>
      </w:r>
    </w:p>
    <w:p w14:paraId="0C2276B0">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履约保证金金额：无。</w:t>
      </w:r>
    </w:p>
    <w:p w14:paraId="553365F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第八条  税费</w:t>
      </w:r>
    </w:p>
    <w:p w14:paraId="67C4A93A">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本合同执行中相关的一切税费均由乙方负担，合同另有约定的除外。</w:t>
      </w:r>
    </w:p>
    <w:p w14:paraId="33C1C060">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第九条　违约责任</w:t>
      </w:r>
    </w:p>
    <w:p w14:paraId="09F704C3">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b w:val="0"/>
          <w:bCs/>
          <w:color w:val="000000" w:themeColor="text1"/>
          <w:szCs w:val="21"/>
          <w:highlight w:val="none"/>
          <w14:textFill>
            <w14:solidFill>
              <w14:schemeClr w14:val="tx1"/>
            </w14:solidFill>
          </w14:textFill>
        </w:rPr>
        <w:t xml:space="preserve">                                  </w:t>
      </w:r>
    </w:p>
    <w:p w14:paraId="7355909B">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2、乙方提供的服务如侵犯了第三方合法权益而引发的任何纠纷或者诉讼，均由乙方负责交涉并承担全部责任。</w:t>
      </w:r>
    </w:p>
    <w:p w14:paraId="7CFABDC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ascii="宋体" w:hAnsi="宋体"/>
          <w:b w:val="0"/>
          <w:bCs/>
          <w:color w:val="000000" w:themeColor="text1"/>
          <w:szCs w:val="21"/>
          <w:highlight w:val="none"/>
          <w14:textFill>
            <w14:solidFill>
              <w14:schemeClr w14:val="tx1"/>
            </w14:solidFill>
          </w14:textFill>
        </w:rPr>
        <w:t>3</w:t>
      </w:r>
      <w:r>
        <w:rPr>
          <w:rFonts w:hint="eastAsia" w:ascii="宋体" w:hAnsi="宋体"/>
          <w:b w:val="0"/>
          <w:bCs/>
          <w:color w:val="000000" w:themeColor="text1"/>
          <w:szCs w:val="21"/>
          <w:highlight w:val="none"/>
          <w14:textFill>
            <w14:solidFill>
              <w14:schemeClr w14:val="tx1"/>
            </w14:solidFill>
          </w14:textFill>
        </w:rPr>
        <w:t>、甲方延期付款的，每天向乙方偿付延期款额3‰滞纳金，但滞纳金累计不得超过延期款额5%。</w:t>
      </w:r>
    </w:p>
    <w:p w14:paraId="563C306F">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第十条  不可抗力事件处理</w:t>
      </w:r>
    </w:p>
    <w:p w14:paraId="3EF3BB3A">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1、在合同有效期内，任何一方因不可抗力事件导致不能履行合同，则合同履行期可延长，其延长期与不可抗力影响期相同。</w:t>
      </w:r>
    </w:p>
    <w:p w14:paraId="65D63141">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2、不可抗力事件发生后，应立即通知对方，并寄送有关权威机构出具的证明。</w:t>
      </w:r>
    </w:p>
    <w:p w14:paraId="683C1308">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3、不可抗力事件延续一百二十天以上，双方应通过友好协商，确定是否继续履行合同。</w:t>
      </w:r>
    </w:p>
    <w:p w14:paraId="1817AE8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第十一条  合同争议解决</w:t>
      </w:r>
    </w:p>
    <w:p w14:paraId="11565A2B">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1、因服务质量问题发生争议的，应邀请国家认可的质量检测机构进行鉴定。服务符合标准的，鉴定费由甲方承担；服务不符合标准的，鉴定费由乙方承担。</w:t>
      </w:r>
    </w:p>
    <w:p w14:paraId="76D6678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2、因履行本合同引起的或者与本合同有关的争议，甲乙双方应首先通过友好协商解决，如果协商不能解决，可向甲方所在地有管辖权</w:t>
      </w:r>
      <w:r>
        <w:rPr>
          <w:rFonts w:hint="eastAsia" w:ascii="宋体" w:hAnsi="宋体" w:cs="宋体"/>
          <w:b w:val="0"/>
          <w:bCs/>
          <w:color w:val="000000" w:themeColor="text1"/>
          <w:szCs w:val="21"/>
          <w:highlight w:val="none"/>
          <w:lang w:eastAsia="zh-CN"/>
          <w14:textFill>
            <w14:solidFill>
              <w14:schemeClr w14:val="tx1"/>
            </w14:solidFill>
          </w14:textFill>
        </w:rPr>
        <w:t>的</w:t>
      </w:r>
      <w:r>
        <w:rPr>
          <w:rFonts w:hint="eastAsia" w:ascii="宋体" w:hAnsi="宋体" w:cs="宋体"/>
          <w:b w:val="0"/>
          <w:bCs/>
          <w:color w:val="000000" w:themeColor="text1"/>
          <w:szCs w:val="21"/>
          <w:highlight w:val="none"/>
          <w14:textFill>
            <w14:solidFill>
              <w14:schemeClr w14:val="tx1"/>
            </w14:solidFill>
          </w14:textFill>
        </w:rPr>
        <w:t>人民法院提起诉讼。</w:t>
      </w:r>
    </w:p>
    <w:p w14:paraId="65B8569B">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3、诉讼期间，本合同继续履行。</w:t>
      </w:r>
    </w:p>
    <w:p w14:paraId="3470129A">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第十二条  合同生效及其它</w:t>
      </w:r>
    </w:p>
    <w:p w14:paraId="5698F59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1、合同经双方法定代表人或者授权代表签字并加盖单位公章后生效（委托代理人签字的需后附法定代表人授权委托书，格式自拟）。</w:t>
      </w:r>
    </w:p>
    <w:p w14:paraId="521884B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2、合同执行中涉及采购资金和采购内容修改或者补充的，须经财政部门审批，并签书面补充协议报财政部门备案，方可作为主合同不可分割的一部分。</w:t>
      </w:r>
    </w:p>
    <w:p w14:paraId="1879753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3、本合同未尽事宜，遵照《中华人民共和国民法典》有关条文执行。</w:t>
      </w:r>
    </w:p>
    <w:p w14:paraId="2D94CF5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第十三条　合同的变更、终止与转让</w:t>
      </w:r>
    </w:p>
    <w:p w14:paraId="1867804D">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1、除《中华人民共和国政府采购法》第五十条规定的情形外，本合同一经签订，甲乙双方不得擅自变更、中止或者终止。</w:t>
      </w:r>
    </w:p>
    <w:p w14:paraId="1D54B577">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2、乙方不得擅自转让其应履行的合同义务。</w:t>
      </w:r>
    </w:p>
    <w:p w14:paraId="7B462DD3">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第十四条　签订本合同依据</w:t>
      </w:r>
    </w:p>
    <w:p w14:paraId="64A44157">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w:t>
      </w:r>
      <w:r>
        <w:rPr>
          <w:rFonts w:hint="eastAsia" w:ascii="宋体" w:hAnsi="宋体"/>
          <w:b w:val="0"/>
          <w:bCs/>
          <w:color w:val="000000" w:themeColor="text1"/>
          <w:szCs w:val="21"/>
          <w:highlight w:val="none"/>
          <w14:textFill>
            <w14:solidFill>
              <w14:schemeClr w14:val="tx1"/>
            </w14:solidFill>
          </w14:textFill>
        </w:rPr>
        <w:t>中标通知书</w:t>
      </w:r>
      <w:r>
        <w:rPr>
          <w:rFonts w:hint="eastAsia" w:ascii="宋体" w:hAnsi="宋体" w:cs="宋体"/>
          <w:b w:val="0"/>
          <w:bCs/>
          <w:color w:val="000000" w:themeColor="text1"/>
          <w:szCs w:val="21"/>
          <w:highlight w:val="none"/>
          <w14:textFill>
            <w14:solidFill>
              <w14:schemeClr w14:val="tx1"/>
            </w14:solidFill>
          </w14:textFill>
        </w:rPr>
        <w:t>；</w:t>
      </w:r>
    </w:p>
    <w:p w14:paraId="0E65C653">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2、开标一览表；</w:t>
      </w:r>
    </w:p>
    <w:p w14:paraId="0138CDDB">
      <w:pPr>
        <w:spacing w:line="360" w:lineRule="auto"/>
        <w:ind w:firstLine="420"/>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3、商务</w:t>
      </w:r>
      <w:r>
        <w:rPr>
          <w:rFonts w:hint="eastAsia" w:ascii="宋体" w:hAnsi="宋体" w:cs="宋体"/>
          <w:b w:val="0"/>
          <w:bCs/>
          <w:color w:val="000000" w:themeColor="text1"/>
          <w:szCs w:val="21"/>
          <w:highlight w:val="none"/>
          <w:lang w:eastAsia="zh-CN"/>
          <w14:textFill>
            <w14:solidFill>
              <w14:schemeClr w14:val="tx1"/>
            </w14:solidFill>
          </w14:textFill>
        </w:rPr>
        <w:t>要求</w:t>
      </w:r>
      <w:r>
        <w:rPr>
          <w:rFonts w:hint="eastAsia" w:ascii="宋体" w:hAnsi="宋体" w:cs="宋体"/>
          <w:b w:val="0"/>
          <w:bCs/>
          <w:color w:val="000000" w:themeColor="text1"/>
          <w:szCs w:val="21"/>
          <w:highlight w:val="none"/>
          <w14:textFill>
            <w14:solidFill>
              <w14:schemeClr w14:val="tx1"/>
            </w14:solidFill>
          </w14:textFill>
        </w:rPr>
        <w:t>偏离表和技术要求偏离表；</w:t>
      </w:r>
    </w:p>
    <w:p w14:paraId="45A6D4C1">
      <w:pPr>
        <w:spacing w:line="360" w:lineRule="auto"/>
        <w:ind w:firstLine="420"/>
        <w:rPr>
          <w:rFonts w:ascii="宋体" w:hAnsi="宋体" w:cs="宋体"/>
          <w:b w:val="0"/>
          <w:bCs/>
          <w:color w:val="000000" w:themeColor="text1"/>
          <w:szCs w:val="21"/>
          <w:highlight w:val="none"/>
          <w14:textFill>
            <w14:solidFill>
              <w14:schemeClr w14:val="tx1"/>
            </w14:solidFill>
          </w14:textFill>
        </w:rPr>
      </w:pPr>
      <w:r>
        <w:rPr>
          <w:rFonts w:ascii="宋体" w:hAnsi="宋体" w:cs="宋体"/>
          <w:b w:val="0"/>
          <w:bCs/>
          <w:color w:val="000000" w:themeColor="text1"/>
          <w:szCs w:val="21"/>
          <w:highlight w:val="none"/>
          <w14:textFill>
            <w14:solidFill>
              <w14:schemeClr w14:val="tx1"/>
            </w14:solidFill>
          </w14:textFill>
        </w:rPr>
        <w:t>4</w:t>
      </w:r>
      <w:r>
        <w:rPr>
          <w:rFonts w:hint="eastAsia" w:ascii="宋体" w:hAnsi="宋体" w:cs="宋体"/>
          <w:b w:val="0"/>
          <w:bCs/>
          <w:color w:val="000000" w:themeColor="text1"/>
          <w:szCs w:val="21"/>
          <w:highlight w:val="none"/>
          <w14:textFill>
            <w14:solidFill>
              <w14:schemeClr w14:val="tx1"/>
            </w14:solidFill>
          </w14:textFill>
        </w:rPr>
        <w:t>、</w:t>
      </w:r>
      <w:r>
        <w:rPr>
          <w:rFonts w:hint="eastAsia" w:ascii="宋体" w:hAnsi="宋体" w:cs="宋体"/>
          <w:b w:val="0"/>
          <w:bCs/>
          <w:color w:val="000000" w:themeColor="text1"/>
          <w:szCs w:val="21"/>
          <w:highlight w:val="none"/>
          <w:lang w:eastAsia="zh-CN"/>
          <w14:textFill>
            <w14:solidFill>
              <w14:schemeClr w14:val="tx1"/>
            </w14:solidFill>
          </w14:textFill>
        </w:rPr>
        <w:t>中标供应商技术方</w:t>
      </w:r>
      <w:r>
        <w:rPr>
          <w:rFonts w:hint="eastAsia" w:ascii="宋体" w:hAnsi="宋体" w:cs="宋体"/>
          <w:b w:val="0"/>
          <w:bCs/>
          <w:color w:val="000000" w:themeColor="text1"/>
          <w:szCs w:val="21"/>
          <w:highlight w:val="none"/>
          <w14:textFill>
            <w14:solidFill>
              <w14:schemeClr w14:val="tx1"/>
            </w14:solidFill>
          </w14:textFill>
        </w:rPr>
        <w:t>案；</w:t>
      </w:r>
    </w:p>
    <w:p w14:paraId="0146B99A">
      <w:pPr>
        <w:spacing w:line="360" w:lineRule="auto"/>
        <w:ind w:firstLine="420"/>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5、投标文件中的其他相关文件。</w:t>
      </w:r>
    </w:p>
    <w:p w14:paraId="57DEB3D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ascii="宋体" w:hAnsi="宋体" w:cs="宋体"/>
          <w:b w:val="0"/>
          <w:bCs/>
          <w:color w:val="000000" w:themeColor="text1"/>
          <w:szCs w:val="21"/>
          <w:highlight w:val="none"/>
          <w14:textFill>
            <w14:solidFill>
              <w14:schemeClr w14:val="tx1"/>
            </w14:solidFill>
          </w14:textFill>
        </w:rPr>
        <w:t>6</w:t>
      </w:r>
      <w:r>
        <w:rPr>
          <w:rFonts w:hint="eastAsia" w:ascii="宋体" w:hAnsi="宋体" w:cs="宋体"/>
          <w:b w:val="0"/>
          <w:bCs/>
          <w:color w:val="000000" w:themeColor="text1"/>
          <w:szCs w:val="21"/>
          <w:highlight w:val="none"/>
          <w14:textFill>
            <w14:solidFill>
              <w14:schemeClr w14:val="tx1"/>
            </w14:solidFill>
          </w14:textFill>
        </w:rPr>
        <w:t>、上述合同文件互相补充和解释。如果合同文件之间存在矛盾或者不一致之处，以上述文件的排列顺序在先者为准。</w:t>
      </w:r>
    </w:p>
    <w:p w14:paraId="7CC90AFA">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第十五条　本合同一式四份，具有同等法律效力，财政部门（政府采购监管部门）、采购代理机构各一份，甲乙双方各一份（可根据需要另增加）。</w:t>
      </w:r>
    </w:p>
    <w:p w14:paraId="6D7CF25E">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本合同甲乙双方签字盖章后生效，自签订之日起七个工作日内，甲方应当将合同副本报同级财政部门备案。</w:t>
      </w:r>
    </w:p>
    <w:p w14:paraId="6BF9D973">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本合同自签订之日起2个工作日内，甲方应当将采购合同在广西壮族自治区财政厅指定的媒体上公告。</w:t>
      </w:r>
    </w:p>
    <w:tbl>
      <w:tblPr>
        <w:tblStyle w:val="30"/>
        <w:tblpPr w:leftFromText="180" w:rightFromText="180" w:vertAnchor="text" w:horzAnchor="margin" w:tblpXSpec="left" w:tblpY="2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03F0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2623047">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甲方：（章）</w:t>
            </w:r>
          </w:p>
          <w:p w14:paraId="11CA4495">
            <w:pPr>
              <w:spacing w:line="360" w:lineRule="auto"/>
              <w:rPr>
                <w:rFonts w:hint="eastAsia" w:ascii="宋体" w:hAnsi="宋体" w:cs="宋体"/>
                <w:b w:val="0"/>
                <w:bCs/>
                <w:color w:val="000000" w:themeColor="text1"/>
                <w:szCs w:val="21"/>
                <w:highlight w:val="none"/>
                <w14:textFill>
                  <w14:solidFill>
                    <w14:schemeClr w14:val="tx1"/>
                  </w14:solidFill>
                </w14:textFill>
              </w:rPr>
            </w:pPr>
          </w:p>
          <w:p w14:paraId="00F72AD5">
            <w:pPr>
              <w:spacing w:line="360" w:lineRule="auto"/>
              <w:rPr>
                <w:rFonts w:hint="eastAsia" w:ascii="宋体" w:hAnsi="宋体" w:cs="宋体"/>
                <w:b w:val="0"/>
                <w:bCs/>
                <w:color w:val="000000" w:themeColor="text1"/>
                <w:szCs w:val="21"/>
                <w:highlight w:val="none"/>
                <w14:textFill>
                  <w14:solidFill>
                    <w14:schemeClr w14:val="tx1"/>
                  </w14:solidFill>
                </w14:textFill>
              </w:rPr>
            </w:pPr>
          </w:p>
          <w:p w14:paraId="70ADCCCB">
            <w:pPr>
              <w:spacing w:line="360" w:lineRule="auto"/>
              <w:ind w:firstLine="945"/>
              <w:jc w:val="right"/>
              <w:rPr>
                <w:rFonts w:hint="eastAsia" w:ascii="宋体" w:hAnsi="宋体" w:cs="宋体"/>
                <w:b w:val="0"/>
                <w:bCs/>
                <w:color w:val="000000" w:themeColor="text1"/>
                <w:szCs w:val="21"/>
                <w:highlight w:val="none"/>
                <w14:textFill>
                  <w14:solidFill>
                    <w14:schemeClr w14:val="tx1"/>
                  </w14:solidFill>
                </w14:textFill>
              </w:rPr>
            </w:pPr>
          </w:p>
          <w:p w14:paraId="59693F59">
            <w:pPr>
              <w:spacing w:line="360" w:lineRule="auto"/>
              <w:ind w:firstLine="945"/>
              <w:jc w:val="right"/>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E1D982C">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乙方：（章）       </w:t>
            </w:r>
          </w:p>
          <w:p w14:paraId="417F4D88">
            <w:pPr>
              <w:spacing w:line="360" w:lineRule="auto"/>
              <w:rPr>
                <w:rFonts w:hint="eastAsia" w:ascii="宋体" w:hAnsi="宋体" w:cs="宋体"/>
                <w:b w:val="0"/>
                <w:bCs/>
                <w:color w:val="000000" w:themeColor="text1"/>
                <w:szCs w:val="21"/>
                <w:highlight w:val="none"/>
                <w14:textFill>
                  <w14:solidFill>
                    <w14:schemeClr w14:val="tx1"/>
                  </w14:solidFill>
                </w14:textFill>
              </w:rPr>
            </w:pPr>
          </w:p>
          <w:p w14:paraId="140B5987">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       </w:t>
            </w:r>
          </w:p>
          <w:p w14:paraId="6F0A0B8F">
            <w:pPr>
              <w:spacing w:line="360" w:lineRule="auto"/>
              <w:jc w:val="right"/>
              <w:rPr>
                <w:rFonts w:hint="eastAsia" w:ascii="宋体" w:hAnsi="宋体" w:cs="宋体"/>
                <w:b w:val="0"/>
                <w:bCs/>
                <w:color w:val="000000" w:themeColor="text1"/>
                <w:szCs w:val="21"/>
                <w:highlight w:val="none"/>
                <w14:textFill>
                  <w14:solidFill>
                    <w14:schemeClr w14:val="tx1"/>
                  </w14:solidFill>
                </w14:textFill>
              </w:rPr>
            </w:pPr>
          </w:p>
          <w:p w14:paraId="0E63E321">
            <w:pPr>
              <w:spacing w:line="360" w:lineRule="auto"/>
              <w:jc w:val="right"/>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 年   月   日</w:t>
            </w:r>
          </w:p>
        </w:tc>
      </w:tr>
      <w:tr w14:paraId="0008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57D0A72">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单位地址：</w:t>
            </w:r>
            <w:r>
              <w:rPr>
                <w:rFonts w:ascii="宋体" w:hAnsi="宋体" w:cs="宋体"/>
                <w:b w:val="0"/>
                <w:bCs/>
                <w:color w:val="000000" w:themeColor="text1"/>
                <w:szCs w:val="21"/>
                <w:highlight w:val="none"/>
                <w14:textFill>
                  <w14:solidFill>
                    <w14:schemeClr w14:val="tx1"/>
                  </w14:solidFill>
                </w14:textFill>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DFBFD81">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单位地址： </w:t>
            </w:r>
          </w:p>
        </w:tc>
      </w:tr>
      <w:tr w14:paraId="6968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9A7D220">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8C0C6D8">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法定代表人：</w:t>
            </w:r>
          </w:p>
        </w:tc>
      </w:tr>
      <w:tr w14:paraId="262D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A5916BA">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CF7067B">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委托代理人：</w:t>
            </w:r>
          </w:p>
        </w:tc>
      </w:tr>
      <w:tr w14:paraId="34E4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2E6EA61">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2873B1E">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电话：</w:t>
            </w:r>
          </w:p>
        </w:tc>
      </w:tr>
      <w:tr w14:paraId="1182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C60BAC9">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915BBC4">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开户银行： </w:t>
            </w:r>
          </w:p>
        </w:tc>
      </w:tr>
      <w:tr w14:paraId="1841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AA3A5AE">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4906334">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账号：</w:t>
            </w:r>
          </w:p>
        </w:tc>
      </w:tr>
      <w:tr w14:paraId="36FC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ACF6ED8">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B19CCF1">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邮政编码：</w:t>
            </w:r>
          </w:p>
        </w:tc>
      </w:tr>
    </w:tbl>
    <w:p w14:paraId="47760E52">
      <w:pPr>
        <w:jc w:val="center"/>
        <w:rPr>
          <w:rFonts w:hint="eastAsia" w:ascii="宋体" w:hAnsi="宋体"/>
          <w:b w:val="0"/>
          <w:bCs/>
          <w:color w:val="000000" w:themeColor="text1"/>
          <w:sz w:val="32"/>
          <w:szCs w:val="32"/>
          <w:highlight w:val="none"/>
          <w14:textFill>
            <w14:solidFill>
              <w14:schemeClr w14:val="tx1"/>
            </w14:solidFill>
          </w14:textFill>
        </w:rPr>
      </w:pPr>
    </w:p>
    <w:p w14:paraId="54B0220B">
      <w:pPr>
        <w:pStyle w:val="238"/>
        <w:rPr>
          <w:rFonts w:hint="eastAsia" w:ascii="宋体" w:hAnsi="宋体" w:cs="宋体"/>
          <w:b/>
          <w:bCs/>
          <w:color w:val="000000" w:themeColor="text1"/>
          <w:sz w:val="24"/>
          <w:highlight w:val="none"/>
          <w14:textFill>
            <w14:solidFill>
              <w14:schemeClr w14:val="tx1"/>
            </w14:solidFill>
          </w14:textFill>
        </w:rPr>
      </w:pPr>
    </w:p>
    <w:p w14:paraId="0270D0AB">
      <w:pPr>
        <w:pStyle w:val="238"/>
        <w:rPr>
          <w:rFonts w:hint="eastAsia" w:ascii="宋体" w:hAnsi="宋体" w:cs="宋体"/>
          <w:b/>
          <w:bCs/>
          <w:color w:val="000000" w:themeColor="text1"/>
          <w:sz w:val="24"/>
          <w:highlight w:val="none"/>
          <w14:textFill>
            <w14:solidFill>
              <w14:schemeClr w14:val="tx1"/>
            </w14:solidFill>
          </w14:textFill>
        </w:rPr>
      </w:pPr>
    </w:p>
    <w:p w14:paraId="63F34D8C">
      <w:pPr>
        <w:pStyle w:val="238"/>
        <w:rPr>
          <w:rFonts w:hint="eastAsia" w:ascii="宋体" w:hAnsi="宋体" w:cs="宋体"/>
          <w:b/>
          <w:bCs/>
          <w:color w:val="000000" w:themeColor="text1"/>
          <w:sz w:val="24"/>
          <w:highlight w:val="none"/>
          <w14:textFill>
            <w14:solidFill>
              <w14:schemeClr w14:val="tx1"/>
            </w14:solidFill>
          </w14:textFill>
        </w:rPr>
      </w:pPr>
    </w:p>
    <w:p w14:paraId="43FABB86">
      <w:pPr>
        <w:pStyle w:val="238"/>
        <w:rPr>
          <w:rFonts w:hint="eastAsia" w:ascii="宋体" w:hAnsi="宋体" w:cs="宋体"/>
          <w:b/>
          <w:bCs/>
          <w:color w:val="000000" w:themeColor="text1"/>
          <w:sz w:val="24"/>
          <w:highlight w:val="none"/>
          <w14:textFill>
            <w14:solidFill>
              <w14:schemeClr w14:val="tx1"/>
            </w14:solidFill>
          </w14:textFill>
        </w:rPr>
      </w:pPr>
    </w:p>
    <w:p w14:paraId="68B44865">
      <w:pPr>
        <w:pStyle w:val="238"/>
        <w:rPr>
          <w:rFonts w:hint="eastAsia" w:ascii="宋体" w:hAnsi="宋体" w:cs="宋体"/>
          <w:b/>
          <w:bCs/>
          <w:color w:val="000000" w:themeColor="text1"/>
          <w:sz w:val="24"/>
          <w:highlight w:val="none"/>
          <w14:textFill>
            <w14:solidFill>
              <w14:schemeClr w14:val="tx1"/>
            </w14:solidFill>
          </w14:textFill>
        </w:rPr>
      </w:pPr>
    </w:p>
    <w:p w14:paraId="63B9D449">
      <w:pPr>
        <w:pStyle w:val="238"/>
        <w:rPr>
          <w:rFonts w:hint="eastAsia" w:ascii="宋体" w:hAnsi="宋体" w:cs="宋体"/>
          <w:b/>
          <w:bCs/>
          <w:color w:val="000000" w:themeColor="text1"/>
          <w:sz w:val="24"/>
          <w:highlight w:val="none"/>
          <w14:textFill>
            <w14:solidFill>
              <w14:schemeClr w14:val="tx1"/>
            </w14:solidFill>
          </w14:textFill>
        </w:rPr>
      </w:pPr>
    </w:p>
    <w:p w14:paraId="44E993ED">
      <w:pPr>
        <w:pStyle w:val="238"/>
        <w:rPr>
          <w:rFonts w:hint="eastAsia" w:ascii="宋体" w:hAnsi="宋体" w:cs="宋体"/>
          <w:b/>
          <w:bCs/>
          <w:color w:val="000000" w:themeColor="text1"/>
          <w:sz w:val="24"/>
          <w:highlight w:val="none"/>
          <w14:textFill>
            <w14:solidFill>
              <w14:schemeClr w14:val="tx1"/>
            </w14:solidFill>
          </w14:textFill>
        </w:rPr>
      </w:pPr>
    </w:p>
    <w:p w14:paraId="0B0233D6">
      <w:pPr>
        <w:pStyle w:val="238"/>
        <w:rPr>
          <w:rFonts w:hint="eastAsia" w:ascii="宋体" w:hAnsi="宋体" w:cs="宋体"/>
          <w:b/>
          <w:bCs/>
          <w:color w:val="000000" w:themeColor="text1"/>
          <w:sz w:val="24"/>
          <w:highlight w:val="none"/>
          <w14:textFill>
            <w14:solidFill>
              <w14:schemeClr w14:val="tx1"/>
            </w14:solidFill>
          </w14:textFill>
        </w:rPr>
      </w:pPr>
    </w:p>
    <w:p w14:paraId="01345078">
      <w:pPr>
        <w:pStyle w:val="238"/>
        <w:rPr>
          <w:rFonts w:hint="eastAsia" w:ascii="宋体" w:hAnsi="宋体" w:cs="宋体"/>
          <w:b/>
          <w:bCs/>
          <w:color w:val="000000" w:themeColor="text1"/>
          <w:sz w:val="24"/>
          <w:highlight w:val="none"/>
          <w14:textFill>
            <w14:solidFill>
              <w14:schemeClr w14:val="tx1"/>
            </w14:solidFill>
          </w14:textFill>
        </w:rPr>
      </w:pPr>
    </w:p>
    <w:p w14:paraId="140C3331">
      <w:pPr>
        <w:pStyle w:val="238"/>
        <w:rPr>
          <w:rFonts w:hint="eastAsia" w:ascii="宋体" w:hAnsi="宋体" w:cs="宋体"/>
          <w:b/>
          <w:bCs/>
          <w:color w:val="000000" w:themeColor="text1"/>
          <w:sz w:val="24"/>
          <w:highlight w:val="none"/>
          <w14:textFill>
            <w14:solidFill>
              <w14:schemeClr w14:val="tx1"/>
            </w14:solidFill>
          </w14:textFill>
        </w:rPr>
      </w:pPr>
    </w:p>
    <w:p w14:paraId="735764A6">
      <w:pPr>
        <w:pStyle w:val="238"/>
        <w:rPr>
          <w:rFonts w:hint="eastAsia" w:ascii="宋体" w:hAnsi="宋体" w:cs="宋体"/>
          <w:b/>
          <w:bCs/>
          <w:color w:val="000000" w:themeColor="text1"/>
          <w:sz w:val="24"/>
          <w:highlight w:val="none"/>
          <w14:textFill>
            <w14:solidFill>
              <w14:schemeClr w14:val="tx1"/>
            </w14:solidFill>
          </w14:textFill>
        </w:rPr>
      </w:pPr>
    </w:p>
    <w:p w14:paraId="399FF92E">
      <w:pPr>
        <w:pStyle w:val="238"/>
        <w:rPr>
          <w:rFonts w:hint="eastAsia" w:ascii="宋体" w:hAnsi="宋体" w:cs="宋体"/>
          <w:b/>
          <w:bCs/>
          <w:color w:val="000000" w:themeColor="text1"/>
          <w:sz w:val="24"/>
          <w:highlight w:val="none"/>
          <w14:textFill>
            <w14:solidFill>
              <w14:schemeClr w14:val="tx1"/>
            </w14:solidFill>
          </w14:textFill>
        </w:rPr>
      </w:pPr>
    </w:p>
    <w:p w14:paraId="06622C6C">
      <w:pPr>
        <w:pStyle w:val="238"/>
        <w:rPr>
          <w:rFonts w:hint="eastAsia" w:ascii="宋体" w:hAnsi="宋体" w:cs="宋体"/>
          <w:b/>
          <w:bCs/>
          <w:color w:val="000000" w:themeColor="text1"/>
          <w:sz w:val="24"/>
          <w:highlight w:val="none"/>
          <w14:textFill>
            <w14:solidFill>
              <w14:schemeClr w14:val="tx1"/>
            </w14:solidFill>
          </w14:textFill>
        </w:rPr>
      </w:pPr>
    </w:p>
    <w:p w14:paraId="0522E4EF">
      <w:pPr>
        <w:pStyle w:val="238"/>
        <w:rPr>
          <w:rFonts w:hint="eastAsia" w:ascii="宋体" w:hAnsi="宋体" w:cs="宋体"/>
          <w:b/>
          <w:bCs/>
          <w:color w:val="000000" w:themeColor="text1"/>
          <w:sz w:val="24"/>
          <w:highlight w:val="none"/>
          <w14:textFill>
            <w14:solidFill>
              <w14:schemeClr w14:val="tx1"/>
            </w14:solidFill>
          </w14:textFill>
        </w:rPr>
      </w:pPr>
    </w:p>
    <w:p w14:paraId="35809320">
      <w:pPr>
        <w:pStyle w:val="238"/>
        <w:rPr>
          <w:rFonts w:hint="eastAsia" w:ascii="宋体" w:hAnsi="宋体" w:cs="宋体"/>
          <w:b/>
          <w:bCs/>
          <w:color w:val="000000" w:themeColor="text1"/>
          <w:sz w:val="24"/>
          <w:highlight w:val="none"/>
          <w14:textFill>
            <w14:solidFill>
              <w14:schemeClr w14:val="tx1"/>
            </w14:solidFill>
          </w14:textFill>
        </w:rPr>
      </w:pPr>
    </w:p>
    <w:p w14:paraId="57855702">
      <w:pPr>
        <w:pStyle w:val="238"/>
        <w:rPr>
          <w:rFonts w:hint="eastAsia" w:ascii="宋体" w:hAnsi="宋体" w:cs="宋体"/>
          <w:b/>
          <w:bCs/>
          <w:color w:val="000000" w:themeColor="text1"/>
          <w:sz w:val="24"/>
          <w:highlight w:val="none"/>
          <w14:textFill>
            <w14:solidFill>
              <w14:schemeClr w14:val="tx1"/>
            </w14:solidFill>
          </w14:textFill>
        </w:rPr>
      </w:pPr>
    </w:p>
    <w:p w14:paraId="53D7970A">
      <w:pPr>
        <w:pStyle w:val="238"/>
        <w:rPr>
          <w:rFonts w:hint="eastAsia" w:ascii="宋体" w:hAnsi="宋体" w:cs="宋体"/>
          <w:b/>
          <w:bCs/>
          <w:color w:val="000000" w:themeColor="text1"/>
          <w:sz w:val="24"/>
          <w:highlight w:val="none"/>
          <w14:textFill>
            <w14:solidFill>
              <w14:schemeClr w14:val="tx1"/>
            </w14:solidFill>
          </w14:textFill>
        </w:rPr>
      </w:pPr>
    </w:p>
    <w:p w14:paraId="4E4FEBDF">
      <w:pPr>
        <w:pStyle w:val="238"/>
        <w:rPr>
          <w:rFonts w:hint="eastAsia" w:ascii="宋体" w:hAnsi="宋体" w:cs="宋体"/>
          <w:b/>
          <w:bCs/>
          <w:color w:val="000000" w:themeColor="text1"/>
          <w:sz w:val="24"/>
          <w:highlight w:val="none"/>
          <w14:textFill>
            <w14:solidFill>
              <w14:schemeClr w14:val="tx1"/>
            </w14:solidFill>
          </w14:textFill>
        </w:rPr>
      </w:pPr>
    </w:p>
    <w:p w14:paraId="5D4A860D">
      <w:pPr>
        <w:pStyle w:val="238"/>
        <w:rPr>
          <w:rFonts w:hint="eastAsia" w:ascii="宋体" w:hAnsi="宋体" w:cs="宋体"/>
          <w:b/>
          <w:bCs/>
          <w:color w:val="000000" w:themeColor="text1"/>
          <w:sz w:val="24"/>
          <w:highlight w:val="none"/>
          <w14:textFill>
            <w14:solidFill>
              <w14:schemeClr w14:val="tx1"/>
            </w14:solidFill>
          </w14:textFill>
        </w:rPr>
      </w:pPr>
    </w:p>
    <w:p w14:paraId="4A00075A">
      <w:pPr>
        <w:pStyle w:val="238"/>
        <w:rPr>
          <w:rFonts w:hint="eastAsia" w:ascii="宋体" w:hAnsi="宋体" w:cs="宋体"/>
          <w:b/>
          <w:bCs/>
          <w:color w:val="000000" w:themeColor="text1"/>
          <w:sz w:val="24"/>
          <w:highlight w:val="none"/>
          <w14:textFill>
            <w14:solidFill>
              <w14:schemeClr w14:val="tx1"/>
            </w14:solidFill>
          </w14:textFill>
        </w:rPr>
      </w:pPr>
    </w:p>
    <w:p w14:paraId="5C285C7D">
      <w:pPr>
        <w:pStyle w:val="238"/>
        <w:rPr>
          <w:rFonts w:hint="eastAsia" w:ascii="宋体" w:hAnsi="宋体" w:cs="宋体"/>
          <w:b/>
          <w:bCs/>
          <w:color w:val="000000" w:themeColor="text1"/>
          <w:sz w:val="24"/>
          <w:highlight w:val="none"/>
          <w14:textFill>
            <w14:solidFill>
              <w14:schemeClr w14:val="tx1"/>
            </w14:solidFill>
          </w14:textFill>
        </w:rPr>
      </w:pPr>
    </w:p>
    <w:p w14:paraId="6B413C4E">
      <w:pPr>
        <w:pStyle w:val="238"/>
        <w:rPr>
          <w:rFonts w:hint="eastAsia" w:ascii="宋体" w:hAnsi="宋体" w:cs="宋体"/>
          <w:b/>
          <w:bCs/>
          <w:color w:val="000000" w:themeColor="text1"/>
          <w:sz w:val="24"/>
          <w:highlight w:val="none"/>
          <w14:textFill>
            <w14:solidFill>
              <w14:schemeClr w14:val="tx1"/>
            </w14:solidFill>
          </w14:textFill>
        </w:rPr>
      </w:pPr>
    </w:p>
    <w:p w14:paraId="2F4025A5">
      <w:pPr>
        <w:pStyle w:val="238"/>
        <w:rPr>
          <w:rFonts w:hint="eastAsia" w:ascii="宋体" w:hAnsi="宋体" w:cs="宋体"/>
          <w:b/>
          <w:bCs/>
          <w:color w:val="000000" w:themeColor="text1"/>
          <w:sz w:val="24"/>
          <w:highlight w:val="none"/>
          <w14:textFill>
            <w14:solidFill>
              <w14:schemeClr w14:val="tx1"/>
            </w14:solidFill>
          </w14:textFill>
        </w:rPr>
      </w:pPr>
    </w:p>
    <w:p w14:paraId="6B984D5B">
      <w:pPr>
        <w:pStyle w:val="238"/>
        <w:rPr>
          <w:rFonts w:hint="eastAsia" w:ascii="宋体" w:hAnsi="宋体" w:cs="宋体"/>
          <w:b/>
          <w:bCs/>
          <w:color w:val="000000" w:themeColor="text1"/>
          <w:sz w:val="24"/>
          <w:highlight w:val="none"/>
          <w14:textFill>
            <w14:solidFill>
              <w14:schemeClr w14:val="tx1"/>
            </w14:solidFill>
          </w14:textFill>
        </w:rPr>
      </w:pPr>
    </w:p>
    <w:p w14:paraId="2AEAA844">
      <w:pPr>
        <w:pStyle w:val="238"/>
        <w:rPr>
          <w:rFonts w:hint="eastAsia" w:ascii="宋体" w:hAnsi="宋体" w:cs="宋体"/>
          <w:b/>
          <w:bCs/>
          <w:color w:val="000000" w:themeColor="text1"/>
          <w:sz w:val="24"/>
          <w:highlight w:val="none"/>
          <w14:textFill>
            <w14:solidFill>
              <w14:schemeClr w14:val="tx1"/>
            </w14:solidFill>
          </w14:textFill>
        </w:rPr>
      </w:pPr>
    </w:p>
    <w:p w14:paraId="7AC2826A">
      <w:pPr>
        <w:pStyle w:val="238"/>
        <w:rPr>
          <w:rFonts w:hint="eastAsia" w:ascii="宋体" w:hAnsi="宋体" w:cs="宋体"/>
          <w:b/>
          <w:bCs/>
          <w:color w:val="000000" w:themeColor="text1"/>
          <w:sz w:val="24"/>
          <w:highlight w:val="none"/>
          <w14:textFill>
            <w14:solidFill>
              <w14:schemeClr w14:val="tx1"/>
            </w14:solidFill>
          </w14:textFill>
        </w:rPr>
      </w:pPr>
    </w:p>
    <w:p w14:paraId="2772CEE2">
      <w:pPr>
        <w:pStyle w:val="238"/>
        <w:rPr>
          <w:rFonts w:hint="eastAsia" w:ascii="宋体" w:hAnsi="宋体" w:cs="宋体"/>
          <w:b/>
          <w:bCs/>
          <w:color w:val="000000" w:themeColor="text1"/>
          <w:sz w:val="24"/>
          <w:highlight w:val="none"/>
          <w14:textFill>
            <w14:solidFill>
              <w14:schemeClr w14:val="tx1"/>
            </w14:solidFill>
          </w14:textFill>
        </w:rPr>
      </w:pPr>
    </w:p>
    <w:p w14:paraId="4AD44EE5">
      <w:pPr>
        <w:pStyle w:val="238"/>
        <w:rPr>
          <w:rFonts w:hint="eastAsia" w:ascii="宋体" w:hAnsi="宋体" w:cs="宋体"/>
          <w:b/>
          <w:bCs/>
          <w:color w:val="000000" w:themeColor="text1"/>
          <w:sz w:val="24"/>
          <w:highlight w:val="none"/>
          <w14:textFill>
            <w14:solidFill>
              <w14:schemeClr w14:val="tx1"/>
            </w14:solidFill>
          </w14:textFill>
        </w:rPr>
      </w:pPr>
    </w:p>
    <w:p w14:paraId="6CFFAF21">
      <w:pPr>
        <w:pStyle w:val="238"/>
        <w:rPr>
          <w:rFonts w:hint="eastAsia" w:ascii="宋体" w:hAnsi="宋体" w:cs="宋体"/>
          <w:b/>
          <w:bCs/>
          <w:color w:val="000000" w:themeColor="text1"/>
          <w:sz w:val="24"/>
          <w:highlight w:val="none"/>
          <w14:textFill>
            <w14:solidFill>
              <w14:schemeClr w14:val="tx1"/>
            </w14:solidFill>
          </w14:textFill>
        </w:rPr>
      </w:pPr>
    </w:p>
    <w:p w14:paraId="7D6F614F">
      <w:pPr>
        <w:pStyle w:val="238"/>
        <w:rPr>
          <w:rFonts w:hint="eastAsia" w:ascii="宋体" w:hAnsi="宋体" w:cs="宋体"/>
          <w:b/>
          <w:bCs/>
          <w:color w:val="000000" w:themeColor="text1"/>
          <w:sz w:val="24"/>
          <w:highlight w:val="none"/>
          <w14:textFill>
            <w14:solidFill>
              <w14:schemeClr w14:val="tx1"/>
            </w14:solidFill>
          </w14:textFill>
        </w:rPr>
      </w:pPr>
    </w:p>
    <w:p w14:paraId="76DF6E64">
      <w:pPr>
        <w:pStyle w:val="238"/>
        <w:rPr>
          <w:rFonts w:hint="eastAsia" w:ascii="宋体" w:hAnsi="宋体" w:cs="宋体"/>
          <w:b/>
          <w:bCs/>
          <w:color w:val="000000" w:themeColor="text1"/>
          <w:sz w:val="24"/>
          <w:highlight w:val="none"/>
          <w14:textFill>
            <w14:solidFill>
              <w14:schemeClr w14:val="tx1"/>
            </w14:solidFill>
          </w14:textFill>
        </w:rPr>
      </w:pPr>
    </w:p>
    <w:p w14:paraId="5FF31DBA">
      <w:pPr>
        <w:pStyle w:val="238"/>
        <w:rPr>
          <w:rFonts w:hint="eastAsia" w:ascii="宋体" w:hAnsi="宋体" w:cs="宋体"/>
          <w:b/>
          <w:bCs/>
          <w:color w:val="000000" w:themeColor="text1"/>
          <w:sz w:val="24"/>
          <w:highlight w:val="none"/>
          <w14:textFill>
            <w14:solidFill>
              <w14:schemeClr w14:val="tx1"/>
            </w14:solidFill>
          </w14:textFill>
        </w:rPr>
      </w:pPr>
    </w:p>
    <w:p w14:paraId="5FEA0997">
      <w:pPr>
        <w:pStyle w:val="238"/>
        <w:rPr>
          <w:rFonts w:hint="eastAsia" w:ascii="宋体" w:hAnsi="宋体" w:cs="宋体"/>
          <w:b/>
          <w:bCs/>
          <w:color w:val="000000" w:themeColor="text1"/>
          <w:sz w:val="24"/>
          <w:highlight w:val="none"/>
          <w14:textFill>
            <w14:solidFill>
              <w14:schemeClr w14:val="tx1"/>
            </w14:solidFill>
          </w14:textFill>
        </w:rPr>
      </w:pPr>
    </w:p>
    <w:p w14:paraId="04948B25">
      <w:pPr>
        <w:pStyle w:val="238"/>
        <w:rPr>
          <w:rFonts w:hint="eastAsia" w:ascii="宋体" w:hAnsi="宋体" w:cs="宋体"/>
          <w:b/>
          <w:bCs/>
          <w:color w:val="000000" w:themeColor="text1"/>
          <w:sz w:val="24"/>
          <w:highlight w:val="none"/>
          <w14:textFill>
            <w14:solidFill>
              <w14:schemeClr w14:val="tx1"/>
            </w14:solidFill>
          </w14:textFill>
        </w:rPr>
      </w:pPr>
    </w:p>
    <w:p w14:paraId="2D575675">
      <w:pPr>
        <w:pStyle w:val="238"/>
        <w:rPr>
          <w:rFonts w:hint="eastAsia" w:ascii="宋体" w:hAnsi="宋体" w:cs="宋体"/>
          <w:b/>
          <w:bCs/>
          <w:color w:val="000000" w:themeColor="text1"/>
          <w:sz w:val="24"/>
          <w:highlight w:val="none"/>
          <w14:textFill>
            <w14:solidFill>
              <w14:schemeClr w14:val="tx1"/>
            </w14:solidFill>
          </w14:textFill>
        </w:rPr>
      </w:pPr>
    </w:p>
    <w:p w14:paraId="3F039E5E">
      <w:pPr>
        <w:pStyle w:val="238"/>
        <w:rPr>
          <w:rFonts w:hint="eastAsia" w:ascii="宋体" w:hAnsi="宋体" w:cs="宋体"/>
          <w:b/>
          <w:bCs/>
          <w:color w:val="000000" w:themeColor="text1"/>
          <w:sz w:val="24"/>
          <w:highlight w:val="none"/>
          <w14:textFill>
            <w14:solidFill>
              <w14:schemeClr w14:val="tx1"/>
            </w14:solidFill>
          </w14:textFill>
        </w:rPr>
      </w:pPr>
    </w:p>
    <w:p w14:paraId="452502F4">
      <w:pPr>
        <w:pStyle w:val="238"/>
        <w:rPr>
          <w:rFonts w:hint="eastAsia" w:ascii="宋体" w:hAnsi="宋体" w:cs="宋体"/>
          <w:b/>
          <w:bCs/>
          <w:color w:val="000000" w:themeColor="text1"/>
          <w:sz w:val="24"/>
          <w:highlight w:val="none"/>
          <w14:textFill>
            <w14:solidFill>
              <w14:schemeClr w14:val="tx1"/>
            </w14:solidFill>
          </w14:textFill>
        </w:rPr>
      </w:pPr>
    </w:p>
    <w:p w14:paraId="35A76D11">
      <w:pPr>
        <w:pStyle w:val="238"/>
        <w:rPr>
          <w:rFonts w:hint="eastAsia" w:ascii="宋体" w:hAnsi="宋体" w:cs="宋体"/>
          <w:b/>
          <w:bCs/>
          <w:color w:val="000000" w:themeColor="text1"/>
          <w:sz w:val="24"/>
          <w:highlight w:val="none"/>
          <w14:textFill>
            <w14:solidFill>
              <w14:schemeClr w14:val="tx1"/>
            </w14:solidFill>
          </w14:textFill>
        </w:rPr>
      </w:pPr>
    </w:p>
    <w:p w14:paraId="636A6DB3">
      <w:pPr>
        <w:pStyle w:val="238"/>
        <w:rPr>
          <w:rFonts w:hint="eastAsia" w:ascii="宋体" w:hAnsi="宋体" w:cs="宋体"/>
          <w:b/>
          <w:bCs/>
          <w:color w:val="000000" w:themeColor="text1"/>
          <w:sz w:val="24"/>
          <w:highlight w:val="none"/>
          <w14:textFill>
            <w14:solidFill>
              <w14:schemeClr w14:val="tx1"/>
            </w14:solidFill>
          </w14:textFill>
        </w:rPr>
      </w:pPr>
    </w:p>
    <w:p w14:paraId="79F79B45">
      <w:pPr>
        <w:pStyle w:val="238"/>
        <w:rPr>
          <w:rFonts w:hint="eastAsia" w:ascii="宋体" w:hAnsi="宋体" w:cs="宋体"/>
          <w:b/>
          <w:bCs/>
          <w:color w:val="000000" w:themeColor="text1"/>
          <w:sz w:val="24"/>
          <w:highlight w:val="none"/>
          <w14:textFill>
            <w14:solidFill>
              <w14:schemeClr w14:val="tx1"/>
            </w14:solidFill>
          </w14:textFill>
        </w:rPr>
      </w:pPr>
    </w:p>
    <w:p w14:paraId="4A367D4B">
      <w:pPr>
        <w:pStyle w:val="238"/>
        <w:rPr>
          <w:rFonts w:hint="eastAsia" w:ascii="宋体" w:hAnsi="宋体" w:cs="宋体"/>
          <w:b/>
          <w:bCs/>
          <w:color w:val="000000" w:themeColor="text1"/>
          <w:sz w:val="24"/>
          <w:highlight w:val="none"/>
          <w14:textFill>
            <w14:solidFill>
              <w14:schemeClr w14:val="tx1"/>
            </w14:solidFill>
          </w14:textFill>
        </w:rPr>
      </w:pPr>
    </w:p>
    <w:p w14:paraId="0DA6515A">
      <w:pPr>
        <w:pStyle w:val="238"/>
        <w:rPr>
          <w:rFonts w:hint="eastAsia" w:ascii="宋体" w:hAnsi="宋体" w:cs="宋体"/>
          <w:b/>
          <w:bCs/>
          <w:color w:val="000000" w:themeColor="text1"/>
          <w:sz w:val="24"/>
          <w:highlight w:val="none"/>
          <w14:textFill>
            <w14:solidFill>
              <w14:schemeClr w14:val="tx1"/>
            </w14:solidFill>
          </w14:textFill>
        </w:rPr>
      </w:pPr>
    </w:p>
    <w:p w14:paraId="10797428">
      <w:pPr>
        <w:pStyle w:val="238"/>
        <w:rPr>
          <w:rFonts w:hint="eastAsia" w:ascii="宋体" w:hAnsi="宋体" w:cs="宋体"/>
          <w:b/>
          <w:bCs/>
          <w:color w:val="000000" w:themeColor="text1"/>
          <w:sz w:val="24"/>
          <w:highlight w:val="none"/>
          <w14:textFill>
            <w14:solidFill>
              <w14:schemeClr w14:val="tx1"/>
            </w14:solidFill>
          </w14:textFill>
        </w:rPr>
      </w:pPr>
    </w:p>
    <w:p w14:paraId="51530082">
      <w:pPr>
        <w:pStyle w:val="238"/>
        <w:rPr>
          <w:rFonts w:hint="eastAsia" w:ascii="宋体" w:hAnsi="宋体" w:cs="宋体"/>
          <w:b/>
          <w:bCs/>
          <w:color w:val="000000" w:themeColor="text1"/>
          <w:sz w:val="24"/>
          <w:highlight w:val="none"/>
          <w14:textFill>
            <w14:solidFill>
              <w14:schemeClr w14:val="tx1"/>
            </w14:solidFill>
          </w14:textFill>
        </w:rPr>
      </w:pPr>
    </w:p>
    <w:p w14:paraId="30CA98E9">
      <w:pPr>
        <w:pStyle w:val="238"/>
        <w:rPr>
          <w:rFonts w:hint="eastAsia" w:ascii="宋体" w:hAnsi="宋体" w:cs="宋体"/>
          <w:b/>
          <w:bCs/>
          <w:color w:val="000000" w:themeColor="text1"/>
          <w:sz w:val="24"/>
          <w:highlight w:val="none"/>
          <w14:textFill>
            <w14:solidFill>
              <w14:schemeClr w14:val="tx1"/>
            </w14:solidFill>
          </w14:textFill>
        </w:rPr>
      </w:pPr>
    </w:p>
    <w:p w14:paraId="32DAE787">
      <w:pPr>
        <w:pStyle w:val="238"/>
        <w:rPr>
          <w:rFonts w:hint="eastAsia" w:ascii="宋体" w:hAnsi="宋体" w:cs="宋体"/>
          <w:b/>
          <w:bCs/>
          <w:color w:val="000000" w:themeColor="text1"/>
          <w:sz w:val="24"/>
          <w:highlight w:val="none"/>
          <w14:textFill>
            <w14:solidFill>
              <w14:schemeClr w14:val="tx1"/>
            </w14:solidFill>
          </w14:textFill>
        </w:rPr>
      </w:pPr>
    </w:p>
    <w:p w14:paraId="1C8BBFAD">
      <w:pPr>
        <w:spacing w:before="50" w:after="50"/>
        <w:jc w:val="center"/>
        <w:outlineLvl w:val="1"/>
        <w:rPr>
          <w:rFonts w:hint="eastAsia" w:ascii="宋体" w:hAnsi="宋体" w:cs="宋体"/>
          <w:b/>
          <w:bCs/>
          <w:color w:val="000000" w:themeColor="text1"/>
          <w:sz w:val="24"/>
          <w:highlight w:val="none"/>
          <w14:textFill>
            <w14:solidFill>
              <w14:schemeClr w14:val="tx1"/>
            </w14:solidFill>
          </w14:textFill>
        </w:rPr>
      </w:pPr>
      <w:bookmarkStart w:id="154" w:name="_Toc30641"/>
      <w:r>
        <w:rPr>
          <w:rFonts w:hint="eastAsia" w:ascii="宋体" w:hAnsi="宋体" w:cs="宋体"/>
          <w:b/>
          <w:bCs/>
          <w:color w:val="000000" w:themeColor="text1"/>
          <w:sz w:val="24"/>
          <w:highlight w:val="none"/>
          <w14:textFill>
            <w14:solidFill>
              <w14:schemeClr w14:val="tx1"/>
            </w14:solidFill>
          </w14:textFill>
        </w:rPr>
        <w:t>第六章  投标文件格式</w:t>
      </w:r>
      <w:bookmarkEnd w:id="154"/>
    </w:p>
    <w:p w14:paraId="048F6E65">
      <w:pPr>
        <w:spacing w:before="50" w:after="50"/>
        <w:outlineLvl w:val="1"/>
        <w:rPr>
          <w:rFonts w:hint="eastAsia" w:ascii="宋体" w:hAnsi="宋体" w:cs="宋体"/>
          <w:b/>
          <w:bCs/>
          <w:color w:val="000000" w:themeColor="text1"/>
          <w:sz w:val="24"/>
          <w:highlight w:val="none"/>
          <w14:textFill>
            <w14:solidFill>
              <w14:schemeClr w14:val="tx1"/>
            </w14:solidFill>
          </w14:textFill>
        </w:rPr>
      </w:pPr>
    </w:p>
    <w:p w14:paraId="434FC681">
      <w:pPr>
        <w:spacing w:before="120" w:after="50" w:line="360" w:lineRule="auto"/>
        <w:ind w:left="142"/>
        <w:jc w:val="left"/>
        <w:rPr>
          <w:rFonts w:hint="eastAsia" w:ascii="宋体" w:hAnsi="宋体" w:cs="宋体"/>
          <w:b/>
          <w:color w:val="000000" w:themeColor="text1"/>
          <w:sz w:val="24"/>
          <w:highlight w:val="none"/>
          <w14:textFill>
            <w14:solidFill>
              <w14:schemeClr w14:val="tx1"/>
            </w14:solidFill>
          </w14:textFill>
        </w:rPr>
      </w:pPr>
    </w:p>
    <w:p w14:paraId="03975ED0">
      <w:pPr>
        <w:spacing w:before="120" w:after="50" w:line="360" w:lineRule="auto"/>
        <w:ind w:left="142"/>
        <w:jc w:val="left"/>
        <w:rPr>
          <w:rFonts w:hint="eastAsia" w:ascii="宋体" w:hAnsi="宋体" w:cs="宋体"/>
          <w:b/>
          <w:color w:val="000000" w:themeColor="text1"/>
          <w:sz w:val="24"/>
          <w:highlight w:val="none"/>
          <w14:textFill>
            <w14:solidFill>
              <w14:schemeClr w14:val="tx1"/>
            </w14:solidFill>
          </w14:textFill>
        </w:rPr>
      </w:pPr>
    </w:p>
    <w:p w14:paraId="35CA4EE5">
      <w:pPr>
        <w:spacing w:before="120" w:after="50" w:line="360" w:lineRule="auto"/>
        <w:ind w:left="142"/>
        <w:jc w:val="left"/>
        <w:rPr>
          <w:rFonts w:hint="eastAsia" w:ascii="宋体" w:hAnsi="宋体" w:cs="宋体"/>
          <w:b/>
          <w:color w:val="000000" w:themeColor="text1"/>
          <w:sz w:val="24"/>
          <w:highlight w:val="none"/>
          <w14:textFill>
            <w14:solidFill>
              <w14:schemeClr w14:val="tx1"/>
            </w14:solidFill>
          </w14:textFill>
        </w:rPr>
      </w:pPr>
    </w:p>
    <w:p w14:paraId="32C4AE70">
      <w:pPr>
        <w:spacing w:before="120" w:after="50" w:line="360" w:lineRule="auto"/>
        <w:ind w:left="142"/>
        <w:jc w:val="left"/>
        <w:rPr>
          <w:rFonts w:hint="eastAsia" w:ascii="宋体" w:hAnsi="宋体" w:cs="宋体"/>
          <w:b/>
          <w:color w:val="000000" w:themeColor="text1"/>
          <w:sz w:val="24"/>
          <w:highlight w:val="none"/>
          <w14:textFill>
            <w14:solidFill>
              <w14:schemeClr w14:val="tx1"/>
            </w14:solidFill>
          </w14:textFill>
        </w:rPr>
      </w:pPr>
    </w:p>
    <w:p w14:paraId="758E6EB9">
      <w:pPr>
        <w:spacing w:before="120" w:after="50" w:line="360" w:lineRule="auto"/>
        <w:ind w:left="142"/>
        <w:jc w:val="left"/>
        <w:rPr>
          <w:rFonts w:hint="eastAsia" w:ascii="宋体" w:hAnsi="宋体" w:cs="宋体"/>
          <w:b/>
          <w:color w:val="000000" w:themeColor="text1"/>
          <w:sz w:val="24"/>
          <w:highlight w:val="none"/>
          <w14:textFill>
            <w14:solidFill>
              <w14:schemeClr w14:val="tx1"/>
            </w14:solidFill>
          </w14:textFill>
        </w:rPr>
      </w:pPr>
    </w:p>
    <w:p w14:paraId="4CC79299">
      <w:pPr>
        <w:spacing w:before="120" w:after="50" w:line="360" w:lineRule="auto"/>
        <w:ind w:left="142"/>
        <w:jc w:val="left"/>
        <w:rPr>
          <w:rFonts w:hint="eastAsia" w:ascii="宋体" w:hAnsi="宋体" w:cs="宋体"/>
          <w:b/>
          <w:color w:val="000000" w:themeColor="text1"/>
          <w:sz w:val="24"/>
          <w:highlight w:val="none"/>
          <w14:textFill>
            <w14:solidFill>
              <w14:schemeClr w14:val="tx1"/>
            </w14:solidFill>
          </w14:textFill>
        </w:rPr>
      </w:pPr>
    </w:p>
    <w:p w14:paraId="692C99FC">
      <w:pPr>
        <w:spacing w:before="120" w:after="50" w:line="360" w:lineRule="auto"/>
        <w:ind w:left="142"/>
        <w:jc w:val="left"/>
        <w:rPr>
          <w:rFonts w:hint="eastAsia" w:ascii="宋体" w:hAnsi="宋体" w:cs="宋体"/>
          <w:b/>
          <w:color w:val="000000" w:themeColor="text1"/>
          <w:sz w:val="24"/>
          <w:highlight w:val="none"/>
          <w14:textFill>
            <w14:solidFill>
              <w14:schemeClr w14:val="tx1"/>
            </w14:solidFill>
          </w14:textFill>
        </w:rPr>
      </w:pPr>
    </w:p>
    <w:p w14:paraId="0719F29C">
      <w:pPr>
        <w:spacing w:before="120" w:after="50" w:line="360" w:lineRule="auto"/>
        <w:ind w:left="142"/>
        <w:jc w:val="left"/>
        <w:rPr>
          <w:rFonts w:hint="eastAsia" w:ascii="宋体" w:hAnsi="宋体" w:cs="宋体"/>
          <w:b/>
          <w:color w:val="000000" w:themeColor="text1"/>
          <w:sz w:val="24"/>
          <w:highlight w:val="none"/>
          <w14:textFill>
            <w14:solidFill>
              <w14:schemeClr w14:val="tx1"/>
            </w14:solidFill>
          </w14:textFill>
        </w:rPr>
      </w:pPr>
    </w:p>
    <w:p w14:paraId="39D09404">
      <w:pPr>
        <w:pStyle w:val="273"/>
        <w:rPr>
          <w:rFonts w:hint="eastAsia" w:cs="宋体"/>
          <w:b/>
          <w:color w:val="000000" w:themeColor="text1"/>
          <w:highlight w:val="none"/>
          <w14:textFill>
            <w14:solidFill>
              <w14:schemeClr w14:val="tx1"/>
            </w14:solidFill>
          </w14:textFill>
        </w:rPr>
      </w:pPr>
    </w:p>
    <w:p w14:paraId="46E70419">
      <w:pPr>
        <w:pStyle w:val="273"/>
        <w:rPr>
          <w:rFonts w:hint="eastAsia" w:cs="宋体"/>
          <w:b/>
          <w:color w:val="000000" w:themeColor="text1"/>
          <w:highlight w:val="none"/>
          <w14:textFill>
            <w14:solidFill>
              <w14:schemeClr w14:val="tx1"/>
            </w14:solidFill>
          </w14:textFill>
        </w:rPr>
      </w:pPr>
    </w:p>
    <w:p w14:paraId="03987F42">
      <w:pPr>
        <w:pStyle w:val="273"/>
        <w:rPr>
          <w:rFonts w:hint="eastAsia" w:cs="宋体"/>
          <w:b/>
          <w:color w:val="000000" w:themeColor="text1"/>
          <w:highlight w:val="none"/>
          <w14:textFill>
            <w14:solidFill>
              <w14:schemeClr w14:val="tx1"/>
            </w14:solidFill>
          </w14:textFill>
        </w:rPr>
      </w:pPr>
    </w:p>
    <w:p w14:paraId="42399E88">
      <w:pPr>
        <w:spacing w:before="120" w:after="50" w:line="360" w:lineRule="auto"/>
        <w:ind w:left="142"/>
        <w:jc w:val="left"/>
        <w:rPr>
          <w:rFonts w:hint="eastAsia" w:ascii="宋体" w:hAnsi="宋体" w:cs="宋体"/>
          <w:b/>
          <w:color w:val="000000" w:themeColor="text1"/>
          <w:sz w:val="24"/>
          <w:highlight w:val="none"/>
          <w14:textFill>
            <w14:solidFill>
              <w14:schemeClr w14:val="tx1"/>
            </w14:solidFill>
          </w14:textFill>
        </w:rPr>
      </w:pPr>
    </w:p>
    <w:p w14:paraId="13A15BC9">
      <w:pPr>
        <w:spacing w:before="120" w:after="50" w:line="360" w:lineRule="auto"/>
        <w:ind w:left="142"/>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1. 报价文件封面格式： </w:t>
      </w:r>
    </w:p>
    <w:p w14:paraId="50B97A57">
      <w:pPr>
        <w:spacing w:before="120" w:after="50" w:line="360" w:lineRule="auto"/>
        <w:ind w:left="142"/>
        <w:jc w:val="center"/>
        <w:rPr>
          <w:rFonts w:hint="eastAsia" w:ascii="宋体" w:hAnsi="宋体" w:cs="宋体"/>
          <w:bCs/>
          <w:color w:val="000000" w:themeColor="text1"/>
          <w:sz w:val="48"/>
          <w:szCs w:val="48"/>
          <w:highlight w:val="none"/>
          <w14:textFill>
            <w14:solidFill>
              <w14:schemeClr w14:val="tx1"/>
            </w14:solidFill>
          </w14:textFill>
        </w:rPr>
      </w:pPr>
      <w:r>
        <w:rPr>
          <w:rFonts w:hint="eastAsia" w:ascii="宋体" w:hAnsi="宋体" w:cs="宋体"/>
          <w:bCs/>
          <w:color w:val="000000" w:themeColor="text1"/>
          <w:sz w:val="48"/>
          <w:szCs w:val="48"/>
          <w:highlight w:val="none"/>
          <w14:textFill>
            <w14:solidFill>
              <w14:schemeClr w14:val="tx1"/>
            </w14:solidFill>
          </w14:textFill>
        </w:rPr>
        <w:t>电子投标文件</w:t>
      </w:r>
    </w:p>
    <w:p w14:paraId="3E3DC2E0">
      <w:pPr>
        <w:spacing w:before="120" w:after="50" w:line="400" w:lineRule="exact"/>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1B8CA1B0">
      <w:pPr>
        <w:spacing w:before="120" w:after="50" w:line="400" w:lineRule="exact"/>
        <w:jc w:val="center"/>
        <w:rPr>
          <w:rFonts w:hint="eastAsia" w:ascii="宋体" w:hAnsi="宋体" w:cs="宋体"/>
          <w:bCs/>
          <w:color w:val="000000" w:themeColor="text1"/>
          <w:sz w:val="24"/>
          <w:szCs w:val="20"/>
          <w:highlight w:val="none"/>
          <w14:textFill>
            <w14:solidFill>
              <w14:schemeClr w14:val="tx1"/>
            </w14:solidFill>
          </w14:textFill>
        </w:rPr>
      </w:pPr>
    </w:p>
    <w:p w14:paraId="0EE1D9D1">
      <w:pPr>
        <w:spacing w:before="120" w:after="50" w:line="400" w:lineRule="exact"/>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报价文件</w:t>
      </w:r>
    </w:p>
    <w:p w14:paraId="35DDF451">
      <w:pPr>
        <w:spacing w:before="120" w:after="50" w:line="400" w:lineRule="exact"/>
        <w:rPr>
          <w:rFonts w:hint="eastAsia" w:ascii="宋体" w:hAnsi="宋体" w:cs="宋体"/>
          <w:bCs/>
          <w:color w:val="000000" w:themeColor="text1"/>
          <w:sz w:val="24"/>
          <w:szCs w:val="20"/>
          <w:highlight w:val="none"/>
          <w14:textFill>
            <w14:solidFill>
              <w14:schemeClr w14:val="tx1"/>
            </w14:solidFill>
          </w14:textFill>
        </w:rPr>
      </w:pPr>
    </w:p>
    <w:p w14:paraId="5929F87E">
      <w:pPr>
        <w:spacing w:before="120" w:after="50" w:line="400" w:lineRule="exact"/>
        <w:rPr>
          <w:rFonts w:hint="eastAsia" w:ascii="宋体" w:hAnsi="宋体" w:cs="宋体"/>
          <w:bCs/>
          <w:color w:val="000000" w:themeColor="text1"/>
          <w:sz w:val="24"/>
          <w:szCs w:val="20"/>
          <w:highlight w:val="none"/>
          <w14:textFill>
            <w14:solidFill>
              <w14:schemeClr w14:val="tx1"/>
            </w14:solidFill>
          </w14:textFill>
        </w:rPr>
      </w:pPr>
    </w:p>
    <w:p w14:paraId="14B1B129">
      <w:pPr>
        <w:spacing w:before="120" w:after="50" w:line="400" w:lineRule="exact"/>
        <w:rPr>
          <w:rFonts w:hint="eastAsia" w:ascii="宋体" w:hAnsi="宋体" w:cs="宋体"/>
          <w:bCs/>
          <w:color w:val="000000" w:themeColor="text1"/>
          <w:sz w:val="24"/>
          <w:szCs w:val="20"/>
          <w:highlight w:val="none"/>
          <w14:textFill>
            <w14:solidFill>
              <w14:schemeClr w14:val="tx1"/>
            </w14:solidFill>
          </w14:textFill>
        </w:rPr>
      </w:pPr>
    </w:p>
    <w:p w14:paraId="0A1306E8">
      <w:pPr>
        <w:spacing w:before="120" w:after="50" w:line="400" w:lineRule="exact"/>
        <w:rPr>
          <w:rFonts w:hint="eastAsia" w:ascii="宋体" w:hAnsi="宋体" w:cs="宋体"/>
          <w:bCs/>
          <w:color w:val="000000" w:themeColor="text1"/>
          <w:sz w:val="24"/>
          <w:szCs w:val="20"/>
          <w:highlight w:val="none"/>
          <w14:textFill>
            <w14:solidFill>
              <w14:schemeClr w14:val="tx1"/>
            </w14:solidFill>
          </w14:textFill>
        </w:rPr>
      </w:pPr>
    </w:p>
    <w:p w14:paraId="2E2FA4BC">
      <w:pPr>
        <w:spacing w:before="120" w:after="50" w:line="400" w:lineRule="exact"/>
        <w:ind w:firstLine="36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436AFF67">
      <w:pPr>
        <w:spacing w:before="120" w:after="50" w:line="400" w:lineRule="exact"/>
        <w:ind w:firstLine="360"/>
        <w:rPr>
          <w:rFonts w:hint="eastAsia" w:ascii="宋体" w:hAnsi="宋体" w:cs="宋体"/>
          <w:bCs/>
          <w:color w:val="000000" w:themeColor="text1"/>
          <w:sz w:val="24"/>
          <w:highlight w:val="none"/>
          <w14:textFill>
            <w14:solidFill>
              <w14:schemeClr w14:val="tx1"/>
            </w14:solidFill>
          </w14:textFill>
        </w:rPr>
      </w:pPr>
    </w:p>
    <w:p w14:paraId="27A231AB">
      <w:pPr>
        <w:spacing w:before="120" w:after="50" w:line="400" w:lineRule="exact"/>
        <w:ind w:firstLine="360"/>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项目编号： </w:t>
      </w:r>
    </w:p>
    <w:p w14:paraId="2D227AF8">
      <w:pPr>
        <w:spacing w:before="120" w:after="50"/>
        <w:ind w:firstLine="360"/>
        <w:rPr>
          <w:rFonts w:hint="eastAsia" w:ascii="宋体" w:hAnsi="宋体" w:cs="宋体"/>
          <w:bCs/>
          <w:color w:val="000000" w:themeColor="text1"/>
          <w:sz w:val="24"/>
          <w:highlight w:val="none"/>
          <w14:textFill>
            <w14:solidFill>
              <w14:schemeClr w14:val="tx1"/>
            </w14:solidFill>
          </w14:textFill>
        </w:rPr>
      </w:pPr>
    </w:p>
    <w:p w14:paraId="02E5A1CA">
      <w:pPr>
        <w:pStyle w:val="195"/>
        <w:rPr>
          <w:rFonts w:hint="eastAsia" w:ascii="宋体" w:hAnsi="宋体" w:eastAsia="宋体" w:cs="宋体"/>
          <w:color w:val="000000" w:themeColor="text1"/>
          <w:highlight w:val="none"/>
          <w14:textFill>
            <w14:solidFill>
              <w14:schemeClr w14:val="tx1"/>
            </w14:solidFill>
          </w14:textFill>
        </w:rPr>
      </w:pPr>
    </w:p>
    <w:p w14:paraId="61A15EE4">
      <w:pPr>
        <w:spacing w:before="120" w:after="50" w:line="400" w:lineRule="exact"/>
        <w:ind w:firstLine="36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312466F6">
      <w:pPr>
        <w:spacing w:before="120" w:after="50" w:line="400" w:lineRule="exact"/>
        <w:ind w:firstLine="360"/>
        <w:rPr>
          <w:rFonts w:hint="eastAsia" w:ascii="宋体" w:hAnsi="宋体" w:cs="宋体"/>
          <w:bCs/>
          <w:color w:val="000000" w:themeColor="text1"/>
          <w:sz w:val="24"/>
          <w:highlight w:val="none"/>
          <w14:textFill>
            <w14:solidFill>
              <w14:schemeClr w14:val="tx1"/>
            </w14:solidFill>
          </w14:textFill>
        </w:rPr>
      </w:pPr>
    </w:p>
    <w:p w14:paraId="42A2833B">
      <w:pPr>
        <w:spacing w:before="120" w:after="50" w:line="400" w:lineRule="exact"/>
        <w:ind w:firstLine="36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投标人地址：</w:t>
      </w:r>
    </w:p>
    <w:p w14:paraId="172304EC">
      <w:pPr>
        <w:pStyle w:val="197"/>
        <w:spacing w:before="50" w:after="50" w:line="400" w:lineRule="exact"/>
        <w:ind w:firstLine="960"/>
        <w:rPr>
          <w:rFonts w:hint="eastAsia" w:ascii="宋体" w:hAnsi="宋体" w:cs="宋体"/>
          <w:bCs/>
          <w:color w:val="000000" w:themeColor="text1"/>
          <w:sz w:val="24"/>
          <w:szCs w:val="24"/>
          <w:highlight w:val="none"/>
          <w14:textFill>
            <w14:solidFill>
              <w14:schemeClr w14:val="tx1"/>
            </w14:solidFill>
          </w14:textFill>
        </w:rPr>
      </w:pPr>
    </w:p>
    <w:p w14:paraId="5A57819C">
      <w:pPr>
        <w:spacing w:before="120" w:after="50" w:line="400" w:lineRule="exact"/>
        <w:rPr>
          <w:rFonts w:hint="eastAsia" w:ascii="宋体" w:hAnsi="宋体" w:cs="宋体"/>
          <w:color w:val="000000" w:themeColor="text1"/>
          <w:sz w:val="30"/>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6AB25B67">
      <w:pPr>
        <w:spacing w:before="120" w:after="50" w:line="360" w:lineRule="auto"/>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2.</w:t>
      </w:r>
      <w:r>
        <w:rPr>
          <w:rFonts w:hint="eastAsia" w:ascii="宋体" w:hAnsi="宋体" w:cs="宋体"/>
          <w:b/>
          <w:bCs/>
          <w:color w:val="000000" w:themeColor="text1"/>
          <w:sz w:val="24"/>
          <w:highlight w:val="none"/>
          <w14:textFill>
            <w14:solidFill>
              <w14:schemeClr w14:val="tx1"/>
            </w14:solidFill>
          </w14:textFill>
        </w:rPr>
        <w:t>报价文件目录</w:t>
      </w:r>
    </w:p>
    <w:p w14:paraId="15B5C626">
      <w:pPr>
        <w:spacing w:before="50" w:after="120" w:line="360" w:lineRule="auto"/>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根据招标文件规定及投标人提供的材料自行编写目录。</w:t>
      </w:r>
    </w:p>
    <w:p w14:paraId="4AE4FDF0">
      <w:pPr>
        <w:spacing w:before="120" w:after="50"/>
        <w:rPr>
          <w:rFonts w:hint="eastAsia" w:ascii="宋体" w:hAnsi="宋体" w:cs="宋体"/>
          <w:b/>
          <w:color w:val="000000" w:themeColor="text1"/>
          <w:sz w:val="24"/>
          <w:highlight w:val="none"/>
          <w14:textFill>
            <w14:solidFill>
              <w14:schemeClr w14:val="tx1"/>
            </w14:solidFill>
          </w14:textFill>
        </w:rPr>
      </w:pPr>
    </w:p>
    <w:p w14:paraId="780162E3">
      <w:pPr>
        <w:spacing w:before="120" w:after="50"/>
        <w:rPr>
          <w:rFonts w:hint="eastAsia" w:ascii="宋体" w:hAnsi="宋体" w:cs="宋体"/>
          <w:b/>
          <w:color w:val="000000" w:themeColor="text1"/>
          <w:sz w:val="24"/>
          <w:highlight w:val="none"/>
          <w14:textFill>
            <w14:solidFill>
              <w14:schemeClr w14:val="tx1"/>
            </w14:solidFill>
          </w14:textFill>
        </w:rPr>
      </w:pPr>
    </w:p>
    <w:p w14:paraId="5116AB85">
      <w:pPr>
        <w:spacing w:before="120" w:after="50"/>
        <w:rPr>
          <w:rFonts w:hint="eastAsia" w:ascii="宋体" w:hAnsi="宋体" w:cs="宋体"/>
          <w:b/>
          <w:color w:val="000000" w:themeColor="text1"/>
          <w:sz w:val="24"/>
          <w:highlight w:val="none"/>
          <w14:textFill>
            <w14:solidFill>
              <w14:schemeClr w14:val="tx1"/>
            </w14:solidFill>
          </w14:textFill>
        </w:rPr>
      </w:pPr>
    </w:p>
    <w:p w14:paraId="1109CF9C">
      <w:pPr>
        <w:spacing w:before="120" w:after="50"/>
        <w:ind w:left="14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3. 投标函格式：</w:t>
      </w:r>
    </w:p>
    <w:p w14:paraId="5E414310">
      <w:pPr>
        <w:spacing w:before="120" w:after="50"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 标 函</w:t>
      </w:r>
    </w:p>
    <w:p w14:paraId="27A9BD25">
      <w:pPr>
        <w:spacing w:before="120" w:after="50" w:line="320" w:lineRule="exact"/>
        <w:jc w:val="center"/>
        <w:rPr>
          <w:rFonts w:hint="eastAsia" w:ascii="宋体" w:hAnsi="宋体" w:cs="宋体"/>
          <w:b/>
          <w:color w:val="000000" w:themeColor="text1"/>
          <w:sz w:val="24"/>
          <w:szCs w:val="20"/>
          <w:highlight w:val="none"/>
          <w14:textFill>
            <w14:solidFill>
              <w14:schemeClr w14:val="tx1"/>
            </w14:solidFill>
          </w14:textFill>
        </w:rPr>
      </w:pPr>
    </w:p>
    <w:p w14:paraId="6D83B79B">
      <w:pPr>
        <w:spacing w:before="120" w:after="50" w:line="320" w:lineRule="exact"/>
        <w:jc w:val="center"/>
        <w:rPr>
          <w:rFonts w:hint="eastAsia" w:ascii="宋体" w:hAnsi="宋体" w:cs="宋体"/>
          <w:b/>
          <w:color w:val="000000" w:themeColor="text1"/>
          <w:sz w:val="24"/>
          <w:szCs w:val="20"/>
          <w:highlight w:val="none"/>
          <w14:textFill>
            <w14:solidFill>
              <w14:schemeClr w14:val="tx1"/>
            </w14:solidFill>
          </w14:textFill>
        </w:rPr>
      </w:pPr>
    </w:p>
    <w:p w14:paraId="485D7F1E">
      <w:pPr>
        <w:spacing w:before="120" w:after="50" w:line="320" w:lineRule="exact"/>
        <w:jc w:val="center"/>
        <w:rPr>
          <w:rFonts w:hint="eastAsia" w:ascii="宋体" w:hAnsi="宋体" w:cs="宋体"/>
          <w:b/>
          <w:color w:val="000000" w:themeColor="text1"/>
          <w:sz w:val="24"/>
          <w:szCs w:val="20"/>
          <w:highlight w:val="none"/>
          <w14:textFill>
            <w14:solidFill>
              <w14:schemeClr w14:val="tx1"/>
            </w14:solidFill>
          </w14:textFill>
        </w:rPr>
      </w:pPr>
    </w:p>
    <w:p w14:paraId="65C11BD4">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20E247B4">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根据贵方</w:t>
      </w:r>
      <w:r>
        <w:rPr>
          <w:rFonts w:hint="eastAsia" w:ascii="宋体" w:hAnsi="宋体" w:cs="宋体"/>
          <w:color w:val="000000" w:themeColor="text1"/>
          <w:sz w:val="24"/>
          <w:highlight w:val="none"/>
          <w:u w:val="single"/>
          <w14:textFill>
            <w14:solidFill>
              <w14:schemeClr w14:val="tx1"/>
            </w14:solidFill>
          </w14:textFill>
        </w:rPr>
        <w:t xml:space="preserve"> 项目名称</w:t>
      </w:r>
      <w:r>
        <w:rPr>
          <w:rFonts w:hint="eastAsia" w:ascii="宋体" w:hAnsi="宋体" w:cs="宋体"/>
          <w:color w:val="000000" w:themeColor="text1"/>
          <w:sz w:val="24"/>
          <w:highlight w:val="none"/>
          <w14:textFill>
            <w14:solidFill>
              <w14:schemeClr w14:val="tx1"/>
            </w14:solidFill>
          </w14:textFill>
        </w:rPr>
        <w:t>（项目编号：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）的招标公告，签字代表______</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（姓名）经正式授权并代表投标人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（投标人名称）提交投标文件。</w:t>
      </w:r>
    </w:p>
    <w:p w14:paraId="7E5D44A1">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据此函，我方宣布同意如下：</w:t>
      </w:r>
    </w:p>
    <w:p w14:paraId="03F935B8">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1A90BAAD">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2.我方在投标之前已经完全理解并接受招标文件的各项规定和要求，对招标文件的合理性、合法性不再有异议。</w:t>
      </w:r>
    </w:p>
    <w:p w14:paraId="2C3CF8C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3.本投标有效期自投标截止之日起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13435CED">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4.如中标，本投标文件至本项目合同履行完毕止均保持有效，我方将按“招标文件”及政府采购法律、法规的规定履行合同责任和义务。</w:t>
      </w:r>
    </w:p>
    <w:p w14:paraId="7162215D">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5.我方同意按照贵方要求提供与投标有关的一切数据或者资料。</w:t>
      </w:r>
    </w:p>
    <w:p w14:paraId="3DBAC1EB">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6.我方向贵方提交的所有投标文件、资料都是准确的和真实的。</w:t>
      </w:r>
    </w:p>
    <w:p w14:paraId="40558C16">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7.以上事项如有虚假或者隐瞒，我方愿意承担一切后果，并不再寻求任何旨在减轻或者免除法律责任的辩解。</w:t>
      </w:r>
    </w:p>
    <w:p w14:paraId="123EFF07">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7896766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□我方本次投标文件内容中未涉及商业秘密；</w:t>
      </w:r>
    </w:p>
    <w:p w14:paraId="5B04B437">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□我方本次投标文件涉及商业秘密的内容有：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4B2C2EC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9.与本投标有关的一切正式往来信函请寄：</w:t>
      </w:r>
    </w:p>
    <w:p w14:paraId="35946287">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single"/>
          <w14:textFill>
            <w14:solidFill>
              <w14:schemeClr w14:val="tx1"/>
            </w14:solidFill>
          </w14:textFill>
        </w:rPr>
        <w:t xml:space="preserve">            </w:t>
      </w:r>
    </w:p>
    <w:p w14:paraId="772C1B16">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电话：</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传真：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电子邮箱：</w:t>
      </w:r>
      <w:r>
        <w:rPr>
          <w:rFonts w:hint="eastAsia" w:ascii="宋体" w:hAnsi="宋体" w:cs="宋体"/>
          <w:color w:val="000000" w:themeColor="text1"/>
          <w:sz w:val="24"/>
          <w:highlight w:val="none"/>
          <w:u w:val="single"/>
          <w14:textFill>
            <w14:solidFill>
              <w14:schemeClr w14:val="tx1"/>
            </w14:solidFill>
          </w14:textFill>
        </w:rPr>
        <w:t xml:space="preserve">         </w:t>
      </w:r>
    </w:p>
    <w:p w14:paraId="333D6656">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r>
        <w:rPr>
          <w:rFonts w:hint="eastAsia" w:ascii="宋体" w:hAnsi="宋体" w:cs="宋体"/>
          <w:color w:val="000000" w:themeColor="text1"/>
          <w:sz w:val="24"/>
          <w:highlight w:val="none"/>
          <w:u w:val="single"/>
          <w14:textFill>
            <w14:solidFill>
              <w14:schemeClr w14:val="tx1"/>
            </w14:solidFill>
          </w14:textFill>
        </w:rPr>
        <w:t xml:space="preserve">                </w:t>
      </w:r>
    </w:p>
    <w:p w14:paraId="17A409B2">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银行账号：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734EC6AD">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p>
    <w:p w14:paraId="270B828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法定代表人（或负责人）或者委托代理人（签字或者电子签名）：_______ </w:t>
      </w:r>
    </w:p>
    <w:p w14:paraId="7CDD6344">
      <w:pPr>
        <w:pStyle w:val="227"/>
        <w:spacing w:before="295" w:after="295" w:line="360" w:lineRule="auto"/>
        <w:jc w:val="center"/>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 xml:space="preserve">                                     投标人名称（电子签章）：</w:t>
      </w:r>
    </w:p>
    <w:p w14:paraId="7BABDA3F">
      <w:pPr>
        <w:pStyle w:val="227"/>
        <w:spacing w:before="295" w:after="295" w:line="360" w:lineRule="auto"/>
        <w:rPr>
          <w:rFonts w:hint="eastAsia" w:hAnsi="宋体" w:cs="宋体"/>
          <w:color w:val="000000" w:themeColor="text1"/>
          <w:sz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w:t>
      </w:r>
    </w:p>
    <w:p w14:paraId="1A8B40C2">
      <w:pPr>
        <w:spacing w:before="120" w:after="5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color w:val="000000" w:themeColor="text1"/>
          <w:highlight w:val="none"/>
          <w:u w:val="singl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4. 开标一览表</w:t>
      </w:r>
    </w:p>
    <w:p w14:paraId="210F679E">
      <w:pPr>
        <w:spacing w:before="50" w:after="50"/>
        <w:jc w:val="center"/>
        <w:rPr>
          <w:rFonts w:hint="eastAsia" w:ascii="宋体" w:hAnsi="宋体" w:cs="宋体"/>
          <w:b/>
          <w:color w:val="000000" w:themeColor="text1"/>
          <w:sz w:val="30"/>
          <w:highlight w:val="none"/>
          <w14:textFill>
            <w14:solidFill>
              <w14:schemeClr w14:val="tx1"/>
            </w14:solidFill>
          </w14:textFill>
        </w:rPr>
      </w:pPr>
      <w:r>
        <w:rPr>
          <w:rFonts w:hint="eastAsia" w:ascii="宋体" w:hAnsi="宋体" w:cs="宋体"/>
          <w:b/>
          <w:color w:val="000000" w:themeColor="text1"/>
          <w:sz w:val="30"/>
          <w:highlight w:val="none"/>
          <w14:textFill>
            <w14:solidFill>
              <w14:schemeClr w14:val="tx1"/>
            </w14:solidFill>
          </w14:textFill>
        </w:rPr>
        <w:t>开标一览表</w:t>
      </w:r>
    </w:p>
    <w:p w14:paraId="0C9B07E5">
      <w:pPr>
        <w:spacing w:before="50" w:after="50"/>
        <w:jc w:val="center"/>
        <w:rPr>
          <w:rFonts w:hint="eastAsia" w:ascii="宋体" w:hAnsi="宋体" w:cs="宋体"/>
          <w:b/>
          <w:color w:val="000000" w:themeColor="text1"/>
          <w:sz w:val="30"/>
          <w:szCs w:val="20"/>
          <w:highlight w:val="none"/>
          <w14:textFill>
            <w14:solidFill>
              <w14:schemeClr w14:val="tx1"/>
            </w14:solidFill>
          </w14:textFill>
        </w:rPr>
      </w:pPr>
    </w:p>
    <w:p w14:paraId="0399B93C">
      <w:pPr>
        <w:spacing w:before="50" w:after="50" w:line="360" w:lineRule="auto"/>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1DD77C10">
      <w:pPr>
        <w:spacing w:before="50" w:after="50"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tbl>
      <w:tblPr>
        <w:tblStyle w:val="30"/>
        <w:tblW w:w="102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4"/>
        <w:gridCol w:w="2391"/>
        <w:gridCol w:w="1575"/>
        <w:gridCol w:w="2040"/>
        <w:gridCol w:w="2557"/>
        <w:gridCol w:w="865"/>
      </w:tblGrid>
      <w:tr w14:paraId="03759A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14:paraId="0750076F">
            <w:pPr>
              <w:spacing w:before="50" w:after="50"/>
              <w:jc w:val="center"/>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序号</w:t>
            </w:r>
          </w:p>
        </w:tc>
        <w:tc>
          <w:tcPr>
            <w:tcW w:w="2391" w:type="dxa"/>
            <w:tcBorders>
              <w:top w:val="single" w:color="auto" w:sz="4" w:space="0"/>
              <w:left w:val="single" w:color="auto" w:sz="4" w:space="0"/>
              <w:bottom w:val="single" w:color="auto" w:sz="4" w:space="0"/>
              <w:right w:val="single" w:color="auto" w:sz="4" w:space="0"/>
            </w:tcBorders>
            <w:noWrap w:val="0"/>
            <w:vAlign w:val="center"/>
          </w:tcPr>
          <w:p w14:paraId="3EAB7B22">
            <w:pPr>
              <w:spacing w:before="50" w:after="50"/>
              <w:jc w:val="center"/>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标的名称</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7B12AAFF">
            <w:pPr>
              <w:spacing w:before="50" w:after="50"/>
              <w:jc w:val="center"/>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数量①</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7A112FF4">
            <w:pPr>
              <w:spacing w:before="50" w:after="50"/>
              <w:jc w:val="center"/>
              <w:rPr>
                <w:rFonts w:hint="eastAsia" w:ascii="宋体" w:hAnsi="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投标所报单价②</w:t>
            </w:r>
          </w:p>
        </w:tc>
        <w:tc>
          <w:tcPr>
            <w:tcW w:w="2557" w:type="dxa"/>
            <w:tcBorders>
              <w:top w:val="single" w:color="auto" w:sz="4" w:space="0"/>
              <w:left w:val="single" w:color="auto" w:sz="4" w:space="0"/>
              <w:bottom w:val="single" w:color="auto" w:sz="4" w:space="0"/>
              <w:right w:val="single" w:color="auto" w:sz="4" w:space="0"/>
            </w:tcBorders>
            <w:noWrap w:val="0"/>
            <w:vAlign w:val="center"/>
          </w:tcPr>
          <w:p w14:paraId="2A1B5C77">
            <w:pPr>
              <w:spacing w:before="50" w:after="50"/>
              <w:jc w:val="center"/>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投标总价③=①*②</w:t>
            </w:r>
          </w:p>
          <w:p w14:paraId="37711751">
            <w:pPr>
              <w:spacing w:before="50" w:after="50"/>
              <w:jc w:val="center"/>
              <w:rPr>
                <w:rFonts w:hint="eastAsia" w:ascii="宋体" w:hAnsi="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（单位：元）</w:t>
            </w:r>
          </w:p>
        </w:tc>
        <w:tc>
          <w:tcPr>
            <w:tcW w:w="865" w:type="dxa"/>
            <w:tcBorders>
              <w:top w:val="single" w:color="auto" w:sz="4" w:space="0"/>
              <w:left w:val="single" w:color="auto" w:sz="4" w:space="0"/>
              <w:bottom w:val="single" w:color="auto" w:sz="4" w:space="0"/>
              <w:right w:val="single" w:color="auto" w:sz="4" w:space="0"/>
            </w:tcBorders>
            <w:noWrap w:val="0"/>
            <w:vAlign w:val="center"/>
          </w:tcPr>
          <w:p w14:paraId="0827BBE3">
            <w:pPr>
              <w:spacing w:before="50" w:after="50"/>
              <w:jc w:val="center"/>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cs="宋体"/>
                <w:b w:val="0"/>
                <w:bCs/>
                <w:color w:val="000000" w:themeColor="text1"/>
                <w:sz w:val="21"/>
                <w:szCs w:val="21"/>
                <w:highlight w:val="none"/>
                <w:lang w:eastAsia="zh-CN"/>
                <w14:textFill>
                  <w14:solidFill>
                    <w14:schemeClr w14:val="tx1"/>
                  </w14:solidFill>
                </w14:textFill>
              </w:rPr>
              <w:t>备注</w:t>
            </w:r>
          </w:p>
        </w:tc>
      </w:tr>
      <w:tr w14:paraId="63AC1C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9" w:hRule="atLeast"/>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14:paraId="349B1F5C">
            <w:pPr>
              <w:spacing w:before="50" w:after="50"/>
              <w:jc w:val="center"/>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1</w:t>
            </w:r>
          </w:p>
        </w:tc>
        <w:tc>
          <w:tcPr>
            <w:tcW w:w="2391" w:type="dxa"/>
            <w:tcBorders>
              <w:top w:val="single" w:color="auto" w:sz="4" w:space="0"/>
              <w:left w:val="single" w:color="auto" w:sz="4" w:space="0"/>
              <w:bottom w:val="single" w:color="auto" w:sz="4" w:space="0"/>
              <w:right w:val="single" w:color="auto" w:sz="4" w:space="0"/>
            </w:tcBorders>
            <w:noWrap w:val="0"/>
            <w:vAlign w:val="center"/>
          </w:tcPr>
          <w:p w14:paraId="2757DBE2">
            <w:pPr>
              <w:widowControl/>
              <w:spacing w:line="420" w:lineRule="exact"/>
              <w:jc w:val="left"/>
              <w:rPr>
                <w:rFonts w:hint="eastAsia" w:ascii="宋体" w:hAnsi="宋体" w:cs="宋体"/>
                <w:b w:val="0"/>
                <w:bCs/>
                <w:color w:val="000000" w:themeColor="text1"/>
                <w:sz w:val="21"/>
                <w:szCs w:val="21"/>
                <w:highlight w:val="none"/>
                <w14:textFill>
                  <w14:solidFill>
                    <w14:schemeClr w14:val="tx1"/>
                  </w14:solidFill>
                </w14:textFill>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8A53817">
            <w:pPr>
              <w:keepNext w:val="0"/>
              <w:keepLines w:val="0"/>
              <w:widowControl/>
              <w:suppressLineNumbers w:val="0"/>
              <w:ind w:firstLine="420"/>
              <w:jc w:val="left"/>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cs="宋体"/>
                <w:b w:val="0"/>
                <w:bCs/>
                <w:color w:val="000000" w:themeColor="text1"/>
                <w:sz w:val="21"/>
                <w:szCs w:val="21"/>
                <w:highlight w:val="none"/>
                <w:lang w:val="en-US" w:eastAsia="zh-CN"/>
                <w14:textFill>
                  <w14:solidFill>
                    <w14:schemeClr w14:val="tx1"/>
                  </w14:solidFill>
                </w14:textFill>
              </w:rPr>
              <w:t>1项</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5D82E8B0">
            <w:pPr>
              <w:keepNext w:val="0"/>
              <w:keepLines w:val="0"/>
              <w:widowControl/>
              <w:suppressLineNumbers w:val="0"/>
              <w:jc w:val="left"/>
              <w:rPr>
                <w:rFonts w:hint="eastAsia" w:ascii="宋体" w:hAnsi="宋体" w:cs="宋体"/>
                <w:b w:val="0"/>
                <w:bCs/>
                <w:color w:val="000000" w:themeColor="text1"/>
                <w:sz w:val="21"/>
                <w:szCs w:val="21"/>
                <w:highlight w:val="none"/>
                <w14:textFill>
                  <w14:solidFill>
                    <w14:schemeClr w14:val="tx1"/>
                  </w14:solidFill>
                </w14:textFill>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14:paraId="3CA74686">
            <w:pPr>
              <w:keepNext w:val="0"/>
              <w:keepLines w:val="0"/>
              <w:widowControl/>
              <w:suppressLineNumbers w:val="0"/>
              <w:ind w:firstLine="1050"/>
              <w:jc w:val="left"/>
              <w:rPr>
                <w:rFonts w:hint="eastAsia" w:ascii="宋体" w:hAnsi="宋体" w:cs="宋体"/>
                <w:b w:val="0"/>
                <w:bCs/>
                <w:color w:val="000000" w:themeColor="text1"/>
                <w:sz w:val="21"/>
                <w:szCs w:val="21"/>
                <w:highlight w:val="none"/>
                <w14:textFill>
                  <w14:solidFill>
                    <w14:schemeClr w14:val="tx1"/>
                  </w14:solidFill>
                </w14:textFill>
              </w:rPr>
            </w:pPr>
          </w:p>
        </w:tc>
        <w:tc>
          <w:tcPr>
            <w:tcW w:w="865" w:type="dxa"/>
            <w:tcBorders>
              <w:top w:val="single" w:color="auto" w:sz="4" w:space="0"/>
              <w:left w:val="single" w:color="auto" w:sz="4" w:space="0"/>
              <w:bottom w:val="single" w:color="auto" w:sz="4" w:space="0"/>
              <w:right w:val="single" w:color="auto" w:sz="4" w:space="0"/>
            </w:tcBorders>
            <w:noWrap w:val="0"/>
            <w:vAlign w:val="center"/>
          </w:tcPr>
          <w:p w14:paraId="108F20F9">
            <w:pPr>
              <w:spacing w:before="50" w:after="50"/>
              <w:jc w:val="center"/>
              <w:rPr>
                <w:rFonts w:hint="eastAsia" w:ascii="宋体" w:hAnsi="宋体" w:cs="宋体"/>
                <w:b w:val="0"/>
                <w:bCs/>
                <w:color w:val="000000" w:themeColor="text1"/>
                <w:sz w:val="21"/>
                <w:szCs w:val="21"/>
                <w:highlight w:val="none"/>
                <w14:textFill>
                  <w14:solidFill>
                    <w14:schemeClr w14:val="tx1"/>
                  </w14:solidFill>
                </w14:textFill>
              </w:rPr>
            </w:pPr>
          </w:p>
        </w:tc>
      </w:tr>
      <w:tr w14:paraId="5EE28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252" w:type="dxa"/>
            <w:gridSpan w:val="6"/>
            <w:tcBorders>
              <w:top w:val="single" w:color="auto" w:sz="4" w:space="0"/>
              <w:left w:val="single" w:color="auto" w:sz="4" w:space="0"/>
              <w:bottom w:val="single" w:color="auto" w:sz="4" w:space="0"/>
              <w:right w:val="single" w:color="auto" w:sz="4" w:space="0"/>
            </w:tcBorders>
            <w:noWrap w:val="0"/>
            <w:vAlign w:val="center"/>
          </w:tcPr>
          <w:p w14:paraId="20C3ABDE">
            <w:pPr>
              <w:spacing w:before="50" w:after="50"/>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合计总报价（包含税费等所有费用）：（大写）人民币</w:t>
            </w:r>
            <w:r>
              <w:rPr>
                <w:rFonts w:hint="eastAsia" w:ascii="宋体" w:hAnsi="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cs="宋体"/>
                <w:b w:val="0"/>
                <w:bCs/>
                <w:color w:val="000000" w:themeColor="text1"/>
                <w:sz w:val="21"/>
                <w:szCs w:val="21"/>
                <w:highlight w:val="none"/>
                <w14:textFill>
                  <w14:solidFill>
                    <w14:schemeClr w14:val="tx1"/>
                  </w14:solidFill>
                </w14:textFill>
              </w:rPr>
              <w:t>（￥             元）</w:t>
            </w:r>
          </w:p>
        </w:tc>
      </w:tr>
      <w:tr w14:paraId="1A1660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252" w:type="dxa"/>
            <w:gridSpan w:val="6"/>
            <w:tcBorders>
              <w:top w:val="single" w:color="auto" w:sz="4" w:space="0"/>
              <w:left w:val="single" w:color="auto" w:sz="4" w:space="0"/>
              <w:bottom w:val="single" w:color="auto" w:sz="4" w:space="0"/>
              <w:right w:val="single" w:color="auto" w:sz="4" w:space="0"/>
            </w:tcBorders>
            <w:noWrap w:val="0"/>
            <w:vAlign w:val="center"/>
          </w:tcPr>
          <w:p w14:paraId="4125FF3E">
            <w:pPr>
              <w:spacing w:before="50" w:after="50"/>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cs="宋体"/>
                <w:b w:val="0"/>
                <w:bCs/>
                <w:color w:val="000000" w:themeColor="text1"/>
                <w:sz w:val="21"/>
                <w:szCs w:val="21"/>
                <w:highlight w:val="none"/>
                <w:lang w:eastAsia="zh-CN"/>
                <w14:textFill>
                  <w14:solidFill>
                    <w14:schemeClr w14:val="tx1"/>
                  </w14:solidFill>
                </w14:textFill>
              </w:rPr>
              <w:t>实施的期限</w:t>
            </w:r>
            <w:r>
              <w:rPr>
                <w:rFonts w:hint="eastAsia" w:ascii="宋体" w:hAnsi="宋体" w:cs="宋体"/>
                <w:b w:val="0"/>
                <w:bCs/>
                <w:color w:val="000000" w:themeColor="text1"/>
                <w:sz w:val="21"/>
                <w:szCs w:val="21"/>
                <w:highlight w:val="none"/>
                <w14:textFill>
                  <w14:solidFill>
                    <w14:schemeClr w14:val="tx1"/>
                  </w14:solidFill>
                </w14:textFill>
              </w:rPr>
              <w:t>：</w:t>
            </w:r>
            <w:r>
              <w:rPr>
                <w:rFonts w:hint="eastAsia" w:ascii="宋体" w:hAnsi="宋体" w:cs="宋体"/>
                <w:b w:val="0"/>
                <w:bCs/>
                <w:color w:val="000000" w:themeColor="text1"/>
                <w:sz w:val="21"/>
                <w:szCs w:val="21"/>
                <w:highlight w:val="none"/>
                <w:lang w:eastAsia="zh-CN"/>
                <w14:textFill>
                  <w14:solidFill>
                    <w14:schemeClr w14:val="tx1"/>
                  </w14:solidFill>
                </w14:textFill>
              </w:rPr>
              <w:t>2026年12月31日前完成（如因特殊天气错过农时或实施面积不足等原因无法实施，则项目顺延至2027年实施）。</w:t>
            </w:r>
          </w:p>
        </w:tc>
      </w:tr>
    </w:tbl>
    <w:p w14:paraId="668476A5">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注： </w:t>
      </w:r>
    </w:p>
    <w:p w14:paraId="2385073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1.投标人的开标一览表必须加盖投标人电子签章并由法定代表人（或负责人）或者委托代理人签字或者电子签名，</w:t>
      </w:r>
      <w:r>
        <w:rPr>
          <w:rFonts w:hint="eastAsia" w:ascii="宋体" w:hAnsi="宋体" w:cs="宋体"/>
          <w:b/>
          <w:color w:val="000000" w:themeColor="text1"/>
          <w:sz w:val="24"/>
          <w:highlight w:val="none"/>
          <w14:textFill>
            <w14:solidFill>
              <w14:schemeClr w14:val="tx1"/>
            </w14:solidFill>
          </w14:textFill>
        </w:rPr>
        <w:t>否则其投标作无效标处理</w:t>
      </w:r>
      <w:r>
        <w:rPr>
          <w:rFonts w:hint="eastAsia" w:ascii="宋体" w:hAnsi="宋体" w:cs="宋体"/>
          <w:color w:val="000000" w:themeColor="text1"/>
          <w:sz w:val="24"/>
          <w:highlight w:val="none"/>
          <w14:textFill>
            <w14:solidFill>
              <w14:schemeClr w14:val="tx1"/>
            </w14:solidFill>
          </w14:textFill>
        </w:rPr>
        <w:t>。</w:t>
      </w:r>
    </w:p>
    <w:p w14:paraId="7A318E75">
      <w:pPr>
        <w:spacing w:line="360" w:lineRule="auto"/>
        <w:ind w:firstLine="48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报价一经涂改，应在涂改处加盖投标人公章或者加盖电子签章或者由法定代表人（或负责人）或者委托代理人签字（或者电子签名）</w:t>
      </w:r>
      <w:r>
        <w:rPr>
          <w:rFonts w:hint="eastAsia" w:ascii="宋体" w:hAnsi="宋体" w:cs="宋体"/>
          <w:b/>
          <w:color w:val="000000" w:themeColor="text1"/>
          <w:sz w:val="24"/>
          <w:highlight w:val="none"/>
          <w14:textFill>
            <w14:solidFill>
              <w14:schemeClr w14:val="tx1"/>
            </w14:solidFill>
          </w14:textFill>
        </w:rPr>
        <w:t>，否则其投标作无效标处理。</w:t>
      </w:r>
    </w:p>
    <w:p w14:paraId="7E1690E7">
      <w:pPr>
        <w:spacing w:line="360" w:lineRule="auto"/>
        <w:rPr>
          <w:rFonts w:hint="eastAsia" w:ascii="宋体" w:hAnsi="宋体" w:cs="宋体"/>
          <w:b/>
          <w:color w:val="000000" w:themeColor="text1"/>
          <w:sz w:val="24"/>
          <w:highlight w:val="none"/>
          <w14:textFill>
            <w14:solidFill>
              <w14:schemeClr w14:val="tx1"/>
            </w14:solidFill>
          </w14:textFill>
        </w:rPr>
      </w:pPr>
    </w:p>
    <w:p w14:paraId="02A045FD">
      <w:pPr>
        <w:spacing w:line="360" w:lineRule="auto"/>
        <w:rPr>
          <w:rFonts w:hint="eastAsia" w:ascii="宋体" w:hAnsi="宋体" w:cs="宋体"/>
          <w:b/>
          <w:color w:val="000000" w:themeColor="text1"/>
          <w:sz w:val="24"/>
          <w:highlight w:val="none"/>
          <w14:textFill>
            <w14:solidFill>
              <w14:schemeClr w14:val="tx1"/>
            </w14:solidFill>
          </w14:textFill>
        </w:rPr>
      </w:pPr>
    </w:p>
    <w:p w14:paraId="7D417119">
      <w:pPr>
        <w:spacing w:line="360" w:lineRule="auto"/>
        <w:rPr>
          <w:rFonts w:hint="eastAsia" w:ascii="宋体" w:hAnsi="宋体" w:cs="宋体"/>
          <w:b/>
          <w:color w:val="000000" w:themeColor="text1"/>
          <w:sz w:val="24"/>
          <w:highlight w:val="none"/>
          <w14:textFill>
            <w14:solidFill>
              <w14:schemeClr w14:val="tx1"/>
            </w14:solidFill>
          </w14:textFill>
        </w:rPr>
      </w:pPr>
    </w:p>
    <w:p w14:paraId="10DE63CC">
      <w:pPr>
        <w:spacing w:line="360" w:lineRule="auto"/>
        <w:rPr>
          <w:rFonts w:hint="eastAsia" w:ascii="宋体" w:hAnsi="宋体" w:cs="宋体"/>
          <w:b/>
          <w:color w:val="000000" w:themeColor="text1"/>
          <w:sz w:val="24"/>
          <w:highlight w:val="none"/>
          <w14:textFill>
            <w14:solidFill>
              <w14:schemeClr w14:val="tx1"/>
            </w14:solidFill>
          </w14:textFill>
        </w:rPr>
      </w:pPr>
    </w:p>
    <w:p w14:paraId="6FF39CAD">
      <w:pPr>
        <w:spacing w:line="360" w:lineRule="auto"/>
        <w:ind w:left="-2" w:right="-817"/>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法定代表人（或负责人）或者委托代理人（签字或者电子签名）： </w:t>
      </w:r>
    </w:p>
    <w:p w14:paraId="7E56754E">
      <w:pPr>
        <w:spacing w:line="360" w:lineRule="auto"/>
        <w:ind w:left="-3" w:right="-817" w:hanging="28"/>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投标人名称（电子签章）：</w:t>
      </w:r>
    </w:p>
    <w:p w14:paraId="6EBE632B">
      <w:pPr>
        <w:spacing w:line="360" w:lineRule="auto"/>
        <w:ind w:left="-3" w:right="-817" w:hanging="28"/>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日期：    年   月   日</w:t>
      </w:r>
    </w:p>
    <w:p w14:paraId="4A108B3C">
      <w:pP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8"/>
          <w:szCs w:val="28"/>
          <w:highlight w:val="none"/>
          <w14:textFill>
            <w14:solidFill>
              <w14:schemeClr w14:val="tx1"/>
            </w14:solidFill>
          </w14:textFill>
        </w:rPr>
        <w:t>二、资格证明文件格式</w:t>
      </w:r>
    </w:p>
    <w:p w14:paraId="1ED433F2">
      <w:pPr>
        <w:numPr>
          <w:ilvl w:val="2"/>
          <w:numId w:val="8"/>
        </w:numPr>
        <w:spacing w:before="120" w:after="50" w:line="360" w:lineRule="auto"/>
        <w:ind w:left="0" w:firstLine="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资格证明文件封面格式： </w:t>
      </w:r>
    </w:p>
    <w:p w14:paraId="0FC9B61B">
      <w:pPr>
        <w:spacing w:before="120" w:after="50"/>
        <w:jc w:val="center"/>
        <w:rPr>
          <w:rFonts w:hint="eastAsia" w:ascii="宋体" w:hAnsi="宋体" w:cs="宋体"/>
          <w:bCs/>
          <w:color w:val="000000" w:themeColor="text1"/>
          <w:sz w:val="48"/>
          <w:szCs w:val="48"/>
          <w:highlight w:val="none"/>
          <w14:textFill>
            <w14:solidFill>
              <w14:schemeClr w14:val="tx1"/>
            </w14:solidFill>
          </w14:textFill>
        </w:rPr>
      </w:pPr>
      <w:r>
        <w:rPr>
          <w:rFonts w:hint="eastAsia" w:ascii="宋体" w:hAnsi="宋体" w:cs="宋体"/>
          <w:bCs/>
          <w:color w:val="000000" w:themeColor="text1"/>
          <w:sz w:val="48"/>
          <w:szCs w:val="48"/>
          <w:highlight w:val="none"/>
          <w14:textFill>
            <w14:solidFill>
              <w14:schemeClr w14:val="tx1"/>
            </w14:solidFill>
          </w14:textFill>
        </w:rPr>
        <w:t>电子投标文件</w:t>
      </w:r>
    </w:p>
    <w:p w14:paraId="101D585A">
      <w:pPr>
        <w:spacing w:before="120" w:after="50"/>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100ACC73">
      <w:pPr>
        <w:spacing w:before="120" w:after="50"/>
        <w:jc w:val="center"/>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资格证明文件</w:t>
      </w:r>
    </w:p>
    <w:p w14:paraId="54F3FEC8">
      <w:pPr>
        <w:spacing w:before="120" w:after="50"/>
        <w:rPr>
          <w:rFonts w:hint="eastAsia" w:ascii="宋体" w:hAnsi="宋体" w:cs="宋体"/>
          <w:bCs/>
          <w:color w:val="000000" w:themeColor="text1"/>
          <w:sz w:val="24"/>
          <w:szCs w:val="20"/>
          <w:highlight w:val="none"/>
          <w14:textFill>
            <w14:solidFill>
              <w14:schemeClr w14:val="tx1"/>
            </w14:solidFill>
          </w14:textFill>
        </w:rPr>
      </w:pPr>
    </w:p>
    <w:p w14:paraId="659A5AF0">
      <w:pPr>
        <w:spacing w:before="120" w:after="50"/>
        <w:rPr>
          <w:rFonts w:hint="eastAsia" w:ascii="宋体" w:hAnsi="宋体" w:cs="宋体"/>
          <w:bCs/>
          <w:color w:val="000000" w:themeColor="text1"/>
          <w:sz w:val="24"/>
          <w:szCs w:val="20"/>
          <w:highlight w:val="none"/>
          <w14:textFill>
            <w14:solidFill>
              <w14:schemeClr w14:val="tx1"/>
            </w14:solidFill>
          </w14:textFill>
        </w:rPr>
      </w:pPr>
    </w:p>
    <w:p w14:paraId="1FE00BD7">
      <w:pPr>
        <w:spacing w:before="120" w:after="50"/>
        <w:rPr>
          <w:rFonts w:hint="eastAsia" w:ascii="宋体" w:hAnsi="宋体" w:cs="宋体"/>
          <w:bCs/>
          <w:color w:val="000000" w:themeColor="text1"/>
          <w:sz w:val="24"/>
          <w:szCs w:val="20"/>
          <w:highlight w:val="none"/>
          <w14:textFill>
            <w14:solidFill>
              <w14:schemeClr w14:val="tx1"/>
            </w14:solidFill>
          </w14:textFill>
        </w:rPr>
      </w:pPr>
    </w:p>
    <w:p w14:paraId="7F2F3059">
      <w:pPr>
        <w:spacing w:before="120" w:after="50"/>
        <w:rPr>
          <w:rFonts w:hint="eastAsia" w:ascii="宋体" w:hAnsi="宋体" w:cs="宋体"/>
          <w:bCs/>
          <w:color w:val="000000" w:themeColor="text1"/>
          <w:sz w:val="24"/>
          <w:szCs w:val="20"/>
          <w:highlight w:val="none"/>
          <w14:textFill>
            <w14:solidFill>
              <w14:schemeClr w14:val="tx1"/>
            </w14:solidFill>
          </w14:textFill>
        </w:rPr>
      </w:pPr>
    </w:p>
    <w:p w14:paraId="2F8AF7A6">
      <w:pPr>
        <w:spacing w:before="120" w:after="50"/>
        <w:rPr>
          <w:rFonts w:hint="eastAsia" w:ascii="宋体" w:hAnsi="宋体" w:cs="宋体"/>
          <w:bCs/>
          <w:color w:val="000000" w:themeColor="text1"/>
          <w:sz w:val="24"/>
          <w:szCs w:val="20"/>
          <w:highlight w:val="none"/>
          <w14:textFill>
            <w14:solidFill>
              <w14:schemeClr w14:val="tx1"/>
            </w14:solidFill>
          </w14:textFill>
        </w:rPr>
      </w:pPr>
    </w:p>
    <w:p w14:paraId="178B70E5">
      <w:pPr>
        <w:spacing w:before="120" w:after="50"/>
        <w:rPr>
          <w:rFonts w:hint="eastAsia" w:ascii="宋体" w:hAnsi="宋体" w:cs="宋体"/>
          <w:bCs/>
          <w:color w:val="000000" w:themeColor="text1"/>
          <w:sz w:val="24"/>
          <w:szCs w:val="20"/>
          <w:highlight w:val="none"/>
          <w14:textFill>
            <w14:solidFill>
              <w14:schemeClr w14:val="tx1"/>
            </w14:solidFill>
          </w14:textFill>
        </w:rPr>
      </w:pPr>
    </w:p>
    <w:p w14:paraId="259716F9">
      <w:pPr>
        <w:spacing w:before="120" w:after="50"/>
        <w:rPr>
          <w:rFonts w:hint="eastAsia" w:ascii="宋体" w:hAnsi="宋体" w:cs="宋体"/>
          <w:bCs/>
          <w:color w:val="000000" w:themeColor="text1"/>
          <w:sz w:val="24"/>
          <w:szCs w:val="20"/>
          <w:highlight w:val="none"/>
          <w14:textFill>
            <w14:solidFill>
              <w14:schemeClr w14:val="tx1"/>
            </w14:solidFill>
          </w14:textFill>
        </w:rPr>
      </w:pPr>
    </w:p>
    <w:p w14:paraId="086F7E9A">
      <w:pPr>
        <w:spacing w:before="120" w:after="50"/>
        <w:ind w:firstLine="54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项目名称：</w:t>
      </w:r>
    </w:p>
    <w:p w14:paraId="6BB84A3B">
      <w:pPr>
        <w:spacing w:before="120" w:after="50"/>
        <w:ind w:firstLine="540"/>
        <w:rPr>
          <w:rFonts w:hint="eastAsia" w:ascii="宋体" w:hAnsi="宋体" w:cs="宋体"/>
          <w:bCs/>
          <w:color w:val="000000" w:themeColor="text1"/>
          <w:sz w:val="24"/>
          <w:szCs w:val="20"/>
          <w:highlight w:val="none"/>
          <w14:textFill>
            <w14:solidFill>
              <w14:schemeClr w14:val="tx1"/>
            </w14:solidFill>
          </w14:textFill>
        </w:rPr>
      </w:pPr>
    </w:p>
    <w:p w14:paraId="5D687227">
      <w:pPr>
        <w:spacing w:before="120" w:after="50"/>
        <w:ind w:firstLine="54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7316350E">
      <w:pPr>
        <w:spacing w:before="120" w:after="50"/>
        <w:ind w:firstLine="540"/>
        <w:rPr>
          <w:rFonts w:hint="eastAsia" w:ascii="宋体" w:hAnsi="宋体" w:cs="宋体"/>
          <w:bCs/>
          <w:color w:val="000000" w:themeColor="text1"/>
          <w:sz w:val="24"/>
          <w:szCs w:val="20"/>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p>
    <w:p w14:paraId="4060A94F">
      <w:pPr>
        <w:pStyle w:val="197"/>
        <w:spacing w:before="50" w:after="50"/>
        <w:ind w:firstLine="540"/>
        <w:rPr>
          <w:rFonts w:hint="eastAsia" w:ascii="宋体" w:hAnsi="宋体" w:cs="宋体"/>
          <w:bCs/>
          <w:color w:val="000000" w:themeColor="text1"/>
          <w:sz w:val="24"/>
          <w:szCs w:val="24"/>
          <w:highlight w:val="none"/>
          <w14:textFill>
            <w14:solidFill>
              <w14:schemeClr w14:val="tx1"/>
            </w14:solidFill>
          </w14:textFill>
        </w:rPr>
      </w:pPr>
    </w:p>
    <w:p w14:paraId="2ADA8848">
      <w:pPr>
        <w:pStyle w:val="197"/>
        <w:spacing w:before="50" w:after="50"/>
        <w:ind w:firstLine="540"/>
        <w:rPr>
          <w:rFonts w:hint="eastAsia" w:ascii="宋体" w:hAnsi="宋体" w:cs="宋体"/>
          <w:bCs/>
          <w:color w:val="000000" w:themeColor="text1"/>
          <w:sz w:val="24"/>
          <w:szCs w:val="24"/>
          <w:highlight w:val="none"/>
          <w14:textFill>
            <w14:solidFill>
              <w14:schemeClr w14:val="tx1"/>
            </w14:solidFill>
          </w14:textFill>
        </w:rPr>
      </w:pPr>
    </w:p>
    <w:p w14:paraId="0420438E">
      <w:pPr>
        <w:pStyle w:val="197"/>
        <w:spacing w:before="50" w:after="50"/>
        <w:ind w:firstLine="54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投标人名称：</w:t>
      </w:r>
    </w:p>
    <w:p w14:paraId="43889C2A">
      <w:pPr>
        <w:pStyle w:val="197"/>
        <w:spacing w:before="50" w:after="50"/>
        <w:ind w:firstLine="540"/>
        <w:rPr>
          <w:rFonts w:hint="eastAsia" w:ascii="宋体" w:hAnsi="宋体" w:cs="宋体"/>
          <w:bCs/>
          <w:color w:val="000000" w:themeColor="text1"/>
          <w:sz w:val="24"/>
          <w:szCs w:val="24"/>
          <w:highlight w:val="none"/>
          <w14:textFill>
            <w14:solidFill>
              <w14:schemeClr w14:val="tx1"/>
            </w14:solidFill>
          </w14:textFill>
        </w:rPr>
      </w:pPr>
    </w:p>
    <w:p w14:paraId="51FB59F0">
      <w:pPr>
        <w:pStyle w:val="197"/>
        <w:spacing w:before="50" w:after="50"/>
        <w:ind w:firstLine="960"/>
        <w:rPr>
          <w:rFonts w:hint="eastAsia" w:ascii="宋体" w:hAnsi="宋体" w:cs="宋体"/>
          <w:bCs/>
          <w:color w:val="000000" w:themeColor="text1"/>
          <w:sz w:val="24"/>
          <w:szCs w:val="24"/>
          <w:highlight w:val="none"/>
          <w14:textFill>
            <w14:solidFill>
              <w14:schemeClr w14:val="tx1"/>
            </w14:solidFill>
          </w14:textFill>
        </w:rPr>
      </w:pPr>
    </w:p>
    <w:p w14:paraId="3C97B7F7">
      <w:pPr>
        <w:spacing w:before="120" w:after="50"/>
        <w:ind w:firstLine="645"/>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2AB23189">
      <w:pPr>
        <w:spacing w:before="120" w:after="50"/>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 xml:space="preserve"> </w:t>
      </w:r>
    </w:p>
    <w:p w14:paraId="5D9E4B69">
      <w:pPr>
        <w:spacing w:before="120" w:after="50"/>
        <w:rPr>
          <w:rFonts w:hint="eastAsia" w:ascii="宋体" w:hAnsi="宋体" w:cs="宋体"/>
          <w:color w:val="000000" w:themeColor="text1"/>
          <w:sz w:val="24"/>
          <w:szCs w:val="20"/>
          <w:highlight w:val="none"/>
          <w14:textFill>
            <w14:solidFill>
              <w14:schemeClr w14:val="tx1"/>
            </w14:solidFill>
          </w14:textFill>
        </w:rPr>
      </w:pPr>
    </w:p>
    <w:p w14:paraId="081AD903">
      <w:pPr>
        <w:numPr>
          <w:ilvl w:val="2"/>
          <w:numId w:val="8"/>
        </w:numPr>
        <w:spacing w:before="120" w:after="50" w:line="360" w:lineRule="auto"/>
        <w:ind w:left="0" w:firstLine="0"/>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clear="all"/>
      </w:r>
      <w:r>
        <w:rPr>
          <w:rFonts w:hint="eastAsia" w:ascii="宋体" w:hAnsi="宋体" w:cs="宋体"/>
          <w:b/>
          <w:bCs/>
          <w:color w:val="000000" w:themeColor="text1"/>
          <w:sz w:val="24"/>
          <w:highlight w:val="none"/>
          <w14:textFill>
            <w14:solidFill>
              <w14:schemeClr w14:val="tx1"/>
            </w14:solidFill>
          </w14:textFill>
        </w:rPr>
        <w:t>资格证明文件目录</w:t>
      </w:r>
    </w:p>
    <w:p w14:paraId="1E3182CB">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根据招标文件规定及投标人提供的材料自行编写目录。</w:t>
      </w:r>
    </w:p>
    <w:p w14:paraId="301F6129">
      <w:pPr>
        <w:spacing w:before="50" w:after="120"/>
        <w:jc w:val="left"/>
        <w:rPr>
          <w:rFonts w:hint="eastAsia" w:ascii="宋体" w:hAnsi="宋体" w:cs="宋体"/>
          <w:color w:val="000000" w:themeColor="text1"/>
          <w:sz w:val="24"/>
          <w:highlight w:val="none"/>
          <w14:textFill>
            <w14:solidFill>
              <w14:schemeClr w14:val="tx1"/>
            </w14:solidFill>
          </w14:textFill>
        </w:rPr>
      </w:pPr>
    </w:p>
    <w:p w14:paraId="32BF6EA7">
      <w:pPr>
        <w:spacing w:before="50" w:after="120"/>
        <w:jc w:val="left"/>
        <w:rPr>
          <w:rFonts w:hint="eastAsia" w:ascii="宋体" w:hAnsi="宋体" w:cs="宋体"/>
          <w:color w:val="000000" w:themeColor="text1"/>
          <w:sz w:val="24"/>
          <w:highlight w:val="none"/>
          <w14:textFill>
            <w14:solidFill>
              <w14:schemeClr w14:val="tx1"/>
            </w14:solidFill>
          </w14:textFill>
        </w:rPr>
      </w:pPr>
    </w:p>
    <w:p w14:paraId="4C419E34">
      <w:pPr>
        <w:numPr>
          <w:ilvl w:val="2"/>
          <w:numId w:val="8"/>
        </w:numPr>
        <w:spacing w:before="120" w:after="50"/>
        <w:ind w:left="0" w:firstLine="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8"/>
          <w:szCs w:val="28"/>
          <w:highlight w:val="none"/>
          <w14:textFill>
            <w14:solidFill>
              <w14:schemeClr w14:val="tx1"/>
            </w14:solidFill>
          </w14:textFill>
        </w:rPr>
        <w:t>投标人直接控股、管理关系信息表</w:t>
      </w:r>
    </w:p>
    <w:p w14:paraId="30039C16">
      <w:pPr>
        <w:spacing w:before="50" w:after="120"/>
        <w:jc w:val="center"/>
        <w:rPr>
          <w:rFonts w:hint="eastAsia" w:ascii="宋体" w:hAnsi="宋体" w:cs="宋体"/>
          <w:b/>
          <w:color w:val="000000" w:themeColor="text1"/>
          <w:sz w:val="28"/>
          <w:szCs w:val="28"/>
          <w:highlight w:val="none"/>
          <w14:textFill>
            <w14:solidFill>
              <w14:schemeClr w14:val="tx1"/>
            </w14:solidFill>
          </w14:textFill>
        </w:rPr>
      </w:pPr>
    </w:p>
    <w:p w14:paraId="6C6084B9">
      <w:pPr>
        <w:spacing w:before="50" w:after="120" w:line="36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投标人直接控股股东信息表</w:t>
      </w:r>
    </w:p>
    <w:tbl>
      <w:tblPr>
        <w:tblStyle w:val="30"/>
        <w:tblW w:w="0" w:type="auto"/>
        <w:tblInd w:w="-120"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040326D0">
        <w:tblPrEx>
          <w:shd w:val="clear" w:color="auto" w:fill="FBFBFB"/>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BECCCFA">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D5D196B">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549749">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73DC6FA">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7405E8E">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09C7D0C0">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9D4D9C">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3683BE">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60C161">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753561">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E1AA55">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0EF730E7">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8339F7">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1DA9D9">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07C40C">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1434F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B53141">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20CFC66B">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99479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853B82">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7202C0">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2116B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3EA111">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4A784108">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B079E6">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E230DC">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760F1F">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4C6A15">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167215">
            <w:pPr>
              <w:spacing w:line="360" w:lineRule="auto"/>
              <w:jc w:val="center"/>
              <w:rPr>
                <w:rFonts w:hint="eastAsia" w:ascii="宋体" w:hAnsi="宋体" w:cs="宋体"/>
                <w:color w:val="000000" w:themeColor="text1"/>
                <w:sz w:val="24"/>
                <w:highlight w:val="none"/>
                <w14:textFill>
                  <w14:solidFill>
                    <w14:schemeClr w14:val="tx1"/>
                  </w14:solidFill>
                </w14:textFill>
              </w:rPr>
            </w:pPr>
          </w:p>
        </w:tc>
      </w:tr>
    </w:tbl>
    <w:p w14:paraId="5FB92BCD">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0FF0CA1E">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1C08736">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2CFAF387">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3.供应商不存在直接控股股东的，则在“</w:t>
      </w:r>
      <w:r>
        <w:rPr>
          <w:rFonts w:hint="eastAsia" w:ascii="宋体" w:hAnsi="宋体" w:cs="宋体"/>
          <w:b/>
          <w:bCs/>
          <w:color w:val="000000" w:themeColor="text1"/>
          <w:sz w:val="24"/>
          <w:highlight w:val="none"/>
          <w14:textFill>
            <w14:solidFill>
              <w14:schemeClr w14:val="tx1"/>
            </w14:solidFill>
          </w14:textFill>
        </w:rPr>
        <w:t>直接控股股东名称</w:t>
      </w:r>
      <w:r>
        <w:rPr>
          <w:rFonts w:hint="eastAsia" w:ascii="宋体" w:hAnsi="宋体" w:cs="宋体"/>
          <w:color w:val="000000" w:themeColor="text1"/>
          <w:sz w:val="24"/>
          <w:highlight w:val="none"/>
          <w14:textFill>
            <w14:solidFill>
              <w14:schemeClr w14:val="tx1"/>
            </w14:solidFill>
          </w14:textFill>
        </w:rPr>
        <w:t>”中填“无”。</w:t>
      </w:r>
    </w:p>
    <w:p w14:paraId="0AFBA1F4">
      <w:pPr>
        <w:spacing w:line="360" w:lineRule="auto"/>
        <w:jc w:val="left"/>
        <w:rPr>
          <w:rFonts w:hint="eastAsia" w:ascii="宋体" w:hAnsi="宋体" w:cs="宋体"/>
          <w:color w:val="000000" w:themeColor="text1"/>
          <w:sz w:val="24"/>
          <w:highlight w:val="none"/>
          <w14:textFill>
            <w14:solidFill>
              <w14:schemeClr w14:val="tx1"/>
            </w14:solidFill>
          </w14:textFill>
        </w:rPr>
      </w:pPr>
    </w:p>
    <w:p w14:paraId="29712B24">
      <w:pPr>
        <w:spacing w:line="360" w:lineRule="auto"/>
        <w:jc w:val="left"/>
        <w:rPr>
          <w:rFonts w:hint="eastAsia" w:ascii="宋体" w:hAnsi="宋体" w:cs="宋体"/>
          <w:color w:val="000000" w:themeColor="text1"/>
          <w:sz w:val="24"/>
          <w:highlight w:val="none"/>
          <w14:textFill>
            <w14:solidFill>
              <w14:schemeClr w14:val="tx1"/>
            </w14:solidFill>
          </w14:textFill>
        </w:rPr>
      </w:pPr>
    </w:p>
    <w:p w14:paraId="362C4942">
      <w:pPr>
        <w:spacing w:line="360" w:lineRule="auto"/>
        <w:jc w:val="left"/>
        <w:rPr>
          <w:rFonts w:hint="eastAsia" w:ascii="宋体" w:hAnsi="宋体" w:cs="宋体"/>
          <w:color w:val="000000" w:themeColor="text1"/>
          <w:sz w:val="24"/>
          <w:highlight w:val="none"/>
          <w14:textFill>
            <w14:solidFill>
              <w14:schemeClr w14:val="tx1"/>
            </w14:solidFill>
          </w14:textFill>
        </w:rPr>
      </w:pPr>
    </w:p>
    <w:p w14:paraId="6576F6E7">
      <w:pPr>
        <w:spacing w:line="360" w:lineRule="auto"/>
        <w:jc w:val="left"/>
        <w:rPr>
          <w:rFonts w:hint="eastAsia" w:ascii="宋体" w:hAnsi="宋体" w:cs="宋体"/>
          <w:color w:val="000000" w:themeColor="text1"/>
          <w:sz w:val="24"/>
          <w:highlight w:val="none"/>
          <w14:textFill>
            <w14:solidFill>
              <w14:schemeClr w14:val="tx1"/>
            </w14:solidFill>
          </w14:textFill>
        </w:rPr>
      </w:pPr>
    </w:p>
    <w:p w14:paraId="5AE5C8E9">
      <w:pPr>
        <w:spacing w:line="360" w:lineRule="auto"/>
        <w:jc w:val="left"/>
        <w:rPr>
          <w:rFonts w:hint="eastAsia" w:ascii="宋体" w:hAnsi="宋体" w:cs="宋体"/>
          <w:color w:val="000000" w:themeColor="text1"/>
          <w:sz w:val="24"/>
          <w:highlight w:val="none"/>
          <w14:textFill>
            <w14:solidFill>
              <w14:schemeClr w14:val="tx1"/>
            </w14:solidFill>
          </w14:textFill>
        </w:rPr>
      </w:pPr>
    </w:p>
    <w:p w14:paraId="5B6FA31E">
      <w:pPr>
        <w:spacing w:line="360" w:lineRule="auto"/>
        <w:ind w:left="-2" w:right="-817" w:firstLine="19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法定代表人（或负责人）或者委托代理人（签字或者电子签名）： </w:t>
      </w:r>
    </w:p>
    <w:p w14:paraId="03638250">
      <w:pPr>
        <w:spacing w:line="360" w:lineRule="auto"/>
        <w:ind w:left="-3" w:right="-817" w:hanging="28"/>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投标人名称（电子签章）：</w:t>
      </w:r>
    </w:p>
    <w:p w14:paraId="0865EE8B">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日期：    年   月   日</w:t>
      </w:r>
    </w:p>
    <w:p w14:paraId="30EB39F2">
      <w:pPr>
        <w:spacing w:before="120" w:after="50" w:line="360" w:lineRule="auto"/>
        <w:ind w:right="480" w:firstLine="6465"/>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clear="all"/>
      </w:r>
    </w:p>
    <w:p w14:paraId="3C81F189">
      <w:pPr>
        <w:spacing w:line="360" w:lineRule="auto"/>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投标人直接管理关系信息表</w:t>
      </w:r>
    </w:p>
    <w:tbl>
      <w:tblPr>
        <w:tblStyle w:val="30"/>
        <w:tblW w:w="0" w:type="auto"/>
        <w:tblInd w:w="-120"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3B848E2C">
        <w:tblPrEx>
          <w:shd w:val="clear" w:color="auto" w:fill="FBFBFB"/>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D1F987">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D85049B">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8DC6D86">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458A5C">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相互关系</w:t>
            </w:r>
          </w:p>
        </w:tc>
      </w:tr>
      <w:tr w14:paraId="75A8112D">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96CE0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C9A38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B7315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967BAB">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501BA800">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38407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51F895">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ADC057">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8BD3F1">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4906B034">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86A7F1">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03E7E5">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CD7DC6">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302833">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3218771">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DB7A5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82EA60">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A9DF08">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31BF8E">
            <w:pPr>
              <w:spacing w:line="360" w:lineRule="auto"/>
              <w:jc w:val="center"/>
              <w:rPr>
                <w:rFonts w:hint="eastAsia" w:ascii="宋体" w:hAnsi="宋体" w:cs="宋体"/>
                <w:color w:val="000000" w:themeColor="text1"/>
                <w:sz w:val="24"/>
                <w:highlight w:val="none"/>
                <w14:textFill>
                  <w14:solidFill>
                    <w14:schemeClr w14:val="tx1"/>
                  </w14:solidFill>
                </w14:textFill>
              </w:rPr>
            </w:pPr>
          </w:p>
        </w:tc>
      </w:tr>
    </w:tbl>
    <w:p w14:paraId="2A6AD3FC">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5E17791A">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5925860B">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pacing w:val="-6"/>
          <w:sz w:val="24"/>
          <w:highlight w:val="none"/>
          <w14:textFill>
            <w14:solidFill>
              <w14:schemeClr w14:val="tx1"/>
            </w14:solidFill>
          </w14:textFill>
        </w:rPr>
        <w:t>本表所指的管理关系仅限于直接管理关系，不包括间接的管理关系。</w:t>
      </w:r>
    </w:p>
    <w:p w14:paraId="564492C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3.供应商不存在直接管理关系的，则在“</w:t>
      </w:r>
      <w:r>
        <w:rPr>
          <w:rFonts w:hint="eastAsia" w:ascii="宋体" w:hAnsi="宋体" w:cs="宋体"/>
          <w:b/>
          <w:bCs/>
          <w:color w:val="000000" w:themeColor="text1"/>
          <w:sz w:val="24"/>
          <w:highlight w:val="none"/>
          <w14:textFill>
            <w14:solidFill>
              <w14:schemeClr w14:val="tx1"/>
            </w14:solidFill>
          </w14:textFill>
        </w:rPr>
        <w:t>直接管理关系单位名称</w:t>
      </w:r>
      <w:r>
        <w:rPr>
          <w:rFonts w:hint="eastAsia" w:ascii="宋体" w:hAnsi="宋体" w:cs="宋体"/>
          <w:color w:val="000000" w:themeColor="text1"/>
          <w:sz w:val="24"/>
          <w:highlight w:val="none"/>
          <w14:textFill>
            <w14:solidFill>
              <w14:schemeClr w14:val="tx1"/>
            </w14:solidFill>
          </w14:textFill>
        </w:rPr>
        <w:t>”中填“无”。</w:t>
      </w:r>
    </w:p>
    <w:p w14:paraId="7707E4FF">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p>
    <w:p w14:paraId="46A51144">
      <w:pPr>
        <w:spacing w:line="360" w:lineRule="auto"/>
        <w:jc w:val="left"/>
        <w:rPr>
          <w:rFonts w:hint="eastAsia" w:ascii="宋体" w:hAnsi="宋体" w:cs="宋体"/>
          <w:color w:val="000000" w:themeColor="text1"/>
          <w:sz w:val="24"/>
          <w:highlight w:val="none"/>
          <w14:textFill>
            <w14:solidFill>
              <w14:schemeClr w14:val="tx1"/>
            </w14:solidFill>
          </w14:textFill>
        </w:rPr>
      </w:pPr>
    </w:p>
    <w:p w14:paraId="1728BB95">
      <w:pPr>
        <w:spacing w:line="360" w:lineRule="auto"/>
        <w:jc w:val="left"/>
        <w:rPr>
          <w:rFonts w:hint="eastAsia" w:ascii="宋体" w:hAnsi="宋体" w:cs="宋体"/>
          <w:color w:val="000000" w:themeColor="text1"/>
          <w:sz w:val="24"/>
          <w:highlight w:val="none"/>
          <w14:textFill>
            <w14:solidFill>
              <w14:schemeClr w14:val="tx1"/>
            </w14:solidFill>
          </w14:textFill>
        </w:rPr>
      </w:pPr>
    </w:p>
    <w:p w14:paraId="01620942">
      <w:pPr>
        <w:spacing w:line="360" w:lineRule="auto"/>
        <w:jc w:val="left"/>
        <w:rPr>
          <w:rFonts w:hint="eastAsia" w:ascii="宋体" w:hAnsi="宋体" w:cs="宋体"/>
          <w:color w:val="000000" w:themeColor="text1"/>
          <w:sz w:val="24"/>
          <w:highlight w:val="none"/>
          <w14:textFill>
            <w14:solidFill>
              <w14:schemeClr w14:val="tx1"/>
            </w14:solidFill>
          </w14:textFill>
        </w:rPr>
      </w:pPr>
    </w:p>
    <w:p w14:paraId="0F5D76A5">
      <w:pPr>
        <w:spacing w:line="360" w:lineRule="auto"/>
        <w:jc w:val="left"/>
        <w:rPr>
          <w:rFonts w:hint="eastAsia" w:ascii="宋体" w:hAnsi="宋体" w:cs="宋体"/>
          <w:color w:val="000000" w:themeColor="text1"/>
          <w:sz w:val="24"/>
          <w:highlight w:val="none"/>
          <w14:textFill>
            <w14:solidFill>
              <w14:schemeClr w14:val="tx1"/>
            </w14:solidFill>
          </w14:textFill>
        </w:rPr>
      </w:pPr>
    </w:p>
    <w:p w14:paraId="1FBF096D">
      <w:pPr>
        <w:spacing w:line="360" w:lineRule="auto"/>
        <w:jc w:val="left"/>
        <w:rPr>
          <w:rFonts w:hint="eastAsia" w:ascii="宋体" w:hAnsi="宋体" w:cs="宋体"/>
          <w:color w:val="000000" w:themeColor="text1"/>
          <w:sz w:val="24"/>
          <w:highlight w:val="none"/>
          <w14:textFill>
            <w14:solidFill>
              <w14:schemeClr w14:val="tx1"/>
            </w14:solidFill>
          </w14:textFill>
        </w:rPr>
      </w:pPr>
    </w:p>
    <w:p w14:paraId="658E2786">
      <w:pPr>
        <w:spacing w:line="360" w:lineRule="auto"/>
        <w:jc w:val="left"/>
        <w:rPr>
          <w:rFonts w:hint="eastAsia" w:ascii="宋体" w:hAnsi="宋体" w:cs="宋体"/>
          <w:color w:val="000000" w:themeColor="text1"/>
          <w:sz w:val="24"/>
          <w:highlight w:val="none"/>
          <w14:textFill>
            <w14:solidFill>
              <w14:schemeClr w14:val="tx1"/>
            </w14:solidFill>
          </w14:textFill>
        </w:rPr>
      </w:pPr>
    </w:p>
    <w:p w14:paraId="14BCA871">
      <w:pPr>
        <w:spacing w:line="360" w:lineRule="auto"/>
        <w:jc w:val="left"/>
        <w:rPr>
          <w:rFonts w:hint="eastAsia" w:ascii="宋体" w:hAnsi="宋体" w:cs="宋体"/>
          <w:color w:val="000000" w:themeColor="text1"/>
          <w:sz w:val="24"/>
          <w:highlight w:val="none"/>
          <w14:textFill>
            <w14:solidFill>
              <w14:schemeClr w14:val="tx1"/>
            </w14:solidFill>
          </w14:textFill>
        </w:rPr>
      </w:pPr>
    </w:p>
    <w:p w14:paraId="70BC67B5">
      <w:pPr>
        <w:spacing w:line="360" w:lineRule="auto"/>
        <w:ind w:left="-2" w:right="-817" w:firstLine="19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法定代表人（或负责人）或者委托代理人（签字或者电子签名）： </w:t>
      </w:r>
    </w:p>
    <w:p w14:paraId="32C2B161">
      <w:pPr>
        <w:spacing w:line="360" w:lineRule="auto"/>
        <w:ind w:left="-3" w:right="-817" w:hanging="28"/>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投标人名称（电子签章）：</w:t>
      </w:r>
    </w:p>
    <w:p w14:paraId="7C10E068">
      <w:pPr>
        <w:spacing w:line="360" w:lineRule="auto"/>
        <w:ind w:right="480" w:firstLine="24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日期：    年   月   日</w:t>
      </w:r>
    </w:p>
    <w:p w14:paraId="771EED42">
      <w:pPr>
        <w:spacing w:before="120" w:after="50" w:line="360" w:lineRule="auto"/>
        <w:ind w:right="480" w:firstLine="240"/>
        <w:jc w:val="right"/>
        <w:rPr>
          <w:rFonts w:hint="eastAsia" w:ascii="宋体" w:hAnsi="宋体" w:cs="宋体"/>
          <w:color w:val="000000" w:themeColor="text1"/>
          <w:sz w:val="24"/>
          <w:highlight w:val="none"/>
          <w14:textFill>
            <w14:solidFill>
              <w14:schemeClr w14:val="tx1"/>
            </w14:solidFill>
          </w14:textFill>
        </w:rPr>
      </w:pPr>
    </w:p>
    <w:p w14:paraId="65E1CF24">
      <w:pPr>
        <w:spacing w:before="50" w:after="120"/>
        <w:jc w:val="left"/>
        <w:rPr>
          <w:rFonts w:hint="eastAsia" w:ascii="宋体" w:hAnsi="宋体" w:cs="宋体"/>
          <w:color w:val="000000" w:themeColor="text1"/>
          <w:szCs w:val="21"/>
          <w:highlight w:val="none"/>
          <w14:textFill>
            <w14:solidFill>
              <w14:schemeClr w14:val="tx1"/>
            </w14:solidFill>
          </w14:textFill>
        </w:rPr>
      </w:pPr>
    </w:p>
    <w:p w14:paraId="6CED480A">
      <w:pPr>
        <w:spacing w:before="120" w:after="50"/>
        <w:jc w:val="left"/>
        <w:rPr>
          <w:rFonts w:hint="eastAsia" w:ascii="宋体" w:hAnsi="宋体" w:cs="宋体"/>
          <w:b/>
          <w:color w:val="000000" w:themeColor="text1"/>
          <w:sz w:val="24"/>
          <w:szCs w:val="20"/>
          <w:highlight w:val="none"/>
          <w14:textFill>
            <w14:solidFill>
              <w14:schemeClr w14:val="tx1"/>
            </w14:solidFill>
          </w14:textFill>
        </w:rPr>
      </w:pPr>
    </w:p>
    <w:p w14:paraId="6CABC8D9">
      <w:pPr>
        <w:numPr>
          <w:ilvl w:val="2"/>
          <w:numId w:val="8"/>
        </w:numPr>
        <w:spacing w:before="120" w:after="50"/>
        <w:ind w:left="0" w:firstLine="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投标声明</w:t>
      </w:r>
    </w:p>
    <w:p w14:paraId="10A4A180">
      <w:pPr>
        <w:spacing w:before="50" w:after="120"/>
        <w:jc w:val="left"/>
        <w:rPr>
          <w:rFonts w:hint="eastAsia" w:ascii="宋体" w:hAnsi="宋体" w:cs="宋体"/>
          <w:color w:val="000000" w:themeColor="text1"/>
          <w:highlight w:val="none"/>
          <w14:textFill>
            <w14:solidFill>
              <w14:schemeClr w14:val="tx1"/>
            </w14:solidFill>
          </w14:textFill>
        </w:rPr>
      </w:pPr>
    </w:p>
    <w:p w14:paraId="2F0C2399">
      <w:pPr>
        <w:spacing w:before="50" w:after="120"/>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投标声明</w:t>
      </w:r>
    </w:p>
    <w:p w14:paraId="5D2329E8">
      <w:pPr>
        <w:spacing w:line="400" w:lineRule="exact"/>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p>
    <w:p w14:paraId="4F6F5741">
      <w:pPr>
        <w:spacing w:line="400" w:lineRule="exact"/>
        <w:ind w:firstLine="523"/>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我方参加贵单位组织</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）的政府采购活动。我方在此郑重声明：</w:t>
      </w:r>
    </w:p>
    <w:p w14:paraId="51FCADE4">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DCF5055">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0804A1C3">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我方承诺符合《中华人民共和国政府采购法》第二十二条规定：</w:t>
      </w:r>
    </w:p>
    <w:p w14:paraId="430703C3">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（一）具有独立承担民事责任的能力；</w:t>
      </w:r>
    </w:p>
    <w:p w14:paraId="5C576E58">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（二）具有良好的商业信誉和健全的财务会计制度；</w:t>
      </w:r>
    </w:p>
    <w:p w14:paraId="29ECB5FB">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（三）具有履行合同所必需的设备和专业技术能力；</w:t>
      </w:r>
    </w:p>
    <w:p w14:paraId="251D1CFD">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（四）有依法缴纳税收和社会保障资金的良好记录；</w:t>
      </w:r>
    </w:p>
    <w:p w14:paraId="082D9026">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（五）参加政府采购活动前三年内，在经营活动中没有重大违法记录；</w:t>
      </w:r>
    </w:p>
    <w:p w14:paraId="5E185A6C">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（六）法律、行政法规规定的其他条件。</w:t>
      </w:r>
    </w:p>
    <w:p w14:paraId="147045E4">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4.以上事项如有虚假或者隐瞒，我方愿意承担一切后果，并不再寻求任何旨在减轻或者免除法律责任的辩解。</w:t>
      </w:r>
    </w:p>
    <w:p w14:paraId="19518950">
      <w:pPr>
        <w:spacing w:line="400" w:lineRule="exact"/>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特此承诺。</w:t>
      </w:r>
    </w:p>
    <w:p w14:paraId="6FD99B61">
      <w:pPr>
        <w:spacing w:line="400" w:lineRule="exact"/>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法定代表人（或负责人）（签字或者盖章或者电子签名）：</w:t>
      </w:r>
      <w:r>
        <w:rPr>
          <w:rFonts w:hint="eastAsia" w:ascii="宋体" w:hAnsi="宋体" w:cs="宋体"/>
          <w:color w:val="000000" w:themeColor="text1"/>
          <w:sz w:val="24"/>
          <w:highlight w:val="none"/>
          <w:u w:val="single"/>
          <w14:textFill>
            <w14:solidFill>
              <w14:schemeClr w14:val="tx1"/>
            </w14:solidFill>
          </w14:textFill>
        </w:rPr>
        <w:t xml:space="preserve">             </w:t>
      </w:r>
    </w:p>
    <w:p w14:paraId="4E14211F">
      <w:pPr>
        <w:spacing w:line="400" w:lineRule="exact"/>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投标人名称（电子签章）：</w:t>
      </w:r>
      <w:r>
        <w:rPr>
          <w:rFonts w:hint="eastAsia" w:ascii="宋体" w:hAnsi="宋体" w:cs="宋体"/>
          <w:color w:val="000000" w:themeColor="text1"/>
          <w:sz w:val="24"/>
          <w:highlight w:val="none"/>
          <w:u w:val="single"/>
          <w14:textFill>
            <w14:solidFill>
              <w14:schemeClr w14:val="tx1"/>
            </w14:solidFill>
          </w14:textFill>
        </w:rPr>
        <w:t xml:space="preserve">                 </w:t>
      </w:r>
    </w:p>
    <w:p w14:paraId="3CBC76A1">
      <w:pPr>
        <w:spacing w:line="400" w:lineRule="exact"/>
        <w:contextualSpacing/>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44799934">
      <w:pPr>
        <w:spacing w:line="440" w:lineRule="exact"/>
        <w:contextualSpacing/>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注：如为联合体投标，盖章处须加盖联合体牵头人电子签章并由联合体牵头人法定代表人（或负责人）分别签字或者盖章或者电子签名，否则投标无效。</w:t>
      </w:r>
    </w:p>
    <w:p w14:paraId="52D6847B">
      <w:pPr>
        <w:spacing w:line="400" w:lineRule="exact"/>
        <w:contextualSpacing/>
        <w:jc w:val="left"/>
        <w:rPr>
          <w:rFonts w:hint="eastAsia" w:ascii="宋体" w:hAnsi="宋体" w:cs="宋体"/>
          <w:color w:val="000000" w:themeColor="text1"/>
          <w:sz w:val="24"/>
          <w:highlight w:val="none"/>
          <w14:textFill>
            <w14:solidFill>
              <w14:schemeClr w14:val="tx1"/>
            </w14:solidFill>
          </w14:textFill>
        </w:rPr>
      </w:pPr>
    </w:p>
    <w:p w14:paraId="7DA6E293">
      <w:pPr>
        <w:spacing w:line="400" w:lineRule="exact"/>
        <w:contextualSpacing/>
        <w:jc w:val="left"/>
        <w:rPr>
          <w:rFonts w:hint="eastAsia" w:ascii="宋体" w:hAnsi="宋体" w:cs="宋体"/>
          <w:color w:val="000000" w:themeColor="text1"/>
          <w:sz w:val="24"/>
          <w:highlight w:val="none"/>
          <w14:textFill>
            <w14:solidFill>
              <w14:schemeClr w14:val="tx1"/>
            </w14:solidFill>
          </w14:textFill>
        </w:rPr>
      </w:pPr>
    </w:p>
    <w:p w14:paraId="058A909D">
      <w:pPr>
        <w:spacing w:line="400" w:lineRule="exact"/>
        <w:contextualSpacing/>
        <w:jc w:val="left"/>
        <w:rPr>
          <w:rFonts w:hint="eastAsia" w:ascii="宋体" w:hAnsi="宋体" w:cs="宋体"/>
          <w:color w:val="000000" w:themeColor="text1"/>
          <w:sz w:val="24"/>
          <w:highlight w:val="none"/>
          <w14:textFill>
            <w14:solidFill>
              <w14:schemeClr w14:val="tx1"/>
            </w14:solidFill>
          </w14:textFill>
        </w:rPr>
      </w:pPr>
    </w:p>
    <w:p w14:paraId="24C1105E">
      <w:pPr>
        <w:pStyle w:val="219"/>
        <w:rPr>
          <w:rFonts w:hint="eastAsia" w:ascii="宋体" w:hAnsi="宋体" w:cs="宋体"/>
          <w:color w:val="000000" w:themeColor="text1"/>
          <w:highlight w:val="none"/>
          <w14:textFill>
            <w14:solidFill>
              <w14:schemeClr w14:val="tx1"/>
            </w14:solidFill>
          </w14:textFill>
        </w:rPr>
      </w:pPr>
    </w:p>
    <w:p w14:paraId="1995B398">
      <w:pPr>
        <w:pStyle w:val="219"/>
        <w:rPr>
          <w:rFonts w:hint="eastAsia" w:ascii="宋体" w:hAnsi="宋体" w:cs="宋体"/>
          <w:color w:val="000000" w:themeColor="text1"/>
          <w:highlight w:val="none"/>
          <w14:textFill>
            <w14:solidFill>
              <w14:schemeClr w14:val="tx1"/>
            </w14:solidFill>
          </w14:textFill>
        </w:rPr>
      </w:pPr>
    </w:p>
    <w:p w14:paraId="596C98FE">
      <w:pP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三、商务文件格式</w:t>
      </w:r>
    </w:p>
    <w:p w14:paraId="442D44E1">
      <w:pPr>
        <w:spacing w:before="120" w:after="50" w:line="360" w:lineRule="auto"/>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1.商务文件封面格式： </w:t>
      </w:r>
    </w:p>
    <w:p w14:paraId="7C9EE0B1">
      <w:pPr>
        <w:spacing w:before="12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48"/>
          <w:szCs w:val="48"/>
          <w:highlight w:val="none"/>
          <w14:textFill>
            <w14:solidFill>
              <w14:schemeClr w14:val="tx1"/>
            </w14:solidFill>
          </w14:textFill>
        </w:rPr>
        <w:t>电子投标文件</w:t>
      </w:r>
    </w:p>
    <w:p w14:paraId="05B4EEEE">
      <w:pPr>
        <w:spacing w:before="120" w:after="50"/>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6CAD772D">
      <w:pPr>
        <w:spacing w:before="120" w:after="50"/>
        <w:jc w:val="center"/>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商务文件</w:t>
      </w:r>
    </w:p>
    <w:p w14:paraId="7A68A173">
      <w:pPr>
        <w:spacing w:before="120" w:after="50"/>
        <w:rPr>
          <w:rFonts w:hint="eastAsia" w:ascii="宋体" w:hAnsi="宋体" w:cs="宋体"/>
          <w:bCs/>
          <w:color w:val="000000" w:themeColor="text1"/>
          <w:sz w:val="24"/>
          <w:szCs w:val="20"/>
          <w:highlight w:val="none"/>
          <w14:textFill>
            <w14:solidFill>
              <w14:schemeClr w14:val="tx1"/>
            </w14:solidFill>
          </w14:textFill>
        </w:rPr>
      </w:pPr>
    </w:p>
    <w:p w14:paraId="7D4C465F">
      <w:pPr>
        <w:spacing w:before="120" w:after="50"/>
        <w:ind w:firstLine="54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项目名称：</w:t>
      </w:r>
    </w:p>
    <w:p w14:paraId="596B9AD9">
      <w:pPr>
        <w:spacing w:before="120" w:after="50"/>
        <w:ind w:firstLine="540"/>
        <w:rPr>
          <w:rFonts w:hint="eastAsia" w:ascii="宋体" w:hAnsi="宋体" w:cs="宋体"/>
          <w:bCs/>
          <w:color w:val="000000" w:themeColor="text1"/>
          <w:sz w:val="24"/>
          <w:szCs w:val="20"/>
          <w:highlight w:val="none"/>
          <w14:textFill>
            <w14:solidFill>
              <w14:schemeClr w14:val="tx1"/>
            </w14:solidFill>
          </w14:textFill>
        </w:rPr>
      </w:pPr>
    </w:p>
    <w:p w14:paraId="50211817">
      <w:pPr>
        <w:spacing w:before="120" w:after="50"/>
        <w:ind w:firstLine="54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74783CCD">
      <w:pPr>
        <w:spacing w:before="120" w:after="50"/>
        <w:ind w:firstLine="540"/>
        <w:rPr>
          <w:rFonts w:hint="eastAsia" w:ascii="宋体" w:hAnsi="宋体" w:cs="宋体"/>
          <w:bCs/>
          <w:color w:val="000000" w:themeColor="text1"/>
          <w:sz w:val="24"/>
          <w:szCs w:val="20"/>
          <w:highlight w:val="none"/>
          <w14:textFill>
            <w14:solidFill>
              <w14:schemeClr w14:val="tx1"/>
            </w14:solidFill>
          </w14:textFill>
        </w:rPr>
      </w:pPr>
    </w:p>
    <w:p w14:paraId="719F75EC">
      <w:pPr>
        <w:pStyle w:val="195"/>
        <w:rPr>
          <w:rFonts w:hint="eastAsia" w:ascii="宋体" w:hAnsi="宋体" w:eastAsia="宋体" w:cs="宋体"/>
          <w:color w:val="000000" w:themeColor="text1"/>
          <w:highlight w:val="none"/>
          <w14:textFill>
            <w14:solidFill>
              <w14:schemeClr w14:val="tx1"/>
            </w14:solidFill>
          </w14:textFill>
        </w:rPr>
      </w:pPr>
    </w:p>
    <w:p w14:paraId="6B4BE987">
      <w:pPr>
        <w:pStyle w:val="197"/>
        <w:spacing w:before="50" w:after="50"/>
        <w:ind w:firstLine="54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投标人名称：</w:t>
      </w:r>
    </w:p>
    <w:p w14:paraId="02CF748B">
      <w:pPr>
        <w:pStyle w:val="197"/>
        <w:spacing w:before="50" w:after="50"/>
        <w:ind w:firstLine="540"/>
        <w:rPr>
          <w:rFonts w:hint="eastAsia" w:ascii="宋体" w:hAnsi="宋体" w:cs="宋体"/>
          <w:bCs/>
          <w:color w:val="000000" w:themeColor="text1"/>
          <w:sz w:val="24"/>
          <w:szCs w:val="24"/>
          <w:highlight w:val="none"/>
          <w14:textFill>
            <w14:solidFill>
              <w14:schemeClr w14:val="tx1"/>
            </w14:solidFill>
          </w14:textFill>
        </w:rPr>
      </w:pPr>
    </w:p>
    <w:p w14:paraId="2382E415">
      <w:pPr>
        <w:pStyle w:val="197"/>
        <w:spacing w:before="50" w:after="50"/>
        <w:ind w:firstLine="54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投标人地址：</w:t>
      </w:r>
    </w:p>
    <w:p w14:paraId="66229EB8">
      <w:pPr>
        <w:pStyle w:val="197"/>
        <w:spacing w:before="50" w:after="50"/>
        <w:ind w:firstLine="960"/>
        <w:rPr>
          <w:rFonts w:hint="eastAsia" w:ascii="宋体" w:hAnsi="宋体" w:cs="宋体"/>
          <w:bCs/>
          <w:color w:val="000000" w:themeColor="text1"/>
          <w:sz w:val="24"/>
          <w:szCs w:val="24"/>
          <w:highlight w:val="none"/>
          <w14:textFill>
            <w14:solidFill>
              <w14:schemeClr w14:val="tx1"/>
            </w14:solidFill>
          </w14:textFill>
        </w:rPr>
      </w:pPr>
    </w:p>
    <w:p w14:paraId="04608886">
      <w:pPr>
        <w:spacing w:before="120" w:after="50"/>
        <w:ind w:firstLine="64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3CA3C5A8">
      <w:pPr>
        <w:spacing w:before="120" w:after="50"/>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 xml:space="preserve"> </w:t>
      </w:r>
    </w:p>
    <w:p w14:paraId="43BC2D16">
      <w:pPr>
        <w:spacing w:line="360" w:lineRule="auto"/>
        <w:jc w:val="left"/>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br w:type="page" w:clear="all"/>
      </w:r>
      <w:r>
        <w:rPr>
          <w:rFonts w:hint="eastAsia" w:ascii="宋体" w:hAnsi="宋体" w:cs="宋体"/>
          <w:b/>
          <w:bCs/>
          <w:color w:val="000000" w:themeColor="text1"/>
          <w:sz w:val="28"/>
          <w:szCs w:val="28"/>
          <w:highlight w:val="none"/>
          <w14:textFill>
            <w14:solidFill>
              <w14:schemeClr w14:val="tx1"/>
            </w14:solidFill>
          </w14:textFill>
        </w:rPr>
        <w:t>2.商务文件目录</w:t>
      </w:r>
    </w:p>
    <w:p w14:paraId="2C299362">
      <w:pPr>
        <w:spacing w:before="50" w:after="120" w:line="360" w:lineRule="auto"/>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根据招标文件规定及投标人提供的材料自行编写目录。</w:t>
      </w:r>
    </w:p>
    <w:p w14:paraId="106461DF">
      <w:pPr>
        <w:spacing w:before="50" w:after="120"/>
        <w:jc w:val="left"/>
        <w:rPr>
          <w:rFonts w:hint="eastAsia" w:ascii="宋体" w:hAnsi="宋体" w:cs="宋体"/>
          <w:color w:val="000000" w:themeColor="text1"/>
          <w:highlight w:val="none"/>
          <w14:textFill>
            <w14:solidFill>
              <w14:schemeClr w14:val="tx1"/>
            </w14:solidFill>
          </w14:textFill>
        </w:rPr>
      </w:pPr>
    </w:p>
    <w:p w14:paraId="061C488A">
      <w:pPr>
        <w:spacing w:before="120" w:after="5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3.投标人参加本项目无围标串标行为的承诺</w:t>
      </w:r>
    </w:p>
    <w:p w14:paraId="5E5F939D">
      <w:pPr>
        <w:spacing w:before="120" w:after="50"/>
        <w:jc w:val="left"/>
        <w:rPr>
          <w:rFonts w:hint="eastAsia" w:ascii="宋体" w:hAnsi="宋体" w:cs="宋体"/>
          <w:b/>
          <w:color w:val="000000" w:themeColor="text1"/>
          <w:sz w:val="24"/>
          <w:highlight w:val="none"/>
          <w14:textFill>
            <w14:solidFill>
              <w14:schemeClr w14:val="tx1"/>
            </w14:solidFill>
          </w14:textFill>
        </w:rPr>
      </w:pPr>
    </w:p>
    <w:p w14:paraId="65B94841">
      <w:pPr>
        <w:spacing w:before="120" w:after="50"/>
        <w:ind w:left="420"/>
        <w:jc w:val="center"/>
        <w:rPr>
          <w:rFonts w:hint="eastAsia" w:ascii="宋体" w:hAnsi="宋体" w:cs="宋体"/>
          <w:b/>
          <w:color w:val="000000" w:themeColor="text1"/>
          <w:spacing w:val="-17"/>
          <w:sz w:val="32"/>
          <w:szCs w:val="32"/>
          <w:highlight w:val="none"/>
          <w14:textFill>
            <w14:solidFill>
              <w14:schemeClr w14:val="tx1"/>
            </w14:solidFill>
          </w14:textFill>
        </w:rPr>
      </w:pPr>
      <w:r>
        <w:rPr>
          <w:rFonts w:hint="eastAsia" w:ascii="宋体" w:hAnsi="宋体" w:cs="宋体"/>
          <w:bCs/>
          <w:color w:val="000000" w:themeColor="text1"/>
          <w:spacing w:val="-17"/>
          <w:sz w:val="44"/>
          <w:szCs w:val="44"/>
          <w:highlight w:val="none"/>
          <w14:textFill>
            <w14:solidFill>
              <w14:schemeClr w14:val="tx1"/>
            </w14:solidFill>
          </w14:textFill>
        </w:rPr>
        <w:t>投标人参加本项目无围标串标行为的承诺函</w:t>
      </w:r>
    </w:p>
    <w:p w14:paraId="0314CF79">
      <w:pPr>
        <w:spacing w:before="120" w:after="50"/>
        <w:rPr>
          <w:rFonts w:hint="eastAsia" w:ascii="宋体" w:hAnsi="宋体" w:cs="宋体"/>
          <w:b/>
          <w:color w:val="000000" w:themeColor="text1"/>
          <w:sz w:val="24"/>
          <w:highlight w:val="none"/>
          <w14:textFill>
            <w14:solidFill>
              <w14:schemeClr w14:val="tx1"/>
            </w14:solidFill>
          </w14:textFill>
        </w:rPr>
      </w:pPr>
    </w:p>
    <w:p w14:paraId="48E08514">
      <w:pPr>
        <w:spacing w:line="400" w:lineRule="exact"/>
        <w:contextualSpacing/>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一、我方承诺无下列相互串通投标的情形：</w:t>
      </w:r>
    </w:p>
    <w:p w14:paraId="1CECF3DD">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1.不同投标人的投标文件由同一单位或者个人编制； </w:t>
      </w:r>
    </w:p>
    <w:p w14:paraId="3B1A5CA0">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2.不同投标人委托同一单位或者个人办理投标事宜；</w:t>
      </w:r>
    </w:p>
    <w:p w14:paraId="41689992">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3.不同的投标人的投标文件载明的项目管理员为同一个人；</w:t>
      </w:r>
    </w:p>
    <w:p w14:paraId="734F14F2">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4.不同投标人的投标文件异常一致或者投标报价呈规律性差异；</w:t>
      </w:r>
    </w:p>
    <w:p w14:paraId="1DE15538">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5.不同投标人的投标文件相互混装；</w:t>
      </w:r>
    </w:p>
    <w:p w14:paraId="2BB3B0DB">
      <w:pPr>
        <w:spacing w:line="400" w:lineRule="exact"/>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二、我方承诺无下列恶意串通的情形：</w:t>
      </w:r>
    </w:p>
    <w:p w14:paraId="2FA69AA2">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1.投标人直接或者间接从采购人或者采购代理机构处获得其他投标人的相关信息并修改其投标文件或者投标文件；</w:t>
      </w:r>
    </w:p>
    <w:p w14:paraId="220B7851">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2.投标人按照采购人或者采购代理机构的授意撤换、修改投标文件或者投标文件；</w:t>
      </w:r>
    </w:p>
    <w:p w14:paraId="0E244381">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3.投标人之间协商报价、技术方案等投标文件或者投标文件的实质性内容；</w:t>
      </w:r>
    </w:p>
    <w:p w14:paraId="2DF64D0D">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4.属于同一集团、协会、商会等组织成员的投标人按照该组织要求协同参加政府采购活动；</w:t>
      </w:r>
    </w:p>
    <w:p w14:paraId="3BBB6A5F">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476376BC">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6.投标人之间商定部分投标人放弃参加政府采购活动或者放弃中标；</w:t>
      </w:r>
    </w:p>
    <w:p w14:paraId="0037183E">
      <w:pPr>
        <w:spacing w:line="40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7.投标人与采购人或者采购代理机构之间、投标人相互之间，为谋求特定投标人中标或者排斥其他投标人的其他串通行为。</w:t>
      </w:r>
    </w:p>
    <w:p w14:paraId="2D8393C7">
      <w:pPr>
        <w:spacing w:line="400" w:lineRule="exact"/>
        <w:ind w:firstLine="472"/>
        <w:contextualSpacing/>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08CB6CC2">
      <w:pPr>
        <w:pStyle w:val="227"/>
        <w:spacing w:line="400" w:lineRule="exact"/>
        <w:ind w:firstLine="6840"/>
        <w:contextualSpacing/>
        <w:rPr>
          <w:rFonts w:hint="eastAsia" w:hAnsi="宋体" w:cs="宋体"/>
          <w:color w:val="000000" w:themeColor="text1"/>
          <w:sz w:val="24"/>
          <w:szCs w:val="24"/>
          <w:highlight w:val="none"/>
          <w14:textFill>
            <w14:solidFill>
              <w14:schemeClr w14:val="tx1"/>
            </w14:solidFill>
          </w14:textFill>
        </w:rPr>
      </w:pPr>
    </w:p>
    <w:p w14:paraId="2E1FCB20">
      <w:pPr>
        <w:pStyle w:val="227"/>
        <w:spacing w:line="400" w:lineRule="exact"/>
        <w:contextualSpacing/>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                                    投标人名称（电子签章）</w:t>
      </w:r>
    </w:p>
    <w:p w14:paraId="70054797">
      <w:pPr>
        <w:pStyle w:val="227"/>
        <w:spacing w:line="400" w:lineRule="exact"/>
        <w:contextualSpacing/>
        <w:rPr>
          <w:rFonts w:hint="eastAsia" w:hAnsi="宋体" w:cs="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年</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月</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日</w:t>
      </w:r>
    </w:p>
    <w:p w14:paraId="5B374793">
      <w:pPr>
        <w:spacing w:before="120" w:after="50"/>
        <w:ind w:firstLine="472"/>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4.法定代表人（或负责人）身份证明</w:t>
      </w:r>
    </w:p>
    <w:p w14:paraId="55CB91D8">
      <w:pPr>
        <w:spacing w:before="240" w:after="120"/>
        <w:ind w:left="540"/>
        <w:jc w:val="center"/>
        <w:rPr>
          <w:rFonts w:hint="eastAsia" w:ascii="宋体" w:hAnsi="宋体" w:cs="宋体"/>
          <w:b/>
          <w:color w:val="000000" w:themeColor="text1"/>
          <w:sz w:val="32"/>
          <w:szCs w:val="32"/>
          <w:highlight w:val="none"/>
          <w14:textFill>
            <w14:solidFill>
              <w14:schemeClr w14:val="tx1"/>
            </w14:solidFill>
          </w14:textFill>
        </w:rPr>
      </w:pPr>
    </w:p>
    <w:p w14:paraId="0BFA5D21">
      <w:pPr>
        <w:spacing w:before="240" w:after="120"/>
        <w:ind w:left="54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法定代表人（或负责人）身份证明</w:t>
      </w:r>
    </w:p>
    <w:p w14:paraId="4606BEC6">
      <w:pPr>
        <w:spacing w:line="500" w:lineRule="exact"/>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 标 人：</w:t>
      </w:r>
      <w:r>
        <w:rPr>
          <w:rFonts w:hint="eastAsia" w:ascii="宋体" w:hAnsi="宋体" w:cs="宋体"/>
          <w:color w:val="000000" w:themeColor="text1"/>
          <w:sz w:val="24"/>
          <w:highlight w:val="none"/>
          <w:u w:val="single"/>
          <w14:textFill>
            <w14:solidFill>
              <w14:schemeClr w14:val="tx1"/>
            </w14:solidFill>
          </w14:textFill>
        </w:rPr>
        <w:t xml:space="preserve">                                                        </w:t>
      </w:r>
    </w:p>
    <w:p w14:paraId="4836BE90">
      <w:pPr>
        <w:spacing w:line="500" w:lineRule="exact"/>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 xml:space="preserve">                                                        </w:t>
      </w:r>
    </w:p>
    <w:p w14:paraId="01EE7AC1">
      <w:pPr>
        <w:spacing w:line="500" w:lineRule="exact"/>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性      别：</w:t>
      </w:r>
      <w:r>
        <w:rPr>
          <w:rFonts w:hint="eastAsia" w:ascii="宋体" w:hAnsi="宋体" w:cs="宋体"/>
          <w:color w:val="000000" w:themeColor="text1"/>
          <w:sz w:val="24"/>
          <w:highlight w:val="none"/>
          <w:u w:val="single"/>
          <w14:textFill>
            <w14:solidFill>
              <w14:schemeClr w14:val="tx1"/>
            </w14:solidFill>
          </w14:textFill>
        </w:rPr>
        <w:t xml:space="preserve">                </w:t>
      </w:r>
    </w:p>
    <w:p w14:paraId="53D20C13">
      <w:pPr>
        <w:spacing w:line="500" w:lineRule="exact"/>
        <w:ind w:left="54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职      务：</w:t>
      </w:r>
      <w:r>
        <w:rPr>
          <w:rFonts w:hint="eastAsia" w:ascii="宋体" w:hAnsi="宋体" w:cs="宋体"/>
          <w:color w:val="000000" w:themeColor="text1"/>
          <w:sz w:val="24"/>
          <w:highlight w:val="none"/>
          <w:u w:val="single"/>
          <w14:textFill>
            <w14:solidFill>
              <w14:schemeClr w14:val="tx1"/>
            </w14:solidFill>
          </w14:textFill>
        </w:rPr>
        <w:t xml:space="preserve">                </w:t>
      </w:r>
    </w:p>
    <w:p w14:paraId="1ED3D37E">
      <w:pPr>
        <w:spacing w:line="500" w:lineRule="exact"/>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身份证号码：</w:t>
      </w:r>
      <w:r>
        <w:rPr>
          <w:rFonts w:hint="eastAsia" w:ascii="宋体" w:hAnsi="宋体" w:cs="宋体"/>
          <w:color w:val="000000" w:themeColor="text1"/>
          <w:sz w:val="24"/>
          <w:highlight w:val="none"/>
          <w:u w:val="single"/>
          <w14:textFill>
            <w14:solidFill>
              <w14:schemeClr w14:val="tx1"/>
            </w14:solidFill>
          </w14:textFill>
        </w:rPr>
        <w:t xml:space="preserve">                                 </w:t>
      </w:r>
    </w:p>
    <w:p w14:paraId="312F6F2B">
      <w:pPr>
        <w:spacing w:line="500" w:lineRule="exact"/>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 xml:space="preserve">            （投标人名称）              </w:t>
      </w:r>
      <w:r>
        <w:rPr>
          <w:rFonts w:hint="eastAsia" w:ascii="宋体" w:hAnsi="宋体" w:cs="宋体"/>
          <w:color w:val="000000" w:themeColor="text1"/>
          <w:sz w:val="24"/>
          <w:highlight w:val="none"/>
          <w14:textFill>
            <w14:solidFill>
              <w14:schemeClr w14:val="tx1"/>
            </w14:solidFill>
          </w14:textFill>
        </w:rPr>
        <w:t>的法定代表人（或负责人）。</w:t>
      </w:r>
    </w:p>
    <w:p w14:paraId="6869B35F">
      <w:pPr>
        <w:spacing w:line="500" w:lineRule="exact"/>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14:paraId="3579198E">
      <w:pPr>
        <w:spacing w:line="500" w:lineRule="exact"/>
        <w:ind w:left="540"/>
        <w:rPr>
          <w:rFonts w:hint="eastAsia" w:ascii="宋体" w:hAnsi="宋体" w:cs="宋体"/>
          <w:color w:val="000000" w:themeColor="text1"/>
          <w:sz w:val="24"/>
          <w:highlight w:val="none"/>
          <w14:textFill>
            <w14:solidFill>
              <w14:schemeClr w14:val="tx1"/>
            </w14:solidFill>
          </w14:textFill>
        </w:rPr>
      </w:pPr>
    </w:p>
    <w:p w14:paraId="315EBAD3">
      <w:pPr>
        <w:spacing w:line="500" w:lineRule="exact"/>
        <w:ind w:left="540"/>
        <w:rPr>
          <w:rFonts w:hint="eastAsia" w:ascii="宋体" w:hAnsi="宋体" w:cs="宋体"/>
          <w:color w:val="000000" w:themeColor="text1"/>
          <w:sz w:val="24"/>
          <w:highlight w:val="none"/>
          <w14:textFill>
            <w14:solidFill>
              <w14:schemeClr w14:val="tx1"/>
            </w14:solidFill>
          </w14:textFill>
        </w:rPr>
      </w:pPr>
    </w:p>
    <w:p w14:paraId="0A801A3C">
      <w:pPr>
        <w:spacing w:line="500" w:lineRule="exact"/>
        <w:ind w:left="54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附件：法定代表人（或负责人）有效身份证正反面</w:t>
      </w:r>
      <w:r>
        <w:rPr>
          <w:rFonts w:hint="eastAsia" w:ascii="宋体" w:hAnsi="宋体" w:cs="宋体"/>
          <w:color w:val="000000" w:themeColor="text1"/>
          <w:sz w:val="24"/>
          <w:highlight w:val="none"/>
          <w:lang w:eastAsia="zh-CN"/>
          <w14:textFill>
            <w14:solidFill>
              <w14:schemeClr w14:val="tx1"/>
            </w14:solidFill>
          </w14:textFill>
        </w:rPr>
        <w:t>复印件（或扫描件）</w:t>
      </w:r>
    </w:p>
    <w:p w14:paraId="2DCB4205">
      <w:pPr>
        <w:spacing w:line="500" w:lineRule="exact"/>
        <w:ind w:left="540"/>
        <w:rPr>
          <w:rFonts w:hint="eastAsia" w:ascii="宋体" w:hAnsi="宋体" w:cs="宋体"/>
          <w:color w:val="000000" w:themeColor="text1"/>
          <w:sz w:val="24"/>
          <w:highlight w:val="none"/>
          <w14:textFill>
            <w14:solidFill>
              <w14:schemeClr w14:val="tx1"/>
            </w14:solidFill>
          </w14:textFill>
        </w:rPr>
      </w:pPr>
    </w:p>
    <w:p w14:paraId="5E83FD08">
      <w:pPr>
        <w:spacing w:line="500" w:lineRule="exact"/>
        <w:ind w:left="54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6CB7216B">
      <w:pPr>
        <w:spacing w:before="120" w:after="50"/>
        <w:ind w:left="54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093D802E">
      <w:pPr>
        <w:spacing w:before="120" w:after="50"/>
        <w:jc w:val="center"/>
        <w:rPr>
          <w:rFonts w:hint="eastAsia" w:ascii="宋体" w:hAnsi="宋体" w:cs="宋体"/>
          <w:b/>
          <w:color w:val="000000" w:themeColor="text1"/>
          <w:sz w:val="24"/>
          <w:highlight w:val="none"/>
          <w14:textFill>
            <w14:solidFill>
              <w14:schemeClr w14:val="tx1"/>
            </w14:solidFill>
          </w14:textFill>
        </w:rPr>
      </w:pPr>
    </w:p>
    <w:p w14:paraId="49882D35">
      <w:pPr>
        <w:spacing w:before="120" w:after="5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注：自然人投标的无需提供</w:t>
      </w:r>
    </w:p>
    <w:p w14:paraId="07CA6EE3">
      <w:pPr>
        <w:spacing w:before="120" w:after="5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5.授权委托书格式</w:t>
      </w:r>
    </w:p>
    <w:p w14:paraId="606DDDBC">
      <w:pPr>
        <w:spacing w:before="120" w:after="50"/>
        <w:jc w:val="center"/>
        <w:rPr>
          <w:rFonts w:hint="eastAsia" w:ascii="宋体" w:hAnsi="宋体" w:cs="宋体"/>
          <w:b/>
          <w:color w:val="000000" w:themeColor="text1"/>
          <w:sz w:val="44"/>
          <w:szCs w:val="44"/>
          <w:highlight w:val="none"/>
          <w14:textFill>
            <w14:solidFill>
              <w14:schemeClr w14:val="tx1"/>
            </w14:solidFill>
          </w14:textFill>
        </w:rPr>
      </w:pPr>
    </w:p>
    <w:p w14:paraId="6F69FA10">
      <w:pPr>
        <w:spacing w:before="12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授权委托书</w:t>
      </w:r>
    </w:p>
    <w:p w14:paraId="3F440376">
      <w:pPr>
        <w:spacing w:before="120" w:after="50"/>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（非联合体投标格式）</w:t>
      </w:r>
    </w:p>
    <w:p w14:paraId="3ADD1919">
      <w:pPr>
        <w:spacing w:before="120" w:after="50"/>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（如有委托时）</w:t>
      </w:r>
    </w:p>
    <w:p w14:paraId="3A619FD2">
      <w:pPr>
        <w:spacing w:before="120" w:after="50"/>
        <w:jc w:val="center"/>
        <w:rPr>
          <w:rFonts w:hint="eastAsia" w:ascii="宋体" w:hAnsi="宋体" w:cs="宋体"/>
          <w:b/>
          <w:color w:val="000000" w:themeColor="text1"/>
          <w:sz w:val="24"/>
          <w:highlight w:val="none"/>
          <w14:textFill>
            <w14:solidFill>
              <w14:schemeClr w14:val="tx1"/>
            </w14:solidFill>
          </w14:textFill>
        </w:rPr>
      </w:pPr>
    </w:p>
    <w:p w14:paraId="6B1C0DBD">
      <w:pPr>
        <w:spacing w:line="360" w:lineRule="auto"/>
        <w:contextualSpacing/>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099D7737">
      <w:pPr>
        <w:spacing w:line="360" w:lineRule="auto"/>
        <w:ind w:firstLine="566"/>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（姓名）系</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（投标人名称）的法定代表人（或负责人），现授权委托</w:t>
      </w:r>
      <w:r>
        <w:rPr>
          <w:rFonts w:hint="eastAsia" w:ascii="宋体" w:hAnsi="宋体" w:cs="宋体"/>
          <w:color w:val="000000" w:themeColor="text1"/>
          <w:sz w:val="24"/>
          <w:highlight w:val="none"/>
          <w:u w:val="single"/>
          <w14:textFill>
            <w14:solidFill>
              <w14:schemeClr w14:val="tx1"/>
            </w14:solidFill>
          </w14:textFill>
        </w:rPr>
        <w:t xml:space="preserve">              （姓名）</w:t>
      </w:r>
      <w:r>
        <w:rPr>
          <w:rFonts w:hint="eastAsia" w:ascii="宋体" w:hAnsi="宋体" w:cs="宋体"/>
          <w:color w:val="000000" w:themeColor="text1"/>
          <w:sz w:val="24"/>
          <w:highlight w:val="none"/>
          <w14:textFill>
            <w14:solidFill>
              <w14:schemeClr w14:val="tx1"/>
            </w14:solidFill>
          </w14:textFill>
        </w:rPr>
        <w:t>以我方的名义参加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46D2422F">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我方对委托代理人的签字或者电子签名事项负全部责任。</w:t>
      </w:r>
    </w:p>
    <w:p w14:paraId="1EB0F99F">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287741EC">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委托代理人无转委托权，特此委托。</w:t>
      </w:r>
    </w:p>
    <w:p w14:paraId="678303A3">
      <w:pPr>
        <w:spacing w:line="360" w:lineRule="auto"/>
        <w:ind w:firstLine="480"/>
        <w:contextualSpacing/>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附：法定代表人（或负责人）身份证明及委托代理人有效身份证正反面</w:t>
      </w:r>
      <w:r>
        <w:rPr>
          <w:rFonts w:hint="eastAsia" w:ascii="宋体" w:hAnsi="宋体" w:cs="宋体"/>
          <w:color w:val="000000" w:themeColor="text1"/>
          <w:sz w:val="24"/>
          <w:highlight w:val="none"/>
          <w:lang w:eastAsia="zh-CN"/>
          <w14:textFill>
            <w14:solidFill>
              <w14:schemeClr w14:val="tx1"/>
            </w14:solidFill>
          </w14:textFill>
        </w:rPr>
        <w:t>复印件（或扫描件）</w:t>
      </w:r>
    </w:p>
    <w:p w14:paraId="711684F4">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397891FD">
      <w:pPr>
        <w:spacing w:line="440" w:lineRule="exact"/>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委托代理人（签字或者电子签名）：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1512A143">
      <w:pPr>
        <w:spacing w:line="440" w:lineRule="exact"/>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委托代理人身份证号码：</w:t>
      </w:r>
      <w:r>
        <w:rPr>
          <w:rFonts w:hint="eastAsia" w:ascii="宋体" w:hAnsi="宋体" w:cs="宋体"/>
          <w:color w:val="000000" w:themeColor="text1"/>
          <w:sz w:val="24"/>
          <w:highlight w:val="none"/>
          <w:u w:val="single"/>
          <w14:textFill>
            <w14:solidFill>
              <w14:schemeClr w14:val="tx1"/>
            </w14:solidFill>
          </w14:textFill>
        </w:rPr>
        <w:t xml:space="preserve">                             </w:t>
      </w:r>
    </w:p>
    <w:p w14:paraId="685BF9C2">
      <w:pPr>
        <w:spacing w:line="440" w:lineRule="exact"/>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法定代表人（或负责人）（签字或者盖章或者电子签名）：</w:t>
      </w:r>
      <w:r>
        <w:rPr>
          <w:rFonts w:hint="eastAsia" w:ascii="宋体" w:hAnsi="宋体" w:cs="宋体"/>
          <w:color w:val="000000" w:themeColor="text1"/>
          <w:sz w:val="24"/>
          <w:highlight w:val="none"/>
          <w:u w:val="single"/>
          <w14:textFill>
            <w14:solidFill>
              <w14:schemeClr w14:val="tx1"/>
            </w14:solidFill>
          </w14:textFill>
        </w:rPr>
        <w:t xml:space="preserve">              </w:t>
      </w:r>
    </w:p>
    <w:p w14:paraId="1C4566F6">
      <w:pPr>
        <w:spacing w:line="440" w:lineRule="exact"/>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27109AEC">
      <w:pPr>
        <w:spacing w:line="440" w:lineRule="exact"/>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投标人名称（电子签章）：</w:t>
      </w:r>
    </w:p>
    <w:p w14:paraId="57B23184">
      <w:pPr>
        <w:spacing w:line="440" w:lineRule="exact"/>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34CBFAEE">
      <w:pPr>
        <w:spacing w:line="440" w:lineRule="exact"/>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注：1.法定代表人（或负责人）必须在授权委托书上签字或者盖章或者电子签名，委托代理人必须在授权委托书上签字或者电子签名，</w:t>
      </w:r>
      <w:r>
        <w:rPr>
          <w:rFonts w:hint="eastAsia" w:ascii="宋体" w:hAnsi="宋体" w:cs="宋体"/>
          <w:b/>
          <w:bCs/>
          <w:color w:val="000000" w:themeColor="text1"/>
          <w:sz w:val="24"/>
          <w:highlight w:val="none"/>
          <w14:textFill>
            <w14:solidFill>
              <w14:schemeClr w14:val="tx1"/>
            </w14:solidFill>
          </w14:textFill>
        </w:rPr>
        <w:t>否则按无效投标处理</w:t>
      </w:r>
      <w:r>
        <w:rPr>
          <w:rFonts w:hint="eastAsia" w:ascii="宋体" w:hAnsi="宋体" w:cs="宋体"/>
          <w:color w:val="000000" w:themeColor="text1"/>
          <w:sz w:val="24"/>
          <w:highlight w:val="none"/>
          <w14:textFill>
            <w14:solidFill>
              <w14:schemeClr w14:val="tx1"/>
            </w14:solidFill>
          </w14:textFill>
        </w:rPr>
        <w:t>；</w:t>
      </w:r>
    </w:p>
    <w:p w14:paraId="6E48E59B">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2.法人、其他组织投标时“我方”是指“我单位”，自然人投标时“我方”是指“本人”。</w:t>
      </w:r>
    </w:p>
    <w:p w14:paraId="7B4882F8">
      <w:pPr>
        <w:pStyle w:val="195"/>
        <w:rPr>
          <w:rFonts w:hint="eastAsia" w:ascii="宋体" w:hAnsi="宋体" w:eastAsia="宋体" w:cs="宋体"/>
          <w:color w:val="000000" w:themeColor="text1"/>
          <w:highlight w:val="none"/>
          <w14:textFill>
            <w14:solidFill>
              <w14:schemeClr w14:val="tx1"/>
            </w14:solidFill>
          </w14:textFill>
        </w:rPr>
      </w:pPr>
    </w:p>
    <w:p w14:paraId="4628D9BF">
      <w:pPr>
        <w:rPr>
          <w:rFonts w:hint="eastAsia" w:ascii="宋体" w:hAnsi="宋体" w:cs="宋体"/>
          <w:color w:val="000000" w:themeColor="text1"/>
          <w:highlight w:val="none"/>
          <w14:textFill>
            <w14:solidFill>
              <w14:schemeClr w14:val="tx1"/>
            </w14:solidFill>
          </w14:textFill>
        </w:rPr>
      </w:pPr>
    </w:p>
    <w:p w14:paraId="077B9A16">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w:t>
      </w:r>
      <w:r>
        <w:rPr>
          <w:rFonts w:hint="eastAsia" w:ascii="宋体" w:hAnsi="宋体"/>
          <w:b/>
          <w:color w:val="000000" w:themeColor="text1"/>
          <w:sz w:val="24"/>
          <w:highlight w:val="none"/>
          <w14:textFill>
            <w14:solidFill>
              <w14:schemeClr w14:val="tx1"/>
            </w14:solidFill>
          </w14:textFill>
        </w:rPr>
        <w:t>商务要求偏离表格式(注：按项目需求表具体项目修改)</w:t>
      </w:r>
    </w:p>
    <w:p w14:paraId="56356886">
      <w:pPr>
        <w:pStyle w:val="227"/>
        <w:rPr>
          <w:rFonts w:hint="eastAsia" w:hAnsi="宋体" w:cs="宋体"/>
          <w:color w:val="000000" w:themeColor="text1"/>
          <w:sz w:val="24"/>
          <w:szCs w:val="24"/>
          <w:highlight w:val="none"/>
          <w14:textFill>
            <w14:solidFill>
              <w14:schemeClr w14:val="tx1"/>
            </w14:solidFill>
          </w14:textFill>
        </w:rPr>
      </w:pPr>
    </w:p>
    <w:p w14:paraId="1CE66F56">
      <w:pPr>
        <w:spacing w:before="50"/>
        <w:jc w:val="left"/>
        <w:rPr>
          <w:rFonts w:hint="eastAsia" w:ascii="宋体" w:hAnsi="宋体" w:cs="宋体"/>
          <w:color w:val="000000" w:themeColor="text1"/>
          <w:sz w:val="24"/>
          <w:highlight w:val="none"/>
          <w:u w:val="single"/>
          <w14:textFill>
            <w14:solidFill>
              <w14:schemeClr w14:val="tx1"/>
            </w14:solidFill>
          </w14:textFill>
        </w:rPr>
      </w:pPr>
    </w:p>
    <w:tbl>
      <w:tblPr>
        <w:tblStyle w:val="30"/>
        <w:tblW w:w="0" w:type="auto"/>
        <w:tblInd w:w="-22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4AF2E4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vAlign w:val="top"/>
          </w:tcPr>
          <w:p w14:paraId="142E4141">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6EDA5EA4">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招标文件商务条款要求</w:t>
            </w:r>
          </w:p>
        </w:tc>
        <w:tc>
          <w:tcPr>
            <w:tcW w:w="1144" w:type="dxa"/>
            <w:tcBorders>
              <w:top w:val="single" w:color="auto" w:sz="4" w:space="0"/>
              <w:left w:val="single" w:color="auto" w:sz="4" w:space="0"/>
              <w:bottom w:val="single" w:color="auto" w:sz="4" w:space="0"/>
              <w:right w:val="single" w:color="auto" w:sz="4" w:space="0"/>
            </w:tcBorders>
            <w:noWrap w:val="0"/>
            <w:vAlign w:val="top"/>
          </w:tcPr>
          <w:p w14:paraId="594C08DB">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是否偏离</w:t>
            </w:r>
          </w:p>
        </w:tc>
        <w:tc>
          <w:tcPr>
            <w:tcW w:w="2651" w:type="dxa"/>
            <w:tcBorders>
              <w:top w:val="single" w:color="auto" w:sz="4" w:space="0"/>
              <w:left w:val="single" w:color="auto" w:sz="4" w:space="0"/>
              <w:bottom w:val="single" w:color="auto" w:sz="4" w:space="0"/>
              <w:right w:val="single" w:color="auto" w:sz="4" w:space="0"/>
            </w:tcBorders>
            <w:noWrap w:val="0"/>
            <w:vAlign w:val="top"/>
          </w:tcPr>
          <w:p w14:paraId="3AA608F6">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投标人的承诺或说明</w:t>
            </w:r>
          </w:p>
        </w:tc>
      </w:tr>
      <w:tr w14:paraId="7D139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204C9A47">
            <w:pPr>
              <w:rPr>
                <w:rFonts w:hint="eastAsia" w:ascii="宋体" w:hAnsi="宋体"/>
                <w:color w:val="000000" w:themeColor="text1"/>
                <w:sz w:val="24"/>
                <w:highlight w:val="none"/>
                <w14:textFill>
                  <w14:solidFill>
                    <w14:schemeClr w14:val="tx1"/>
                  </w14:solidFill>
                </w14:textFill>
              </w:rPr>
            </w:pPr>
          </w:p>
          <w:p w14:paraId="3AF1CD8B">
            <w:pPr>
              <w:rPr>
                <w:rFonts w:hint="eastAsia" w:ascii="宋体" w:hAnsi="宋体"/>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0"/>
            <w:vAlign w:val="top"/>
          </w:tcPr>
          <w:p w14:paraId="160894E9">
            <w:pPr>
              <w:spacing w:before="120"/>
              <w:jc w:val="center"/>
              <w:rPr>
                <w:rFonts w:hint="eastAsia" w:ascii="宋体" w:hAnsi="宋体"/>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noWrap w:val="0"/>
            <w:vAlign w:val="top"/>
          </w:tcPr>
          <w:p w14:paraId="463B2B1B">
            <w:pPr>
              <w:spacing w:before="120"/>
              <w:jc w:val="center"/>
              <w:rPr>
                <w:rFonts w:hint="eastAsia" w:ascii="宋体" w:hAnsi="宋体"/>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noWrap w:val="0"/>
            <w:vAlign w:val="top"/>
          </w:tcPr>
          <w:p w14:paraId="22988E90">
            <w:pPr>
              <w:spacing w:before="120"/>
              <w:jc w:val="center"/>
              <w:rPr>
                <w:rFonts w:hint="eastAsia" w:ascii="宋体" w:hAnsi="宋体"/>
                <w:color w:val="000000" w:themeColor="text1"/>
                <w:sz w:val="24"/>
                <w:highlight w:val="none"/>
                <w14:textFill>
                  <w14:solidFill>
                    <w14:schemeClr w14:val="tx1"/>
                  </w14:solidFill>
                </w14:textFill>
              </w:rPr>
            </w:pPr>
          </w:p>
        </w:tc>
      </w:tr>
      <w:tr w14:paraId="305744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0243CFCB">
            <w:pPr>
              <w:rPr>
                <w:rFonts w:hint="eastAsia" w:ascii="宋体" w:hAnsi="宋体"/>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0"/>
            <w:vAlign w:val="top"/>
          </w:tcPr>
          <w:p w14:paraId="524AD218">
            <w:pPr>
              <w:spacing w:before="120"/>
              <w:rPr>
                <w:rFonts w:hint="eastAsia" w:ascii="宋体" w:hAnsi="宋体"/>
                <w:color w:val="000000" w:themeColor="text1"/>
                <w:sz w:val="24"/>
                <w:highlight w:val="none"/>
                <w:u w:val="singl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noWrap w:val="0"/>
            <w:vAlign w:val="top"/>
          </w:tcPr>
          <w:p w14:paraId="3D23CBEB">
            <w:pPr>
              <w:spacing w:before="120"/>
              <w:ind w:left="43"/>
              <w:jc w:val="center"/>
              <w:rPr>
                <w:rFonts w:hint="eastAsia" w:ascii="宋体" w:hAnsi="宋体"/>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noWrap w:val="0"/>
            <w:vAlign w:val="top"/>
          </w:tcPr>
          <w:p w14:paraId="318FD85C">
            <w:pPr>
              <w:spacing w:before="120"/>
              <w:ind w:left="43"/>
              <w:jc w:val="center"/>
              <w:rPr>
                <w:rFonts w:hint="eastAsia" w:ascii="宋体" w:hAnsi="宋体"/>
                <w:color w:val="000000" w:themeColor="text1"/>
                <w:sz w:val="24"/>
                <w:highlight w:val="none"/>
                <w14:textFill>
                  <w14:solidFill>
                    <w14:schemeClr w14:val="tx1"/>
                  </w14:solidFill>
                </w14:textFill>
              </w:rPr>
            </w:pPr>
          </w:p>
        </w:tc>
      </w:tr>
      <w:tr w14:paraId="1B26E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01E99F01">
            <w:pPr>
              <w:rPr>
                <w:rFonts w:hint="eastAsia" w:ascii="宋体" w:hAnsi="宋体"/>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0"/>
            <w:vAlign w:val="top"/>
          </w:tcPr>
          <w:p w14:paraId="51FD16EB">
            <w:pPr>
              <w:spacing w:before="120"/>
              <w:rPr>
                <w:rFonts w:hint="eastAsia" w:ascii="宋体" w:hAnsi="宋体"/>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noWrap w:val="0"/>
            <w:vAlign w:val="top"/>
          </w:tcPr>
          <w:p w14:paraId="74F6E41E">
            <w:pPr>
              <w:spacing w:before="120"/>
              <w:jc w:val="center"/>
              <w:rPr>
                <w:rFonts w:hint="eastAsia" w:ascii="宋体" w:hAnsi="宋体"/>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noWrap w:val="0"/>
            <w:vAlign w:val="top"/>
          </w:tcPr>
          <w:p w14:paraId="1103FBD7">
            <w:pPr>
              <w:spacing w:before="120"/>
              <w:jc w:val="center"/>
              <w:rPr>
                <w:rFonts w:hint="eastAsia" w:ascii="宋体" w:hAnsi="宋体"/>
                <w:color w:val="000000" w:themeColor="text1"/>
                <w:sz w:val="24"/>
                <w:highlight w:val="none"/>
                <w14:textFill>
                  <w14:solidFill>
                    <w14:schemeClr w14:val="tx1"/>
                  </w14:solidFill>
                </w14:textFill>
              </w:rPr>
            </w:pPr>
          </w:p>
        </w:tc>
      </w:tr>
      <w:tr w14:paraId="49D0B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21D2D5D0">
            <w:pPr>
              <w:rPr>
                <w:rFonts w:hint="eastAsia" w:ascii="宋体" w:hAnsi="宋体"/>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0"/>
            <w:vAlign w:val="top"/>
          </w:tcPr>
          <w:p w14:paraId="317AEABB">
            <w:pPr>
              <w:spacing w:before="120"/>
              <w:rPr>
                <w:rFonts w:hint="eastAsia" w:ascii="宋体" w:hAnsi="宋体"/>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noWrap w:val="0"/>
            <w:vAlign w:val="top"/>
          </w:tcPr>
          <w:p w14:paraId="0387750B">
            <w:pPr>
              <w:spacing w:before="120"/>
              <w:jc w:val="center"/>
              <w:rPr>
                <w:rFonts w:hint="eastAsia" w:ascii="宋体" w:hAnsi="宋体"/>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noWrap w:val="0"/>
            <w:vAlign w:val="top"/>
          </w:tcPr>
          <w:p w14:paraId="0E949636">
            <w:pPr>
              <w:spacing w:before="120"/>
              <w:jc w:val="center"/>
              <w:rPr>
                <w:rFonts w:hint="eastAsia" w:ascii="宋体" w:hAnsi="宋体"/>
                <w:color w:val="000000" w:themeColor="text1"/>
                <w:sz w:val="24"/>
                <w:highlight w:val="none"/>
                <w14:textFill>
                  <w14:solidFill>
                    <w14:schemeClr w14:val="tx1"/>
                  </w14:solidFill>
                </w14:textFill>
              </w:rPr>
            </w:pPr>
          </w:p>
        </w:tc>
      </w:tr>
      <w:tr w14:paraId="394F8D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51D21A52">
            <w:pPr>
              <w:rPr>
                <w:rFonts w:hint="eastAsia" w:ascii="宋体" w:hAnsi="宋体"/>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0"/>
            <w:vAlign w:val="top"/>
          </w:tcPr>
          <w:p w14:paraId="74BB4758">
            <w:pPr>
              <w:spacing w:before="120"/>
              <w:rPr>
                <w:rFonts w:hint="eastAsia" w:ascii="宋体" w:hAnsi="宋体"/>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noWrap w:val="0"/>
            <w:vAlign w:val="top"/>
          </w:tcPr>
          <w:p w14:paraId="39590D96">
            <w:pPr>
              <w:spacing w:before="120"/>
              <w:jc w:val="center"/>
              <w:rPr>
                <w:rFonts w:hint="eastAsia" w:ascii="宋体" w:hAnsi="宋体"/>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noWrap w:val="0"/>
            <w:vAlign w:val="top"/>
          </w:tcPr>
          <w:p w14:paraId="255B534B">
            <w:pPr>
              <w:spacing w:before="120"/>
              <w:jc w:val="center"/>
              <w:rPr>
                <w:rFonts w:hint="eastAsia" w:ascii="宋体" w:hAnsi="宋体"/>
                <w:color w:val="000000" w:themeColor="text1"/>
                <w:sz w:val="24"/>
                <w:highlight w:val="none"/>
                <w14:textFill>
                  <w14:solidFill>
                    <w14:schemeClr w14:val="tx1"/>
                  </w14:solidFill>
                </w14:textFill>
              </w:rPr>
            </w:pPr>
          </w:p>
        </w:tc>
      </w:tr>
      <w:tr w14:paraId="0972D0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vAlign w:val="top"/>
          </w:tcPr>
          <w:p w14:paraId="66C46A55">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746674D4">
            <w:pPr>
              <w:spacing w:before="120"/>
              <w:jc w:val="center"/>
              <w:rPr>
                <w:rFonts w:hint="eastAsia" w:ascii="宋体" w:hAnsi="宋体"/>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noWrap w:val="0"/>
            <w:vAlign w:val="top"/>
          </w:tcPr>
          <w:p w14:paraId="608AA1A7">
            <w:pPr>
              <w:spacing w:before="120"/>
              <w:jc w:val="center"/>
              <w:rPr>
                <w:rFonts w:hint="eastAsia" w:ascii="宋体" w:hAnsi="宋体"/>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noWrap w:val="0"/>
            <w:vAlign w:val="top"/>
          </w:tcPr>
          <w:p w14:paraId="253C498E">
            <w:pPr>
              <w:spacing w:before="120"/>
              <w:jc w:val="center"/>
              <w:rPr>
                <w:rFonts w:hint="eastAsia" w:ascii="宋体" w:hAnsi="宋体"/>
                <w:color w:val="000000" w:themeColor="text1"/>
                <w:sz w:val="24"/>
                <w:highlight w:val="none"/>
                <w14:textFill>
                  <w14:solidFill>
                    <w14:schemeClr w14:val="tx1"/>
                  </w14:solidFill>
                </w14:textFill>
              </w:rPr>
            </w:pPr>
          </w:p>
        </w:tc>
      </w:tr>
    </w:tbl>
    <w:p w14:paraId="260E1CEC">
      <w:pPr>
        <w:pStyle w:val="217"/>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w:t>
      </w:r>
    </w:p>
    <w:p w14:paraId="6464CF06">
      <w:pPr>
        <w:pStyle w:val="221"/>
        <w:spacing w:line="520" w:lineRule="exact"/>
        <w:ind w:firstLine="0"/>
        <w:rPr>
          <w:rFonts w:hint="eastAsia" w:ascii="宋体" w:hAnsi="宋体" w:eastAsia="宋体" w:cs="宋体"/>
          <w:color w:val="000000" w:themeColor="text1"/>
          <w:szCs w:val="32"/>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说明：应对照招标文件“第二章 采购需求”中的商务要求逐条作明确的投标响应，并作出偏离说明。</w:t>
      </w:r>
    </w:p>
    <w:p w14:paraId="6D90F151">
      <w:pPr>
        <w:pStyle w:val="217"/>
        <w:rPr>
          <w:rFonts w:hint="eastAsia"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2.投标人应根据自身的承诺，对照招标文件要求在“偏离说明”中注明“</w:t>
      </w:r>
      <w:r>
        <w:rPr>
          <w:rFonts w:hint="eastAsia" w:ascii="宋体" w:hAnsi="宋体" w:cs="宋体"/>
          <w:color w:val="000000" w:themeColor="text1"/>
          <w:highlight w:val="none"/>
          <w14:textFill>
            <w14:solidFill>
              <w14:schemeClr w14:val="tx1"/>
            </w14:solidFill>
          </w14:textFill>
        </w:rPr>
        <w:t>正偏离</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负偏离</w:t>
      </w:r>
      <w:r>
        <w:rPr>
          <w:rFonts w:hint="eastAsia" w:ascii="宋体" w:hAnsi="宋体" w:cs="宋体"/>
          <w:b w:val="0"/>
          <w:bCs w:val="0"/>
          <w:color w:val="000000" w:themeColor="text1"/>
          <w:highlight w:val="none"/>
          <w14:textFill>
            <w14:solidFill>
              <w14:schemeClr w14:val="tx1"/>
            </w14:solidFill>
          </w14:textFill>
        </w:rPr>
        <w:t>”或者“</w:t>
      </w:r>
      <w:r>
        <w:rPr>
          <w:rFonts w:hint="eastAsia" w:ascii="宋体" w:hAnsi="宋体" w:cs="宋体"/>
          <w:color w:val="000000" w:themeColor="text1"/>
          <w:highlight w:val="none"/>
          <w14:textFill>
            <w14:solidFill>
              <w14:schemeClr w14:val="tx1"/>
            </w14:solidFill>
          </w14:textFill>
        </w:rPr>
        <w:t>无偏离</w:t>
      </w:r>
      <w:r>
        <w:rPr>
          <w:rFonts w:hint="eastAsia" w:ascii="宋体" w:hAnsi="宋体" w:cs="宋体"/>
          <w:b w:val="0"/>
          <w:bCs w:val="0"/>
          <w:color w:val="000000" w:themeColor="text1"/>
          <w:highlight w:val="none"/>
          <w14:textFill>
            <w14:solidFill>
              <w14:schemeClr w14:val="tx1"/>
            </w14:solidFill>
          </w14:textFill>
        </w:rPr>
        <w:t>”。既不属于“</w:t>
      </w:r>
      <w:r>
        <w:rPr>
          <w:rFonts w:hint="eastAsia" w:ascii="宋体" w:hAnsi="宋体" w:cs="宋体"/>
          <w:color w:val="000000" w:themeColor="text1"/>
          <w:highlight w:val="none"/>
          <w14:textFill>
            <w14:solidFill>
              <w14:schemeClr w14:val="tx1"/>
            </w14:solidFill>
          </w14:textFill>
        </w:rPr>
        <w:t>正偏离</w:t>
      </w:r>
      <w:r>
        <w:rPr>
          <w:rFonts w:hint="eastAsia" w:ascii="宋体" w:hAnsi="宋体" w:cs="宋体"/>
          <w:b w:val="0"/>
          <w:bCs w:val="0"/>
          <w:color w:val="000000" w:themeColor="text1"/>
          <w:highlight w:val="none"/>
          <w14:textFill>
            <w14:solidFill>
              <w14:schemeClr w14:val="tx1"/>
            </w14:solidFill>
          </w14:textFill>
        </w:rPr>
        <w:t>”也不属于“</w:t>
      </w:r>
      <w:r>
        <w:rPr>
          <w:rFonts w:hint="eastAsia" w:ascii="宋体" w:hAnsi="宋体" w:cs="宋体"/>
          <w:color w:val="000000" w:themeColor="text1"/>
          <w:highlight w:val="none"/>
          <w14:textFill>
            <w14:solidFill>
              <w14:schemeClr w14:val="tx1"/>
            </w14:solidFill>
          </w14:textFill>
        </w:rPr>
        <w:t>负偏离</w:t>
      </w:r>
      <w:r>
        <w:rPr>
          <w:rFonts w:hint="eastAsia" w:ascii="宋体" w:hAnsi="宋体" w:cs="宋体"/>
          <w:b w:val="0"/>
          <w:bCs w:val="0"/>
          <w:color w:val="000000" w:themeColor="text1"/>
          <w:highlight w:val="none"/>
          <w14:textFill>
            <w14:solidFill>
              <w14:schemeClr w14:val="tx1"/>
            </w14:solidFill>
          </w14:textFill>
        </w:rPr>
        <w:t>”即为“</w:t>
      </w:r>
      <w:r>
        <w:rPr>
          <w:rFonts w:hint="eastAsia" w:ascii="宋体" w:hAnsi="宋体" w:cs="宋体"/>
          <w:color w:val="000000" w:themeColor="text1"/>
          <w:highlight w:val="none"/>
          <w14:textFill>
            <w14:solidFill>
              <w14:schemeClr w14:val="tx1"/>
            </w14:solidFill>
          </w14:textFill>
        </w:rPr>
        <w:t>无偏离</w:t>
      </w:r>
      <w:r>
        <w:rPr>
          <w:rFonts w:hint="eastAsia" w:ascii="宋体" w:hAnsi="宋体" w:cs="宋体"/>
          <w:b w:val="0"/>
          <w:bCs w:val="0"/>
          <w:color w:val="000000" w:themeColor="text1"/>
          <w:highlight w:val="none"/>
          <w14:textFill>
            <w14:solidFill>
              <w14:schemeClr w14:val="tx1"/>
            </w14:solidFill>
          </w14:textFill>
        </w:rPr>
        <w:t>”。</w:t>
      </w:r>
    </w:p>
    <w:p w14:paraId="74C7A427">
      <w:pPr>
        <w:spacing w:before="50" w:after="50"/>
        <w:rPr>
          <w:rFonts w:hint="eastAsia" w:ascii="宋体" w:hAnsi="宋体" w:cs="宋体"/>
          <w:color w:val="000000" w:themeColor="text1"/>
          <w:sz w:val="24"/>
          <w:highlight w:val="none"/>
          <w14:textFill>
            <w14:solidFill>
              <w14:schemeClr w14:val="tx1"/>
            </w14:solidFill>
          </w14:textFill>
        </w:rPr>
      </w:pPr>
    </w:p>
    <w:p w14:paraId="66FFACEB">
      <w:pPr>
        <w:spacing w:before="50" w:after="50"/>
        <w:rPr>
          <w:rFonts w:hint="eastAsia" w:ascii="宋体" w:hAnsi="宋体" w:cs="宋体"/>
          <w:color w:val="000000" w:themeColor="text1"/>
          <w:sz w:val="24"/>
          <w:highlight w:val="none"/>
          <w14:textFill>
            <w14:solidFill>
              <w14:schemeClr w14:val="tx1"/>
            </w14:solidFill>
          </w14:textFill>
        </w:rPr>
      </w:pPr>
    </w:p>
    <w:p w14:paraId="029CDB15">
      <w:pPr>
        <w:spacing w:before="50" w:after="50"/>
        <w:rPr>
          <w:rFonts w:hint="eastAsia" w:ascii="宋体" w:hAnsi="宋体" w:cs="宋体"/>
          <w:color w:val="000000" w:themeColor="text1"/>
          <w:spacing w:val="20"/>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法定代表人（或负责人）或者委托代理人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41510A0E">
      <w:pPr>
        <w:spacing w:before="120"/>
        <w:rPr>
          <w:rFonts w:hint="eastAsia" w:ascii="宋体" w:hAnsi="宋体" w:cs="宋体"/>
          <w:color w:val="000000" w:themeColor="text1"/>
          <w:spacing w:val="20"/>
          <w:sz w:val="24"/>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投标人名称（电子签章）：</w:t>
      </w:r>
      <w:r>
        <w:rPr>
          <w:rFonts w:hint="eastAsia" w:ascii="宋体" w:hAnsi="宋体" w:cs="宋体"/>
          <w:color w:val="000000" w:themeColor="text1"/>
          <w:spacing w:val="20"/>
          <w:sz w:val="24"/>
          <w:highlight w:val="none"/>
          <w:u w:val="single"/>
          <w14:textFill>
            <w14:solidFill>
              <w14:schemeClr w14:val="tx1"/>
            </w14:solidFill>
          </w14:textFill>
        </w:rPr>
        <w:t xml:space="preserve">            </w:t>
      </w:r>
      <w:r>
        <w:rPr>
          <w:rFonts w:hint="eastAsia" w:ascii="宋体" w:hAnsi="宋体" w:cs="宋体"/>
          <w:color w:val="000000" w:themeColor="text1"/>
          <w:spacing w:val="20"/>
          <w:sz w:val="24"/>
          <w:highlight w:val="none"/>
          <w14:textFill>
            <w14:solidFill>
              <w14:schemeClr w14:val="tx1"/>
            </w14:solidFill>
          </w14:textFill>
        </w:rPr>
        <w:t xml:space="preserve">   </w:t>
      </w:r>
    </w:p>
    <w:p w14:paraId="4B6BEB9B">
      <w:pPr>
        <w:spacing w:before="120"/>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日  期：</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7640F353">
      <w:pPr>
        <w:spacing w:before="120"/>
        <w:rPr>
          <w:rFonts w:hint="eastAsia" w:ascii="宋体" w:hAnsi="宋体" w:cs="宋体"/>
          <w:color w:val="000000" w:themeColor="text1"/>
          <w:sz w:val="24"/>
          <w:szCs w:val="20"/>
          <w:highlight w:val="none"/>
          <w14:textFill>
            <w14:solidFill>
              <w14:schemeClr w14:val="tx1"/>
            </w14:solidFill>
          </w14:textFill>
        </w:rPr>
      </w:pPr>
    </w:p>
    <w:p w14:paraId="17611B6B">
      <w:pPr>
        <w:spacing w:before="120" w:after="50"/>
        <w:jc w:val="left"/>
        <w:rPr>
          <w:rFonts w:hint="eastAsia" w:ascii="宋体" w:hAnsi="宋体" w:cs="宋体"/>
          <w:color w:val="000000" w:themeColor="text1"/>
          <w:sz w:val="24"/>
          <w:szCs w:val="20"/>
          <w:highlight w:val="none"/>
          <w14:textFill>
            <w14:solidFill>
              <w14:schemeClr w14:val="tx1"/>
            </w14:solidFill>
          </w14:textFill>
        </w:rPr>
        <w:sectPr>
          <w:footerReference r:id="rId11" w:type="default"/>
          <w:pgSz w:w="11906" w:h="16838"/>
          <w:pgMar w:top="1440" w:right="1797" w:bottom="1440" w:left="1797" w:header="851" w:footer="992" w:gutter="0"/>
          <w:pgNumType w:fmt="decimal"/>
          <w:cols w:space="1701" w:num="1"/>
        </w:sectPr>
      </w:pPr>
    </w:p>
    <w:p w14:paraId="0F0EBAEA">
      <w:pP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四、技术文件格式</w:t>
      </w:r>
    </w:p>
    <w:p w14:paraId="4131857D">
      <w:pPr>
        <w:spacing w:before="120" w:after="50"/>
        <w:ind w:left="14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1. 技术文件封面格式： </w:t>
      </w:r>
    </w:p>
    <w:p w14:paraId="560284EC">
      <w:pPr>
        <w:spacing w:before="120" w:after="50" w:line="360" w:lineRule="auto"/>
        <w:ind w:left="142"/>
        <w:jc w:val="center"/>
        <w:rPr>
          <w:rFonts w:hint="eastAsia" w:ascii="宋体" w:hAnsi="宋体" w:cs="宋体"/>
          <w:bCs/>
          <w:color w:val="000000" w:themeColor="text1"/>
          <w:sz w:val="48"/>
          <w:szCs w:val="48"/>
          <w:highlight w:val="none"/>
          <w14:textFill>
            <w14:solidFill>
              <w14:schemeClr w14:val="tx1"/>
            </w14:solidFill>
          </w14:textFill>
        </w:rPr>
      </w:pPr>
      <w:r>
        <w:rPr>
          <w:rFonts w:hint="eastAsia" w:ascii="宋体" w:hAnsi="宋体" w:cs="宋体"/>
          <w:bCs/>
          <w:color w:val="000000" w:themeColor="text1"/>
          <w:sz w:val="48"/>
          <w:szCs w:val="48"/>
          <w:highlight w:val="none"/>
          <w14:textFill>
            <w14:solidFill>
              <w14:schemeClr w14:val="tx1"/>
            </w14:solidFill>
          </w14:textFill>
        </w:rPr>
        <w:t>电子投标文件</w:t>
      </w:r>
    </w:p>
    <w:p w14:paraId="2F327954">
      <w:pPr>
        <w:spacing w:before="120" w:after="50"/>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技术文件</w:t>
      </w:r>
    </w:p>
    <w:p w14:paraId="1CA030CA">
      <w:pPr>
        <w:spacing w:before="120" w:after="50"/>
        <w:rPr>
          <w:rFonts w:hint="eastAsia" w:ascii="宋体" w:hAnsi="宋体" w:cs="宋体"/>
          <w:bCs/>
          <w:color w:val="000000" w:themeColor="text1"/>
          <w:sz w:val="24"/>
          <w:szCs w:val="20"/>
          <w:highlight w:val="none"/>
          <w14:textFill>
            <w14:solidFill>
              <w14:schemeClr w14:val="tx1"/>
            </w14:solidFill>
          </w14:textFill>
        </w:rPr>
      </w:pPr>
    </w:p>
    <w:p w14:paraId="219950E3">
      <w:pPr>
        <w:spacing w:before="120" w:after="50" w:line="400" w:lineRule="exact"/>
        <w:ind w:firstLine="360"/>
        <w:rPr>
          <w:rFonts w:hint="eastAsia" w:ascii="宋体" w:hAnsi="宋体" w:cs="宋体"/>
          <w:bCs/>
          <w:color w:val="000000" w:themeColor="text1"/>
          <w:sz w:val="24"/>
          <w:szCs w:val="20"/>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6A12FE17">
      <w:pPr>
        <w:spacing w:before="120" w:after="50" w:line="400" w:lineRule="exact"/>
        <w:ind w:firstLine="36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64C198BB">
      <w:pPr>
        <w:spacing w:before="120" w:after="50" w:line="400" w:lineRule="exact"/>
        <w:ind w:firstLine="36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6DD9EF3F">
      <w:pPr>
        <w:spacing w:before="120" w:after="50" w:line="400" w:lineRule="exact"/>
        <w:ind w:firstLine="36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投标人地址：</w:t>
      </w:r>
    </w:p>
    <w:p w14:paraId="44BE1C07">
      <w:pPr>
        <w:spacing w:before="120" w:after="50"/>
        <w:ind w:firstLine="645"/>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419C5B58">
      <w:pPr>
        <w:spacing w:before="120" w:after="50"/>
        <w:ind w:firstLine="645"/>
        <w:jc w:val="center"/>
        <w:rPr>
          <w:rFonts w:hint="eastAsia" w:ascii="宋体" w:hAnsi="宋体" w:cs="宋体"/>
          <w:color w:val="000000" w:themeColor="text1"/>
          <w:sz w:val="24"/>
          <w:szCs w:val="20"/>
          <w:highlight w:val="none"/>
          <w14:textFill>
            <w14:solidFill>
              <w14:schemeClr w14:val="tx1"/>
            </w14:solidFill>
          </w14:textFill>
        </w:rPr>
      </w:pPr>
    </w:p>
    <w:p w14:paraId="005DBD49">
      <w:pPr>
        <w:spacing w:before="120" w:after="50"/>
        <w:ind w:left="142"/>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clear="all"/>
      </w:r>
      <w:r>
        <w:rPr>
          <w:rFonts w:hint="eastAsia" w:ascii="宋体" w:hAnsi="宋体" w:cs="宋体"/>
          <w:b/>
          <w:bCs/>
          <w:color w:val="000000" w:themeColor="text1"/>
          <w:sz w:val="24"/>
          <w:highlight w:val="none"/>
          <w14:textFill>
            <w14:solidFill>
              <w14:schemeClr w14:val="tx1"/>
            </w14:solidFill>
          </w14:textFill>
        </w:rPr>
        <w:t>2.技术文件目录</w:t>
      </w:r>
    </w:p>
    <w:p w14:paraId="421D19E5">
      <w:pPr>
        <w:spacing w:before="50" w:after="120" w:line="280" w:lineRule="exact"/>
        <w:ind w:left="283"/>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根据招标文件规定及投标人提供的材料自行编写目录。</w:t>
      </w:r>
    </w:p>
    <w:p w14:paraId="5FD10D7D">
      <w:pPr>
        <w:spacing w:before="120" w:after="50"/>
        <w:jc w:val="left"/>
        <w:rPr>
          <w:rFonts w:hint="eastAsia" w:ascii="宋体" w:hAnsi="宋体" w:cs="宋体"/>
          <w:b/>
          <w:color w:val="000000" w:themeColor="text1"/>
          <w:sz w:val="24"/>
          <w:highlight w:val="none"/>
          <w14:textFill>
            <w14:solidFill>
              <w14:schemeClr w14:val="tx1"/>
            </w14:solidFill>
          </w14:textFill>
        </w:rPr>
      </w:pPr>
    </w:p>
    <w:p w14:paraId="35A9AD14">
      <w:pPr>
        <w:rPr>
          <w:rFonts w:ascii="宋体" w:hAnsi="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 技术要求偏离表格式（注：按项目需求表具体项目修改）</w:t>
      </w:r>
    </w:p>
    <w:p w14:paraId="0B56CD21">
      <w:pPr>
        <w:pStyle w:val="227"/>
        <w:rPr>
          <w:rFonts w:hAnsi="宋体"/>
          <w:color w:val="000000" w:themeColor="text1"/>
          <w:sz w:val="24"/>
          <w:szCs w:val="24"/>
          <w:highlight w:val="none"/>
          <w14:textFill>
            <w14:solidFill>
              <w14:schemeClr w14:val="tx1"/>
            </w14:solidFill>
          </w14:textFill>
        </w:rPr>
      </w:pPr>
    </w:p>
    <w:p w14:paraId="54655237">
      <w:pPr>
        <w:spacing w:before="50"/>
        <w:jc w:val="left"/>
        <w:rPr>
          <w:rFonts w:ascii="宋体" w:hAnsi="宋体"/>
          <w:color w:val="000000" w:themeColor="text1"/>
          <w:sz w:val="24"/>
          <w:highlight w:val="none"/>
          <w:u w:val="single"/>
          <w14:textFill>
            <w14:solidFill>
              <w14:schemeClr w14:val="tx1"/>
            </w14:solidFill>
          </w14:textFill>
        </w:rPr>
      </w:pPr>
    </w:p>
    <w:tbl>
      <w:tblPr>
        <w:tblStyle w:val="30"/>
        <w:tblW w:w="0" w:type="auto"/>
        <w:tblInd w:w="-22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425DE9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ign w:val="top"/>
          </w:tcPr>
          <w:p w14:paraId="660F46D2">
            <w:pPr>
              <w:spacing w:before="12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noWrap/>
            <w:vAlign w:val="top"/>
          </w:tcPr>
          <w:p w14:paraId="3C57EA7A">
            <w:pPr>
              <w:spacing w:before="12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招标文件技术要求</w:t>
            </w:r>
          </w:p>
        </w:tc>
        <w:tc>
          <w:tcPr>
            <w:tcW w:w="1760" w:type="dxa"/>
            <w:tcBorders>
              <w:top w:val="single" w:color="auto" w:sz="4" w:space="0"/>
              <w:left w:val="single" w:color="auto" w:sz="4" w:space="0"/>
              <w:bottom w:val="single" w:color="auto" w:sz="4" w:space="0"/>
              <w:right w:val="single" w:color="auto" w:sz="4" w:space="0"/>
            </w:tcBorders>
            <w:noWrap/>
            <w:vAlign w:val="top"/>
          </w:tcPr>
          <w:p w14:paraId="0B135876">
            <w:pPr>
              <w:spacing w:before="12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noWrap/>
            <w:vAlign w:val="top"/>
          </w:tcPr>
          <w:p w14:paraId="7429E429">
            <w:pPr>
              <w:spacing w:before="12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偏离说明</w:t>
            </w:r>
          </w:p>
        </w:tc>
      </w:tr>
      <w:tr w14:paraId="23268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3256B30C">
            <w:pPr>
              <w:jc w:val="center"/>
              <w:rPr>
                <w:rFonts w:ascii="宋体" w:hAnsi="宋体"/>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1D514047">
            <w:pPr>
              <w:jc w:val="left"/>
              <w:rPr>
                <w:rFonts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ign w:val="top"/>
          </w:tcPr>
          <w:p w14:paraId="08A60AFD">
            <w:pPr>
              <w:spacing w:before="120"/>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ign w:val="top"/>
          </w:tcPr>
          <w:p w14:paraId="5065DCD2">
            <w:pPr>
              <w:spacing w:before="120"/>
              <w:jc w:val="center"/>
              <w:rPr>
                <w:rFonts w:ascii="宋体" w:hAnsi="宋体"/>
                <w:color w:val="000000" w:themeColor="text1"/>
                <w:sz w:val="24"/>
                <w:highlight w:val="none"/>
                <w14:textFill>
                  <w14:solidFill>
                    <w14:schemeClr w14:val="tx1"/>
                  </w14:solidFill>
                </w14:textFill>
              </w:rPr>
            </w:pPr>
          </w:p>
        </w:tc>
      </w:tr>
      <w:tr w14:paraId="51198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7FCC8EF3">
            <w:pPr>
              <w:jc w:val="center"/>
              <w:rPr>
                <w:rFonts w:ascii="宋体" w:hAnsi="宋体"/>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1C48333C">
            <w:pPr>
              <w:jc w:val="left"/>
              <w:rPr>
                <w:rFonts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ign w:val="top"/>
          </w:tcPr>
          <w:p w14:paraId="7E021813">
            <w:pPr>
              <w:spacing w:before="120"/>
              <w:ind w:left="43"/>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ign w:val="top"/>
          </w:tcPr>
          <w:p w14:paraId="5F620B64">
            <w:pPr>
              <w:spacing w:before="120"/>
              <w:ind w:left="43"/>
              <w:jc w:val="center"/>
              <w:rPr>
                <w:rFonts w:ascii="宋体" w:hAnsi="宋体"/>
                <w:color w:val="000000" w:themeColor="text1"/>
                <w:sz w:val="24"/>
                <w:highlight w:val="none"/>
                <w14:textFill>
                  <w14:solidFill>
                    <w14:schemeClr w14:val="tx1"/>
                  </w14:solidFill>
                </w14:textFill>
              </w:rPr>
            </w:pPr>
          </w:p>
        </w:tc>
      </w:tr>
      <w:tr w14:paraId="454D1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ign w:val="top"/>
          </w:tcPr>
          <w:p w14:paraId="59E4F141">
            <w:pPr>
              <w:spacing w:before="12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noWrap/>
            <w:vAlign w:val="top"/>
          </w:tcPr>
          <w:p w14:paraId="1C794E4F">
            <w:pPr>
              <w:spacing w:before="120"/>
              <w:jc w:val="center"/>
              <w:rPr>
                <w:rFonts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ign w:val="top"/>
          </w:tcPr>
          <w:p w14:paraId="08DFD541">
            <w:pPr>
              <w:spacing w:before="120"/>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ign w:val="top"/>
          </w:tcPr>
          <w:p w14:paraId="0CDBD81A">
            <w:pPr>
              <w:spacing w:before="120"/>
              <w:jc w:val="center"/>
              <w:rPr>
                <w:rFonts w:ascii="宋体" w:hAnsi="宋体"/>
                <w:color w:val="000000" w:themeColor="text1"/>
                <w:sz w:val="24"/>
                <w:highlight w:val="none"/>
                <w14:textFill>
                  <w14:solidFill>
                    <w14:schemeClr w14:val="tx1"/>
                  </w14:solidFill>
                </w14:textFill>
              </w:rPr>
            </w:pPr>
          </w:p>
        </w:tc>
      </w:tr>
    </w:tbl>
    <w:p w14:paraId="72D11CAC">
      <w:pPr>
        <w:pStyle w:val="21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14:paraId="371D76A3">
      <w:pPr>
        <w:pStyle w:val="221"/>
        <w:spacing w:line="520" w:lineRule="exact"/>
        <w:ind w:firstLine="0"/>
        <w:rPr>
          <w:rFonts w:hAnsi="仿宋_GB2312" w:cs="仿宋_GB2312"/>
          <w:color w:val="000000" w:themeColor="text1"/>
          <w:szCs w:val="32"/>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 说明：应对照招标文件“第二章 采购需求”中的服务内容及技术要求逐条作明确的投标响应，并作出偏离说明。</w:t>
      </w:r>
    </w:p>
    <w:p w14:paraId="5E18E8AB">
      <w:pPr>
        <w:pStyle w:val="217"/>
        <w:rPr>
          <w:rFonts w:ascii="宋体" w:hAnsi="宋体"/>
          <w:b w:val="0"/>
          <w:bCs w:val="0"/>
          <w:color w:val="000000" w:themeColor="text1"/>
          <w:highlight w:val="none"/>
          <w14:textFill>
            <w14:solidFill>
              <w14:schemeClr w14:val="tx1"/>
            </w14:solidFill>
          </w14:textFill>
        </w:rPr>
      </w:pPr>
      <w:r>
        <w:rPr>
          <w:rFonts w:ascii="宋体" w:hAnsi="宋体"/>
          <w:b w:val="0"/>
          <w:bCs w:val="0"/>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投标人应根据自身的承诺，对照招标文件要求在“偏离说明”中注明“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”。既不属于“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”也不属于“</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”即为“</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w:t>
      </w:r>
    </w:p>
    <w:p w14:paraId="1AEEB0D7">
      <w:pPr>
        <w:spacing w:before="50" w:after="50"/>
        <w:rPr>
          <w:rFonts w:ascii="宋体" w:hAnsi="宋体"/>
          <w:color w:val="000000" w:themeColor="text1"/>
          <w:sz w:val="24"/>
          <w:highlight w:val="none"/>
          <w14:textFill>
            <w14:solidFill>
              <w14:schemeClr w14:val="tx1"/>
            </w14:solidFill>
          </w14:textFill>
        </w:rPr>
      </w:pPr>
    </w:p>
    <w:p w14:paraId="3B66C364">
      <w:pPr>
        <w:spacing w:before="50" w:after="50"/>
        <w:rPr>
          <w:rFonts w:ascii="宋体" w:hAnsi="宋体"/>
          <w:color w:val="000000" w:themeColor="text1"/>
          <w:sz w:val="24"/>
          <w:highlight w:val="none"/>
          <w14:textFill>
            <w14:solidFill>
              <w14:schemeClr w14:val="tx1"/>
            </w14:solidFill>
          </w14:textFill>
        </w:rPr>
      </w:pPr>
    </w:p>
    <w:p w14:paraId="0B145155">
      <w:pPr>
        <w:spacing w:before="120"/>
        <w:rPr>
          <w:rFonts w:ascii="宋体" w:hAnsi="宋体"/>
          <w:color w:val="000000" w:themeColor="text1"/>
          <w:sz w:val="24"/>
          <w:szCs w:val="20"/>
          <w:highlight w:val="none"/>
          <w14:textFill>
            <w14:solidFill>
              <w14:schemeClr w14:val="tx1"/>
            </w14:solidFill>
          </w14:textFill>
        </w:rPr>
      </w:pPr>
    </w:p>
    <w:p w14:paraId="15BDD762">
      <w:pPr>
        <w:spacing w:before="50" w:after="120"/>
        <w:jc w:val="left"/>
        <w:rPr>
          <w:rFonts w:hint="eastAsia" w:ascii="宋体" w:hAnsi="宋体"/>
          <w:color w:val="000000" w:themeColor="text1"/>
          <w:sz w:val="24"/>
          <w:szCs w:val="20"/>
          <w:highlight w:val="none"/>
          <w14:textFill>
            <w14:solidFill>
              <w14:schemeClr w14:val="tx1"/>
            </w14:solidFill>
          </w14:textFill>
        </w:rPr>
      </w:pPr>
    </w:p>
    <w:p w14:paraId="60D148D7">
      <w:pPr>
        <w:spacing w:before="50" w:after="50"/>
        <w:rPr>
          <w:rFonts w:hint="eastAsia"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法定代表人(负责人)或委托代理人（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0790BA84">
      <w:pPr>
        <w:spacing w:before="50" w:after="120"/>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投标人盖公章：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5BEDA591">
      <w:pPr>
        <w:spacing w:before="50" w:after="120"/>
        <w:jc w:val="left"/>
        <w:rPr>
          <w:rFonts w:hint="eastAsia" w:ascii="宋体" w:hAnsi="宋体"/>
          <w:color w:val="000000" w:themeColor="text1"/>
          <w:sz w:val="24"/>
          <w:szCs w:val="20"/>
          <w:highlight w:val="none"/>
          <w14:textFill>
            <w14:solidFill>
              <w14:schemeClr w14:val="tx1"/>
            </w14:solidFill>
          </w14:textFill>
        </w:rPr>
      </w:pPr>
    </w:p>
    <w:p w14:paraId="03D32AD5">
      <w:pPr>
        <w:spacing w:before="50" w:after="120"/>
        <w:jc w:val="left"/>
        <w:rPr>
          <w:rFonts w:hint="eastAsia" w:ascii="宋体" w:hAnsi="宋体" w:cs="宋体"/>
          <w:b/>
          <w:color w:val="000000" w:themeColor="text1"/>
          <w:sz w:val="28"/>
          <w:szCs w:val="28"/>
          <w:highlight w:val="none"/>
          <w14:textFill>
            <w14:solidFill>
              <w14:schemeClr w14:val="tx1"/>
            </w14:solidFill>
          </w14:textFill>
        </w:rPr>
      </w:pPr>
    </w:p>
    <w:p w14:paraId="5EAED46F">
      <w:pPr>
        <w:spacing w:before="50" w:after="120"/>
        <w:jc w:val="left"/>
        <w:rPr>
          <w:rFonts w:hint="eastAsia" w:ascii="宋体" w:hAnsi="宋体" w:cs="宋体"/>
          <w:b/>
          <w:color w:val="000000" w:themeColor="text1"/>
          <w:sz w:val="28"/>
          <w:szCs w:val="28"/>
          <w:highlight w:val="none"/>
          <w14:textFill>
            <w14:solidFill>
              <w14:schemeClr w14:val="tx1"/>
            </w14:solidFill>
          </w14:textFill>
        </w:rPr>
      </w:pPr>
    </w:p>
    <w:p w14:paraId="67ECE945">
      <w:pPr>
        <w:spacing w:before="50" w:after="120"/>
        <w:jc w:val="left"/>
        <w:rPr>
          <w:rFonts w:hint="eastAsia" w:ascii="宋体" w:hAnsi="宋体" w:cs="宋体"/>
          <w:b/>
          <w:color w:val="000000" w:themeColor="text1"/>
          <w:sz w:val="28"/>
          <w:szCs w:val="28"/>
          <w:highlight w:val="none"/>
          <w14:textFill>
            <w14:solidFill>
              <w14:schemeClr w14:val="tx1"/>
            </w14:solidFill>
          </w14:textFill>
        </w:rPr>
      </w:pPr>
    </w:p>
    <w:p w14:paraId="5FE6CB23">
      <w:pPr>
        <w:spacing w:before="50" w:after="120"/>
        <w:jc w:val="left"/>
        <w:rPr>
          <w:rFonts w:hint="eastAsia" w:ascii="宋体" w:hAnsi="宋体" w:cs="宋体"/>
          <w:b/>
          <w:color w:val="000000" w:themeColor="text1"/>
          <w:sz w:val="28"/>
          <w:szCs w:val="28"/>
          <w:highlight w:val="none"/>
          <w14:textFill>
            <w14:solidFill>
              <w14:schemeClr w14:val="tx1"/>
            </w14:solidFill>
          </w14:textFill>
        </w:rPr>
      </w:pPr>
    </w:p>
    <w:p w14:paraId="1452E2F7">
      <w:pPr>
        <w:spacing w:before="50" w:after="120"/>
        <w:jc w:val="left"/>
        <w:rPr>
          <w:rFonts w:hint="eastAsia" w:ascii="宋体" w:hAnsi="宋体" w:cs="宋体"/>
          <w:b/>
          <w:color w:val="000000" w:themeColor="text1"/>
          <w:sz w:val="28"/>
          <w:szCs w:val="28"/>
          <w:highlight w:val="none"/>
          <w14:textFill>
            <w14:solidFill>
              <w14:schemeClr w14:val="tx1"/>
            </w14:solidFill>
          </w14:textFill>
        </w:rPr>
      </w:pPr>
    </w:p>
    <w:p w14:paraId="79A0237F">
      <w:pPr>
        <w:spacing w:before="50" w:after="120"/>
        <w:jc w:val="left"/>
        <w:rPr>
          <w:rFonts w:hint="eastAsia" w:ascii="宋体" w:hAnsi="宋体" w:cs="宋体"/>
          <w:b/>
          <w:color w:val="000000" w:themeColor="text1"/>
          <w:sz w:val="28"/>
          <w:szCs w:val="28"/>
          <w:highlight w:val="none"/>
          <w14:textFill>
            <w14:solidFill>
              <w14:schemeClr w14:val="tx1"/>
            </w14:solidFill>
          </w14:textFill>
        </w:rPr>
      </w:pPr>
    </w:p>
    <w:p w14:paraId="1E5DFC40">
      <w:pPr>
        <w:spacing w:before="50" w:after="120"/>
        <w:jc w:val="left"/>
        <w:rPr>
          <w:rFonts w:hint="eastAsia" w:ascii="宋体" w:hAnsi="宋体" w:cs="宋体"/>
          <w:b/>
          <w:color w:val="000000" w:themeColor="text1"/>
          <w:sz w:val="28"/>
          <w:szCs w:val="28"/>
          <w:highlight w:val="none"/>
          <w14:textFill>
            <w14:solidFill>
              <w14:schemeClr w14:val="tx1"/>
            </w14:solidFill>
          </w14:textFill>
        </w:rPr>
      </w:pPr>
    </w:p>
    <w:p w14:paraId="178F3CD4">
      <w:pPr>
        <w:spacing w:before="50" w:after="120"/>
        <w:jc w:val="left"/>
        <w:rPr>
          <w:rFonts w:hint="eastAsia" w:ascii="宋体" w:hAnsi="宋体" w:cs="宋体"/>
          <w:b/>
          <w:color w:val="000000" w:themeColor="text1"/>
          <w:sz w:val="28"/>
          <w:szCs w:val="28"/>
          <w:highlight w:val="none"/>
          <w14:textFill>
            <w14:solidFill>
              <w14:schemeClr w14:val="tx1"/>
            </w14:solidFill>
          </w14:textFill>
        </w:rPr>
      </w:pPr>
    </w:p>
    <w:p w14:paraId="07C73269">
      <w:pPr>
        <w:spacing w:before="50" w:after="120"/>
        <w:jc w:val="left"/>
        <w:rPr>
          <w:rFonts w:hint="eastAsia" w:ascii="宋体" w:hAnsi="宋体" w:cs="宋体"/>
          <w:b/>
          <w:color w:val="000000" w:themeColor="text1"/>
          <w:sz w:val="28"/>
          <w:szCs w:val="28"/>
          <w:highlight w:val="none"/>
          <w14:textFill>
            <w14:solidFill>
              <w14:schemeClr w14:val="tx1"/>
            </w14:solidFill>
          </w14:textFill>
        </w:rPr>
      </w:pPr>
    </w:p>
    <w:p w14:paraId="2D8C0D74">
      <w:pPr>
        <w:spacing w:before="50" w:after="120"/>
        <w:jc w:val="left"/>
        <w:rPr>
          <w:rFonts w:hint="eastAsia" w:ascii="宋体" w:hAnsi="宋体" w:cs="宋体"/>
          <w:b/>
          <w:color w:val="000000" w:themeColor="text1"/>
          <w:sz w:val="28"/>
          <w:szCs w:val="28"/>
          <w:highlight w:val="none"/>
          <w14:textFill>
            <w14:solidFill>
              <w14:schemeClr w14:val="tx1"/>
            </w14:solidFill>
          </w14:textFill>
        </w:rPr>
      </w:pPr>
    </w:p>
    <w:p w14:paraId="42932EDE">
      <w:pPr>
        <w:spacing w:before="50" w:after="120"/>
        <w:jc w:val="left"/>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五、其他文书、文件格式</w:t>
      </w:r>
    </w:p>
    <w:p w14:paraId="1B0A3E5C">
      <w:pPr>
        <w:spacing w:before="120" w:after="120" w:line="400" w:lineRule="exact"/>
        <w:rPr>
          <w:rFonts w:hint="eastAsia" w:ascii="宋体" w:hAnsi="宋体" w:cs="宋体"/>
          <w:color w:val="000000" w:themeColor="text1"/>
          <w:sz w:val="24"/>
          <w:highlight w:val="none"/>
          <w14:textFill>
            <w14:solidFill>
              <w14:schemeClr w14:val="tx1"/>
            </w14:solidFill>
          </w14:textFill>
        </w:rPr>
      </w:pPr>
    </w:p>
    <w:p w14:paraId="526DDDD9">
      <w:pPr>
        <w:spacing w:before="120" w:after="50"/>
        <w:jc w:val="left"/>
        <w:rPr>
          <w:rFonts w:hint="eastAsia" w:ascii="宋体" w:hAnsi="宋体" w:cs="宋体"/>
          <w:b/>
          <w:color w:val="000000" w:themeColor="text1"/>
          <w:spacing w:val="20"/>
          <w:sz w:val="24"/>
          <w:highlight w:val="none"/>
          <w14:textFill>
            <w14:solidFill>
              <w14:schemeClr w14:val="tx1"/>
            </w14:solidFill>
          </w14:textFill>
        </w:rPr>
      </w:pPr>
      <w:r>
        <w:rPr>
          <w:rFonts w:hint="eastAsia" w:ascii="宋体" w:hAnsi="宋体" w:cs="宋体"/>
          <w:b/>
          <w:color w:val="000000" w:themeColor="text1"/>
          <w:spacing w:val="20"/>
          <w:sz w:val="24"/>
          <w:highlight w:val="none"/>
          <w14:textFill>
            <w14:solidFill>
              <w14:schemeClr w14:val="tx1"/>
            </w14:solidFill>
          </w14:textFill>
        </w:rPr>
        <w:t>1.</w:t>
      </w:r>
      <w:r>
        <w:rPr>
          <w:rFonts w:hint="eastAsia" w:ascii="宋体" w:hAnsi="宋体" w:cs="宋体"/>
          <w:b/>
          <w:color w:val="000000" w:themeColor="text1"/>
          <w:spacing w:val="20"/>
          <w:sz w:val="24"/>
          <w:highlight w:val="none"/>
          <w:lang w:eastAsia="zh-CN"/>
          <w14:textFill>
            <w14:solidFill>
              <w14:schemeClr w14:val="tx1"/>
            </w14:solidFill>
          </w14:textFill>
        </w:rPr>
        <w:t>贵港</w:t>
      </w:r>
      <w:r>
        <w:rPr>
          <w:rFonts w:hint="eastAsia" w:ascii="宋体" w:hAnsi="宋体" w:cs="宋体"/>
          <w:b/>
          <w:color w:val="000000" w:themeColor="text1"/>
          <w:spacing w:val="20"/>
          <w:sz w:val="24"/>
          <w:highlight w:val="none"/>
          <w14:textFill>
            <w14:solidFill>
              <w14:schemeClr w14:val="tx1"/>
            </w14:solidFill>
          </w14:textFill>
        </w:rPr>
        <w:t>市政府采购项目投标资格承诺函</w:t>
      </w:r>
    </w:p>
    <w:p w14:paraId="7BF3DC03">
      <w:pPr>
        <w:pStyle w:val="219"/>
        <w:rPr>
          <w:rFonts w:hint="eastAsia" w:ascii="宋体" w:hAnsi="宋体" w:cs="宋体"/>
          <w:color w:val="000000" w:themeColor="text1"/>
          <w:highlight w:val="none"/>
          <w14:textFill>
            <w14:solidFill>
              <w14:schemeClr w14:val="tx1"/>
            </w14:solidFill>
          </w14:textFill>
        </w:rPr>
      </w:pPr>
    </w:p>
    <w:p w14:paraId="22A091C0">
      <w:pPr>
        <w:widowControl/>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贵港</w:t>
      </w:r>
      <w:r>
        <w:rPr>
          <w:rFonts w:hint="eastAsia" w:ascii="宋体" w:hAnsi="宋体" w:cs="宋体"/>
          <w:b/>
          <w:color w:val="000000" w:themeColor="text1"/>
          <w:sz w:val="32"/>
          <w:szCs w:val="32"/>
          <w:highlight w:val="none"/>
          <w14:textFill>
            <w14:solidFill>
              <w14:schemeClr w14:val="tx1"/>
            </w14:solidFill>
          </w14:textFill>
        </w:rPr>
        <w:t>市政府采购项目投标资格承诺函</w:t>
      </w:r>
    </w:p>
    <w:p w14:paraId="0E58A945">
      <w:pPr>
        <w:widowControl/>
        <w:spacing w:line="360" w:lineRule="auto"/>
        <w:ind w:firstLine="420"/>
        <w:jc w:val="left"/>
        <w:rPr>
          <w:rFonts w:hint="eastAsia" w:ascii="宋体" w:hAnsi="宋体" w:cs="宋体"/>
          <w:color w:val="000000" w:themeColor="text1"/>
          <w:szCs w:val="21"/>
          <w:highlight w:val="none"/>
          <w:lang w:bidi="ar"/>
          <w14:textFill>
            <w14:solidFill>
              <w14:schemeClr w14:val="tx1"/>
            </w14:solidFill>
          </w14:textFill>
        </w:rPr>
      </w:pPr>
    </w:p>
    <w:p w14:paraId="3A7F05C2">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1F871F58">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1.具有独立承担民事责任的能力。 </w:t>
      </w:r>
    </w:p>
    <w:p w14:paraId="753349AC">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2.具有良好的商业信誉和健全的财务会计制度。 </w:t>
      </w:r>
    </w:p>
    <w:p w14:paraId="4301D8F1">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3.具有履行合同所必需的设备和专业技术能力。 </w:t>
      </w:r>
    </w:p>
    <w:p w14:paraId="00599644">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4.有依法缴纳税收和社会保障资金的良好记录。 </w:t>
      </w:r>
    </w:p>
    <w:p w14:paraId="6375CDB1">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5. 提交投标文件截止日期前三年内，在经营活动中没有重大 </w:t>
      </w:r>
    </w:p>
    <w:p w14:paraId="48887D45">
      <w:pPr>
        <w:widowControl/>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违法记录。 </w:t>
      </w:r>
    </w:p>
    <w:p w14:paraId="6242825F">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本公司对上述承诺的真实性负责，并接受政府采购、税务、社会保障等监督管理部门、采购文件规定的资格审查机构、社会公众的监督和检查。如有虚假，将依法承担相应责任。 </w:t>
      </w:r>
    </w:p>
    <w:p w14:paraId="58274163">
      <w:pPr>
        <w:widowControl/>
        <w:spacing w:line="360" w:lineRule="auto"/>
        <w:jc w:val="right"/>
        <w:rPr>
          <w:rFonts w:hint="eastAsia" w:ascii="宋体" w:hAnsi="宋体" w:cs="宋体"/>
          <w:color w:val="000000" w:themeColor="text1"/>
          <w:szCs w:val="21"/>
          <w:highlight w:val="none"/>
          <w:lang w:bidi="ar"/>
          <w14:textFill>
            <w14:solidFill>
              <w14:schemeClr w14:val="tx1"/>
            </w14:solidFill>
          </w14:textFill>
        </w:rPr>
      </w:pPr>
    </w:p>
    <w:p w14:paraId="28B42419">
      <w:pPr>
        <w:widowControl/>
        <w:spacing w:line="360" w:lineRule="auto"/>
        <w:jc w:val="right"/>
        <w:rPr>
          <w:rFonts w:hint="eastAsia" w:ascii="宋体" w:hAnsi="宋体" w:cs="宋体"/>
          <w:color w:val="000000" w:themeColor="text1"/>
          <w:szCs w:val="21"/>
          <w:highlight w:val="none"/>
          <w:lang w:bidi="ar"/>
          <w14:textFill>
            <w14:solidFill>
              <w14:schemeClr w14:val="tx1"/>
            </w14:solidFill>
          </w14:textFill>
        </w:rPr>
      </w:pPr>
    </w:p>
    <w:p w14:paraId="28CC404E">
      <w:pPr>
        <w:widowControl/>
        <w:spacing w:line="360" w:lineRule="auto"/>
        <w:jc w:val="right"/>
        <w:rPr>
          <w:rFonts w:hint="eastAsia" w:ascii="宋体" w:hAnsi="宋体" w:cs="宋体"/>
          <w:color w:val="000000" w:themeColor="text1"/>
          <w:szCs w:val="21"/>
          <w:highlight w:val="none"/>
          <w:lang w:bidi="ar"/>
          <w14:textFill>
            <w14:solidFill>
              <w14:schemeClr w14:val="tx1"/>
            </w14:solidFill>
          </w14:textFill>
        </w:rPr>
      </w:pPr>
    </w:p>
    <w:p w14:paraId="2D63A0FB">
      <w:pPr>
        <w:widowControl/>
        <w:spacing w:line="360" w:lineRule="auto"/>
        <w:jc w:val="right"/>
        <w:rPr>
          <w:rFonts w:hint="eastAsia" w:ascii="宋体" w:hAnsi="宋体" w:cs="宋体"/>
          <w:color w:val="000000" w:themeColor="text1"/>
          <w:szCs w:val="21"/>
          <w:highlight w:val="none"/>
          <w:lang w:bidi="ar"/>
          <w14:textFill>
            <w14:solidFill>
              <w14:schemeClr w14:val="tx1"/>
            </w14:solidFill>
          </w14:textFill>
        </w:rPr>
      </w:pPr>
    </w:p>
    <w:p w14:paraId="4433FD82">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                                                          企业名称（盖公章或电子章）： </w:t>
      </w:r>
    </w:p>
    <w:p w14:paraId="55FD213C">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                                              法定代表人（或负责人）（签字或者盖章或者电子签名）： </w:t>
      </w:r>
    </w:p>
    <w:p w14:paraId="138D301C">
      <w:pPr>
        <w:widowControl/>
        <w:spacing w:line="360" w:lineRule="auto"/>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 xml:space="preserve">日期： 年 月 日 </w:t>
      </w:r>
    </w:p>
    <w:p w14:paraId="49CA01A0">
      <w:pPr>
        <w:pStyle w:val="219"/>
        <w:rPr>
          <w:rFonts w:hint="eastAsia" w:ascii="宋体" w:hAnsi="宋体" w:cs="宋体"/>
          <w:color w:val="000000" w:themeColor="text1"/>
          <w:highlight w:val="none"/>
          <w14:textFill>
            <w14:solidFill>
              <w14:schemeClr w14:val="tx1"/>
            </w14:solidFill>
          </w14:textFill>
        </w:rPr>
      </w:pPr>
    </w:p>
    <w:p w14:paraId="5445F9FC">
      <w:pPr>
        <w:spacing w:before="120" w:after="50"/>
        <w:jc w:val="left"/>
        <w:rPr>
          <w:rFonts w:hint="eastAsia" w:ascii="宋体" w:hAnsi="宋体" w:cs="宋体"/>
          <w:b/>
          <w:color w:val="000000" w:themeColor="text1"/>
          <w:sz w:val="24"/>
          <w:highlight w:val="none"/>
          <w14:textFill>
            <w14:solidFill>
              <w14:schemeClr w14:val="tx1"/>
            </w14:solidFill>
          </w14:textFill>
        </w:rPr>
      </w:pPr>
    </w:p>
    <w:p w14:paraId="21B6EB9A">
      <w:pPr>
        <w:spacing w:before="120" w:after="50"/>
        <w:jc w:val="left"/>
        <w:rPr>
          <w:rFonts w:hint="eastAsia" w:ascii="宋体" w:hAnsi="宋体" w:cs="宋体"/>
          <w:b/>
          <w:color w:val="000000" w:themeColor="text1"/>
          <w:sz w:val="24"/>
          <w:highlight w:val="none"/>
          <w14:textFill>
            <w14:solidFill>
              <w14:schemeClr w14:val="tx1"/>
            </w14:solidFill>
          </w14:textFill>
        </w:rPr>
      </w:pPr>
    </w:p>
    <w:p w14:paraId="3974C16E">
      <w:pPr>
        <w:spacing w:before="120" w:after="50"/>
        <w:jc w:val="left"/>
        <w:rPr>
          <w:rFonts w:hint="eastAsia" w:ascii="宋体" w:hAnsi="宋体" w:cs="宋体"/>
          <w:b/>
          <w:color w:val="000000" w:themeColor="text1"/>
          <w:sz w:val="24"/>
          <w:highlight w:val="none"/>
          <w14:textFill>
            <w14:solidFill>
              <w14:schemeClr w14:val="tx1"/>
            </w14:solidFill>
          </w14:textFill>
        </w:rPr>
      </w:pPr>
    </w:p>
    <w:p w14:paraId="6435939E">
      <w:pPr>
        <w:spacing w:before="120" w:after="50"/>
        <w:jc w:val="left"/>
        <w:rPr>
          <w:rFonts w:hint="eastAsia" w:ascii="宋体" w:hAnsi="宋体" w:cs="宋体"/>
          <w:b/>
          <w:color w:val="000000" w:themeColor="text1"/>
          <w:sz w:val="24"/>
          <w:highlight w:val="none"/>
          <w14:textFill>
            <w14:solidFill>
              <w14:schemeClr w14:val="tx1"/>
            </w14:solidFill>
          </w14:textFill>
        </w:rPr>
      </w:pPr>
    </w:p>
    <w:p w14:paraId="16D391DE">
      <w:pPr>
        <w:spacing w:before="120" w:after="50"/>
        <w:jc w:val="left"/>
        <w:rPr>
          <w:rFonts w:hint="eastAsia" w:ascii="宋体" w:hAnsi="宋体" w:cs="宋体"/>
          <w:b/>
          <w:color w:val="000000" w:themeColor="text1"/>
          <w:sz w:val="24"/>
          <w:highlight w:val="none"/>
          <w14:textFill>
            <w14:solidFill>
              <w14:schemeClr w14:val="tx1"/>
            </w14:solidFill>
          </w14:textFill>
        </w:rPr>
      </w:pPr>
    </w:p>
    <w:p w14:paraId="2E29B311">
      <w:pPr>
        <w:spacing w:before="120" w:after="50"/>
        <w:jc w:val="left"/>
        <w:rPr>
          <w:rFonts w:hint="eastAsia" w:ascii="宋体" w:hAnsi="宋体" w:cs="宋体"/>
          <w:b/>
          <w:color w:val="000000" w:themeColor="text1"/>
          <w:sz w:val="24"/>
          <w:highlight w:val="none"/>
          <w14:textFill>
            <w14:solidFill>
              <w14:schemeClr w14:val="tx1"/>
            </w14:solidFill>
          </w14:textFill>
        </w:rPr>
      </w:pPr>
    </w:p>
    <w:p w14:paraId="30027AC0">
      <w:pPr>
        <w:spacing w:before="120" w:after="50"/>
        <w:jc w:val="left"/>
        <w:rPr>
          <w:rFonts w:hint="eastAsia" w:ascii="宋体" w:hAnsi="宋体" w:cs="宋体"/>
          <w:b/>
          <w:color w:val="000000" w:themeColor="text1"/>
          <w:sz w:val="24"/>
          <w:highlight w:val="none"/>
          <w14:textFill>
            <w14:solidFill>
              <w14:schemeClr w14:val="tx1"/>
            </w14:solidFill>
          </w14:textFill>
        </w:rPr>
      </w:pPr>
    </w:p>
    <w:p w14:paraId="433CE915">
      <w:pPr>
        <w:spacing w:before="120" w:after="50"/>
        <w:jc w:val="left"/>
        <w:rPr>
          <w:rFonts w:hint="eastAsia" w:ascii="宋体" w:hAnsi="宋体" w:cs="宋体"/>
          <w:b/>
          <w:color w:val="000000" w:themeColor="text1"/>
          <w:sz w:val="24"/>
          <w:highlight w:val="none"/>
          <w14:textFill>
            <w14:solidFill>
              <w14:schemeClr w14:val="tx1"/>
            </w14:solidFill>
          </w14:textFill>
        </w:rPr>
      </w:pPr>
    </w:p>
    <w:p w14:paraId="680F1E04">
      <w:pPr>
        <w:spacing w:before="120" w:after="50"/>
        <w:jc w:val="left"/>
        <w:rPr>
          <w:rFonts w:hint="eastAsia" w:ascii="宋体" w:hAnsi="宋体" w:cs="宋体"/>
          <w:b/>
          <w:color w:val="000000" w:themeColor="text1"/>
          <w:sz w:val="24"/>
          <w:highlight w:val="none"/>
          <w14:textFill>
            <w14:solidFill>
              <w14:schemeClr w14:val="tx1"/>
            </w14:solidFill>
          </w14:textFill>
        </w:rPr>
      </w:pPr>
    </w:p>
    <w:p w14:paraId="30E08A74">
      <w:pPr>
        <w:spacing w:before="120" w:after="5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2.中小企业声明函格式</w:t>
      </w:r>
    </w:p>
    <w:p w14:paraId="76D7BEA6">
      <w:pPr>
        <w:rPr>
          <w:rFonts w:hint="eastAsia" w:ascii="宋体" w:hAnsi="宋体" w:cs="宋体"/>
          <w:color w:val="000000" w:themeColor="text1"/>
          <w:highlight w:val="none"/>
          <w14:textFill>
            <w14:solidFill>
              <w14:schemeClr w14:val="tx1"/>
            </w14:solidFill>
          </w14:textFill>
        </w:rPr>
      </w:pPr>
    </w:p>
    <w:p w14:paraId="0A304A37">
      <w:pPr>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中小企业声明函（服务）</w:t>
      </w:r>
    </w:p>
    <w:p w14:paraId="3D84E25B">
      <w:pPr>
        <w:spacing w:before="2" w:line="500" w:lineRule="exact"/>
        <w:rPr>
          <w:rFonts w:hint="eastAsia" w:ascii="宋体" w:hAnsi="宋体" w:cs="宋体"/>
          <w:b/>
          <w:bCs/>
          <w:color w:val="000000" w:themeColor="text1"/>
          <w:sz w:val="24"/>
          <w:highlight w:val="none"/>
          <w14:textFill>
            <w14:solidFill>
              <w14:schemeClr w14:val="tx1"/>
            </w14:solidFill>
          </w14:textFill>
        </w:rPr>
      </w:pPr>
    </w:p>
    <w:p w14:paraId="255E0837">
      <w:pPr>
        <w:pStyle w:val="219"/>
        <w:spacing w:line="500" w:lineRule="exact"/>
        <w:ind w:right="142" w:firstLine="48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highlight w:val="none"/>
          <w:u w:val="single"/>
          <w14:textFill>
            <w14:solidFill>
              <w14:schemeClr w14:val="tx1"/>
            </w14:solidFill>
          </w14:textFill>
        </w:rPr>
        <w:t>（单位名称）</w:t>
      </w:r>
      <w:r>
        <w:rPr>
          <w:rFonts w:hint="eastAsia" w:ascii="宋体" w:hAnsi="宋体" w:cs="宋体"/>
          <w:color w:val="000000" w:themeColor="text1"/>
          <w:highlight w:val="none"/>
          <w14:textFill>
            <w14:solidFill>
              <w14:schemeClr w14:val="tx1"/>
            </w14:solidFill>
          </w14:textFill>
        </w:rPr>
        <w:t>的</w:t>
      </w:r>
      <w:r>
        <w:rPr>
          <w:rFonts w:hint="eastAsia" w:ascii="宋体" w:hAnsi="宋体" w:cs="宋体"/>
          <w:color w:val="000000" w:themeColor="text1"/>
          <w:highlight w:val="none"/>
          <w:u w:val="single"/>
          <w14:textFill>
            <w14:solidFill>
              <w14:schemeClr w14:val="tx1"/>
            </w14:solidFill>
          </w14:textFill>
        </w:rPr>
        <w:t>（项目名称）</w:t>
      </w:r>
      <w:r>
        <w:rPr>
          <w:rFonts w:hint="eastAsia" w:ascii="宋体" w:hAnsi="宋体" w:cs="宋体"/>
          <w:color w:val="000000" w:themeColor="text1"/>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313CD5DF">
      <w:pPr>
        <w:tabs>
          <w:tab w:val="left" w:pos="1384"/>
          <w:tab w:val="left" w:pos="4562"/>
          <w:tab w:val="left" w:pos="6803"/>
        </w:tabs>
        <w:spacing w:before="13" w:line="500" w:lineRule="exact"/>
        <w:ind w:right="142" w:firstLine="686"/>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u w:val="single"/>
          <w14:textFill>
            <w14:solidFill>
              <w14:schemeClr w14:val="tx1"/>
            </w14:solidFill>
          </w14:textFill>
        </w:rPr>
        <w:t>2026年生产障碍耕地治理项目:微生物修复调控技术应用示范（</w:t>
      </w:r>
      <w:r>
        <w:rPr>
          <w:rFonts w:hint="eastAsia" w:ascii="宋体" w:hAnsi="宋体" w:cs="宋体"/>
          <w:color w:val="000000" w:themeColor="text1"/>
          <w:sz w:val="24"/>
          <w:highlight w:val="none"/>
          <w:u w:val="single"/>
          <w:lang w:eastAsia="zh-CN"/>
          <w14:textFill>
            <w14:solidFill>
              <w14:schemeClr w14:val="tx1"/>
            </w14:solidFill>
          </w14:textFill>
        </w:rPr>
        <w:t>分标4</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农、林、牧、渔业</w:t>
      </w:r>
      <w:r>
        <w:rPr>
          <w:rFonts w:hint="eastAsia" w:ascii="宋体" w:hAnsi="宋体" w:cs="宋体"/>
          <w:color w:val="000000" w:themeColor="text1"/>
          <w:sz w:val="24"/>
          <w:highlight w:val="none"/>
          <w14:textFill>
            <w14:solidFill>
              <w14:schemeClr w14:val="tx1"/>
            </w14:solidFill>
          </w14:textFill>
        </w:rPr>
        <w:t>；承接企业为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人，营业收入为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万元，资产总额为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14:paraId="7BEA26BB">
      <w:pPr>
        <w:numPr>
          <w:ilvl w:val="0"/>
          <w:numId w:val="9"/>
        </w:numPr>
        <w:tabs>
          <w:tab w:val="left" w:pos="1065"/>
          <w:tab w:val="left" w:pos="4262"/>
          <w:tab w:val="left" w:pos="6477"/>
        </w:tabs>
        <w:spacing w:before="20" w:line="500" w:lineRule="exact"/>
        <w:ind w:right="84" w:firstLine="686"/>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lang w:eastAsia="zh-CN"/>
          <w14:textFill>
            <w14:solidFill>
              <w14:schemeClr w14:val="tx1"/>
            </w14:solidFill>
          </w14:textFill>
        </w:rPr>
        <w:t>其他未列明</w:t>
      </w:r>
      <w:r>
        <w:rPr>
          <w:rFonts w:hint="eastAsia" w:ascii="宋体" w:hAnsi="宋体" w:cs="宋体"/>
          <w:color w:val="000000" w:themeColor="text1"/>
          <w:sz w:val="24"/>
          <w:highlight w:val="none"/>
          <w:u w:val="single"/>
          <w14:textFill>
            <w14:solidFill>
              <w14:schemeClr w14:val="tx1"/>
            </w14:solidFill>
          </w14:textFill>
        </w:rPr>
        <w:t>行业</w:t>
      </w:r>
      <w:r>
        <w:rPr>
          <w:rFonts w:hint="eastAsia" w:ascii="宋体" w:hAnsi="宋体" w:cs="宋体"/>
          <w:color w:val="000000" w:themeColor="text1"/>
          <w:sz w:val="24"/>
          <w:highlight w:val="none"/>
          <w14:textFill>
            <w14:solidFill>
              <w14:schemeClr w14:val="tx1"/>
            </w14:solidFill>
          </w14:textFill>
        </w:rPr>
        <w:t>；承接企业为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人，营业收入为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万元，资产总额为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14:paraId="1602E61B">
      <w:pPr>
        <w:pStyle w:val="219"/>
        <w:spacing w:before="34" w:line="500" w:lineRule="exact"/>
        <w:ind w:left="765" w:right="142" w:hanging="5"/>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p>
    <w:p w14:paraId="5B0931AE">
      <w:pPr>
        <w:pStyle w:val="219"/>
        <w:spacing w:before="34" w:line="500" w:lineRule="exact"/>
        <w:ind w:right="142" w:firstLine="48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24D118DC">
      <w:pPr>
        <w:pStyle w:val="219"/>
        <w:spacing w:before="34" w:line="500" w:lineRule="exact"/>
        <w:ind w:right="142" w:firstLine="48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本企业对上述声明内容的真实性负责。如有虚假，将依法承担相应责任。</w:t>
      </w:r>
    </w:p>
    <w:p w14:paraId="7A466814">
      <w:pPr>
        <w:pStyle w:val="219"/>
        <w:spacing w:before="56" w:line="500" w:lineRule="exact"/>
        <w:ind w:left="3960" w:right="1808"/>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企业名称（电子签章）： </w:t>
      </w:r>
    </w:p>
    <w:p w14:paraId="457775D1">
      <w:pPr>
        <w:pStyle w:val="219"/>
        <w:spacing w:before="56" w:line="500" w:lineRule="exact"/>
        <w:ind w:left="3960" w:right="1808"/>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 期：</w:t>
      </w:r>
    </w:p>
    <w:p w14:paraId="5528232D">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 xml:space="preserve"> </w:t>
      </w:r>
    </w:p>
    <w:p w14:paraId="2D1A2F00">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1F3182E0">
      <w:pP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3.残疾人福利性单位声明函格式</w:t>
      </w:r>
    </w:p>
    <w:p w14:paraId="6910DAF0">
      <w:pPr>
        <w:spacing w:line="588" w:lineRule="exact"/>
        <w:jc w:val="center"/>
        <w:rPr>
          <w:rFonts w:hint="eastAsia" w:ascii="宋体" w:hAnsi="宋体" w:cs="宋体"/>
          <w:b/>
          <w:color w:val="000000" w:themeColor="text1"/>
          <w:spacing w:val="6"/>
          <w:sz w:val="32"/>
          <w:szCs w:val="32"/>
          <w:highlight w:val="none"/>
          <w14:textFill>
            <w14:solidFill>
              <w14:schemeClr w14:val="tx1"/>
            </w14:solidFill>
          </w14:textFill>
        </w:rPr>
      </w:pPr>
    </w:p>
    <w:p w14:paraId="206551CE">
      <w:pPr>
        <w:spacing w:line="588" w:lineRule="exact"/>
        <w:jc w:val="center"/>
        <w:rPr>
          <w:rFonts w:hint="eastAsia" w:ascii="宋体" w:hAnsi="宋体" w:cs="宋体"/>
          <w:bCs/>
          <w:color w:val="000000" w:themeColor="text1"/>
          <w:spacing w:val="6"/>
          <w:sz w:val="44"/>
          <w:szCs w:val="44"/>
          <w:highlight w:val="none"/>
          <w14:textFill>
            <w14:solidFill>
              <w14:schemeClr w14:val="tx1"/>
            </w14:solidFill>
          </w14:textFill>
        </w:rPr>
      </w:pPr>
      <w:r>
        <w:rPr>
          <w:rFonts w:hint="eastAsia" w:ascii="宋体" w:hAnsi="宋体" w:cs="宋体"/>
          <w:bCs/>
          <w:color w:val="000000" w:themeColor="text1"/>
          <w:spacing w:val="6"/>
          <w:sz w:val="44"/>
          <w:szCs w:val="44"/>
          <w:highlight w:val="none"/>
          <w14:textFill>
            <w14:solidFill>
              <w14:schemeClr w14:val="tx1"/>
            </w14:solidFill>
          </w14:textFill>
        </w:rPr>
        <w:t>残疾人福利性单位声明函</w:t>
      </w:r>
    </w:p>
    <w:p w14:paraId="21685D51">
      <w:pPr>
        <w:spacing w:line="588" w:lineRule="exact"/>
        <w:rPr>
          <w:rFonts w:hint="eastAsia" w:ascii="宋体" w:hAnsi="宋体" w:cs="宋体"/>
          <w:b/>
          <w:color w:val="000000" w:themeColor="text1"/>
          <w:spacing w:val="6"/>
          <w:sz w:val="30"/>
          <w:szCs w:val="30"/>
          <w:highlight w:val="none"/>
          <w14:textFill>
            <w14:solidFill>
              <w14:schemeClr w14:val="tx1"/>
            </w14:solidFill>
          </w14:textFill>
        </w:rPr>
      </w:pPr>
    </w:p>
    <w:p w14:paraId="1225E91F">
      <w:pPr>
        <w:spacing w:line="360" w:lineRule="auto"/>
        <w:ind w:firstLine="504"/>
        <w:contextualSpacing/>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z w:val="24"/>
          <w:highlight w:val="none"/>
          <w14:textFill>
            <w14:solidFill>
              <w14:schemeClr w14:val="tx1"/>
            </w14:solidFill>
          </w14:textFill>
        </w:rPr>
        <w:t>〔2017〕 141</w:t>
      </w:r>
      <w:r>
        <w:rPr>
          <w:rFonts w:hint="eastAsia" w:ascii="宋体" w:hAnsi="宋体" w:cs="宋体"/>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000000" w:themeColor="text1"/>
          <w:spacing w:val="-6"/>
          <w:sz w:val="24"/>
          <w:highlight w:val="none"/>
          <w14:textFill>
            <w14:solidFill>
              <w14:schemeClr w14:val="tx1"/>
            </w14:solidFill>
          </w14:textFill>
        </w:rPr>
        <w:t>疾人福利性单位制造的货物（不包括使用非残疾人福利性单位注册商标的货物）。</w:t>
      </w:r>
    </w:p>
    <w:p w14:paraId="723147F3">
      <w:pPr>
        <w:spacing w:line="360" w:lineRule="auto"/>
        <w:ind w:firstLine="504"/>
        <w:contextualSpacing/>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本单位对上述声明的真实性负责。如有虚假，将依法承担相应责任。</w:t>
      </w:r>
    </w:p>
    <w:p w14:paraId="08D44384">
      <w:pPr>
        <w:spacing w:line="360" w:lineRule="auto"/>
        <w:ind w:firstLine="504"/>
        <w:contextualSpacing/>
        <w:rPr>
          <w:rFonts w:hint="eastAsia" w:ascii="宋体" w:hAnsi="宋体" w:cs="宋体"/>
          <w:color w:val="000000" w:themeColor="text1"/>
          <w:spacing w:val="6"/>
          <w:sz w:val="24"/>
          <w:highlight w:val="none"/>
          <w14:textFill>
            <w14:solidFill>
              <w14:schemeClr w14:val="tx1"/>
            </w14:solidFill>
          </w14:textFill>
        </w:rPr>
      </w:pPr>
    </w:p>
    <w:p w14:paraId="18A5D345">
      <w:pPr>
        <w:spacing w:line="360" w:lineRule="auto"/>
        <w:ind w:firstLine="504"/>
        <w:contextualSpacing/>
        <w:rPr>
          <w:rFonts w:hint="eastAsia" w:ascii="宋体" w:hAnsi="宋体" w:cs="宋体"/>
          <w:color w:val="000000" w:themeColor="text1"/>
          <w:spacing w:val="6"/>
          <w:sz w:val="24"/>
          <w:highlight w:val="none"/>
          <w14:textFill>
            <w14:solidFill>
              <w14:schemeClr w14:val="tx1"/>
            </w14:solidFill>
          </w14:textFill>
        </w:rPr>
      </w:pPr>
    </w:p>
    <w:p w14:paraId="34D0A8D4">
      <w:pPr>
        <w:tabs>
          <w:tab w:val="left" w:pos="4860"/>
        </w:tabs>
        <w:spacing w:line="360" w:lineRule="auto"/>
        <w:ind w:right="1560" w:firstLine="504"/>
        <w:contextualSpacing/>
        <w:jc w:val="center"/>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单位名称（电子签章）：</w:t>
      </w:r>
    </w:p>
    <w:p w14:paraId="2C57E2EF">
      <w:pPr>
        <w:tabs>
          <w:tab w:val="left" w:pos="4860"/>
        </w:tabs>
        <w:spacing w:line="360" w:lineRule="auto"/>
        <w:ind w:right="1560" w:firstLine="504"/>
        <w:contextualSpacing/>
        <w:jc w:val="center"/>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日  期：</w:t>
      </w:r>
    </w:p>
    <w:p w14:paraId="56FC6613">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6CC2A11A">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0198A3A9">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0DDF8899">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7377B9EB">
      <w:pPr>
        <w:spacing w:line="360" w:lineRule="auto"/>
        <w:jc w:val="left"/>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4.质疑函（格式）</w:t>
      </w:r>
    </w:p>
    <w:p w14:paraId="1B9990CD">
      <w:pPr>
        <w:spacing w:line="360" w:lineRule="auto"/>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质疑函（格式）</w:t>
      </w:r>
    </w:p>
    <w:p w14:paraId="4379A0FE">
      <w:pPr>
        <w:pStyle w:val="227"/>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一、质疑供应商基本信息：</w:t>
      </w:r>
    </w:p>
    <w:p w14:paraId="061412C0">
      <w:pPr>
        <w:pStyle w:val="227"/>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质疑供应商：</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7D06FFD9">
      <w:pPr>
        <w:pStyle w:val="227"/>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1ABA7969">
      <w:pPr>
        <w:pStyle w:val="227"/>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0287A7F6">
      <w:pPr>
        <w:pStyle w:val="227"/>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授权代表：</w:t>
      </w:r>
      <w:r>
        <w:rPr>
          <w:rFonts w:hint="eastAsia" w:hAnsi="宋体" w:cs="宋体"/>
          <w:bCs/>
          <w:color w:val="000000" w:themeColor="text1"/>
          <w:sz w:val="24"/>
          <w:szCs w:val="24"/>
          <w:highlight w:val="none"/>
          <w:u w:val="single"/>
          <w14:textFill>
            <w14:solidFill>
              <w14:schemeClr w14:val="tx1"/>
            </w14:solidFill>
          </w14:textFill>
        </w:rPr>
        <w:t xml:space="preserve">                      </w:t>
      </w:r>
    </w:p>
    <w:p w14:paraId="6B99860D">
      <w:pPr>
        <w:pStyle w:val="227"/>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5838A684">
      <w:pPr>
        <w:pStyle w:val="227"/>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6C5DBE3A">
      <w:pPr>
        <w:pStyle w:val="227"/>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二、质疑项目基本情况：</w:t>
      </w:r>
    </w:p>
    <w:p w14:paraId="5F127B7A">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6C824FCB">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项目的编号：</w:t>
      </w:r>
      <w:r>
        <w:rPr>
          <w:rFonts w:hint="eastAsia" w:hAnsi="宋体" w:cs="宋体"/>
          <w:bCs/>
          <w:color w:val="000000" w:themeColor="text1"/>
          <w:sz w:val="24"/>
          <w:szCs w:val="24"/>
          <w:highlight w:val="none"/>
          <w:u w:val="single"/>
          <w14:textFill>
            <w14:solidFill>
              <w14:schemeClr w14:val="tx1"/>
            </w14:solidFill>
          </w14:textFill>
        </w:rPr>
        <w:t xml:space="preserve">                                     </w:t>
      </w:r>
    </w:p>
    <w:p w14:paraId="7CBFFD8A">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7C679A2E">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w:t>
      </w:r>
    </w:p>
    <w:p w14:paraId="62B47FD0">
      <w:pPr>
        <w:pStyle w:val="227"/>
        <w:spacing w:line="360" w:lineRule="auto"/>
        <w:ind w:left="25" w:firstLine="35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□采购文件   采购文件获取日期：</w:t>
      </w:r>
      <w:r>
        <w:rPr>
          <w:rFonts w:hint="eastAsia" w:hAnsi="宋体" w:cs="宋体"/>
          <w:bCs/>
          <w:color w:val="000000" w:themeColor="text1"/>
          <w:sz w:val="24"/>
          <w:szCs w:val="24"/>
          <w:highlight w:val="none"/>
          <w:u w:val="single"/>
          <w14:textFill>
            <w14:solidFill>
              <w14:schemeClr w14:val="tx1"/>
            </w14:solidFill>
          </w14:textFill>
        </w:rPr>
        <w:t xml:space="preserve">                                   </w:t>
      </w:r>
    </w:p>
    <w:p w14:paraId="498E31AD">
      <w:pPr>
        <w:pStyle w:val="227"/>
        <w:spacing w:line="360" w:lineRule="auto"/>
        <w:ind w:left="25" w:firstLine="35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□采购过程   </w:t>
      </w:r>
    </w:p>
    <w:p w14:paraId="72AC1037">
      <w:pPr>
        <w:pStyle w:val="227"/>
        <w:spacing w:line="360" w:lineRule="auto"/>
        <w:ind w:left="25" w:firstLine="35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□采购结果   </w:t>
      </w:r>
    </w:p>
    <w:p w14:paraId="42F73091">
      <w:pPr>
        <w:pStyle w:val="227"/>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三、质疑事项具体内容</w:t>
      </w:r>
    </w:p>
    <w:p w14:paraId="697EA9F8">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质疑事项1：</w:t>
      </w:r>
      <w:r>
        <w:rPr>
          <w:rFonts w:hint="eastAsia" w:hAnsi="宋体" w:cs="宋体"/>
          <w:bCs/>
          <w:color w:val="000000" w:themeColor="text1"/>
          <w:sz w:val="24"/>
          <w:szCs w:val="24"/>
          <w:highlight w:val="none"/>
          <w:u w:val="single"/>
          <w14:textFill>
            <w14:solidFill>
              <w14:schemeClr w14:val="tx1"/>
            </w14:solidFill>
          </w14:textFill>
        </w:rPr>
        <w:t xml:space="preserve">                                                                    </w:t>
      </w:r>
    </w:p>
    <w:p w14:paraId="5FE8871C">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事实依据：</w:t>
      </w:r>
      <w:r>
        <w:rPr>
          <w:rFonts w:hint="eastAsia" w:hAnsi="宋体" w:cs="宋体"/>
          <w:bCs/>
          <w:color w:val="000000" w:themeColor="text1"/>
          <w:sz w:val="24"/>
          <w:szCs w:val="24"/>
          <w:highlight w:val="none"/>
          <w:u w:val="single"/>
          <w14:textFill>
            <w14:solidFill>
              <w14:schemeClr w14:val="tx1"/>
            </w14:solidFill>
          </w14:textFill>
        </w:rPr>
        <w:t xml:space="preserve">                                                                      </w:t>
      </w:r>
    </w:p>
    <w:p w14:paraId="1F3CFB74">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法律依据：</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490ECBAA">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质疑事项2</w:t>
      </w:r>
    </w:p>
    <w:p w14:paraId="1EB1A920">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p w14:paraId="53C3BE6F">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四、与质疑事项相关的质疑请求：</w:t>
      </w:r>
    </w:p>
    <w:p w14:paraId="3681F516">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r>
        <w:rPr>
          <w:rFonts w:hint="eastAsia" w:hAnsi="宋体" w:cs="宋体"/>
          <w:bCs/>
          <w:color w:val="000000" w:themeColor="text1"/>
          <w:sz w:val="24"/>
          <w:szCs w:val="24"/>
          <w:highlight w:val="none"/>
          <w:u w:val="single"/>
          <w14:textFill>
            <w14:solidFill>
              <w14:schemeClr w14:val="tx1"/>
            </w14:solidFill>
          </w14:textFill>
        </w:rPr>
        <w:t xml:space="preserve">                                                                </w:t>
      </w:r>
    </w:p>
    <w:p w14:paraId="79220585">
      <w:pPr>
        <w:pStyle w:val="227"/>
        <w:spacing w:line="360" w:lineRule="auto"/>
        <w:ind w:left="25" w:firstLine="352"/>
        <w:rPr>
          <w:rFonts w:hint="eastAsia" w:hAnsi="宋体" w:cs="宋体"/>
          <w:color w:val="000000" w:themeColor="text1"/>
          <w:sz w:val="24"/>
          <w:szCs w:val="24"/>
          <w:highlight w:val="none"/>
          <w14:textFill>
            <w14:solidFill>
              <w14:schemeClr w14:val="tx1"/>
            </w14:solidFill>
          </w14:textFill>
        </w:rPr>
      </w:pPr>
    </w:p>
    <w:p w14:paraId="79C46D3F">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签字（签章）：                                       公章：</w:t>
      </w:r>
    </w:p>
    <w:p w14:paraId="74F14B46">
      <w:pPr>
        <w:pStyle w:val="227"/>
        <w:spacing w:line="360" w:lineRule="auto"/>
        <w:ind w:left="25" w:firstLine="352"/>
        <w:rPr>
          <w:rFonts w:hint="eastAsia" w:hAnsi="宋体" w:cs="宋体"/>
          <w:color w:val="000000" w:themeColor="text1"/>
          <w:sz w:val="24"/>
          <w:szCs w:val="24"/>
          <w:highlight w:val="none"/>
          <w14:textFill>
            <w14:solidFill>
              <w14:schemeClr w14:val="tx1"/>
            </w14:solidFill>
          </w14:textFill>
        </w:rPr>
      </w:pPr>
    </w:p>
    <w:p w14:paraId="497B2E1D">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14:paraId="00EA86F8">
      <w:pPr>
        <w:pStyle w:val="227"/>
        <w:spacing w:line="360" w:lineRule="auto"/>
        <w:rPr>
          <w:rFonts w:hint="eastAsia" w:hAnsi="宋体" w:cs="宋体"/>
          <w:b/>
          <w:color w:val="000000" w:themeColor="text1"/>
          <w:sz w:val="24"/>
          <w:szCs w:val="24"/>
          <w:highlight w:val="none"/>
          <w14:textFill>
            <w14:solidFill>
              <w14:schemeClr w14:val="tx1"/>
            </w14:solidFill>
          </w14:textFill>
        </w:rPr>
      </w:pPr>
    </w:p>
    <w:p w14:paraId="076DAB17">
      <w:pPr>
        <w:pStyle w:val="227"/>
        <w:spacing w:line="360" w:lineRule="auto"/>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说明：</w:t>
      </w:r>
    </w:p>
    <w:p w14:paraId="367CB421">
      <w:pPr>
        <w:pStyle w:val="227"/>
        <w:spacing w:line="360" w:lineRule="auto"/>
        <w:ind w:left="25" w:firstLine="354"/>
        <w:rPr>
          <w:rFonts w:hint="eastAsia" w:hAnsi="宋体" w:cs="宋体"/>
          <w:b/>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cs="宋体"/>
          <w:b/>
          <w:bCs/>
          <w:color w:val="000000" w:themeColor="text1"/>
          <w:sz w:val="24"/>
          <w:szCs w:val="24"/>
          <w:highlight w:val="none"/>
          <w14:textFill>
            <w14:solidFill>
              <w14:schemeClr w14:val="tx1"/>
            </w14:solidFill>
          </w14:textFill>
        </w:rPr>
        <w:t>。</w:t>
      </w:r>
    </w:p>
    <w:p w14:paraId="2BF23068">
      <w:pPr>
        <w:pStyle w:val="227"/>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08FBE6E">
      <w:pPr>
        <w:pStyle w:val="227"/>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3.质疑函的质疑事项应具体、明确，并有必要的事实依据和法律依据。</w:t>
      </w:r>
    </w:p>
    <w:p w14:paraId="338C918A">
      <w:pPr>
        <w:pStyle w:val="227"/>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4.质疑函的质疑请求应与质疑事项相关。</w:t>
      </w:r>
    </w:p>
    <w:p w14:paraId="3FBE5149">
      <w:pPr>
        <w:pStyle w:val="227"/>
        <w:spacing w:line="360" w:lineRule="auto"/>
        <w:ind w:left="25" w:firstLine="354"/>
        <w:rPr>
          <w:rFonts w:hint="eastAsia" w:hAnsi="宋体" w:cs="宋体"/>
          <w:b/>
          <w:color w:val="000000" w:themeColor="text1"/>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76BA424C">
      <w:pPr>
        <w:spacing w:line="460" w:lineRule="exact"/>
        <w:rPr>
          <w:rFonts w:hint="eastAsia" w:ascii="宋体" w:hAnsi="宋体" w:cs="宋体"/>
          <w:color w:val="000000" w:themeColor="text1"/>
          <w:sz w:val="44"/>
          <w:highlight w:val="none"/>
          <w14:textFill>
            <w14:solidFill>
              <w14:schemeClr w14:val="tx1"/>
            </w14:solidFill>
          </w14:textFill>
        </w:rPr>
      </w:pPr>
    </w:p>
    <w:p w14:paraId="71F9D94B">
      <w:pPr>
        <w:spacing w:line="360" w:lineRule="auto"/>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5.投诉书（格式）</w:t>
      </w:r>
    </w:p>
    <w:p w14:paraId="47421CFE">
      <w:pPr>
        <w:spacing w:line="360" w:lineRule="auto"/>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投诉书（格式）</w:t>
      </w:r>
    </w:p>
    <w:p w14:paraId="71B7EBC9">
      <w:pPr>
        <w:pStyle w:val="227"/>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一、投诉相关主体基本情况：</w:t>
      </w:r>
    </w:p>
    <w:p w14:paraId="44D636EF">
      <w:pPr>
        <w:pStyle w:val="227"/>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投标人：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13A4AE2C">
      <w:pPr>
        <w:pStyle w:val="227"/>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70791E86">
      <w:pPr>
        <w:pStyle w:val="227"/>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法定代表人/主要负责人：</w:t>
      </w:r>
      <w:r>
        <w:rPr>
          <w:rFonts w:hint="eastAsia" w:hAnsi="宋体" w:cs="宋体"/>
          <w:bCs/>
          <w:color w:val="000000" w:themeColor="text1"/>
          <w:sz w:val="24"/>
          <w:szCs w:val="24"/>
          <w:highlight w:val="none"/>
          <w:u w:val="single"/>
          <w14:textFill>
            <w14:solidFill>
              <w14:schemeClr w14:val="tx1"/>
            </w14:solidFill>
          </w14:textFill>
        </w:rPr>
        <w:t xml:space="preserve">                                                         </w:t>
      </w:r>
    </w:p>
    <w:p w14:paraId="73A41843">
      <w:pPr>
        <w:pStyle w:val="227"/>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671A1556">
      <w:pPr>
        <w:pStyle w:val="227"/>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授权代表：</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04EB903A">
      <w:pPr>
        <w:pStyle w:val="227"/>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p>
    <w:p w14:paraId="29AAD544">
      <w:pPr>
        <w:pStyle w:val="227"/>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0EFB717D">
      <w:pPr>
        <w:pStyle w:val="227"/>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被投诉人1：</w:t>
      </w:r>
    </w:p>
    <w:p w14:paraId="2D122958">
      <w:pPr>
        <w:pStyle w:val="227"/>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p>
    <w:p w14:paraId="6CE93838">
      <w:pPr>
        <w:pStyle w:val="227"/>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73C66738">
      <w:pPr>
        <w:pStyle w:val="227"/>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349F0B35">
      <w:pPr>
        <w:pStyle w:val="227"/>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被投诉人2：</w:t>
      </w:r>
    </w:p>
    <w:p w14:paraId="6EB13BB7">
      <w:pPr>
        <w:pStyle w:val="227"/>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w:t>
      </w:r>
    </w:p>
    <w:p w14:paraId="2894C7D8">
      <w:pPr>
        <w:pStyle w:val="227"/>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相关供应商：</w:t>
      </w:r>
      <w:r>
        <w:rPr>
          <w:rFonts w:hint="eastAsia" w:hAnsi="宋体" w:cs="宋体"/>
          <w:bCs/>
          <w:color w:val="000000" w:themeColor="text1"/>
          <w:sz w:val="24"/>
          <w:szCs w:val="24"/>
          <w:highlight w:val="none"/>
          <w:u w:val="single"/>
          <w14:textFill>
            <w14:solidFill>
              <w14:schemeClr w14:val="tx1"/>
            </w14:solidFill>
          </w14:textFill>
        </w:rPr>
        <w:t xml:space="preserve">                                                                       </w:t>
      </w:r>
    </w:p>
    <w:p w14:paraId="34D759B9">
      <w:pPr>
        <w:pStyle w:val="227"/>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p>
    <w:p w14:paraId="484F7503">
      <w:pPr>
        <w:pStyle w:val="227"/>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0EB91B97">
      <w:pPr>
        <w:pStyle w:val="227"/>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二、投诉项目基本情况：</w:t>
      </w:r>
    </w:p>
    <w:p w14:paraId="7522DF34">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w:t>
      </w:r>
      <w:r>
        <w:rPr>
          <w:rFonts w:hint="eastAsia" w:hAnsi="宋体" w:cs="宋体"/>
          <w:color w:val="000000" w:themeColor="text1"/>
          <w:sz w:val="24"/>
          <w:szCs w:val="24"/>
          <w:highlight w:val="none"/>
          <w14:textFill>
            <w14:solidFill>
              <w14:schemeClr w14:val="tx1"/>
            </w14:solidFill>
          </w14:textFill>
        </w:rPr>
        <w:t>项目的名称：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11876C02">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w:t>
      </w:r>
      <w:r>
        <w:rPr>
          <w:rFonts w:hint="eastAsia" w:hAnsi="宋体" w:cs="宋体"/>
          <w:color w:val="000000" w:themeColor="text1"/>
          <w:sz w:val="24"/>
          <w:szCs w:val="24"/>
          <w:highlight w:val="none"/>
          <w14:textFill>
            <w14:solidFill>
              <w14:schemeClr w14:val="tx1"/>
            </w14:solidFill>
          </w14:textFill>
        </w:rPr>
        <w:t>项目的编号：</w:t>
      </w:r>
      <w:r>
        <w:rPr>
          <w:rFonts w:hint="eastAsia" w:hAnsi="宋体" w:cs="宋体"/>
          <w:bCs/>
          <w:color w:val="000000" w:themeColor="text1"/>
          <w:sz w:val="24"/>
          <w:szCs w:val="24"/>
          <w:highlight w:val="none"/>
          <w:u w:val="single"/>
          <w14:textFill>
            <w14:solidFill>
              <w14:schemeClr w14:val="tx1"/>
            </w14:solidFill>
          </w14:textFill>
        </w:rPr>
        <w:t xml:space="preserve">                                          </w:t>
      </w:r>
    </w:p>
    <w:p w14:paraId="7CA9642E">
      <w:pPr>
        <w:pStyle w:val="227"/>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154FD79D">
      <w:pPr>
        <w:pStyle w:val="227"/>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代理机构名称：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7E66EB26">
      <w:pPr>
        <w:pStyle w:val="227"/>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采购文件公告：</w:t>
      </w:r>
      <w:r>
        <w:rPr>
          <w:rFonts w:hint="eastAsia" w:hAnsi="宋体" w:cs="宋体"/>
          <w:bCs/>
          <w:color w:val="000000" w:themeColor="text1"/>
          <w:sz w:val="24"/>
          <w:szCs w:val="24"/>
          <w:highlight w:val="none"/>
          <w:u w:val="single"/>
          <w14:textFill>
            <w14:solidFill>
              <w14:schemeClr w14:val="tx1"/>
            </w14:solidFill>
          </w14:textFill>
        </w:rPr>
        <w:t>是/否</w:t>
      </w:r>
      <w:r>
        <w:rPr>
          <w:rFonts w:hint="eastAsia" w:hAnsi="宋体" w:cs="宋体"/>
          <w:bCs/>
          <w:color w:val="000000" w:themeColor="text1"/>
          <w:sz w:val="24"/>
          <w:szCs w:val="24"/>
          <w:highlight w:val="none"/>
          <w14:textFill>
            <w14:solidFill>
              <w14:schemeClr w14:val="tx1"/>
            </w14:solidFill>
          </w14:textFill>
        </w:rPr>
        <w:t>公告期限：</w:t>
      </w:r>
      <w:r>
        <w:rPr>
          <w:rFonts w:hint="eastAsia" w:hAnsi="宋体" w:cs="宋体"/>
          <w:bCs/>
          <w:color w:val="000000" w:themeColor="text1"/>
          <w:sz w:val="24"/>
          <w:szCs w:val="24"/>
          <w:highlight w:val="none"/>
          <w:u w:val="single"/>
          <w14:textFill>
            <w14:solidFill>
              <w14:schemeClr w14:val="tx1"/>
            </w14:solidFill>
          </w14:textFill>
        </w:rPr>
        <w:t xml:space="preserve">                                                       </w:t>
      </w:r>
    </w:p>
    <w:p w14:paraId="3C48B56A">
      <w:pPr>
        <w:pStyle w:val="227"/>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采购结果公告：</w:t>
      </w:r>
      <w:r>
        <w:rPr>
          <w:rFonts w:hint="eastAsia" w:hAnsi="宋体" w:cs="宋体"/>
          <w:bCs/>
          <w:color w:val="000000" w:themeColor="text1"/>
          <w:sz w:val="24"/>
          <w:szCs w:val="24"/>
          <w:highlight w:val="none"/>
          <w:u w:val="single"/>
          <w14:textFill>
            <w14:solidFill>
              <w14:schemeClr w14:val="tx1"/>
            </w14:solidFill>
          </w14:textFill>
        </w:rPr>
        <w:t>是/否</w:t>
      </w:r>
      <w:r>
        <w:rPr>
          <w:rFonts w:hint="eastAsia" w:hAnsi="宋体" w:cs="宋体"/>
          <w:bCs/>
          <w:color w:val="000000" w:themeColor="text1"/>
          <w:sz w:val="24"/>
          <w:szCs w:val="24"/>
          <w:highlight w:val="none"/>
          <w14:textFill>
            <w14:solidFill>
              <w14:schemeClr w14:val="tx1"/>
            </w14:solidFill>
          </w14:textFill>
        </w:rPr>
        <w:t>公告期限：</w:t>
      </w:r>
      <w:r>
        <w:rPr>
          <w:rFonts w:hint="eastAsia" w:hAnsi="宋体" w:cs="宋体"/>
          <w:bCs/>
          <w:color w:val="000000" w:themeColor="text1"/>
          <w:sz w:val="24"/>
          <w:szCs w:val="24"/>
          <w:highlight w:val="none"/>
          <w:u w:val="single"/>
          <w14:textFill>
            <w14:solidFill>
              <w14:schemeClr w14:val="tx1"/>
            </w14:solidFill>
          </w14:textFill>
        </w:rPr>
        <w:t xml:space="preserve">                                                       </w:t>
      </w:r>
    </w:p>
    <w:p w14:paraId="205DA672">
      <w:pPr>
        <w:pStyle w:val="227"/>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三、质疑基本情况</w:t>
      </w:r>
    </w:p>
    <w:p w14:paraId="0CF4894C">
      <w:pPr>
        <w:pStyle w:val="227"/>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投诉人于</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日，向</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提出质疑，质疑事项为：</w:t>
      </w:r>
    </w:p>
    <w:p w14:paraId="6FBA7C37">
      <w:pPr>
        <w:pStyle w:val="227"/>
        <w:spacing w:line="360" w:lineRule="auto"/>
        <w:ind w:firstLine="241"/>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0AD4C68F">
      <w:pPr>
        <w:pStyle w:val="227"/>
        <w:spacing w:line="360" w:lineRule="auto"/>
        <w:ind w:firstLine="241"/>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26B2744C">
      <w:pPr>
        <w:pStyle w:val="227"/>
        <w:spacing w:line="360" w:lineRule="auto"/>
        <w:ind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u w:val="single"/>
          <w14:textFill>
            <w14:solidFill>
              <w14:schemeClr w14:val="tx1"/>
            </w14:solidFill>
          </w14:textFill>
        </w:rPr>
        <w:t>采购人/代理机构</w:t>
      </w:r>
      <w:r>
        <w:rPr>
          <w:rFonts w:hint="eastAsia" w:hAnsi="宋体" w:cs="宋体"/>
          <w:bCs/>
          <w:color w:val="000000" w:themeColor="text1"/>
          <w:sz w:val="24"/>
          <w:szCs w:val="24"/>
          <w:highlight w:val="none"/>
          <w14:textFill>
            <w14:solidFill>
              <w14:schemeClr w14:val="tx1"/>
            </w14:solidFill>
          </w14:textFill>
        </w:rPr>
        <w:t>于</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w:t>
      </w:r>
      <w:r>
        <w:rPr>
          <w:rFonts w:hint="eastAsia" w:hAnsi="宋体" w:cs="宋体"/>
          <w:bCs/>
          <w:color w:val="000000" w:themeColor="text1"/>
          <w:sz w:val="24"/>
          <w:szCs w:val="24"/>
          <w:highlight w:val="none"/>
          <w14:textFill>
            <w14:solidFill>
              <w14:schemeClr w14:val="tx1"/>
            </w14:solidFill>
          </w14:textFill>
        </w:rPr>
        <w:t xml:space="preserve">就质疑事项作出了答复/没有在法定期限内作出答复。                                                                                             </w:t>
      </w:r>
    </w:p>
    <w:p w14:paraId="6436986F">
      <w:pPr>
        <w:pStyle w:val="227"/>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四、投诉事项具体内容</w:t>
      </w:r>
    </w:p>
    <w:p w14:paraId="06043319">
      <w:pPr>
        <w:pStyle w:val="227"/>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投诉事项1：</w:t>
      </w:r>
      <w:r>
        <w:rPr>
          <w:rFonts w:hint="eastAsia" w:hAnsi="宋体" w:cs="宋体"/>
          <w:bCs/>
          <w:color w:val="000000" w:themeColor="text1"/>
          <w:sz w:val="24"/>
          <w:szCs w:val="24"/>
          <w:highlight w:val="none"/>
          <w:u w:val="single"/>
          <w14:textFill>
            <w14:solidFill>
              <w14:schemeClr w14:val="tx1"/>
            </w14:solidFill>
          </w14:textFill>
        </w:rPr>
        <w:t xml:space="preserve">                                                                           </w:t>
      </w:r>
    </w:p>
    <w:p w14:paraId="19E9DBBF">
      <w:pPr>
        <w:pStyle w:val="227"/>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事实依据：</w:t>
      </w: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2E4AA6CA">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u w:val="single"/>
          <w14:textFill>
            <w14:solidFill>
              <w14:schemeClr w14:val="tx1"/>
            </w14:solidFill>
          </w14:textFill>
        </w:rPr>
        <w:t xml:space="preserve">                                                                                        </w:t>
      </w:r>
    </w:p>
    <w:p w14:paraId="7E794902">
      <w:pPr>
        <w:pStyle w:val="227"/>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法律依据：</w:t>
      </w: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2A45283E">
      <w:pPr>
        <w:pStyle w:val="227"/>
        <w:spacing w:line="360" w:lineRule="auto"/>
        <w:ind w:left="25" w:firstLine="35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56F606DB">
      <w:pPr>
        <w:pStyle w:val="227"/>
        <w:spacing w:line="360" w:lineRule="auto"/>
        <w:ind w:left="25" w:firstLine="472"/>
        <w:rPr>
          <w:rFonts w:hint="eastAsia" w:hAnsi="宋体" w:cs="宋体"/>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投诉事项2  </w:t>
      </w:r>
      <w:r>
        <w:rPr>
          <w:rFonts w:hint="eastAsia" w:hAnsi="宋体" w:cs="宋体"/>
          <w:bCs/>
          <w:color w:val="000000" w:themeColor="text1"/>
          <w:sz w:val="24"/>
          <w:szCs w:val="24"/>
          <w:highlight w:val="none"/>
          <w14:textFill>
            <w14:solidFill>
              <w14:schemeClr w14:val="tx1"/>
            </w14:solidFill>
          </w14:textFill>
        </w:rPr>
        <w:t xml:space="preserve">   </w:t>
      </w:r>
    </w:p>
    <w:p w14:paraId="26A90F68">
      <w:pPr>
        <w:pStyle w:val="227"/>
        <w:spacing w:line="360" w:lineRule="auto"/>
        <w:ind w:left="25" w:firstLine="472"/>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w:t>
      </w:r>
    </w:p>
    <w:p w14:paraId="15A2326A">
      <w:pPr>
        <w:pStyle w:val="227"/>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五、与投诉事项相关的投诉请求：</w:t>
      </w:r>
    </w:p>
    <w:p w14:paraId="2CAF588E">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r>
        <w:rPr>
          <w:rFonts w:hint="eastAsia" w:hAnsi="宋体" w:cs="宋体"/>
          <w:bCs/>
          <w:color w:val="000000" w:themeColor="text1"/>
          <w:sz w:val="24"/>
          <w:szCs w:val="24"/>
          <w:highlight w:val="none"/>
          <w:u w:val="single"/>
          <w14:textFill>
            <w14:solidFill>
              <w14:schemeClr w14:val="tx1"/>
            </w14:solidFill>
          </w14:textFill>
        </w:rPr>
        <w:t xml:space="preserve">                                                                                 </w:t>
      </w:r>
    </w:p>
    <w:p w14:paraId="60A12D80">
      <w:pPr>
        <w:pStyle w:val="227"/>
        <w:spacing w:line="360" w:lineRule="auto"/>
        <w:ind w:left="25" w:firstLine="352"/>
        <w:rPr>
          <w:rFonts w:hint="eastAsia" w:hAnsi="宋体" w:cs="宋体"/>
          <w:color w:val="000000" w:themeColor="text1"/>
          <w:sz w:val="24"/>
          <w:szCs w:val="24"/>
          <w:highlight w:val="none"/>
          <w14:textFill>
            <w14:solidFill>
              <w14:schemeClr w14:val="tx1"/>
            </w14:solidFill>
          </w14:textFill>
        </w:rPr>
      </w:pPr>
    </w:p>
    <w:p w14:paraId="45BF7A89">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签字（签章）：                                       公章：</w:t>
      </w:r>
    </w:p>
    <w:p w14:paraId="0DE11309">
      <w:pPr>
        <w:pStyle w:val="227"/>
        <w:spacing w:line="360" w:lineRule="auto"/>
        <w:ind w:left="25" w:firstLine="352"/>
        <w:rPr>
          <w:rFonts w:hint="eastAsia" w:hAnsi="宋体" w:cs="宋体"/>
          <w:color w:val="000000" w:themeColor="text1"/>
          <w:sz w:val="24"/>
          <w:szCs w:val="24"/>
          <w:highlight w:val="none"/>
          <w14:textFill>
            <w14:solidFill>
              <w14:schemeClr w14:val="tx1"/>
            </w14:solidFill>
          </w14:textFill>
        </w:rPr>
      </w:pPr>
    </w:p>
    <w:p w14:paraId="376D2D96">
      <w:pPr>
        <w:pStyle w:val="227"/>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14:paraId="44DFC033">
      <w:pPr>
        <w:pStyle w:val="227"/>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r>
        <w:rPr>
          <w:rFonts w:hint="eastAsia" w:hAnsi="宋体" w:cs="宋体"/>
          <w:b/>
          <w:color w:val="000000" w:themeColor="text1"/>
          <w:sz w:val="24"/>
          <w:szCs w:val="24"/>
          <w:highlight w:val="none"/>
          <w14:textFill>
            <w14:solidFill>
              <w14:schemeClr w14:val="tx1"/>
            </w14:solidFill>
          </w14:textFill>
        </w:rPr>
        <w:t>说明：</w:t>
      </w:r>
    </w:p>
    <w:p w14:paraId="5050C0AE">
      <w:pPr>
        <w:pStyle w:val="227"/>
        <w:spacing w:line="360" w:lineRule="auto"/>
        <w:ind w:left="25" w:firstLine="354"/>
        <w:rPr>
          <w:rFonts w:hint="eastAsia" w:hAnsi="宋体" w:cs="宋体"/>
          <w:b/>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cs="宋体"/>
          <w:b/>
          <w:bCs/>
          <w:color w:val="000000" w:themeColor="text1"/>
          <w:sz w:val="24"/>
          <w:szCs w:val="24"/>
          <w:highlight w:val="none"/>
          <w14:textFill>
            <w14:solidFill>
              <w14:schemeClr w14:val="tx1"/>
            </w14:solidFill>
          </w14:textFill>
        </w:rPr>
        <w:t>。</w:t>
      </w:r>
    </w:p>
    <w:p w14:paraId="6038E437">
      <w:pPr>
        <w:pStyle w:val="227"/>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C5507E4">
      <w:pPr>
        <w:pStyle w:val="227"/>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3.投诉书应简要列明质疑事项，质疑函、质疑答复等作为附件材料提供。</w:t>
      </w:r>
    </w:p>
    <w:p w14:paraId="7DF4E6CE">
      <w:pPr>
        <w:pStyle w:val="227"/>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4.投诉书的投诉事项应具体、明确，并有必要的事实依据和法律依据。</w:t>
      </w:r>
    </w:p>
    <w:p w14:paraId="7F1C2338">
      <w:pPr>
        <w:pStyle w:val="227"/>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5.投诉书的投诉请求应与投诉事项相关。</w:t>
      </w:r>
    </w:p>
    <w:p w14:paraId="75711A84">
      <w:pPr>
        <w:pStyle w:val="227"/>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sectPr>
      <w:footerReference r:id="rId15" w:type="first"/>
      <w:headerReference r:id="rId12" w:type="default"/>
      <w:footerReference r:id="rId13" w:type="default"/>
      <w:footerReference r:id="rId14" w:type="even"/>
      <w:pgSz w:w="11906" w:h="16838"/>
      <w:pgMar w:top="1134" w:right="1247" w:bottom="1559" w:left="1247" w:header="851" w:footer="992" w:gutter="0"/>
      <w:pgNumType w:fmt="decimal"/>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502050405020303"/>
    <w:charset w:val="00"/>
    <w:family w:val="auto"/>
    <w:pitch w:val="default"/>
    <w:sig w:usb0="00000000" w:usb1="00000000" w:usb2="00000000" w:usb3="00000000" w:csb0="00000000"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仿宋体">
    <w:altName w:val="仿宋"/>
    <w:panose1 w:val="020B0603030804020204"/>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42234">
    <w:pPr>
      <w:pStyle w:val="238"/>
      <w:jc w:val="center"/>
    </w:pPr>
  </w:p>
  <w:p w14:paraId="1B24C201">
    <w:pPr>
      <w:pStyle w:val="23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89924">
    <w:pPr>
      <w:pStyle w:val="238"/>
      <w:ind w:right="360"/>
      <w:jc w:val="both"/>
      <w:rPr>
        <w:rFonts w:hint="eastAsia"/>
      </w:rPr>
    </w:pPr>
    <w:r>
      <w:rPr>
        <w:sz w:val="18"/>
      </w:rPr>
      <w:pict>
        <v:shape id="_x0000_s4098" o:spid="_x0000_s4098"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E72584F">
                <w:pPr>
                  <w:pStyle w:val="19"/>
                </w:pPr>
                <w:r>
                  <w:fldChar w:fldCharType="begin"/>
                </w:r>
                <w:r>
                  <w:instrText xml:space="preserve"> PAGE  \* MERGEFORMAT </w:instrText>
                </w:r>
                <w:r>
                  <w:fldChar w:fldCharType="separate"/>
                </w:r>
                <w:r>
                  <w:t>35</w:t>
                </w:r>
                <w:r>
                  <w:fldChar w:fldCharType="end"/>
                </w:r>
              </w:p>
            </w:txbxContent>
          </v:textbox>
        </v:shape>
      </w:pict>
    </w: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85141">
    <w:pPr>
      <w:pStyle w:val="238"/>
      <w:framePr w:wrap="around" w:vAnchor="text" w:hAnchor="margin" w:xAlign="center" w:y="1"/>
      <w:rPr>
        <w:rStyle w:val="267"/>
      </w:rPr>
    </w:pPr>
    <w:r>
      <w:fldChar w:fldCharType="begin"/>
    </w:r>
    <w:r>
      <w:rPr>
        <w:rStyle w:val="267"/>
      </w:rPr>
      <w:instrText xml:space="preserve">PAGE  </w:instrText>
    </w:r>
    <w:r>
      <w:fldChar w:fldCharType="end"/>
    </w:r>
  </w:p>
  <w:p w14:paraId="32CEC4EA">
    <w:pPr>
      <w:pStyle w:val="2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12BAD">
    <w:pPr>
      <w:pStyle w:val="238"/>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497A5">
    <w:pPr>
      <w:pStyle w:val="23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8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9120DD8">
                          <w:pPr>
                            <w:pStyle w:val="238"/>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_x0000_s308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DQuOp/FAQAAqAMAAA4AAAAAAAAAAQAgAAAAHgEAAGRycy9lMm9Eb2MueG1s&#10;UEsFBgAAAAAGAAYAWQEAAFUFAAAAAA==&#10;">
              <v:fill on="f" focussize="0,0"/>
              <v:stroke on="f"/>
              <v:imagedata o:title=""/>
              <o:lock v:ext="edit" aspectratio="f"/>
              <v:textbox inset="0mm,0mm,0mm,0mm" style="mso-fit-shape-to-text:t;">
                <w:txbxContent>
                  <w:p w14:paraId="39120DD8">
                    <w:pPr>
                      <w:pStyle w:val="238"/>
                    </w:pPr>
                    <w:r>
                      <w:fldChar w:fldCharType="begin"/>
                    </w:r>
                    <w:r>
                      <w:instrText xml:space="preserve"> PAGE  \* MERGEFORMAT </w:instrText>
                    </w:r>
                    <w:r>
                      <w:fldChar w:fldCharType="separate"/>
                    </w:r>
                    <w:r>
                      <w:t>49</w:t>
                    </w:r>
                    <w:r>
                      <w:fldChar w:fldCharType="end"/>
                    </w:r>
                  </w:p>
                </w:txbxContent>
              </v:textbox>
            </v:shape>
          </w:pict>
        </mc:Fallback>
      </mc:AlternateContent>
    </w:r>
  </w:p>
  <w:p w14:paraId="765D5E4C">
    <w:pPr>
      <w:pStyle w:val="2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C9701">
    <w:pPr>
      <w:pStyle w:val="238"/>
      <w:framePr w:wrap="around" w:vAnchor="text" w:hAnchor="margin" w:xAlign="center" w:y="1"/>
      <w:rPr>
        <w:rStyle w:val="267"/>
      </w:rPr>
    </w:pPr>
    <w:r>
      <w:fldChar w:fldCharType="begin"/>
    </w:r>
    <w:r>
      <w:rPr>
        <w:rStyle w:val="267"/>
      </w:rPr>
      <w:instrText xml:space="preserve">PAGE  </w:instrText>
    </w:r>
    <w:r>
      <w:fldChar w:fldCharType="end"/>
    </w:r>
  </w:p>
  <w:p w14:paraId="78189F48">
    <w:pPr>
      <w:pStyle w:val="23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A12D9">
    <w:pPr>
      <w:pStyle w:val="238"/>
      <w:framePr w:wrap="around" w:vAnchor="text" w:hAnchor="margin" w:xAlign="right" w:y="1"/>
      <w:rPr>
        <w:rStyle w:val="267"/>
      </w:rPr>
    </w:pPr>
    <w:r>
      <w:fldChar w:fldCharType="begin"/>
    </w:r>
    <w:r>
      <w:rPr>
        <w:rStyle w:val="267"/>
      </w:rPr>
      <w:instrText xml:space="preserve">PAGE  </w:instrText>
    </w:r>
    <w:r>
      <w:fldChar w:fldCharType="separate"/>
    </w:r>
    <w:r>
      <w:rPr>
        <w:rStyle w:val="267"/>
      </w:rPr>
      <w:t>122</w:t>
    </w:r>
    <w:r>
      <w:fldChar w:fldCharType="end"/>
    </w:r>
  </w:p>
  <w:p w14:paraId="586F9359">
    <w:pPr>
      <w:pStyle w:val="238"/>
      <w:ind w:right="360"/>
      <w:jc w:val="both"/>
      <w:rPr>
        <w:rFonts w:hint="eastAsia"/>
      </w:rPr>
    </w:pPr>
    <w:r>
      <w:rPr>
        <w:rFonts w:hint="eastAsia"/>
      </w:rPr>
      <w:t>121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FC129">
    <w:pPr>
      <w:pStyle w:val="238"/>
      <w:jc w:val="center"/>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83FCD43">
                <w:pPr>
                  <w:pStyle w:val="19"/>
                </w:pPr>
                <w:r>
                  <w:fldChar w:fldCharType="begin"/>
                </w:r>
                <w:r>
                  <w:instrText xml:space="preserve"> PAGE  \* MERGEFORMAT </w:instrText>
                </w:r>
                <w:r>
                  <w:fldChar w:fldCharType="separate"/>
                </w:r>
                <w:r>
                  <w:t>73</w:t>
                </w:r>
                <w:r>
                  <w:fldChar w:fldCharType="end"/>
                </w:r>
              </w:p>
            </w:txbxContent>
          </v:textbox>
        </v:shape>
      </w:pict>
    </w:r>
  </w:p>
  <w:p w14:paraId="0CCC9EB8">
    <w:pPr>
      <w:pStyle w:val="23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8EF0F">
    <w:pPr>
      <w:pStyle w:val="238"/>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32F2E5DF">
                <w:pPr>
                  <w:pStyle w:val="19"/>
                </w:pPr>
                <w:r>
                  <w:fldChar w:fldCharType="begin"/>
                </w:r>
                <w:r>
                  <w:instrText xml:space="preserve"> PAGE  \* MERGEFORMAT </w:instrText>
                </w:r>
                <w:r>
                  <w:fldChar w:fldCharType="separate"/>
                </w:r>
                <w:r>
                  <w:t>36</w:t>
                </w:r>
                <w:r>
                  <w:fldChar w:fldCharType="end"/>
                </w:r>
              </w:p>
            </w:txbxContent>
          </v:textbox>
        </v:shape>
      </w:pict>
    </w:r>
  </w:p>
  <w:p w14:paraId="7D87FB3C">
    <w:pPr>
      <w:pStyle w:val="23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D3F67">
    <w:pPr>
      <w:pStyle w:val="238"/>
      <w:framePr w:wrap="around" w:vAnchor="text" w:hAnchor="margin" w:xAlign="center" w:y="1"/>
      <w:rPr>
        <w:rStyle w:val="267"/>
      </w:rPr>
    </w:pPr>
    <w:r>
      <w:fldChar w:fldCharType="begin"/>
    </w:r>
    <w:r>
      <w:rPr>
        <w:rStyle w:val="267"/>
      </w:rPr>
      <w:instrText xml:space="preserve">PAGE  </w:instrText>
    </w:r>
    <w:r>
      <w:fldChar w:fldCharType="end"/>
    </w:r>
  </w:p>
  <w:p w14:paraId="2BDCA619">
    <w:pPr>
      <w:pStyle w:val="23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4789B">
    <w:pPr>
      <w:spacing w:line="320" w:lineRule="exact"/>
      <w:rPr>
        <w:rFonts w:hint="eastAsia" w:ascii="宋体" w:hAnsi="宋体" w:cs="Arial"/>
        <w:b/>
        <w:color w:val="000000"/>
        <w:sz w:val="18"/>
        <w:szCs w:val="18"/>
        <w:u w:val="single"/>
      </w:rPr>
    </w:pPr>
    <w:r>
      <w:rPr>
        <w:rFonts w:hint="eastAsia"/>
        <w:sz w:val="18"/>
        <w:szCs w:val="21"/>
        <w:u w:val="single"/>
      </w:rPr>
      <w:t>项目名称：贵港市港产城融合先行试验区和平陆运河经济带区域总体规划              项目编号：GGZC2024-G3-     -YZLZ</w:t>
    </w:r>
  </w:p>
  <w:p w14:paraId="576DC731">
    <w:pPr>
      <w:pStyle w:val="241"/>
      <w:pBdr>
        <w:bottom w:val="none" w:color="000000"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39E04">
    <w:pPr>
      <w:pStyle w:val="241"/>
      <w:pBdr>
        <w:bottom w:val="none" w:color="000000"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170CD">
    <w:pPr>
      <w:spacing w:line="320" w:lineRule="exact"/>
      <w:rPr>
        <w:rFonts w:hint="eastAsia" w:eastAsia="宋体"/>
        <w:sz w:val="20"/>
        <w:szCs w:val="22"/>
        <w:u w:val="single"/>
        <w:lang w:eastAsia="zh-CN"/>
      </w:rPr>
    </w:pPr>
    <w:r>
      <w:rPr>
        <w:rFonts w:hint="eastAsia"/>
        <w:sz w:val="16"/>
        <w:szCs w:val="20"/>
        <w:u w:val="single"/>
      </w:rPr>
      <w:t>项目名称：</w:t>
    </w:r>
    <w:r>
      <w:rPr>
        <w:rFonts w:hint="eastAsia"/>
        <w:sz w:val="16"/>
        <w:szCs w:val="20"/>
        <w:u w:val="single"/>
        <w:lang w:eastAsia="zh-CN"/>
      </w:rPr>
      <w:t>2026年港北区生产障碍耕地治理项目（重）</w:t>
    </w:r>
    <w:r>
      <w:rPr>
        <w:rFonts w:hint="eastAsia"/>
        <w:sz w:val="16"/>
        <w:szCs w:val="20"/>
        <w:u w:val="single"/>
      </w:rPr>
      <w:t xml:space="preserve">           </w:t>
    </w:r>
    <w:r>
      <w:rPr>
        <w:rFonts w:hint="eastAsia"/>
        <w:sz w:val="16"/>
        <w:szCs w:val="20"/>
        <w:u w:val="single"/>
        <w:lang w:val="en-US" w:eastAsia="zh-CN"/>
      </w:rPr>
      <w:t xml:space="preserve">                    </w:t>
    </w:r>
    <w:r>
      <w:rPr>
        <w:rFonts w:hint="eastAsia"/>
        <w:sz w:val="16"/>
        <w:szCs w:val="20"/>
        <w:u w:val="single"/>
      </w:rPr>
      <w:t xml:space="preserve">    项目编号：</w:t>
    </w:r>
    <w:r>
      <w:rPr>
        <w:rFonts w:hint="eastAsia"/>
        <w:sz w:val="16"/>
        <w:szCs w:val="20"/>
        <w:u w:val="single"/>
        <w:lang w:eastAsia="zh-CN"/>
      </w:rPr>
      <w:t>GGZC2026-G3-020048-YZLZ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multilevel"/>
    <w:tmpl w:val="FFFFFF7E"/>
    <w:lvl w:ilvl="0" w:tentative="0">
      <w:start w:val="1"/>
      <w:numFmt w:val="decimal"/>
      <w:pStyle w:val="223"/>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196"/>
      <w:suff w:val="nothing"/>
      <w:lvlText w:val=""/>
      <w:lvlJc w:val="left"/>
      <w:pPr>
        <w:ind w:left="0" w:firstLine="0"/>
      </w:pPr>
      <w:rPr>
        <w:rFonts w:hint="eastAsia"/>
      </w:rPr>
    </w:lvl>
    <w:lvl w:ilvl="5" w:tentative="0">
      <w:start w:val="1"/>
      <w:numFmt w:val="decimal"/>
      <w:pStyle w:val="198"/>
      <w:suff w:val="nothing"/>
      <w:lvlText w:val=""/>
      <w:lvlJc w:val="left"/>
      <w:pPr>
        <w:ind w:left="0" w:firstLine="0"/>
      </w:pPr>
      <w:rPr>
        <w:rFonts w:hint="eastAsia"/>
      </w:rPr>
    </w:lvl>
    <w:lvl w:ilvl="6" w:tentative="0">
      <w:start w:val="1"/>
      <w:numFmt w:val="decimal"/>
      <w:pStyle w:val="199"/>
      <w:suff w:val="nothing"/>
      <w:lvlText w:val=""/>
      <w:lvlJc w:val="left"/>
      <w:pPr>
        <w:ind w:left="0" w:firstLine="0"/>
      </w:pPr>
      <w:rPr>
        <w:rFonts w:hint="eastAsia"/>
      </w:rPr>
    </w:lvl>
    <w:lvl w:ilvl="7" w:tentative="0">
      <w:start w:val="1"/>
      <w:numFmt w:val="decimal"/>
      <w:pStyle w:val="200"/>
      <w:suff w:val="nothing"/>
      <w:lvlText w:val=""/>
      <w:lvlJc w:val="left"/>
      <w:pPr>
        <w:ind w:left="0" w:firstLine="0"/>
      </w:pPr>
      <w:rPr>
        <w:rFonts w:hint="eastAsia"/>
      </w:rPr>
    </w:lvl>
    <w:lvl w:ilvl="8" w:tentative="0">
      <w:start w:val="1"/>
      <w:numFmt w:val="decimal"/>
      <w:pStyle w:val="201"/>
      <w:suff w:val="nothing"/>
      <w:lvlText w:val=""/>
      <w:lvlJc w:val="left"/>
      <w:pPr>
        <w:ind w:left="0" w:firstLine="0"/>
      </w:pPr>
      <w:rPr>
        <w:rFonts w:hint="eastAsia"/>
      </w:rPr>
    </w:lvl>
  </w:abstractNum>
  <w:abstractNum w:abstractNumId="2">
    <w:nsid w:val="42405056"/>
    <w:multiLevelType w:val="multilevel"/>
    <w:tmpl w:val="42405056"/>
    <w:lvl w:ilvl="0" w:tentative="0">
      <w:start w:val="1"/>
      <w:numFmt w:val="decimal"/>
      <w:lvlText w:val="%1."/>
      <w:lvlJc w:val="left"/>
      <w:pPr>
        <w:ind w:left="773" w:hanging="360"/>
      </w:pPr>
      <w:rPr>
        <w:b/>
        <w:sz w:val="21"/>
        <w:szCs w:val="21"/>
      </w:r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abstractNum w:abstractNumId="3">
    <w:nsid w:val="4C601917"/>
    <w:multiLevelType w:val="multilevel"/>
    <w:tmpl w:val="4C601917"/>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606F5AE3"/>
    <w:multiLevelType w:val="singleLevel"/>
    <w:tmpl w:val="606F5AE3"/>
    <w:lvl w:ilvl="0" w:tentative="0">
      <w:start w:val="2"/>
      <w:numFmt w:val="decimal"/>
      <w:suff w:val="space"/>
      <w:lvlText w:val="%1."/>
      <w:lvlJc w:val="left"/>
    </w:lvl>
  </w:abstractNum>
  <w:abstractNum w:abstractNumId="6">
    <w:nsid w:val="657D3FBC"/>
    <w:multiLevelType w:val="multilevel"/>
    <w:tmpl w:val="657D3FBC"/>
    <w:lvl w:ilvl="0" w:tentative="0">
      <w:start w:val="1"/>
      <w:numFmt w:val="upperLetter"/>
      <w:pStyle w:val="3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308"/>
      <w:suff w:val="nothing"/>
      <w:lvlText w:val="%1.%2　"/>
      <w:lvlJc w:val="left"/>
      <w:pPr>
        <w:ind w:left="0" w:firstLine="0"/>
      </w:pPr>
      <w:rPr>
        <w:rFonts w:hint="eastAsia" w:ascii="黑体" w:hAnsi="Times New Roman" w:eastAsia="黑体"/>
        <w:b w:val="0"/>
        <w:i w:val="0"/>
        <w:spacing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tentative="0">
      <w:start w:val="1"/>
      <w:numFmt w:val="decimal"/>
      <w:pStyle w:val="307"/>
      <w:suff w:val="nothing"/>
      <w:lvlText w:val="%1"/>
      <w:lvlJc w:val="left"/>
      <w:pPr>
        <w:ind w:left="0" w:firstLine="0"/>
      </w:pPr>
      <w:rPr>
        <w:rFonts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1"/>
  </w:num>
  <w:num w:numId="2">
    <w:abstractNumId w:val="0"/>
  </w:num>
  <w:num w:numId="3">
    <w:abstractNumId w:val="6"/>
  </w:num>
  <w:num w:numId="4">
    <w:abstractNumId w:val="7"/>
  </w:num>
  <w:num w:numId="5">
    <w:abstractNumId w:val="2"/>
  </w:num>
  <w:num w:numId="6">
    <w:abstractNumId w:val="3"/>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characterSpacingControl w:val="doNotCompress"/>
  <w:hdrShapeDefaults>
    <o:shapelayout v:ext="edit">
      <o:idmap v:ext="edit" data="3,4"/>
    </o:shapelayout>
  </w:hdrShapeDefault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64BC3"/>
    <w:rsid w:val="012E59C4"/>
    <w:rsid w:val="01802C9E"/>
    <w:rsid w:val="02507944"/>
    <w:rsid w:val="042E5200"/>
    <w:rsid w:val="04447FB3"/>
    <w:rsid w:val="06332621"/>
    <w:rsid w:val="0744651C"/>
    <w:rsid w:val="0CE00A95"/>
    <w:rsid w:val="0DED5218"/>
    <w:rsid w:val="0F851480"/>
    <w:rsid w:val="119C7D75"/>
    <w:rsid w:val="11AE4D38"/>
    <w:rsid w:val="137A5BCF"/>
    <w:rsid w:val="138008DC"/>
    <w:rsid w:val="13D50C28"/>
    <w:rsid w:val="140A245E"/>
    <w:rsid w:val="14FA32EB"/>
    <w:rsid w:val="15192D96"/>
    <w:rsid w:val="161E36C0"/>
    <w:rsid w:val="1666025D"/>
    <w:rsid w:val="16AE1DDF"/>
    <w:rsid w:val="17233640"/>
    <w:rsid w:val="174A7C68"/>
    <w:rsid w:val="19A8293B"/>
    <w:rsid w:val="1AF20F2C"/>
    <w:rsid w:val="1BB27AA1"/>
    <w:rsid w:val="1CC04712"/>
    <w:rsid w:val="1CFA34AD"/>
    <w:rsid w:val="1D33324B"/>
    <w:rsid w:val="1EF04B68"/>
    <w:rsid w:val="1FA76675"/>
    <w:rsid w:val="1FE16BA6"/>
    <w:rsid w:val="246F22D4"/>
    <w:rsid w:val="28100C39"/>
    <w:rsid w:val="291A63E8"/>
    <w:rsid w:val="2A007C29"/>
    <w:rsid w:val="2BFB4B4C"/>
    <w:rsid w:val="2CF94F11"/>
    <w:rsid w:val="2EC42759"/>
    <w:rsid w:val="2FE36023"/>
    <w:rsid w:val="2FFD4E80"/>
    <w:rsid w:val="312E3076"/>
    <w:rsid w:val="327B2096"/>
    <w:rsid w:val="33A81A9A"/>
    <w:rsid w:val="33A87367"/>
    <w:rsid w:val="33FE6BEC"/>
    <w:rsid w:val="355D23D3"/>
    <w:rsid w:val="377650DA"/>
    <w:rsid w:val="3806472D"/>
    <w:rsid w:val="3A6F6E31"/>
    <w:rsid w:val="3AD43138"/>
    <w:rsid w:val="3B9E54DA"/>
    <w:rsid w:val="3BB7198D"/>
    <w:rsid w:val="3BCE5DD9"/>
    <w:rsid w:val="3BD553B9"/>
    <w:rsid w:val="3C6A696A"/>
    <w:rsid w:val="3ECC7B2A"/>
    <w:rsid w:val="41455B37"/>
    <w:rsid w:val="427227F5"/>
    <w:rsid w:val="432B3B11"/>
    <w:rsid w:val="437B6846"/>
    <w:rsid w:val="437F2DC3"/>
    <w:rsid w:val="45106235"/>
    <w:rsid w:val="460348D1"/>
    <w:rsid w:val="461A19C0"/>
    <w:rsid w:val="46863243"/>
    <w:rsid w:val="47AF6ABF"/>
    <w:rsid w:val="4ADF554C"/>
    <w:rsid w:val="4AEE5379"/>
    <w:rsid w:val="4B3A15A1"/>
    <w:rsid w:val="4BF50BC9"/>
    <w:rsid w:val="4C5D262B"/>
    <w:rsid w:val="4D186EB4"/>
    <w:rsid w:val="4EDD4072"/>
    <w:rsid w:val="4F165675"/>
    <w:rsid w:val="4FDF2E8D"/>
    <w:rsid w:val="51C12CBA"/>
    <w:rsid w:val="51FA302C"/>
    <w:rsid w:val="53990623"/>
    <w:rsid w:val="541F4FCC"/>
    <w:rsid w:val="5474356A"/>
    <w:rsid w:val="55DB4F23"/>
    <w:rsid w:val="565D5492"/>
    <w:rsid w:val="58874B26"/>
    <w:rsid w:val="59867C4A"/>
    <w:rsid w:val="5A0E3B19"/>
    <w:rsid w:val="5B294982"/>
    <w:rsid w:val="5BA109BC"/>
    <w:rsid w:val="5CDA23D8"/>
    <w:rsid w:val="5CF75A42"/>
    <w:rsid w:val="600953D9"/>
    <w:rsid w:val="61F93300"/>
    <w:rsid w:val="62127834"/>
    <w:rsid w:val="62FB4E56"/>
    <w:rsid w:val="64030466"/>
    <w:rsid w:val="64801AB7"/>
    <w:rsid w:val="656009EB"/>
    <w:rsid w:val="65640162"/>
    <w:rsid w:val="69594684"/>
    <w:rsid w:val="6AC24D6B"/>
    <w:rsid w:val="6C542414"/>
    <w:rsid w:val="6DB4611F"/>
    <w:rsid w:val="6E755215"/>
    <w:rsid w:val="706E310B"/>
    <w:rsid w:val="73814263"/>
    <w:rsid w:val="741B5358"/>
    <w:rsid w:val="745F5036"/>
    <w:rsid w:val="747949F0"/>
    <w:rsid w:val="74BA2B8E"/>
    <w:rsid w:val="76BC4018"/>
    <w:rsid w:val="77071BC4"/>
    <w:rsid w:val="779571D0"/>
    <w:rsid w:val="793B7903"/>
    <w:rsid w:val="79BC4EE7"/>
    <w:rsid w:val="7ACA3F5F"/>
    <w:rsid w:val="7AF20495"/>
    <w:rsid w:val="7F1A0A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7"/>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4"/>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5"/>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6"/>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67"/>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68"/>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69"/>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0"/>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1"/>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2"/>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100"/>
      <w:ind w:left="880"/>
    </w:pPr>
  </w:style>
  <w:style w:type="paragraph" w:styleId="15">
    <w:name w:val="toc 3"/>
    <w:basedOn w:val="1"/>
    <w:next w:val="1"/>
    <w:unhideWhenUsed/>
    <w:qFormat/>
    <w:uiPriority w:val="39"/>
    <w:pPr>
      <w:spacing w:after="100"/>
      <w:ind w:left="440"/>
    </w:pPr>
  </w:style>
  <w:style w:type="paragraph" w:styleId="16">
    <w:name w:val="Plain Text"/>
    <w:basedOn w:val="1"/>
    <w:qFormat/>
    <w:uiPriority w:val="0"/>
    <w:rPr>
      <w:rFonts w:ascii="宋体" w:hAnsi="Courier New" w:cs="Century"/>
      <w:szCs w:val="21"/>
    </w:rPr>
  </w:style>
  <w:style w:type="paragraph" w:styleId="17">
    <w:name w:val="toc 8"/>
    <w:basedOn w:val="1"/>
    <w:next w:val="1"/>
    <w:unhideWhenUsed/>
    <w:qFormat/>
    <w:uiPriority w:val="39"/>
    <w:pPr>
      <w:spacing w:after="100"/>
      <w:ind w:left="1540"/>
    </w:pPr>
  </w:style>
  <w:style w:type="paragraph" w:styleId="18">
    <w:name w:val="endnote text"/>
    <w:basedOn w:val="1"/>
    <w:link w:val="189"/>
    <w:semiHidden/>
    <w:unhideWhenUsed/>
    <w:qFormat/>
    <w:uiPriority w:val="99"/>
    <w:pPr>
      <w:spacing w:after="0" w:line="240" w:lineRule="auto"/>
    </w:pPr>
    <w:rPr>
      <w:sz w:val="20"/>
      <w:szCs w:val="20"/>
    </w:rPr>
  </w:style>
  <w:style w:type="paragraph" w:styleId="19">
    <w:name w:val="footer"/>
    <w:basedOn w:val="1"/>
    <w:link w:val="187"/>
    <w:unhideWhenUsed/>
    <w:qFormat/>
    <w:uiPriority w:val="99"/>
    <w:pPr>
      <w:tabs>
        <w:tab w:val="center" w:pos="4844"/>
        <w:tab w:val="right" w:pos="9689"/>
      </w:tabs>
      <w:spacing w:after="0" w:line="240" w:lineRule="auto"/>
    </w:pPr>
  </w:style>
  <w:style w:type="paragraph" w:styleId="20">
    <w:name w:val="header"/>
    <w:basedOn w:val="1"/>
    <w:link w:val="186"/>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4"/>
    <w:qFormat/>
    <w:uiPriority w:val="11"/>
    <w:rPr>
      <w:color w:val="585858" w:themeColor="text1" w:themeTint="A6"/>
      <w:spacing w:val="15"/>
      <w:sz w:val="28"/>
      <w:szCs w:val="28"/>
    </w:rPr>
  </w:style>
  <w:style w:type="paragraph" w:styleId="24">
    <w:name w:val="footnote text"/>
    <w:basedOn w:val="1"/>
    <w:link w:val="188"/>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link w:val="173"/>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rPr>
  </w:style>
  <w:style w:type="character" w:styleId="38">
    <w:name w:val="footnote reference"/>
    <w:basedOn w:val="32"/>
    <w:semiHidden/>
    <w:unhideWhenUsed/>
    <w:qFormat/>
    <w:uiPriority w:val="99"/>
    <w:rPr>
      <w:vertAlign w:val="superscript"/>
    </w:rPr>
  </w:style>
  <w:style w:type="table" w:customStyle="1" w:styleId="39">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0">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1">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2">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6">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7">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8">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9">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0">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1">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2">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3">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4">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5">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6">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7">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8">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9">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8">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4">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5">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6">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7">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8">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9">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0">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1">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2">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3">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4">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5">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6">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7">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8">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9">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0">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1">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2">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3">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4">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5">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6">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7">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8">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9">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0">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1">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9">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0">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1">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2">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3">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4">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5">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6">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7">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8">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9">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0">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1">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2">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3">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4">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5">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6">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7">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8">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9">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0">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1">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2">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3">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4">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5">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6">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7">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8">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9">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0">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1">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2">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3">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4">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5">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6">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7">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8">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9">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0">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8">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9">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0">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1">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2">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3">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4">
    <w:name w:val="Heading 1 Char"/>
    <w:basedOn w:val="32"/>
    <w:link w:val="2"/>
    <w:qFormat/>
    <w:uiPriority w:val="9"/>
    <w:rPr>
      <w:rFonts w:ascii="Arial" w:hAnsi="Arial" w:eastAsia="Arial" w:cs="Arial"/>
      <w:color w:val="366091" w:themeColor="accent1" w:themeShade="BF"/>
      <w:sz w:val="40"/>
      <w:szCs w:val="40"/>
    </w:rPr>
  </w:style>
  <w:style w:type="character" w:customStyle="1" w:styleId="165">
    <w:name w:val="Heading 2 Char"/>
    <w:basedOn w:val="32"/>
    <w:link w:val="3"/>
    <w:uiPriority w:val="9"/>
    <w:rPr>
      <w:rFonts w:ascii="Arial" w:hAnsi="Arial" w:eastAsia="Arial" w:cs="Arial"/>
      <w:color w:val="366091" w:themeColor="accent1" w:themeShade="BF"/>
      <w:sz w:val="32"/>
      <w:szCs w:val="32"/>
    </w:rPr>
  </w:style>
  <w:style w:type="character" w:customStyle="1" w:styleId="166">
    <w:name w:val="Heading 3 Char"/>
    <w:basedOn w:val="32"/>
    <w:link w:val="4"/>
    <w:qFormat/>
    <w:uiPriority w:val="9"/>
    <w:rPr>
      <w:rFonts w:ascii="Arial" w:hAnsi="Arial" w:eastAsia="Arial" w:cs="Arial"/>
      <w:color w:val="366091" w:themeColor="accent1" w:themeShade="BF"/>
      <w:sz w:val="28"/>
      <w:szCs w:val="28"/>
    </w:rPr>
  </w:style>
  <w:style w:type="character" w:customStyle="1" w:styleId="167">
    <w:name w:val="Heading 4 Char"/>
    <w:basedOn w:val="32"/>
    <w:link w:val="5"/>
    <w:qFormat/>
    <w:uiPriority w:val="9"/>
    <w:rPr>
      <w:rFonts w:ascii="Arial" w:hAnsi="Arial" w:eastAsia="Arial" w:cs="Arial"/>
      <w:i/>
      <w:iCs/>
      <w:color w:val="366091" w:themeColor="accent1" w:themeShade="BF"/>
    </w:rPr>
  </w:style>
  <w:style w:type="character" w:customStyle="1" w:styleId="168">
    <w:name w:val="Heading 5 Char"/>
    <w:basedOn w:val="32"/>
    <w:link w:val="6"/>
    <w:qFormat/>
    <w:uiPriority w:val="9"/>
    <w:rPr>
      <w:rFonts w:ascii="Arial" w:hAnsi="Arial" w:eastAsia="Arial" w:cs="Arial"/>
      <w:color w:val="366091" w:themeColor="accent1" w:themeShade="BF"/>
    </w:rPr>
  </w:style>
  <w:style w:type="character" w:customStyle="1" w:styleId="169">
    <w:name w:val="Heading 6 Char"/>
    <w:basedOn w:val="32"/>
    <w:link w:val="7"/>
    <w:qFormat/>
    <w:uiPriority w:val="9"/>
    <w:rPr>
      <w:rFonts w:ascii="Arial" w:hAnsi="Arial" w:eastAsia="Arial" w:cs="Arial"/>
      <w:i/>
      <w:iCs/>
      <w:color w:val="585858" w:themeColor="text1" w:themeTint="A6"/>
    </w:rPr>
  </w:style>
  <w:style w:type="character" w:customStyle="1" w:styleId="170">
    <w:name w:val="Heading 7 Char"/>
    <w:basedOn w:val="32"/>
    <w:link w:val="8"/>
    <w:qFormat/>
    <w:uiPriority w:val="9"/>
    <w:rPr>
      <w:rFonts w:ascii="Arial" w:hAnsi="Arial" w:eastAsia="Arial" w:cs="Arial"/>
      <w:color w:val="585858" w:themeColor="text1" w:themeTint="A6"/>
    </w:rPr>
  </w:style>
  <w:style w:type="character" w:customStyle="1" w:styleId="171">
    <w:name w:val="Heading 8 Char"/>
    <w:basedOn w:val="32"/>
    <w:link w:val="9"/>
    <w:qFormat/>
    <w:uiPriority w:val="9"/>
    <w:rPr>
      <w:rFonts w:ascii="Arial" w:hAnsi="Arial" w:eastAsia="Arial" w:cs="Arial"/>
      <w:i/>
      <w:iCs/>
      <w:color w:val="262626" w:themeColor="text1" w:themeTint="D8"/>
    </w:rPr>
  </w:style>
  <w:style w:type="character" w:customStyle="1" w:styleId="172">
    <w:name w:val="Heading 9 Char"/>
    <w:basedOn w:val="32"/>
    <w:link w:val="10"/>
    <w:qFormat/>
    <w:uiPriority w:val="9"/>
    <w:rPr>
      <w:rFonts w:ascii="Arial" w:hAnsi="Arial" w:eastAsia="Arial" w:cs="Arial"/>
      <w:i/>
      <w:iCs/>
      <w:color w:val="262626" w:themeColor="text1" w:themeTint="D8"/>
    </w:rPr>
  </w:style>
  <w:style w:type="character" w:customStyle="1" w:styleId="173">
    <w:name w:val="Title Char"/>
    <w:basedOn w:val="32"/>
    <w:link w:val="29"/>
    <w:qFormat/>
    <w:uiPriority w:val="10"/>
    <w:rPr>
      <w:rFonts w:ascii="Arial" w:hAnsi="Arial" w:eastAsia="Arial" w:cs="Arial"/>
      <w:spacing w:val="-10"/>
      <w:sz w:val="56"/>
      <w:szCs w:val="56"/>
    </w:rPr>
  </w:style>
  <w:style w:type="character" w:customStyle="1" w:styleId="174">
    <w:name w:val="Subtitle Char"/>
    <w:basedOn w:val="32"/>
    <w:link w:val="23"/>
    <w:qFormat/>
    <w:uiPriority w:val="11"/>
    <w:rPr>
      <w:color w:val="585858" w:themeColor="text1" w:themeTint="A6"/>
      <w:spacing w:val="15"/>
      <w:sz w:val="28"/>
      <w:szCs w:val="28"/>
    </w:rPr>
  </w:style>
  <w:style w:type="paragraph" w:styleId="175">
    <w:name w:val="Quote"/>
    <w:basedOn w:val="1"/>
    <w:next w:val="1"/>
    <w:link w:val="176"/>
    <w:qFormat/>
    <w:uiPriority w:val="29"/>
    <w:pPr>
      <w:spacing w:before="160"/>
      <w:jc w:val="center"/>
    </w:pPr>
    <w:rPr>
      <w:i/>
      <w:iCs/>
      <w:color w:val="3F3F3F" w:themeColor="text1" w:themeTint="BF"/>
    </w:rPr>
  </w:style>
  <w:style w:type="character" w:customStyle="1" w:styleId="176">
    <w:name w:val="Quote Char"/>
    <w:basedOn w:val="32"/>
    <w:link w:val="175"/>
    <w:qFormat/>
    <w:uiPriority w:val="29"/>
    <w:rPr>
      <w:i/>
      <w:iCs/>
      <w:color w:val="3F3F3F" w:themeColor="text1" w:themeTint="BF"/>
    </w:rPr>
  </w:style>
  <w:style w:type="paragraph" w:styleId="177">
    <w:name w:val="List Paragraph"/>
    <w:basedOn w:val="1"/>
    <w:qFormat/>
    <w:uiPriority w:val="34"/>
    <w:pPr>
      <w:ind w:left="720"/>
      <w:contextualSpacing/>
    </w:pPr>
  </w:style>
  <w:style w:type="character" w:customStyle="1" w:styleId="178">
    <w:name w:val="Intense Emphasis"/>
    <w:basedOn w:val="32"/>
    <w:qFormat/>
    <w:uiPriority w:val="21"/>
    <w:rPr>
      <w:i/>
      <w:iCs/>
      <w:color w:val="366091"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0">
    <w:name w:val="Intense Quote Char"/>
    <w:basedOn w:val="32"/>
    <w:link w:val="179"/>
    <w:qFormat/>
    <w:uiPriority w:val="30"/>
    <w:rPr>
      <w:i/>
      <w:iCs/>
      <w:color w:val="366091" w:themeColor="accent1" w:themeShade="BF"/>
    </w:rPr>
  </w:style>
  <w:style w:type="character" w:customStyle="1" w:styleId="181">
    <w:name w:val="Intense Reference"/>
    <w:basedOn w:val="32"/>
    <w:qFormat/>
    <w:uiPriority w:val="32"/>
    <w:rPr>
      <w:b/>
      <w:bCs/>
      <w:smallCaps/>
      <w:color w:val="366091" w:themeColor="accent1" w:themeShade="BF"/>
      <w:spacing w:val="5"/>
    </w:rPr>
  </w:style>
  <w:style w:type="paragraph" w:styleId="182">
    <w:name w:val="No Spacing"/>
    <w:basedOn w:val="1"/>
    <w:qFormat/>
    <w:uiPriority w:val="1"/>
    <w:pPr>
      <w:spacing w:after="0" w:line="240" w:lineRule="auto"/>
    </w:pPr>
  </w:style>
  <w:style w:type="character" w:customStyle="1" w:styleId="183">
    <w:name w:val="Subtle Emphasis"/>
    <w:basedOn w:val="32"/>
    <w:qFormat/>
    <w:uiPriority w:val="19"/>
    <w:rPr>
      <w:i/>
      <w:iCs/>
      <w:color w:val="3F3F3F" w:themeColor="text1" w:themeTint="BF"/>
    </w:rPr>
  </w:style>
  <w:style w:type="character" w:customStyle="1" w:styleId="184">
    <w:name w:val="Subtle Reference"/>
    <w:basedOn w:val="32"/>
    <w:qFormat/>
    <w:uiPriority w:val="31"/>
    <w:rPr>
      <w:smallCaps/>
      <w:color w:val="595959" w:themeColor="text1" w:themeTint="A5"/>
    </w:rPr>
  </w:style>
  <w:style w:type="character" w:customStyle="1" w:styleId="185">
    <w:name w:val="Book Title"/>
    <w:basedOn w:val="32"/>
    <w:qFormat/>
    <w:uiPriority w:val="33"/>
    <w:rPr>
      <w:b/>
      <w:bCs/>
      <w:i/>
      <w:iCs/>
      <w:spacing w:val="5"/>
    </w:rPr>
  </w:style>
  <w:style w:type="character" w:customStyle="1" w:styleId="186">
    <w:name w:val="Header Char"/>
    <w:basedOn w:val="32"/>
    <w:link w:val="20"/>
    <w:qFormat/>
    <w:uiPriority w:val="99"/>
  </w:style>
  <w:style w:type="character" w:customStyle="1" w:styleId="187">
    <w:name w:val="Footer Char"/>
    <w:basedOn w:val="32"/>
    <w:link w:val="19"/>
    <w:qFormat/>
    <w:uiPriority w:val="99"/>
  </w:style>
  <w:style w:type="character" w:customStyle="1" w:styleId="188">
    <w:name w:val="Footnote Text Char"/>
    <w:basedOn w:val="32"/>
    <w:link w:val="24"/>
    <w:semiHidden/>
    <w:qFormat/>
    <w:uiPriority w:val="99"/>
    <w:rPr>
      <w:sz w:val="20"/>
      <w:szCs w:val="20"/>
    </w:rPr>
  </w:style>
  <w:style w:type="character" w:customStyle="1" w:styleId="189">
    <w:name w:val="Endnote Text Char"/>
    <w:basedOn w:val="32"/>
    <w:link w:val="18"/>
    <w:semiHidden/>
    <w:qFormat/>
    <w:uiPriority w:val="99"/>
    <w:rPr>
      <w:sz w:val="20"/>
      <w:szCs w:val="20"/>
    </w:rPr>
  </w:style>
  <w:style w:type="character" w:styleId="190">
    <w:name w:val="Placeholder Text"/>
    <w:basedOn w:val="32"/>
    <w:semiHidden/>
    <w:qFormat/>
    <w:uiPriority w:val="99"/>
    <w:rPr>
      <w:color w:val="666666"/>
    </w:rPr>
  </w:style>
  <w:style w:type="paragraph" w:customStyle="1" w:styleId="191">
    <w:name w:val="TOC Heading"/>
    <w:unhideWhenUsed/>
    <w:qFormat/>
    <w:uiPriority w:val="39"/>
    <w:rPr>
      <w:rFonts w:hint="default" w:ascii="Times New Roman" w:hAnsi="Times New Roman" w:eastAsia="宋体" w:cs="Times New Roman"/>
    </w:rPr>
  </w:style>
  <w:style w:type="paragraph" w:customStyle="1" w:styleId="192">
    <w:name w:val="标题 11"/>
    <w:basedOn w:val="1"/>
    <w:next w:val="1"/>
    <w:link w:val="205"/>
    <w:qFormat/>
    <w:uiPriority w:val="0"/>
    <w:pPr>
      <w:keepNext/>
      <w:keepLines/>
      <w:spacing w:before="340" w:after="330" w:line="578" w:lineRule="auto"/>
      <w:outlineLvl w:val="0"/>
    </w:pPr>
    <w:rPr>
      <w:b/>
      <w:bCs/>
      <w:sz w:val="44"/>
      <w:szCs w:val="44"/>
    </w:rPr>
  </w:style>
  <w:style w:type="paragraph" w:customStyle="1" w:styleId="193">
    <w:name w:val="标题 21"/>
    <w:basedOn w:val="1"/>
    <w:next w:val="1"/>
    <w:link w:val="204"/>
    <w:qFormat/>
    <w:uiPriority w:val="0"/>
    <w:pPr>
      <w:keepNext/>
      <w:keepLines/>
      <w:spacing w:before="260" w:after="260" w:line="416" w:lineRule="auto"/>
      <w:outlineLvl w:val="1"/>
    </w:pPr>
    <w:rPr>
      <w:rFonts w:ascii="Arial" w:hAnsi="Arial" w:eastAsia="黑体"/>
      <w:b/>
      <w:bCs/>
      <w:sz w:val="32"/>
      <w:szCs w:val="32"/>
    </w:rPr>
  </w:style>
  <w:style w:type="paragraph" w:customStyle="1" w:styleId="194">
    <w:name w:val="标题 31"/>
    <w:basedOn w:val="1"/>
    <w:next w:val="1"/>
    <w:link w:val="206"/>
    <w:qFormat/>
    <w:uiPriority w:val="0"/>
    <w:pPr>
      <w:keepNext/>
      <w:keepLines/>
      <w:spacing w:before="260" w:after="260" w:line="416" w:lineRule="auto"/>
      <w:outlineLvl w:val="2"/>
    </w:pPr>
    <w:rPr>
      <w:b/>
      <w:bCs/>
      <w:sz w:val="32"/>
      <w:szCs w:val="32"/>
    </w:rPr>
  </w:style>
  <w:style w:type="paragraph" w:customStyle="1" w:styleId="195">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6">
    <w:name w:val="标题 51"/>
    <w:basedOn w:val="1"/>
    <w:next w:val="197"/>
    <w:link w:val="207"/>
    <w:qFormat/>
    <w:uiPriority w:val="0"/>
    <w:pPr>
      <w:keepNext/>
      <w:keepLines/>
      <w:numPr>
        <w:ilvl w:val="4"/>
        <w:numId w:val="1"/>
      </w:numPr>
      <w:spacing w:before="280" w:after="290" w:line="376" w:lineRule="auto"/>
      <w:outlineLvl w:val="4"/>
    </w:pPr>
    <w:rPr>
      <w:b/>
      <w:sz w:val="28"/>
    </w:rPr>
  </w:style>
  <w:style w:type="paragraph" w:customStyle="1" w:styleId="197">
    <w:name w:val="正文缩进1"/>
    <w:basedOn w:val="1"/>
    <w:qFormat/>
    <w:uiPriority w:val="0"/>
    <w:pPr>
      <w:ind w:firstLine="420"/>
    </w:pPr>
    <w:rPr>
      <w:szCs w:val="20"/>
    </w:rPr>
  </w:style>
  <w:style w:type="paragraph" w:customStyle="1" w:styleId="198">
    <w:name w:val="标题 61"/>
    <w:basedOn w:val="1"/>
    <w:next w:val="1"/>
    <w:link w:val="208"/>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199">
    <w:name w:val="标题 71"/>
    <w:basedOn w:val="1"/>
    <w:next w:val="197"/>
    <w:link w:val="209"/>
    <w:qFormat/>
    <w:uiPriority w:val="0"/>
    <w:pPr>
      <w:keepNext/>
      <w:keepLines/>
      <w:numPr>
        <w:ilvl w:val="6"/>
        <w:numId w:val="1"/>
      </w:numPr>
      <w:spacing w:before="240" w:after="64" w:line="320" w:lineRule="auto"/>
      <w:outlineLvl w:val="6"/>
    </w:pPr>
    <w:rPr>
      <w:b/>
      <w:sz w:val="24"/>
    </w:rPr>
  </w:style>
  <w:style w:type="paragraph" w:customStyle="1" w:styleId="200">
    <w:name w:val="标题 81"/>
    <w:basedOn w:val="1"/>
    <w:next w:val="197"/>
    <w:link w:val="210"/>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201">
    <w:name w:val="标题 91"/>
    <w:basedOn w:val="1"/>
    <w:next w:val="197"/>
    <w:link w:val="211"/>
    <w:qFormat/>
    <w:uiPriority w:val="0"/>
    <w:pPr>
      <w:keepNext/>
      <w:keepLines/>
      <w:numPr>
        <w:ilvl w:val="8"/>
        <w:numId w:val="1"/>
      </w:numPr>
      <w:spacing w:before="240" w:after="64" w:line="320" w:lineRule="auto"/>
      <w:outlineLvl w:val="8"/>
    </w:pPr>
    <w:rPr>
      <w:rFonts w:ascii="Arial" w:hAnsi="Arial" w:eastAsia="黑体"/>
    </w:rPr>
  </w:style>
  <w:style w:type="character" w:customStyle="1" w:styleId="202">
    <w:name w:val="默认段落字体1"/>
    <w:link w:val="1"/>
    <w:unhideWhenUsed/>
    <w:qFormat/>
    <w:uiPriority w:val="1"/>
  </w:style>
  <w:style w:type="table" w:customStyle="1" w:styleId="203">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标题 2 Char"/>
    <w:link w:val="193"/>
    <w:qFormat/>
    <w:uiPriority w:val="0"/>
    <w:rPr>
      <w:rFonts w:ascii="Arial" w:hAnsi="Arial" w:eastAsia="黑体" w:cs="Times New Roman"/>
      <w:b/>
      <w:bCs/>
      <w:sz w:val="32"/>
      <w:szCs w:val="32"/>
    </w:rPr>
  </w:style>
  <w:style w:type="character" w:customStyle="1" w:styleId="205">
    <w:name w:val="标题 1 Char"/>
    <w:link w:val="192"/>
    <w:qFormat/>
    <w:uiPriority w:val="0"/>
    <w:rPr>
      <w:rFonts w:ascii="Times New Roman" w:hAnsi="Times New Roman" w:eastAsia="宋体" w:cs="Times New Roman"/>
      <w:b/>
      <w:bCs/>
      <w:sz w:val="44"/>
      <w:szCs w:val="44"/>
    </w:rPr>
  </w:style>
  <w:style w:type="character" w:customStyle="1" w:styleId="206">
    <w:name w:val="标题 3 Char"/>
    <w:link w:val="194"/>
    <w:qFormat/>
    <w:uiPriority w:val="0"/>
    <w:rPr>
      <w:rFonts w:ascii="Times New Roman" w:hAnsi="Times New Roman" w:eastAsia="宋体" w:cs="Times New Roman"/>
      <w:b/>
      <w:bCs/>
      <w:sz w:val="32"/>
      <w:szCs w:val="32"/>
    </w:rPr>
  </w:style>
  <w:style w:type="character" w:customStyle="1" w:styleId="207">
    <w:name w:val="标题 5 Char"/>
    <w:link w:val="196"/>
    <w:qFormat/>
    <w:uiPriority w:val="0"/>
    <w:rPr>
      <w:rFonts w:ascii="Times New Roman" w:hAnsi="Times New Roman"/>
      <w:b/>
      <w:sz w:val="28"/>
      <w:szCs w:val="24"/>
    </w:rPr>
  </w:style>
  <w:style w:type="character" w:customStyle="1" w:styleId="208">
    <w:name w:val="标题 6 Char"/>
    <w:link w:val="198"/>
    <w:qFormat/>
    <w:uiPriority w:val="0"/>
    <w:rPr>
      <w:rFonts w:ascii="Arial" w:hAnsi="Arial" w:eastAsia="黑体"/>
      <w:b/>
      <w:sz w:val="24"/>
      <w:szCs w:val="24"/>
    </w:rPr>
  </w:style>
  <w:style w:type="character" w:customStyle="1" w:styleId="209">
    <w:name w:val="标题 7 Char"/>
    <w:link w:val="199"/>
    <w:qFormat/>
    <w:uiPriority w:val="0"/>
    <w:rPr>
      <w:rFonts w:ascii="Times New Roman" w:hAnsi="Times New Roman"/>
      <w:b/>
      <w:sz w:val="24"/>
      <w:szCs w:val="24"/>
    </w:rPr>
  </w:style>
  <w:style w:type="character" w:customStyle="1" w:styleId="210">
    <w:name w:val="标题 8 Char"/>
    <w:link w:val="200"/>
    <w:qFormat/>
    <w:uiPriority w:val="0"/>
    <w:rPr>
      <w:rFonts w:ascii="Arial" w:hAnsi="Arial" w:eastAsia="黑体"/>
      <w:sz w:val="24"/>
      <w:szCs w:val="24"/>
    </w:rPr>
  </w:style>
  <w:style w:type="character" w:customStyle="1" w:styleId="211">
    <w:name w:val="标题 9 Char"/>
    <w:link w:val="201"/>
    <w:qFormat/>
    <w:uiPriority w:val="0"/>
    <w:rPr>
      <w:rFonts w:ascii="Arial" w:hAnsi="Arial" w:eastAsia="黑体"/>
      <w:sz w:val="21"/>
      <w:szCs w:val="24"/>
    </w:rPr>
  </w:style>
  <w:style w:type="paragraph" w:customStyle="1" w:styleId="212">
    <w:name w:val="目录 71"/>
    <w:basedOn w:val="1"/>
    <w:next w:val="1"/>
    <w:unhideWhenUsed/>
    <w:qFormat/>
    <w:uiPriority w:val="39"/>
    <w:pPr>
      <w:ind w:left="2520"/>
    </w:pPr>
    <w:rPr>
      <w:rFonts w:ascii="Calibri" w:hAnsi="Calibri" w:eastAsia="宋体" w:cs="Times New Roman"/>
      <w:szCs w:val="22"/>
    </w:rPr>
  </w:style>
  <w:style w:type="paragraph" w:customStyle="1" w:styleId="213">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4">
    <w:name w:val="题注1"/>
    <w:basedOn w:val="1"/>
    <w:next w:val="1"/>
    <w:qFormat/>
    <w:uiPriority w:val="0"/>
    <w:pPr>
      <w:spacing w:before="152" w:after="160"/>
    </w:pPr>
    <w:rPr>
      <w:rFonts w:ascii="Arial" w:hAnsi="Arial" w:eastAsia="黑体" w:cs="Arial"/>
      <w:sz w:val="20"/>
      <w:szCs w:val="20"/>
    </w:rPr>
  </w:style>
  <w:style w:type="paragraph" w:customStyle="1" w:styleId="215">
    <w:name w:val="批注文字1"/>
    <w:basedOn w:val="1"/>
    <w:link w:val="216"/>
    <w:unhideWhenUsed/>
    <w:qFormat/>
    <w:uiPriority w:val="0"/>
    <w:pPr>
      <w:jc w:val="left"/>
    </w:pPr>
  </w:style>
  <w:style w:type="character" w:customStyle="1" w:styleId="216">
    <w:name w:val="批注文字 Char"/>
    <w:link w:val="215"/>
    <w:qFormat/>
    <w:uiPriority w:val="0"/>
    <w:rPr>
      <w:rFonts w:ascii="Times New Roman" w:hAnsi="Times New Roman"/>
      <w:sz w:val="21"/>
      <w:szCs w:val="24"/>
    </w:rPr>
  </w:style>
  <w:style w:type="paragraph" w:customStyle="1" w:styleId="217">
    <w:name w:val="正文文本 31"/>
    <w:basedOn w:val="1"/>
    <w:link w:val="218"/>
    <w:qFormat/>
    <w:uiPriority w:val="0"/>
    <w:pPr>
      <w:spacing w:line="500" w:lineRule="exact"/>
    </w:pPr>
    <w:rPr>
      <w:b/>
      <w:bCs/>
      <w:sz w:val="24"/>
    </w:rPr>
  </w:style>
  <w:style w:type="character" w:customStyle="1" w:styleId="218">
    <w:name w:val="正文文本 3 Char"/>
    <w:link w:val="217"/>
    <w:qFormat/>
    <w:uiPriority w:val="0"/>
    <w:rPr>
      <w:rFonts w:ascii="Times New Roman" w:hAnsi="Times New Roman" w:eastAsia="宋体" w:cs="Times New Roman"/>
      <w:b/>
      <w:bCs/>
      <w:sz w:val="24"/>
      <w:szCs w:val="24"/>
    </w:rPr>
  </w:style>
  <w:style w:type="paragraph" w:customStyle="1" w:styleId="219">
    <w:name w:val="正文文本1"/>
    <w:basedOn w:val="1"/>
    <w:next w:val="1"/>
    <w:link w:val="220"/>
    <w:qFormat/>
    <w:uiPriority w:val="0"/>
    <w:pPr>
      <w:spacing w:line="380" w:lineRule="exact"/>
    </w:pPr>
    <w:rPr>
      <w:sz w:val="24"/>
    </w:rPr>
  </w:style>
  <w:style w:type="character" w:customStyle="1" w:styleId="220">
    <w:name w:val="正文文本 Char"/>
    <w:link w:val="219"/>
    <w:qFormat/>
    <w:uiPriority w:val="0"/>
    <w:rPr>
      <w:rFonts w:ascii="Times New Roman" w:hAnsi="Times New Roman" w:eastAsia="宋体" w:cs="Times New Roman"/>
      <w:sz w:val="24"/>
      <w:szCs w:val="24"/>
    </w:rPr>
  </w:style>
  <w:style w:type="paragraph" w:customStyle="1" w:styleId="221">
    <w:name w:val="正文文本缩进1"/>
    <w:basedOn w:val="1"/>
    <w:link w:val="222"/>
    <w:qFormat/>
    <w:uiPriority w:val="0"/>
    <w:pPr>
      <w:ind w:firstLine="830"/>
    </w:pPr>
    <w:rPr>
      <w:rFonts w:ascii="仿宋_GB2312" w:eastAsia="仿宋_GB2312"/>
      <w:sz w:val="32"/>
      <w:szCs w:val="20"/>
    </w:rPr>
  </w:style>
  <w:style w:type="character" w:customStyle="1" w:styleId="222">
    <w:name w:val="正文文本缩进 Char"/>
    <w:link w:val="221"/>
    <w:qFormat/>
    <w:uiPriority w:val="0"/>
    <w:rPr>
      <w:rFonts w:ascii="仿宋_GB2312" w:hAnsi="Times New Roman" w:eastAsia="仿宋_GB2312" w:cs="Times New Roman"/>
      <w:sz w:val="32"/>
      <w:szCs w:val="20"/>
    </w:rPr>
  </w:style>
  <w:style w:type="paragraph" w:customStyle="1" w:styleId="223">
    <w:name w:val="列表编号 31"/>
    <w:basedOn w:val="1"/>
    <w:qFormat/>
    <w:uiPriority w:val="0"/>
    <w:pPr>
      <w:numPr>
        <w:ilvl w:val="0"/>
        <w:numId w:val="2"/>
      </w:numPr>
    </w:pPr>
  </w:style>
  <w:style w:type="paragraph" w:customStyle="1" w:styleId="224">
    <w:name w:val="列表 21"/>
    <w:basedOn w:val="1"/>
    <w:qFormat/>
    <w:uiPriority w:val="0"/>
    <w:pPr>
      <w:ind w:left="100" w:hanging="200"/>
    </w:pPr>
    <w:rPr>
      <w:sz w:val="28"/>
    </w:rPr>
  </w:style>
  <w:style w:type="paragraph" w:customStyle="1" w:styleId="225">
    <w:name w:val="目录 51"/>
    <w:basedOn w:val="1"/>
    <w:next w:val="1"/>
    <w:unhideWhenUsed/>
    <w:qFormat/>
    <w:uiPriority w:val="39"/>
    <w:pPr>
      <w:ind w:left="1680"/>
    </w:pPr>
    <w:rPr>
      <w:rFonts w:ascii="Calibri" w:hAnsi="Calibri" w:eastAsia="宋体" w:cs="Times New Roman"/>
      <w:szCs w:val="22"/>
    </w:rPr>
  </w:style>
  <w:style w:type="paragraph" w:customStyle="1" w:styleId="226">
    <w:name w:val="目录 31"/>
    <w:basedOn w:val="1"/>
    <w:next w:val="1"/>
    <w:unhideWhenUsed/>
    <w:qFormat/>
    <w:uiPriority w:val="39"/>
    <w:pPr>
      <w:ind w:left="840"/>
    </w:pPr>
    <w:rPr>
      <w:rFonts w:ascii="Calibri" w:hAnsi="Calibri" w:eastAsia="宋体" w:cs="Times New Roman"/>
      <w:szCs w:val="22"/>
    </w:rPr>
  </w:style>
  <w:style w:type="paragraph" w:customStyle="1" w:styleId="227">
    <w:name w:val="纯文本1"/>
    <w:basedOn w:val="1"/>
    <w:next w:val="195"/>
    <w:link w:val="228"/>
    <w:qFormat/>
    <w:uiPriority w:val="0"/>
    <w:rPr>
      <w:rFonts w:ascii="宋体" w:hAnsi="Courier New"/>
      <w:sz w:val="20"/>
      <w:szCs w:val="21"/>
    </w:rPr>
  </w:style>
  <w:style w:type="character" w:customStyle="1" w:styleId="228">
    <w:name w:val="纯文本 Char"/>
    <w:link w:val="227"/>
    <w:qFormat/>
    <w:uiPriority w:val="0"/>
    <w:rPr>
      <w:rFonts w:ascii="宋体" w:hAnsi="Courier New" w:eastAsia="宋体" w:cs="Courier New"/>
      <w:szCs w:val="21"/>
    </w:rPr>
  </w:style>
  <w:style w:type="paragraph" w:customStyle="1" w:styleId="229">
    <w:name w:val="目录 81"/>
    <w:basedOn w:val="1"/>
    <w:next w:val="1"/>
    <w:unhideWhenUsed/>
    <w:qFormat/>
    <w:uiPriority w:val="39"/>
    <w:pPr>
      <w:ind w:left="2940"/>
    </w:pPr>
    <w:rPr>
      <w:rFonts w:ascii="Calibri" w:hAnsi="Calibri" w:eastAsia="宋体" w:cs="Times New Roman"/>
      <w:szCs w:val="22"/>
    </w:rPr>
  </w:style>
  <w:style w:type="paragraph" w:customStyle="1" w:styleId="230">
    <w:name w:val="日期1"/>
    <w:basedOn w:val="1"/>
    <w:next w:val="1"/>
    <w:link w:val="231"/>
    <w:qFormat/>
    <w:uiPriority w:val="0"/>
    <w:pPr>
      <w:ind w:left="100"/>
    </w:pPr>
    <w:rPr>
      <w:rFonts w:ascii="宋体" w:hAnsi="Courier New"/>
      <w:sz w:val="20"/>
      <w:szCs w:val="21"/>
    </w:rPr>
  </w:style>
  <w:style w:type="character" w:customStyle="1" w:styleId="231">
    <w:name w:val="日期 Char"/>
    <w:link w:val="230"/>
    <w:qFormat/>
    <w:uiPriority w:val="0"/>
    <w:rPr>
      <w:rFonts w:ascii="宋体" w:hAnsi="Courier New" w:eastAsia="宋体" w:cs="Courier New"/>
      <w:szCs w:val="21"/>
    </w:rPr>
  </w:style>
  <w:style w:type="paragraph" w:customStyle="1" w:styleId="232">
    <w:name w:val="正文文本缩进 21"/>
    <w:basedOn w:val="1"/>
    <w:link w:val="233"/>
    <w:qFormat/>
    <w:uiPriority w:val="0"/>
    <w:pPr>
      <w:ind w:firstLine="630"/>
    </w:pPr>
    <w:rPr>
      <w:sz w:val="32"/>
      <w:szCs w:val="20"/>
    </w:rPr>
  </w:style>
  <w:style w:type="character" w:customStyle="1" w:styleId="233">
    <w:name w:val="正文文本缩进 2 Char"/>
    <w:link w:val="232"/>
    <w:qFormat/>
    <w:uiPriority w:val="0"/>
    <w:rPr>
      <w:rFonts w:ascii="Times New Roman" w:hAnsi="Times New Roman" w:eastAsia="宋体" w:cs="Times New Roman"/>
      <w:sz w:val="32"/>
      <w:szCs w:val="20"/>
    </w:rPr>
  </w:style>
  <w:style w:type="paragraph" w:customStyle="1" w:styleId="234">
    <w:name w:val="尾注文本1"/>
    <w:basedOn w:val="1"/>
    <w:link w:val="235"/>
    <w:unhideWhenUsed/>
    <w:qFormat/>
    <w:uiPriority w:val="99"/>
    <w:pPr>
      <w:jc w:val="left"/>
    </w:pPr>
  </w:style>
  <w:style w:type="character" w:customStyle="1" w:styleId="235">
    <w:name w:val="尾注文本 Char"/>
    <w:link w:val="234"/>
    <w:semiHidden/>
    <w:qFormat/>
    <w:uiPriority w:val="99"/>
    <w:rPr>
      <w:rFonts w:ascii="Times New Roman" w:hAnsi="Times New Roman"/>
      <w:sz w:val="21"/>
      <w:szCs w:val="24"/>
    </w:rPr>
  </w:style>
  <w:style w:type="paragraph" w:customStyle="1" w:styleId="236">
    <w:name w:val="批注框文本1"/>
    <w:basedOn w:val="1"/>
    <w:link w:val="237"/>
    <w:semiHidden/>
    <w:qFormat/>
    <w:uiPriority w:val="0"/>
    <w:rPr>
      <w:sz w:val="18"/>
      <w:szCs w:val="18"/>
    </w:rPr>
  </w:style>
  <w:style w:type="character" w:customStyle="1" w:styleId="237">
    <w:name w:val="批注框文本 Char"/>
    <w:link w:val="236"/>
    <w:semiHidden/>
    <w:qFormat/>
    <w:uiPriority w:val="0"/>
    <w:rPr>
      <w:rFonts w:ascii="Times New Roman" w:hAnsi="Times New Roman" w:eastAsia="宋体" w:cs="Times New Roman"/>
      <w:sz w:val="18"/>
      <w:szCs w:val="18"/>
    </w:rPr>
  </w:style>
  <w:style w:type="paragraph" w:customStyle="1" w:styleId="238">
    <w:name w:val="页脚1"/>
    <w:basedOn w:val="1"/>
    <w:link w:val="239"/>
    <w:unhideWhenUsed/>
    <w:qFormat/>
    <w:uiPriority w:val="99"/>
    <w:pPr>
      <w:tabs>
        <w:tab w:val="center" w:pos="4153"/>
        <w:tab w:val="right" w:pos="8306"/>
      </w:tabs>
      <w:jc w:val="left"/>
    </w:pPr>
    <w:rPr>
      <w:sz w:val="18"/>
      <w:szCs w:val="18"/>
    </w:rPr>
  </w:style>
  <w:style w:type="character" w:customStyle="1" w:styleId="239">
    <w:name w:val="页脚 Char"/>
    <w:link w:val="238"/>
    <w:qFormat/>
    <w:uiPriority w:val="99"/>
    <w:rPr>
      <w:sz w:val="18"/>
      <w:szCs w:val="18"/>
    </w:rPr>
  </w:style>
  <w:style w:type="paragraph" w:customStyle="1" w:styleId="240">
    <w:name w:val="寄信人地址1"/>
    <w:basedOn w:val="1"/>
    <w:qFormat/>
    <w:uiPriority w:val="0"/>
    <w:rPr>
      <w:rFonts w:ascii="Arial" w:hAnsi="Arial"/>
    </w:rPr>
  </w:style>
  <w:style w:type="paragraph" w:customStyle="1" w:styleId="241">
    <w:name w:val="页眉1"/>
    <w:basedOn w:val="1"/>
    <w:link w:val="242"/>
    <w:unhideWhenUsed/>
    <w:qFormat/>
    <w:uiPriority w:val="99"/>
    <w:pPr>
      <w:pBdr>
        <w:bottom w:val="single" w:color="000000" w:sz="6" w:space="1"/>
      </w:pBdr>
      <w:tabs>
        <w:tab w:val="center" w:pos="0"/>
        <w:tab w:val="left" w:pos="8306"/>
      </w:tabs>
      <w:jc w:val="center"/>
    </w:pPr>
    <w:rPr>
      <w:sz w:val="18"/>
      <w:szCs w:val="18"/>
    </w:rPr>
  </w:style>
  <w:style w:type="character" w:customStyle="1" w:styleId="242">
    <w:name w:val="页眉 Char"/>
    <w:link w:val="241"/>
    <w:qFormat/>
    <w:uiPriority w:val="99"/>
    <w:rPr>
      <w:rFonts w:ascii="Times New Roman" w:hAnsi="Times New Roman"/>
      <w:sz w:val="18"/>
      <w:szCs w:val="18"/>
    </w:rPr>
  </w:style>
  <w:style w:type="paragraph" w:customStyle="1" w:styleId="243">
    <w:name w:val="目录 11"/>
    <w:basedOn w:val="1"/>
    <w:next w:val="1"/>
    <w:qFormat/>
    <w:uiPriority w:val="39"/>
    <w:pPr>
      <w:tabs>
        <w:tab w:val="right" w:leader="dot" w:pos="8398"/>
      </w:tabs>
      <w:spacing w:before="120" w:after="120"/>
      <w:ind w:firstLine="240"/>
      <w:jc w:val="left"/>
    </w:pPr>
    <w:rPr>
      <w:rFonts w:ascii="宋体" w:hAnsi="宋体"/>
      <w:b/>
      <w:bCs/>
      <w:caps/>
      <w:sz w:val="24"/>
    </w:rPr>
  </w:style>
  <w:style w:type="paragraph" w:customStyle="1" w:styleId="244">
    <w:name w:val="目录 41"/>
    <w:basedOn w:val="1"/>
    <w:next w:val="1"/>
    <w:unhideWhenUsed/>
    <w:qFormat/>
    <w:uiPriority w:val="39"/>
    <w:pPr>
      <w:ind w:left="1260"/>
    </w:pPr>
    <w:rPr>
      <w:rFonts w:ascii="Calibri" w:hAnsi="Calibri" w:eastAsia="宋体" w:cs="Times New Roman"/>
      <w:szCs w:val="22"/>
    </w:rPr>
  </w:style>
  <w:style w:type="paragraph" w:customStyle="1" w:styleId="245">
    <w:name w:val="列表1"/>
    <w:basedOn w:val="1"/>
    <w:qFormat/>
    <w:uiPriority w:val="0"/>
    <w:pPr>
      <w:ind w:left="200" w:hanging="200"/>
    </w:pPr>
    <w:rPr>
      <w:sz w:val="28"/>
    </w:rPr>
  </w:style>
  <w:style w:type="paragraph" w:customStyle="1" w:styleId="246">
    <w:name w:val="脚注文本1"/>
    <w:basedOn w:val="1"/>
    <w:link w:val="247"/>
    <w:unhideWhenUsed/>
    <w:qFormat/>
    <w:uiPriority w:val="99"/>
    <w:pPr>
      <w:jc w:val="left"/>
    </w:pPr>
    <w:rPr>
      <w:sz w:val="18"/>
      <w:szCs w:val="18"/>
    </w:rPr>
  </w:style>
  <w:style w:type="character" w:customStyle="1" w:styleId="247">
    <w:name w:val="脚注文本 Char"/>
    <w:link w:val="246"/>
    <w:semiHidden/>
    <w:qFormat/>
    <w:uiPriority w:val="99"/>
    <w:rPr>
      <w:rFonts w:ascii="Times New Roman" w:hAnsi="Times New Roman"/>
      <w:sz w:val="18"/>
      <w:szCs w:val="18"/>
    </w:rPr>
  </w:style>
  <w:style w:type="paragraph" w:customStyle="1" w:styleId="248">
    <w:name w:val="目录 61"/>
    <w:basedOn w:val="1"/>
    <w:next w:val="1"/>
    <w:unhideWhenUsed/>
    <w:qFormat/>
    <w:uiPriority w:val="39"/>
    <w:pPr>
      <w:ind w:left="2100"/>
    </w:pPr>
    <w:rPr>
      <w:rFonts w:ascii="Calibri" w:hAnsi="Calibri" w:eastAsia="宋体" w:cs="Times New Roman"/>
      <w:szCs w:val="22"/>
    </w:rPr>
  </w:style>
  <w:style w:type="paragraph" w:customStyle="1" w:styleId="249">
    <w:name w:val="正文文本缩进 31"/>
    <w:basedOn w:val="1"/>
    <w:link w:val="250"/>
    <w:qFormat/>
    <w:uiPriority w:val="0"/>
    <w:pPr>
      <w:spacing w:after="120"/>
      <w:ind w:left="420"/>
    </w:pPr>
    <w:rPr>
      <w:sz w:val="16"/>
      <w:szCs w:val="16"/>
    </w:rPr>
  </w:style>
  <w:style w:type="character" w:customStyle="1" w:styleId="250">
    <w:name w:val="正文文本缩进 3 Char"/>
    <w:link w:val="249"/>
    <w:qFormat/>
    <w:uiPriority w:val="0"/>
    <w:rPr>
      <w:rFonts w:ascii="Times New Roman" w:hAnsi="Times New Roman" w:eastAsia="宋体" w:cs="Times New Roman"/>
      <w:sz w:val="16"/>
      <w:szCs w:val="16"/>
    </w:rPr>
  </w:style>
  <w:style w:type="paragraph" w:customStyle="1" w:styleId="251">
    <w:name w:val="目录 21"/>
    <w:basedOn w:val="1"/>
    <w:next w:val="1"/>
    <w:unhideWhenUsed/>
    <w:qFormat/>
    <w:uiPriority w:val="39"/>
    <w:pPr>
      <w:ind w:left="420"/>
    </w:pPr>
  </w:style>
  <w:style w:type="paragraph" w:customStyle="1" w:styleId="252">
    <w:name w:val="目录 91"/>
    <w:basedOn w:val="1"/>
    <w:next w:val="1"/>
    <w:unhideWhenUsed/>
    <w:qFormat/>
    <w:uiPriority w:val="39"/>
    <w:pPr>
      <w:ind w:left="3360"/>
    </w:pPr>
    <w:rPr>
      <w:rFonts w:ascii="Calibri" w:hAnsi="Calibri" w:eastAsia="宋体" w:cs="Times New Roman"/>
      <w:szCs w:val="22"/>
    </w:rPr>
  </w:style>
  <w:style w:type="paragraph" w:customStyle="1" w:styleId="253">
    <w:name w:val="正文文本 21"/>
    <w:basedOn w:val="1"/>
    <w:link w:val="254"/>
    <w:qFormat/>
    <w:uiPriority w:val="0"/>
    <w:pPr>
      <w:spacing w:after="120" w:line="480" w:lineRule="auto"/>
    </w:pPr>
    <w:rPr>
      <w:sz w:val="20"/>
    </w:rPr>
  </w:style>
  <w:style w:type="character" w:customStyle="1" w:styleId="254">
    <w:name w:val="正文文本 2 Char"/>
    <w:link w:val="253"/>
    <w:qFormat/>
    <w:uiPriority w:val="0"/>
    <w:rPr>
      <w:rFonts w:ascii="Times New Roman" w:hAnsi="Times New Roman" w:eastAsia="宋体" w:cs="Times New Roman"/>
      <w:szCs w:val="24"/>
    </w:rPr>
  </w:style>
  <w:style w:type="paragraph" w:customStyle="1" w:styleId="255">
    <w:name w:val="HTML 预设格式1"/>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bidi="ar"/>
    </w:rPr>
  </w:style>
  <w:style w:type="paragraph" w:customStyle="1" w:styleId="256">
    <w:name w:val="普通(网站)1"/>
    <w:basedOn w:val="1"/>
    <w:qFormat/>
    <w:uiPriority w:val="99"/>
    <w:pPr>
      <w:widowControl/>
      <w:spacing w:before="100" w:beforeAutospacing="1" w:after="100" w:afterAutospacing="1"/>
      <w:jc w:val="left"/>
    </w:pPr>
    <w:rPr>
      <w:rFonts w:ascii="宋体" w:hAnsi="宋体"/>
      <w:sz w:val="24"/>
    </w:rPr>
  </w:style>
  <w:style w:type="paragraph" w:customStyle="1" w:styleId="257">
    <w:name w:val="索引 11"/>
    <w:basedOn w:val="1"/>
    <w:next w:val="1"/>
    <w:semiHidden/>
    <w:qFormat/>
    <w:uiPriority w:val="0"/>
    <w:pPr>
      <w:spacing w:line="400" w:lineRule="exact"/>
      <w:ind w:firstLine="420"/>
    </w:pPr>
    <w:rPr>
      <w:rFonts w:ascii="宋体" w:hAnsi="Courier New"/>
      <w:b/>
      <w:szCs w:val="20"/>
    </w:rPr>
  </w:style>
  <w:style w:type="paragraph" w:customStyle="1" w:styleId="258">
    <w:name w:val="标题1"/>
    <w:basedOn w:val="1"/>
    <w:next w:val="1"/>
    <w:link w:val="259"/>
    <w:qFormat/>
    <w:uiPriority w:val="10"/>
    <w:pPr>
      <w:spacing w:before="240" w:after="60"/>
      <w:jc w:val="center"/>
      <w:outlineLvl w:val="0"/>
    </w:pPr>
    <w:rPr>
      <w:rFonts w:ascii="Cambria" w:hAnsi="Cambria"/>
      <w:b/>
      <w:bCs/>
      <w:sz w:val="32"/>
      <w:szCs w:val="32"/>
    </w:rPr>
  </w:style>
  <w:style w:type="character" w:customStyle="1" w:styleId="259">
    <w:name w:val="标题 Char"/>
    <w:link w:val="258"/>
    <w:qFormat/>
    <w:uiPriority w:val="10"/>
    <w:rPr>
      <w:rFonts w:ascii="Cambria" w:hAnsi="Cambria" w:cs="Times New Roman"/>
      <w:b/>
      <w:bCs/>
      <w:sz w:val="32"/>
      <w:szCs w:val="32"/>
    </w:rPr>
  </w:style>
  <w:style w:type="paragraph" w:customStyle="1" w:styleId="260">
    <w:name w:val="批注主题1"/>
    <w:basedOn w:val="215"/>
    <w:next w:val="215"/>
    <w:link w:val="261"/>
    <w:unhideWhenUsed/>
    <w:qFormat/>
    <w:uiPriority w:val="99"/>
    <w:rPr>
      <w:b/>
      <w:bCs/>
    </w:rPr>
  </w:style>
  <w:style w:type="character" w:customStyle="1" w:styleId="261">
    <w:name w:val="批注主题 Char"/>
    <w:link w:val="260"/>
    <w:semiHidden/>
    <w:qFormat/>
    <w:uiPriority w:val="99"/>
    <w:rPr>
      <w:rFonts w:ascii="Times New Roman" w:hAnsi="Times New Roman"/>
      <w:b/>
      <w:bCs/>
      <w:sz w:val="21"/>
      <w:szCs w:val="24"/>
    </w:rPr>
  </w:style>
  <w:style w:type="paragraph" w:customStyle="1" w:styleId="262">
    <w:name w:val="正文首行缩进11"/>
    <w:basedOn w:val="219"/>
    <w:qFormat/>
    <w:uiPriority w:val="0"/>
    <w:pPr>
      <w:widowControl/>
      <w:spacing w:after="160"/>
      <w:ind w:firstLine="420"/>
      <w:jc w:val="left"/>
    </w:pPr>
    <w:rPr>
      <w:rFonts w:ascii="仿宋体" w:eastAsia="仿宋体"/>
      <w:sz w:val="20"/>
      <w:lang w:eastAsia="en-US"/>
    </w:rPr>
  </w:style>
  <w:style w:type="paragraph" w:customStyle="1" w:styleId="263">
    <w:name w:val="正文首行缩进 21"/>
    <w:basedOn w:val="1"/>
    <w:qFormat/>
    <w:uiPriority w:val="0"/>
    <w:pPr>
      <w:widowControl w:val="0"/>
      <w:ind w:firstLine="420"/>
      <w:jc w:val="both"/>
    </w:pPr>
    <w:rPr>
      <w:rFonts w:ascii="Calibri" w:hAnsi="Calibri"/>
    </w:rPr>
  </w:style>
  <w:style w:type="table" w:customStyle="1" w:styleId="264">
    <w:name w:val="网格型1"/>
    <w:basedOn w:val="203"/>
    <w:qFormat/>
    <w:uiPriority w:val="0"/>
    <w:pPr>
      <w:widowControl w:val="0"/>
      <w:jc w:val="both"/>
    </w:pPr>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5">
    <w:name w:val="要点1"/>
    <w:basedOn w:val="202"/>
    <w:link w:val="1"/>
    <w:qFormat/>
    <w:uiPriority w:val="22"/>
    <w:rPr>
      <w:b/>
    </w:rPr>
  </w:style>
  <w:style w:type="character" w:customStyle="1" w:styleId="266">
    <w:name w:val="尾注引用1"/>
    <w:link w:val="1"/>
    <w:unhideWhenUsed/>
    <w:qFormat/>
    <w:uiPriority w:val="99"/>
    <w:rPr>
      <w:vertAlign w:val="superscript"/>
    </w:rPr>
  </w:style>
  <w:style w:type="character" w:customStyle="1" w:styleId="267">
    <w:name w:val="页码1"/>
    <w:link w:val="1"/>
    <w:qFormat/>
    <w:uiPriority w:val="0"/>
  </w:style>
  <w:style w:type="character" w:customStyle="1" w:styleId="268">
    <w:name w:val="已访问的超链接1"/>
    <w:link w:val="1"/>
    <w:qFormat/>
    <w:uiPriority w:val="0"/>
    <w:rPr>
      <w:color w:val="800080"/>
      <w:u w:val="single"/>
    </w:rPr>
  </w:style>
  <w:style w:type="character" w:customStyle="1" w:styleId="269">
    <w:name w:val="超链接1"/>
    <w:link w:val="1"/>
    <w:qFormat/>
    <w:uiPriority w:val="99"/>
    <w:rPr>
      <w:color w:val="0000FF"/>
      <w:u w:val="single"/>
    </w:rPr>
  </w:style>
  <w:style w:type="character" w:customStyle="1" w:styleId="270">
    <w:name w:val="批注引用1"/>
    <w:link w:val="1"/>
    <w:unhideWhenUsed/>
    <w:qFormat/>
    <w:uiPriority w:val="0"/>
    <w:rPr>
      <w:sz w:val="21"/>
      <w:szCs w:val="21"/>
    </w:rPr>
  </w:style>
  <w:style w:type="character" w:customStyle="1" w:styleId="271">
    <w:name w:val="脚注引用1"/>
    <w:link w:val="1"/>
    <w:unhideWhenUsed/>
    <w:qFormat/>
    <w:uiPriority w:val="99"/>
    <w:rPr>
      <w:vertAlign w:val="superscript"/>
    </w:rPr>
  </w:style>
  <w:style w:type="character" w:customStyle="1" w:styleId="272">
    <w:name w:val="HTML 样本1"/>
    <w:link w:val="1"/>
    <w:unhideWhenUsed/>
    <w:qFormat/>
    <w:uiPriority w:val="99"/>
    <w:rPr>
      <w:rFonts w:ascii="Courier New" w:hAnsi="Courier New"/>
    </w:rPr>
  </w:style>
  <w:style w:type="paragraph" w:customStyle="1" w:styleId="273">
    <w:name w:val="Default"/>
    <w:unhideWhenUsed/>
    <w:qFormat/>
    <w:uiPriority w:val="99"/>
    <w:pPr>
      <w:widowControl w:val="0"/>
    </w:pPr>
    <w:rPr>
      <w:rFonts w:hint="default" w:ascii="宋体" w:hAnsi="宋体" w:eastAsia="宋体" w:cs="Times New Roman"/>
      <w:color w:val="000000"/>
      <w:sz w:val="24"/>
      <w:lang w:val="en-US" w:eastAsia="zh-CN" w:bidi="ar-SA"/>
    </w:rPr>
  </w:style>
  <w:style w:type="paragraph" w:customStyle="1" w:styleId="274">
    <w:name w:val="表格文字115"/>
    <w:basedOn w:val="1"/>
    <w:qFormat/>
    <w:uiPriority w:val="0"/>
    <w:pPr>
      <w:jc w:val="left"/>
    </w:pPr>
    <w:rPr>
      <w:bCs/>
      <w:spacing w:val="10"/>
      <w:sz w:val="24"/>
    </w:rPr>
  </w:style>
  <w:style w:type="paragraph" w:customStyle="1" w:styleId="275">
    <w:name w:val="TOC 标题1"/>
    <w:basedOn w:val="192"/>
    <w:next w:val="1"/>
    <w:qFormat/>
    <w:uiPriority w:val="0"/>
    <w:pPr>
      <w:widowControl/>
      <w:spacing w:before="480" w:after="0" w:line="276" w:lineRule="auto"/>
      <w:jc w:val="left"/>
      <w:outlineLvl w:val="9"/>
    </w:pPr>
    <w:rPr>
      <w:rFonts w:ascii="Cambria" w:hAnsi="Cambria"/>
      <w:color w:val="365F91"/>
      <w:sz w:val="28"/>
      <w:szCs w:val="28"/>
    </w:rPr>
  </w:style>
  <w:style w:type="character" w:customStyle="1" w:styleId="276">
    <w:name w:val="case31"/>
    <w:link w:val="1"/>
    <w:qFormat/>
    <w:uiPriority w:val="0"/>
    <w:rPr>
      <w:sz w:val="21"/>
      <w:szCs w:val="21"/>
    </w:rPr>
  </w:style>
  <w:style w:type="character" w:customStyle="1" w:styleId="277">
    <w:name w:val="apple-style-span"/>
    <w:link w:val="1"/>
    <w:qFormat/>
    <w:uiPriority w:val="0"/>
  </w:style>
  <w:style w:type="character" w:customStyle="1" w:styleId="278">
    <w:name w:val="无"/>
    <w:link w:val="1"/>
    <w:qFormat/>
    <w:uiPriority w:val="0"/>
  </w:style>
  <w:style w:type="character" w:customStyle="1" w:styleId="279">
    <w:name w:val="font41"/>
    <w:link w:val="1"/>
    <w:qFormat/>
    <w:uiPriority w:val="0"/>
    <w:rPr>
      <w:rFonts w:hint="eastAsia" w:ascii="宋体" w:hAnsi="宋体" w:eastAsia="宋体" w:cs="宋体"/>
      <w:color w:val="000000"/>
      <w:sz w:val="20"/>
      <w:szCs w:val="20"/>
      <w:u w:val="none"/>
    </w:rPr>
  </w:style>
  <w:style w:type="character" w:customStyle="1" w:styleId="280">
    <w:name w:val="font21"/>
    <w:link w:val="1"/>
    <w:qFormat/>
    <w:uiPriority w:val="0"/>
    <w:rPr>
      <w:rFonts w:ascii="Times New Roman" w:hAnsi="Times New Roman" w:cs="Times New Roman"/>
      <w:color w:val="000000"/>
      <w:sz w:val="20"/>
      <w:szCs w:val="20"/>
      <w:u w:val="none"/>
    </w:rPr>
  </w:style>
  <w:style w:type="character" w:customStyle="1" w:styleId="281">
    <w:name w:val="font51"/>
    <w:link w:val="1"/>
    <w:qFormat/>
    <w:uiPriority w:val="0"/>
    <w:rPr>
      <w:rFonts w:ascii="Times New Roman" w:hAnsi="Times New Roman" w:cs="Times New Roman"/>
      <w:color w:val="000000"/>
      <w:sz w:val="20"/>
      <w:szCs w:val="20"/>
      <w:u w:val="none"/>
    </w:rPr>
  </w:style>
  <w:style w:type="character" w:customStyle="1" w:styleId="282">
    <w:name w:val="textcontents"/>
    <w:link w:val="1"/>
    <w:qFormat/>
    <w:uiPriority w:val="0"/>
  </w:style>
  <w:style w:type="character" w:customStyle="1" w:styleId="283">
    <w:name w:val="headline-content4"/>
    <w:link w:val="1"/>
    <w:qFormat/>
    <w:uiPriority w:val="0"/>
  </w:style>
  <w:style w:type="character" w:customStyle="1" w:styleId="284">
    <w:name w:val="font01"/>
    <w:link w:val="1"/>
    <w:qFormat/>
    <w:uiPriority w:val="0"/>
    <w:rPr>
      <w:rFonts w:hint="eastAsia" w:ascii="宋体" w:hAnsi="宋体" w:eastAsia="宋体" w:cs="宋体"/>
      <w:color w:val="000000"/>
      <w:sz w:val="24"/>
      <w:szCs w:val="24"/>
      <w:u w:val="none"/>
    </w:rPr>
  </w:style>
  <w:style w:type="character" w:customStyle="1" w:styleId="285">
    <w:name w:val="正文文本缩进 Char1"/>
    <w:link w:val="1"/>
    <w:semiHidden/>
    <w:qFormat/>
    <w:uiPriority w:val="0"/>
    <w:rPr>
      <w:rFonts w:ascii="仿宋_GB2312" w:hAnsi="Times New Roman" w:eastAsia="仿宋_GB2312"/>
      <w:sz w:val="32"/>
    </w:rPr>
  </w:style>
  <w:style w:type="character" w:customStyle="1" w:styleId="286">
    <w:name w:val="font31"/>
    <w:link w:val="1"/>
    <w:qFormat/>
    <w:uiPriority w:val="0"/>
    <w:rPr>
      <w:rFonts w:ascii="Times New Roman" w:hAnsi="Times New Roman" w:cs="Times New Roman"/>
      <w:color w:val="000000"/>
      <w:sz w:val="20"/>
      <w:szCs w:val="20"/>
      <w:u w:val="none"/>
    </w:rPr>
  </w:style>
  <w:style w:type="character" w:customStyle="1" w:styleId="287">
    <w:name w:val="批注文字 Char1"/>
    <w:link w:val="1"/>
    <w:semiHidden/>
    <w:qFormat/>
    <w:uiPriority w:val="0"/>
    <w:rPr>
      <w:rFonts w:ascii="Times New Roman" w:hAnsi="Times New Roman"/>
      <w:sz w:val="21"/>
      <w:szCs w:val="24"/>
    </w:rPr>
  </w:style>
  <w:style w:type="paragraph" w:customStyle="1" w:styleId="288">
    <w:name w:val="表格"/>
    <w:basedOn w:val="1"/>
    <w:qFormat/>
    <w:uiPriority w:val="0"/>
    <w:pPr>
      <w:spacing w:line="400" w:lineRule="exact"/>
    </w:pPr>
    <w:rPr>
      <w:sz w:val="24"/>
    </w:rPr>
  </w:style>
  <w:style w:type="paragraph" w:customStyle="1" w:styleId="289">
    <w:name w:val="样式 首行缩进:  2 字符"/>
    <w:basedOn w:val="1"/>
    <w:qFormat/>
    <w:uiPriority w:val="0"/>
    <w:pPr>
      <w:spacing w:line="400" w:lineRule="exact"/>
      <w:ind w:firstLine="200"/>
    </w:pPr>
    <w:rPr>
      <w:rFonts w:cs="宋体"/>
      <w:sz w:val="24"/>
    </w:rPr>
  </w:style>
  <w:style w:type="paragraph" w:customStyle="1" w:styleId="290">
    <w:name w:val="Char1"/>
    <w:basedOn w:val="1"/>
    <w:qFormat/>
    <w:uiPriority w:val="0"/>
    <w:rPr>
      <w:szCs w:val="21"/>
    </w:rPr>
  </w:style>
  <w:style w:type="paragraph" w:customStyle="1" w:styleId="291">
    <w:name w:val="默认段落字体 Para Char Char Char Char Char Char Char Char Char1 Char Char Char Char"/>
    <w:basedOn w:val="1"/>
    <w:qFormat/>
    <w:uiPriority w:val="0"/>
    <w:rPr>
      <w:rFonts w:ascii="Tahoma" w:hAnsi="Tahoma"/>
      <w:sz w:val="24"/>
      <w:szCs w:val="20"/>
    </w:rPr>
  </w:style>
  <w:style w:type="paragraph" w:customStyle="1" w:styleId="292">
    <w:name w:val="正文段"/>
    <w:basedOn w:val="1"/>
    <w:qFormat/>
    <w:uiPriority w:val="0"/>
    <w:pPr>
      <w:widowControl/>
      <w:spacing w:after="50"/>
      <w:ind w:firstLine="200"/>
    </w:pPr>
    <w:rPr>
      <w:sz w:val="24"/>
      <w:szCs w:val="20"/>
    </w:rPr>
  </w:style>
  <w:style w:type="paragraph" w:customStyle="1" w:styleId="293">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94">
    <w:name w:val="样式 标题 3 + (中文) 黑体 小四 非加粗 段前: 7.8 磅 段后: 0 磅 行距: 固定值 20 磅"/>
    <w:basedOn w:val="194"/>
    <w:qFormat/>
    <w:uiPriority w:val="0"/>
    <w:pPr>
      <w:spacing w:before="0" w:after="0" w:line="400" w:lineRule="exact"/>
    </w:pPr>
    <w:rPr>
      <w:rFonts w:eastAsia="黑体" w:cs="宋体"/>
      <w:b w:val="0"/>
      <w:bCs w:val="0"/>
      <w:sz w:val="24"/>
      <w:szCs w:val="20"/>
    </w:rPr>
  </w:style>
  <w:style w:type="paragraph" w:customStyle="1" w:styleId="295">
    <w:name w:val="正文首行缩进两字符"/>
    <w:basedOn w:val="1"/>
    <w:qFormat/>
    <w:uiPriority w:val="0"/>
    <w:pPr>
      <w:spacing w:line="360" w:lineRule="auto"/>
      <w:ind w:firstLine="200"/>
    </w:pPr>
  </w:style>
  <w:style w:type="paragraph" w:customStyle="1" w:styleId="296">
    <w:name w:val="列出段落"/>
    <w:basedOn w:val="1"/>
    <w:qFormat/>
    <w:uiPriority w:val="34"/>
    <w:pPr>
      <w:ind w:firstLine="420"/>
    </w:pPr>
  </w:style>
  <w:style w:type="paragraph" w:customStyle="1" w:styleId="297">
    <w:name w:val="样式 标题 2 + Times New Roman 四号 非加粗 段前: 5 磅 段后: 0 磅 行距: 固定值 20..."/>
    <w:basedOn w:val="193"/>
    <w:qFormat/>
    <w:uiPriority w:val="0"/>
    <w:pPr>
      <w:spacing w:before="100" w:after="0" w:line="400" w:lineRule="exact"/>
    </w:pPr>
    <w:rPr>
      <w:rFonts w:ascii="Times New Roman" w:hAnsi="Times New Roman" w:cs="宋体"/>
      <w:b w:val="0"/>
      <w:bCs w:val="0"/>
      <w:sz w:val="28"/>
      <w:szCs w:val="20"/>
    </w:rPr>
  </w:style>
  <w:style w:type="paragraph" w:customStyle="1" w:styleId="298">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99">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300">
    <w:name w:val="标题3（采购需求）"/>
    <w:basedOn w:val="301"/>
    <w:next w:val="1"/>
    <w:qFormat/>
    <w:uiPriority w:val="0"/>
    <w:pPr>
      <w:spacing w:before="0" w:after="0"/>
    </w:pPr>
    <w:rPr>
      <w:rFonts w:ascii="宋体" w:hAnsi="宋体" w:eastAsia="宋体"/>
    </w:rPr>
  </w:style>
  <w:style w:type="paragraph" w:customStyle="1" w:styleId="301">
    <w:name w:val="标题3"/>
    <w:basedOn w:val="194"/>
    <w:next w:val="1"/>
    <w:qFormat/>
    <w:uiPriority w:val="0"/>
    <w:pPr>
      <w:spacing w:before="200" w:after="200" w:line="360" w:lineRule="auto"/>
      <w:ind w:firstLine="0"/>
    </w:pPr>
    <w:rPr>
      <w:rFonts w:ascii="黑体" w:hAnsi="黑体" w:eastAsia="黑体"/>
      <w:bCs w:val="0"/>
      <w:sz w:val="24"/>
      <w:szCs w:val="24"/>
    </w:rPr>
  </w:style>
  <w:style w:type="character" w:customStyle="1" w:styleId="302">
    <w:name w:val="NormalCharacter1"/>
    <w:link w:val="1"/>
    <w:semiHidden/>
    <w:qFormat/>
    <w:uiPriority w:val="0"/>
  </w:style>
  <w:style w:type="paragraph" w:customStyle="1" w:styleId="303">
    <w:name w:val="正文2"/>
    <w:basedOn w:val="1"/>
    <w:qFormat/>
    <w:uiPriority w:val="0"/>
    <w:pPr>
      <w:spacing w:before="156" w:line="360" w:lineRule="auto"/>
      <w:ind w:firstLine="510"/>
    </w:pPr>
    <w:rPr>
      <w:sz w:val="24"/>
      <w:szCs w:val="20"/>
    </w:rPr>
  </w:style>
  <w:style w:type="paragraph" w:customStyle="1" w:styleId="304">
    <w:name w:val="表格文字"/>
    <w:basedOn w:val="1"/>
    <w:qFormat/>
    <w:uiPriority w:val="0"/>
    <w:pPr>
      <w:spacing w:before="25" w:after="25"/>
    </w:pPr>
    <w:rPr>
      <w:rFonts w:ascii="Times New Roman"/>
      <w:bCs/>
      <w:spacing w:val="10"/>
      <w:szCs w:val="20"/>
    </w:rPr>
  </w:style>
  <w:style w:type="paragraph" w:customStyle="1" w:styleId="305">
    <w:name w:val="正文首行缩进1"/>
    <w:qFormat/>
    <w:uiPriority w:val="0"/>
    <w:pPr>
      <w:ind w:firstLine="672"/>
    </w:pPr>
    <w:rPr>
      <w:rFonts w:hint="default" w:ascii="宋体" w:hAnsi="宋体" w:eastAsia="宋体" w:cs="宋体"/>
      <w:lang w:val="en-US" w:eastAsia="zh-CN" w:bidi="ar-SA"/>
    </w:rPr>
  </w:style>
  <w:style w:type="paragraph" w:customStyle="1" w:styleId="306">
    <w:name w:val="附录标识"/>
    <w:basedOn w:val="307"/>
    <w:qFormat/>
    <w:uiPriority w:val="0"/>
    <w:pPr>
      <w:numPr>
        <w:ilvl w:val="0"/>
        <w:numId w:val="3"/>
      </w:numPr>
      <w:tabs>
        <w:tab w:val="left" w:pos="6405"/>
      </w:tabs>
      <w:spacing w:after="200"/>
    </w:pPr>
    <w:rPr>
      <w:sz w:val="21"/>
    </w:rPr>
  </w:style>
  <w:style w:type="paragraph" w:customStyle="1" w:styleId="307">
    <w:name w:val="前言、引言标题"/>
    <w:next w:val="1"/>
    <w:qFormat/>
    <w:uiPriority w:val="0"/>
    <w:pPr>
      <w:numPr>
        <w:ilvl w:val="0"/>
        <w:numId w:val="4"/>
      </w:numPr>
      <w:shd w:val="clear" w:color="FFFFFF" w:fill="FFFFFF"/>
      <w:spacing w:before="640" w:after="560"/>
      <w:jc w:val="center"/>
      <w:outlineLvl w:val="0"/>
    </w:pPr>
    <w:rPr>
      <w:rFonts w:hint="default" w:ascii="黑体" w:hAnsi="Times New Roman" w:eastAsia="黑体" w:cs="Times New Roman"/>
      <w:sz w:val="32"/>
      <w:lang w:val="en-US" w:eastAsia="zh-CN" w:bidi="ar-SA"/>
    </w:rPr>
  </w:style>
  <w:style w:type="paragraph" w:customStyle="1" w:styleId="308">
    <w:name w:val="附录章标题"/>
    <w:next w:val="309"/>
    <w:qFormat/>
    <w:uiPriority w:val="0"/>
    <w:pPr>
      <w:numPr>
        <w:ilvl w:val="1"/>
        <w:numId w:val="3"/>
      </w:numPr>
      <w:jc w:val="both"/>
      <w:outlineLvl w:val="1"/>
    </w:pPr>
    <w:rPr>
      <w:rFonts w:hint="default" w:ascii="黑体" w:hAnsi="Times New Roman" w:eastAsia="黑体" w:cs="Times New Roman"/>
      <w:sz w:val="21"/>
      <w:lang w:val="en-US" w:eastAsia="zh-CN" w:bidi="ar-SA"/>
    </w:rPr>
  </w:style>
  <w:style w:type="paragraph" w:customStyle="1" w:styleId="309">
    <w:name w:val="段"/>
    <w:next w:val="1"/>
    <w:qFormat/>
    <w:uiPriority w:val="0"/>
    <w:pPr>
      <w:ind w:firstLine="200"/>
      <w:jc w:val="both"/>
    </w:pPr>
    <w:rPr>
      <w:rFonts w:hint="default" w:ascii="宋体" w:hAnsi="Times New Roman" w:eastAsia="宋体" w:cs="Times New Roman"/>
      <w:sz w:val="21"/>
      <w:lang w:val="en-US" w:eastAsia="zh-CN" w:bidi="ar-SA"/>
    </w:rPr>
  </w:style>
  <w:style w:type="paragraph" w:customStyle="1" w:styleId="310">
    <w:name w:val="附录表标题"/>
    <w:next w:val="309"/>
    <w:qFormat/>
    <w:uiPriority w:val="0"/>
    <w:pPr>
      <w:jc w:val="center"/>
    </w:pPr>
    <w:rPr>
      <w:rFonts w:hint="default" w:ascii="黑体" w:hAnsi="Times New Roman" w:eastAsia="黑体" w:cs="Times New Roman"/>
      <w:sz w:val="21"/>
      <w:lang w:val="en-US" w:eastAsia="zh-CN" w:bidi="ar-SA"/>
    </w:rPr>
  </w:style>
  <w:style w:type="paragraph" w:customStyle="1" w:styleId="311">
    <w:name w:val="封面标准文稿编辑信息"/>
    <w:qFormat/>
    <w:uiPriority w:val="0"/>
    <w:pPr>
      <w:spacing w:before="180" w:line="180" w:lineRule="exact"/>
      <w:jc w:val="center"/>
    </w:pPr>
    <w:rPr>
      <w:rFonts w:hint="default" w:ascii="宋体" w:hAnsi="Times New Roman" w:eastAsia="宋体" w:cs="Times New Roman"/>
      <w:sz w:val="21"/>
      <w:lang w:val="en-US" w:eastAsia="zh-CN" w:bidi="ar-SA"/>
    </w:rPr>
  </w:style>
  <w:style w:type="paragraph" w:customStyle="1" w:styleId="312">
    <w:name w:val="Normal_19"/>
    <w:qFormat/>
    <w:uiPriority w:val="0"/>
    <w:pPr>
      <w:spacing w:before="120" w:after="240"/>
      <w:jc w:val="both"/>
    </w:pPr>
    <w:rPr>
      <w:rFonts w:hint="default" w:ascii="Calibri" w:hAnsi="Calibri" w:eastAsia="Calibri" w:cs="Times New Roman"/>
      <w:sz w:val="22"/>
      <w:szCs w:val="22"/>
      <w:lang w:val="ru-RU" w:eastAsia="en-US" w:bidi="ar-SA"/>
    </w:rPr>
  </w:style>
  <w:style w:type="paragraph" w:customStyle="1" w:styleId="313">
    <w:name w:val="Normal_18"/>
    <w:qFormat/>
    <w:uiPriority w:val="0"/>
    <w:pPr>
      <w:spacing w:before="120" w:after="240"/>
      <w:jc w:val="both"/>
    </w:pPr>
    <w:rPr>
      <w:rFonts w:hint="default" w:ascii="Calibri" w:hAnsi="Calibri" w:eastAsia="Calibri" w:cs="Times New Roman"/>
      <w:sz w:val="22"/>
      <w:szCs w:val="22"/>
      <w:lang w:val="ru-RU" w:eastAsia="en-US" w:bidi="ar-SA"/>
    </w:rPr>
  </w:style>
  <w:style w:type="paragraph" w:customStyle="1" w:styleId="314">
    <w:name w:val="一级条标题"/>
    <w:basedOn w:val="315"/>
    <w:next w:val="309"/>
    <w:qFormat/>
    <w:uiPriority w:val="0"/>
    <w:pPr>
      <w:spacing w:line="240" w:lineRule="auto"/>
      <w:ind w:left="420"/>
      <w:outlineLvl w:val="2"/>
    </w:pPr>
  </w:style>
  <w:style w:type="paragraph" w:customStyle="1" w:styleId="315">
    <w:name w:val="章标题"/>
    <w:next w:val="1"/>
    <w:qFormat/>
    <w:uiPriority w:val="0"/>
    <w:pPr>
      <w:spacing w:line="360" w:lineRule="auto"/>
      <w:jc w:val="both"/>
      <w:outlineLvl w:val="1"/>
    </w:pPr>
    <w:rPr>
      <w:rFonts w:hint="default" w:ascii="黑体" w:hAnsi="Times New Roman" w:eastAsia="黑体" w:cs="黑体"/>
      <w:sz w:val="21"/>
      <w:szCs w:val="21"/>
      <w:lang w:val="en-US" w:eastAsia="zh-CN" w:bidi="ar-SA"/>
    </w:rPr>
  </w:style>
  <w:style w:type="paragraph" w:customStyle="1" w:styleId="316">
    <w:name w:val="Table Text"/>
    <w:basedOn w:val="1"/>
    <w:semiHidden/>
    <w:qFormat/>
    <w:uiPriority w:val="0"/>
    <w:rPr>
      <w:rFonts w:ascii="宋体" w:hAnsi="宋体" w:eastAsia="宋体" w:cs="宋体"/>
      <w:sz w:val="20"/>
      <w:szCs w:val="20"/>
      <w:lang w:val="en-US" w:eastAsia="en-US" w:bidi="ar-SA"/>
    </w:rPr>
  </w:style>
  <w:style w:type="character" w:customStyle="1" w:styleId="317">
    <w:name w:val="font11"/>
    <w:basedOn w:val="202"/>
    <w:link w:val="1"/>
    <w:qFormat/>
    <w:uiPriority w:val="0"/>
    <w:rPr>
      <w:rFonts w:hint="eastAsia" w:ascii="宋体" w:hAnsi="宋体" w:eastAsia="宋体" w:cs="宋体"/>
      <w:color w:val="000000"/>
      <w:sz w:val="20"/>
      <w:szCs w:val="20"/>
      <w:u w:val="none"/>
    </w:rPr>
  </w:style>
  <w:style w:type="paragraph" w:customStyle="1" w:styleId="318">
    <w:name w:val="Body Text First Indent1"/>
    <w:basedOn w:val="219"/>
    <w:qFormat/>
    <w:uiPriority w:val="0"/>
    <w:pPr>
      <w:ind w:firstLine="420"/>
    </w:pPr>
    <w:rPr>
      <w:rFonts w:ascii="Times New Roman" w:hAnsi="Times New Roman" w:eastAsia="宋体" w:cs="黑体"/>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4097" textRotate="1"/>
    <customShpInfo spid="_x0000_s4099"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Pages>77</Pages>
  <Words>35019</Words>
  <Characters>36792</Characters>
  <TotalTime>18</TotalTime>
  <ScaleCrop>false</ScaleCrop>
  <LinksUpToDate>false</LinksUpToDate>
  <CharactersWithSpaces>37608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2019-09-06T07:06:00Z</dcterms:created>
  <dc:creator>番茄</dc:creator>
  <cp:lastModifiedBy>WPS_1508904863</cp:lastModifiedBy>
  <dcterms:modified xsi:type="dcterms:W3CDTF">2026-08-14T03:28:33Z</dcterms:modified>
  <dc:title>公开招标采</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eyJoZGlkIjoiNDlmZmZlODBhZTU3OWVmY2UzNTk1NWRkMGVhMDJiYmYiLCJ1c2VySWQiOiIzMTY1NzM0ODMifQ==</vt:lpwstr>
  </property>
  <property fmtid="{D5CDD505-2E9C-101B-9397-08002B2CF9AE}" pid="3" name="KSOProductBuildVer">
    <vt:lpwstr>2052-12.1.0.28043</vt:lpwstr>
  </property>
  <property fmtid="{D5CDD505-2E9C-101B-9397-08002B2CF9AE}" pid="4" name="ICV">
    <vt:lpwstr>D14DC75CDB304A4C87A9F8E835A5229D_12</vt:lpwstr>
  </property>
</Properties>
</file>