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7FE1E1EB">
      <w:pPr>
        <w:tabs>
          <w:tab w:val="left" w:pos="3570"/>
        </w:tabs>
        <w:spacing w:line="400" w:lineRule="exact"/>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项目名称：信息科存储与核心服务器维保服务项目</w:t>
      </w:r>
    </w:p>
    <w:p w14:paraId="2B377709">
      <w:pPr>
        <w:spacing w:line="400" w:lineRule="exact"/>
        <w:ind w:firstLine="1928"/>
        <w:jc w:val="left"/>
        <w:rPr>
          <w:rFonts w:hint="eastAsia" w:ascii="宋体" w:hAnsi="宋体" w:cs="宋体"/>
          <w:b/>
          <w:color w:val="auto"/>
          <w:sz w:val="32"/>
          <w:szCs w:val="32"/>
          <w:highlight w:val="none"/>
        </w:rPr>
      </w:pPr>
    </w:p>
    <w:p w14:paraId="66849E99">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GGZC2026-C3-990187-YZLZ </w:t>
      </w:r>
      <w:r>
        <w:rPr>
          <w:rFonts w:hint="eastAsia" w:ascii="宋体" w:hAnsi="宋体" w:cs="宋体"/>
          <w:b/>
          <w:color w:val="auto"/>
          <w:sz w:val="32"/>
          <w:szCs w:val="32"/>
          <w:highlight w:val="none"/>
        </w:rPr>
        <w:t xml:space="preserve">         </w:t>
      </w:r>
    </w:p>
    <w:p w14:paraId="0CCC8637">
      <w:pPr>
        <w:spacing w:line="400" w:lineRule="exact"/>
        <w:ind w:firstLine="1928"/>
        <w:jc w:val="left"/>
        <w:rPr>
          <w:rFonts w:hint="eastAsia" w:ascii="宋体" w:hAnsi="宋体" w:cs="宋体"/>
          <w:b/>
          <w:color w:val="auto"/>
          <w:sz w:val="32"/>
          <w:szCs w:val="32"/>
          <w:highlight w:val="none"/>
        </w:rPr>
      </w:pPr>
    </w:p>
    <w:p w14:paraId="5ADB5E51">
      <w:pPr>
        <w:spacing w:line="400" w:lineRule="exact"/>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贵港市人民医院</w:t>
      </w:r>
    </w:p>
    <w:p w14:paraId="737056A4">
      <w:pPr>
        <w:spacing w:line="400" w:lineRule="exact"/>
        <w:ind w:firstLine="1928"/>
        <w:jc w:val="left"/>
        <w:rPr>
          <w:rFonts w:hint="eastAsia" w:ascii="宋体" w:hAnsi="宋体" w:cs="宋体"/>
          <w:b/>
          <w:color w:val="auto"/>
          <w:sz w:val="32"/>
          <w:szCs w:val="32"/>
          <w:highlight w:val="none"/>
          <w:lang w:eastAsia="zh-CN"/>
        </w:rPr>
      </w:pPr>
    </w:p>
    <w:p w14:paraId="6D330A9D">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bookmarkStart w:id="49" w:name="_GoBack"/>
      <w:bookmarkEnd w:id="49"/>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5"/>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AA35905">
      <w:pPr>
        <w:pStyle w:val="27"/>
        <w:tabs>
          <w:tab w:val="right" w:leader="dot" w:pos="9638"/>
        </w:tabs>
        <w:spacing w:line="360" w:lineRule="auto"/>
        <w:rPr>
          <w:color w:val="auto"/>
          <w:sz w:val="28"/>
          <w:szCs w:val="28"/>
          <w:highlight w:val="none"/>
        </w:rPr>
      </w:pP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 TOC \o "1-3" \h \z \u </w:instrText>
      </w:r>
      <w:r>
        <w:rPr>
          <w:rFonts w:hint="eastAsia" w:ascii="宋体" w:hAnsi="宋体" w:cs="宋体"/>
          <w:b/>
          <w:color w:val="auto"/>
          <w:sz w:val="28"/>
          <w:szCs w:val="28"/>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_Toc22865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_Toc22865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BBBDEDE">
      <w:pPr>
        <w:pStyle w:val="27"/>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_Toc8153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_Toc8153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6B14748">
      <w:pPr>
        <w:pStyle w:val="27"/>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_Toc30458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_Toc30458 \h </w:instrText>
      </w:r>
      <w:r>
        <w:rPr>
          <w:color w:val="auto"/>
          <w:sz w:val="28"/>
          <w:szCs w:val="28"/>
          <w:highlight w:val="none"/>
        </w:rPr>
        <w:fldChar w:fldCharType="separate"/>
      </w:r>
      <w:r>
        <w:rPr>
          <w:color w:val="auto"/>
          <w:sz w:val="28"/>
          <w:szCs w:val="28"/>
          <w:highlight w:val="none"/>
        </w:rPr>
        <w:t>19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F6B01A2">
      <w:pPr>
        <w:pStyle w:val="27"/>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_Toc13951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_Toc13951 \h </w:instrText>
      </w:r>
      <w:r>
        <w:rPr>
          <w:color w:val="auto"/>
          <w:sz w:val="28"/>
          <w:szCs w:val="28"/>
          <w:highlight w:val="none"/>
        </w:rPr>
        <w:fldChar w:fldCharType="separate"/>
      </w:r>
      <w:r>
        <w:rPr>
          <w:color w:val="auto"/>
          <w:sz w:val="28"/>
          <w:szCs w:val="28"/>
          <w:highlight w:val="none"/>
        </w:rPr>
        <w:t>36</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3576C6C7">
      <w:pPr>
        <w:pStyle w:val="27"/>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_Toc21416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_Toc21416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C420790">
      <w:pPr>
        <w:pStyle w:val="27"/>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_Toc10674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_Toc10674 \h </w:instrText>
      </w:r>
      <w:r>
        <w:rPr>
          <w:color w:val="auto"/>
          <w:sz w:val="28"/>
          <w:szCs w:val="28"/>
          <w:highlight w:val="none"/>
        </w:rPr>
        <w:fldChar w:fldCharType="separate"/>
      </w:r>
      <w:r>
        <w:rPr>
          <w:color w:val="auto"/>
          <w:sz w:val="28"/>
          <w:szCs w:val="28"/>
          <w:highlight w:val="none"/>
        </w:rPr>
        <w:t>71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6"/>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7"/>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5"/>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5"/>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22865"/>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信息科存储与核心服务器维保服务项目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2026年9月2日9时00分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5"/>
        <w:spacing w:before="0" w:after="0" w:line="240" w:lineRule="auto"/>
        <w:ind w:firstLine="422"/>
        <w:rPr>
          <w:rFonts w:hint="eastAsia" w:ascii="宋体" w:hAnsi="宋体" w:cs="宋体"/>
          <w:bCs w:val="0"/>
          <w:color w:val="auto"/>
          <w:sz w:val="21"/>
          <w:szCs w:val="21"/>
          <w:highlight w:val="none"/>
        </w:rPr>
      </w:pPr>
      <w:bookmarkStart w:id="2" w:name="_Toc22456"/>
      <w:bookmarkStart w:id="3" w:name="_Toc35393798"/>
      <w:bookmarkStart w:id="4" w:name="_Toc44229878"/>
      <w:bookmarkStart w:id="5" w:name="_Toc12139"/>
      <w:bookmarkStart w:id="6" w:name="_Toc28359012"/>
      <w:bookmarkStart w:id="7" w:name="_Toc24625"/>
      <w:bookmarkStart w:id="8" w:name="_Toc22650"/>
      <w:bookmarkStart w:id="9" w:name="_Toc19149"/>
      <w:bookmarkStart w:id="10" w:name="_Toc28091"/>
      <w:bookmarkStart w:id="11" w:name="_Toc28359089"/>
      <w:bookmarkStart w:id="12" w:name="_Toc24948"/>
      <w:bookmarkStart w:id="13"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bookmarkEnd w:id="12"/>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GGZC2026-C3-990187-YZLZ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信息科存储与核心服务器维保服务项目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1974600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信息科存储与核心服务器维保服务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1974600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信息科存储与核心服务器维保服务</w:t>
      </w:r>
      <w:r>
        <w:rPr>
          <w:rFonts w:hint="eastAsia" w:ascii="宋体" w:hAnsi="宋体" w:cs="宋体"/>
          <w:color w:val="auto"/>
          <w:szCs w:val="21"/>
          <w:highlight w:val="none"/>
        </w:rPr>
        <w:t>1项</w:t>
      </w:r>
      <w:r>
        <w:rPr>
          <w:rFonts w:hint="eastAsia" w:ascii="宋体" w:hAnsi="宋体" w:cs="宋体"/>
          <w:color w:val="auto"/>
          <w:szCs w:val="21"/>
          <w:highlight w:val="none"/>
          <w:lang w:eastAsia="zh-CN"/>
        </w:rPr>
        <w:t>；</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1974600</w:t>
      </w:r>
    </w:p>
    <w:p w14:paraId="3C3E75A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合同履约期限：签订合同后30天内完成设备升级和软件更新，并提供维保服务两年。</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4" w:name="_Toc71366167"/>
      <w:r>
        <w:rPr>
          <w:rFonts w:hint="eastAsia" w:ascii="宋体" w:hAnsi="宋体" w:cs="宋体"/>
          <w:b/>
          <w:color w:val="auto"/>
          <w:sz w:val="24"/>
          <w:highlight w:val="none"/>
        </w:rPr>
        <w:t>二、申请人的资格条件：</w:t>
      </w:r>
      <w:bookmarkEnd w:id="13"/>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rPr>
        <w:t>本项目属于专门面向中小企业采购的项目；供应商对应符合《政府采购促进中小企业发展管理办法》（财库〔2020〕46号）要求的中小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cs="宋体"/>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5" w:name="_Toc71366168"/>
      <w:r>
        <w:rPr>
          <w:rFonts w:hint="eastAsia" w:ascii="宋体" w:hAnsi="宋体" w:cs="宋体"/>
          <w:b/>
          <w:color w:val="auto"/>
          <w:sz w:val="24"/>
          <w:highlight w:val="none"/>
        </w:rPr>
        <w:t>三、获取竞争性磋商文件</w:t>
      </w:r>
      <w:bookmarkEnd w:id="14"/>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6" w:name="_Toc71366169"/>
      <w:r>
        <w:rPr>
          <w:rFonts w:hint="eastAsia" w:ascii="宋体" w:hAnsi="宋体" w:cs="宋体"/>
          <w:b/>
          <w:color w:val="auto"/>
          <w:sz w:val="24"/>
          <w:highlight w:val="none"/>
        </w:rPr>
        <w:t>四、响应文件提交</w:t>
      </w:r>
      <w:bookmarkEnd w:id="15"/>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2026年9月2日9时00分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7" w:name="_Toc71366170"/>
      <w:r>
        <w:rPr>
          <w:rFonts w:hint="eastAsia" w:ascii="宋体" w:hAnsi="宋体" w:cs="宋体"/>
          <w:b/>
          <w:color w:val="auto"/>
          <w:sz w:val="24"/>
          <w:highlight w:val="none"/>
        </w:rPr>
        <w:t>五、</w:t>
      </w:r>
      <w:bookmarkEnd w:id="16"/>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2026年9月2日9时00分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8" w:name="_Toc71366171"/>
      <w:r>
        <w:rPr>
          <w:rFonts w:hint="eastAsia" w:ascii="宋体" w:hAnsi="宋体" w:cs="宋体"/>
          <w:b/>
          <w:color w:val="auto"/>
          <w:sz w:val="24"/>
          <w:highlight w:val="none"/>
        </w:rPr>
        <w:t>六、公告期限</w:t>
      </w:r>
      <w:bookmarkEnd w:id="17"/>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9" w:name="_Toc71366172"/>
      <w:r>
        <w:rPr>
          <w:rFonts w:hint="eastAsia" w:ascii="宋体" w:hAnsi="宋体" w:cs="宋体"/>
          <w:b/>
          <w:color w:val="auto"/>
          <w:sz w:val="24"/>
          <w:highlight w:val="none"/>
        </w:rPr>
        <w:t>七、其他补充事宜</w:t>
      </w:r>
      <w:bookmarkEnd w:id="18"/>
    </w:p>
    <w:p w14:paraId="0E1C3409">
      <w:pPr>
        <w:spacing w:line="300" w:lineRule="auto"/>
        <w:ind w:firstLine="420"/>
        <w:rPr>
          <w:rFonts w:hint="eastAsia" w:ascii="宋体" w:hAnsi="宋体" w:cs="宋体"/>
          <w:color w:val="auto"/>
          <w:szCs w:val="21"/>
          <w:highlight w:val="none"/>
        </w:rPr>
      </w:pPr>
      <w:bookmarkStart w:id="20" w:name="_Toc28359095"/>
      <w:bookmarkStart w:id="21" w:name="_Toc28359018"/>
      <w:bookmarkStart w:id="22" w:name="_Toc35393805"/>
      <w:bookmarkStart w:id="23" w:name="_Toc35393636"/>
      <w:bookmarkStart w:id="24"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1A74697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579FBEB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）政府采购促进残疾人就业政策。</w:t>
      </w:r>
    </w:p>
    <w:p w14:paraId="5EDBCA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）政府采购支持监狱企业发展。</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24DEF0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04896A5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电  话：0775-4555290、0775-4564649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288"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0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八、凡对本次采购提出询问，请按以下方式联系</w:t>
      </w:r>
      <w:r>
        <w:rPr>
          <w:rFonts w:hint="eastAsia" w:ascii="宋体" w:hAnsi="宋体" w:cs="宋体"/>
          <w:color w:val="auto"/>
          <w:sz w:val="24"/>
          <w:highlight w:val="none"/>
        </w:rPr>
        <w:t>。</w:t>
      </w:r>
      <w:bookmarkEnd w:id="19"/>
      <w:bookmarkEnd w:id="20"/>
      <w:bookmarkEnd w:id="21"/>
      <w:bookmarkEnd w:id="22"/>
      <w:bookmarkEnd w:id="23"/>
    </w:p>
    <w:p w14:paraId="4EA629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贵港市人民医院</w:t>
      </w:r>
      <w:r>
        <w:rPr>
          <w:rFonts w:hint="eastAsia" w:ascii="宋体" w:hAnsi="宋体" w:cs="宋体"/>
          <w:color w:val="auto"/>
          <w:szCs w:val="21"/>
          <w:highlight w:val="none"/>
        </w:rPr>
        <w:t>　</w:t>
      </w:r>
    </w:p>
    <w:p w14:paraId="09B9E0C7">
      <w:pPr>
        <w:spacing w:line="30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eastAsia="宋体" w:cs="宋体"/>
          <w:color w:val="auto"/>
          <w:szCs w:val="21"/>
          <w:highlight w:val="none"/>
          <w:lang w:val="en-US"/>
        </w:rPr>
        <w:t>贵港市中山中路1号</w:t>
      </w:r>
    </w:p>
    <w:p w14:paraId="41068C7E">
      <w:pPr>
        <w:spacing w:line="30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卢宁</w:t>
      </w:r>
    </w:p>
    <w:p w14:paraId="46F8755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rPr>
        <w:t>0775-4200381</w:t>
      </w:r>
    </w:p>
    <w:p w14:paraId="45898CE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0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徐律、石宗艳</w:t>
      </w:r>
    </w:p>
    <w:p w14:paraId="231556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4"/>
    </w:p>
    <w:p w14:paraId="59123D93">
      <w:pPr>
        <w:pStyle w:val="195"/>
        <w:jc w:val="center"/>
        <w:rPr>
          <w:rFonts w:hint="eastAsia" w:ascii="宋体" w:hAnsi="宋体" w:cs="宋体"/>
          <w:color w:val="auto"/>
          <w:highlight w:val="none"/>
        </w:rPr>
      </w:pPr>
      <w:bookmarkStart w:id="25" w:name="_Toc8153"/>
      <w:r>
        <w:rPr>
          <w:rFonts w:hint="eastAsia" w:ascii="宋体" w:hAnsi="宋体" w:cs="宋体"/>
          <w:color w:val="auto"/>
          <w:highlight w:val="none"/>
        </w:rPr>
        <w:t>第二章 供应商须知</w:t>
      </w:r>
      <w:bookmarkEnd w:id="25"/>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0"/>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top"/>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noWrap w:val="0"/>
            <w:vAlign w:val="top"/>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8564A3C">
            <w:pPr>
              <w:pStyle w:val="211"/>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1"/>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3C3AA1EE">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bCs/>
                <w:color w:val="auto"/>
                <w:szCs w:val="21"/>
                <w:highlight w:val="none"/>
                <w:lang w:val="en-US" w:eastAsia="zh-CN"/>
              </w:rPr>
              <w:t>（必须提供，否则响应文件按无效响应处理）</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6" w:name="OLE_LINK6"/>
            <w:bookmarkStart w:id="27" w:name="OLE_LINK7"/>
            <w:bookmarkStart w:id="28" w:name="OLE_LINK8"/>
            <w:r>
              <w:rPr>
                <w:rFonts w:hint="eastAsia" w:ascii="宋体" w:hAnsi="宋体" w:cs="宋体"/>
                <w:color w:val="auto"/>
                <w:szCs w:val="21"/>
                <w:highlight w:val="none"/>
              </w:rPr>
              <w:t xml:space="preserve"> </w:t>
            </w:r>
            <w:bookmarkEnd w:id="26"/>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7"/>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bookmarkEnd w:id="28"/>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注：以上标明“必须提供”材料属于扫描件或复印件的，必须加盖供应商CA签章，否则电子响应文件作无效处理。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F6CDAB">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6.服务承诺（格式自拟）；</w:t>
            </w:r>
            <w:r>
              <w:rPr>
                <w:rFonts w:hint="eastAsia" w:ascii="宋体" w:hAnsi="宋体" w:cs="宋体"/>
                <w:b/>
                <w:bCs/>
                <w:color w:val="auto"/>
                <w:szCs w:val="21"/>
                <w:highlight w:val="none"/>
              </w:rPr>
              <w:t>（如有请提供）</w:t>
            </w:r>
          </w:p>
          <w:p w14:paraId="4C2661AD">
            <w:pPr>
              <w:keepNext w:val="0"/>
              <w:keepLines w:val="0"/>
              <w:pageBreakBefore w:val="0"/>
              <w:widowControl w:val="0"/>
              <w:bidi w:val="0"/>
              <w:spacing w:line="360" w:lineRule="auto"/>
              <w:rPr>
                <w:rFonts w:ascii="宋体" w:hAnsi="宋体" w:cs="宋体"/>
                <w:b/>
                <w:bCs/>
                <w:color w:val="auto"/>
                <w:szCs w:val="21"/>
                <w:highlight w:val="none"/>
              </w:rPr>
            </w:pPr>
            <w:r>
              <w:rPr>
                <w:rFonts w:hint="eastAsia" w:ascii="宋体" w:hAnsi="宋体" w:cs="宋体"/>
                <w:color w:val="auto"/>
                <w:szCs w:val="21"/>
                <w:highlight w:val="none"/>
              </w:rPr>
              <w:t>7.拟投入项目实施人员一览表（格式后附）；</w:t>
            </w:r>
            <w:r>
              <w:rPr>
                <w:rFonts w:hint="eastAsia" w:ascii="宋体" w:hAnsi="宋体" w:cs="宋体"/>
                <w:b/>
                <w:bCs/>
                <w:color w:val="auto"/>
                <w:szCs w:val="21"/>
                <w:highlight w:val="none"/>
              </w:rPr>
              <w:t>（如有请提供）</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项目技术方案【</w:t>
            </w:r>
            <w:r>
              <w:rPr>
                <w:rFonts w:hint="eastAsia" w:ascii="宋体" w:hAnsi="宋体" w:cs="宋体"/>
                <w:b/>
                <w:bCs/>
                <w:color w:val="auto"/>
                <w:szCs w:val="21"/>
                <w:highlight w:val="none"/>
              </w:rPr>
              <w:t>包括但不限于项目实施方案、实施技术及质量措施方案、</w:t>
            </w:r>
            <w:r>
              <w:rPr>
                <w:rFonts w:hint="eastAsia" w:ascii="宋体" w:hAnsi="宋体" w:cs="宋体"/>
                <w:b/>
                <w:bCs/>
                <w:color w:val="auto"/>
                <w:szCs w:val="21"/>
                <w:highlight w:val="none"/>
                <w:lang w:eastAsia="zh-CN"/>
              </w:rPr>
              <w:t>维保</w:t>
            </w:r>
            <w:r>
              <w:rPr>
                <w:rFonts w:hint="eastAsia" w:ascii="宋体" w:hAnsi="宋体" w:cs="宋体"/>
                <w:b/>
                <w:bCs/>
                <w:color w:val="auto"/>
                <w:szCs w:val="21"/>
                <w:highlight w:val="none"/>
              </w:rPr>
              <w:t>响应服务</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安全保密方案</w:t>
            </w:r>
            <w:r>
              <w:rPr>
                <w:rFonts w:hint="eastAsia" w:ascii="宋体" w:hAnsi="宋体" w:cs="宋体"/>
                <w:b/>
                <w:bCs/>
                <w:color w:val="auto"/>
                <w:szCs w:val="21"/>
                <w:highlight w:val="none"/>
                <w:lang w:eastAsia="zh-CN"/>
              </w:rPr>
              <w:t>、</w:t>
            </w:r>
            <w:r>
              <w:rPr>
                <w:rFonts w:hint="eastAsia" w:ascii="宋体" w:hAnsi="宋体"/>
                <w:b/>
                <w:bCs/>
                <w:color w:val="auto"/>
                <w:highlight w:val="none"/>
              </w:rPr>
              <w:t>拟投入本项目的服务团队</w:t>
            </w:r>
            <w:r>
              <w:rPr>
                <w:rFonts w:hint="eastAsia" w:ascii="宋体" w:hAnsi="宋体" w:cs="宋体"/>
                <w:b/>
                <w:bCs/>
                <w:color w:val="auto"/>
                <w:szCs w:val="21"/>
                <w:highlight w:val="none"/>
              </w:rPr>
              <w:t>等</w:t>
            </w:r>
            <w:r>
              <w:rPr>
                <w:rFonts w:hint="eastAsia" w:ascii="宋体" w:hAnsi="宋体" w:cs="宋体"/>
                <w:color w:val="auto"/>
                <w:szCs w:val="21"/>
                <w:highlight w:val="none"/>
              </w:rPr>
              <w:t>】（格式自拟）</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DEB9E4">
            <w:pPr>
              <w:spacing w:line="360" w:lineRule="auto"/>
              <w:ind w:firstLine="422"/>
              <w:rPr>
                <w:color w:val="auto"/>
                <w:highlight w:val="none"/>
              </w:rPr>
            </w:pPr>
            <w:r>
              <w:rPr>
                <w:rFonts w:hint="eastAsia"/>
                <w:b/>
                <w:bCs/>
                <w:color w:val="auto"/>
                <w:highlight w:val="none"/>
              </w:rPr>
              <w:t>竞标报价是履行合同的最终价格，即满足全部采购需求所应提供的服务，以及伴随的货物和工程（如有）的价格；包括竞标服务、货物、工程的成本、运输（含保险）、安装（如有）、调试、检验、技术服务、培训、</w:t>
            </w:r>
            <w:r>
              <w:rPr>
                <w:rFonts w:hint="eastAsia"/>
                <w:b/>
                <w:bCs/>
                <w:color w:val="auto"/>
                <w:highlight w:val="none"/>
                <w:lang w:eastAsia="zh-CN"/>
              </w:rPr>
              <w:t>验收、</w:t>
            </w:r>
            <w:r>
              <w:rPr>
                <w:rFonts w:hint="eastAsia"/>
                <w:b/>
                <w:bCs/>
                <w:color w:val="auto"/>
                <w:highlight w:val="none"/>
              </w:rPr>
              <w:t>税费等所有费用，其他不可预见的费用由供应商自行承担风险。</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B5142E6">
            <w:pPr>
              <w:pStyle w:val="209"/>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FB353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合同签订时间：自成交通知书发出之日起25日内与采购人签订政府采购合同。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72DBC6">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1"/>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D5B2ABF">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1"/>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向采购代理机构支付。</w:t>
            </w:r>
          </w:p>
          <w:p w14:paraId="40F5BF08">
            <w:pPr>
              <w:pStyle w:val="221"/>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1"/>
              <w:spacing w:line="360" w:lineRule="auto"/>
              <w:ind w:firstLine="315"/>
              <w:rPr>
                <w:rFonts w:hint="eastAsia" w:hAnsi="宋体" w:cs="宋体"/>
                <w:color w:val="auto"/>
                <w:sz w:val="21"/>
                <w:highlight w:val="none"/>
                <w:lang w:val="en-US" w:eastAsia="zh-CN"/>
              </w:rPr>
            </w:pPr>
            <w:r>
              <w:rPr>
                <w:rFonts w:hint="eastAsia" w:hAnsi="宋体" w:cs="宋体"/>
                <w:color w:val="auto"/>
                <w:sz w:val="21"/>
                <w:highlight w:val="none"/>
                <w:lang w:val="en-US" w:eastAsia="zh-CN"/>
              </w:rPr>
              <w:t>☑</w:t>
            </w:r>
            <w:r>
              <w:rPr>
                <w:rFonts w:hint="eastAsia" w:hAnsi="宋体" w:cs="宋体"/>
                <w:color w:val="auto"/>
                <w:sz w:val="21"/>
                <w:highlight w:val="none"/>
                <w:u w:val="single"/>
                <w:lang w:val="en-US" w:eastAsia="zh-CN"/>
              </w:rPr>
              <w:t>按国家发展改革委《关于进一步放开建设项目专业服务价格的通知》发改价格〔2015〕299号文执行，领取成交通知书前采购代理服务费由成交供应商一次性付清代理服务费，具体费率按照原国家计委关于《招标代理服务收费管理暂行办法》通知（计价格〔2002〕1980号）的规定，按差额定率累进法计算，本项目按服务类收费标准的80%计取。（采购代理服务费=成交金额*费率*80%）。</w:t>
            </w:r>
          </w:p>
          <w:p w14:paraId="0E449E34">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1"/>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9B58DE9">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4D8A09F">
            <w:pPr>
              <w:pStyle w:val="221"/>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1"/>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1"/>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1"/>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5"/>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5"/>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3" name="_x0000_i7236"/>
            <wp:cNvGraphicFramePr/>
            <a:graphic xmlns:a="http://schemas.openxmlformats.org/drawingml/2006/main">
              <a:graphicData uri="http://schemas.openxmlformats.org/drawingml/2006/picture">
                <pic:pic xmlns:pic="http://schemas.openxmlformats.org/drawingml/2006/picture">
                  <pic:nvPicPr>
                    <pic:cNvPr id="3" name="_x0000_i7236"/>
                    <pic:cNvPicPr/>
                  </pic:nvPicPr>
                  <pic:blipFill>
                    <a:blip r:embed="rId11"/>
                    <a:stretch>
                      <a:fillRect/>
                    </a:stretch>
                  </pic:blipFill>
                  <pic:spPr>
                    <a:xfrm>
                      <a:off x="0" y="0"/>
                      <a:ext cx="4824349" cy="758952"/>
                    </a:xfrm>
                    <a:prstGeom prst="rect">
                      <a:avLst/>
                    </a:prstGeom>
                    <a:noFill/>
                  </pic:spPr>
                </pic:pic>
              </a:graphicData>
            </a:graphic>
          </wp:inline>
        </w:drawing>
      </w:r>
    </w:p>
    <w:p w14:paraId="31E1B760">
      <w:pPr>
        <w:pStyle w:val="325"/>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5"/>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5"/>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534"/>
      <w:bookmarkStart w:id="34" w:name="_Toc254970675"/>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684"/>
      <w:bookmarkStart w:id="38"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无</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199"/>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1"/>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5"/>
        <w:numPr>
          <w:ilvl w:val="0"/>
          <w:numId w:val="2"/>
        </w:numPr>
        <w:jc w:val="center"/>
        <w:rPr>
          <w:rFonts w:hint="eastAsia" w:ascii="宋体" w:hAnsi="宋体" w:cs="宋体"/>
          <w:color w:val="auto"/>
          <w:highlight w:val="none"/>
        </w:rPr>
      </w:pPr>
      <w:bookmarkStart w:id="41" w:name="_Toc30458"/>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Cs w:val="21"/>
          <w:highlight w:val="none"/>
        </w:rPr>
        <w:t>本竞争性磋商采购文件所称中小企业必须符合《政府采购促进中小企业发展管理办法》（财库〔2020〕46号）的规定。</w:t>
      </w:r>
    </w:p>
    <w:p w14:paraId="11D8A074">
      <w:pPr>
        <w:pStyle w:val="39"/>
        <w:numPr>
          <w:ilvl w:val="0"/>
          <w:numId w:val="0"/>
        </w:numPr>
        <w:spacing w:line="360" w:lineRule="auto"/>
        <w:ind w:firstLine="422"/>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633F149D">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3.供应商应根据自身实际情况如实响应磋商文件，对磋商文件提出的要求和条件作出明确响应，否则将作无效响应处理。</w:t>
      </w:r>
    </w:p>
    <w:p w14:paraId="0DF2C42A">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根据《关于在政府采购活动中对有关美国企业采取相关措施的通知》（财库〔2026〕10号）的规定，供应商提供的产品不得为财库〔2026〕10号文件附件规定的46家美国企业（不包括在华美资企业）生产的产品。</w:t>
      </w:r>
    </w:p>
    <w:p w14:paraId="7976E170">
      <w:pPr>
        <w:spacing w:line="360" w:lineRule="auto"/>
        <w:ind w:firstLine="426"/>
        <w:jc w:val="left"/>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rPr>
        <w:t>.供应商必须自行为其竞标产品侵犯他人的知识产权或者专利成果的行为承担相应法律责任。</w:t>
      </w:r>
    </w:p>
    <w:p w14:paraId="2816F350">
      <w:pPr>
        <w:widowControl/>
        <w:jc w:val="left"/>
        <w:rPr>
          <w:rFonts w:hint="eastAsia" w:ascii="黑体" w:hAnsi="黑体" w:eastAsia="黑体" w:cs="黑体"/>
          <w:color w:val="auto"/>
          <w:sz w:val="32"/>
          <w:szCs w:val="32"/>
          <w:highlight w:val="none"/>
        </w:rPr>
      </w:pPr>
    </w:p>
    <w:tbl>
      <w:tblPr>
        <w:tblStyle w:val="30"/>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810"/>
        <w:gridCol w:w="618"/>
        <w:gridCol w:w="46"/>
        <w:gridCol w:w="650"/>
        <w:gridCol w:w="6868"/>
      </w:tblGrid>
      <w:tr w14:paraId="047A8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63" w:type="dxa"/>
            <w:noWrap w:val="0"/>
            <w:vAlign w:val="center"/>
          </w:tcPr>
          <w:p w14:paraId="5337C3F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10" w:type="dxa"/>
            <w:noWrap w:val="0"/>
            <w:vAlign w:val="center"/>
          </w:tcPr>
          <w:p w14:paraId="033E90B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664" w:type="dxa"/>
            <w:gridSpan w:val="2"/>
            <w:noWrap w:val="0"/>
            <w:vAlign w:val="top"/>
          </w:tcPr>
          <w:p w14:paraId="1F2F0958">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w:t>
            </w:r>
          </w:p>
          <w:p w14:paraId="32564CAD">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50" w:type="dxa"/>
            <w:noWrap w:val="0"/>
            <w:vAlign w:val="top"/>
          </w:tcPr>
          <w:p w14:paraId="2DC2282D">
            <w:pPr>
              <w:tabs>
                <w:tab w:val="left" w:pos="180"/>
                <w:tab w:val="left" w:pos="1620"/>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所属行业</w:t>
            </w:r>
          </w:p>
        </w:tc>
        <w:tc>
          <w:tcPr>
            <w:tcW w:w="6868" w:type="dxa"/>
            <w:noWrap w:val="0"/>
            <w:vAlign w:val="center"/>
          </w:tcPr>
          <w:p w14:paraId="47D880D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7AA4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563" w:type="dxa"/>
            <w:noWrap w:val="0"/>
            <w:vAlign w:val="top"/>
          </w:tcPr>
          <w:p w14:paraId="3B3B8983">
            <w:pPr>
              <w:pStyle w:val="326"/>
              <w:spacing w:before="124" w:line="360" w:lineRule="auto"/>
              <w:ind w:left="146" w:right="137"/>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0" w:type="dxa"/>
            <w:noWrap w:val="0"/>
            <w:vAlign w:val="top"/>
          </w:tcPr>
          <w:p w14:paraId="4ED62467">
            <w:pPr>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信息科存储与核心服务器维保服务</w:t>
            </w:r>
          </w:p>
        </w:tc>
        <w:tc>
          <w:tcPr>
            <w:tcW w:w="664" w:type="dxa"/>
            <w:gridSpan w:val="2"/>
            <w:noWrap w:val="0"/>
            <w:vAlign w:val="top"/>
          </w:tcPr>
          <w:p w14:paraId="4A7582F9">
            <w:pPr>
              <w:pStyle w:val="13"/>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1项</w:t>
            </w:r>
          </w:p>
        </w:tc>
        <w:tc>
          <w:tcPr>
            <w:tcW w:w="650" w:type="dxa"/>
            <w:noWrap w:val="0"/>
            <w:vAlign w:val="top"/>
          </w:tcPr>
          <w:p w14:paraId="53CA8036">
            <w:pPr>
              <w:pStyle w:val="13"/>
              <w:spacing w:line="360" w:lineRule="auto"/>
              <w:ind w:firstLine="21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软件和信息技术服务业</w:t>
            </w:r>
          </w:p>
        </w:tc>
        <w:tc>
          <w:tcPr>
            <w:tcW w:w="6868" w:type="dxa"/>
            <w:shd w:val="clear" w:color="auto" w:fill="auto"/>
            <w:noWrap w:val="0"/>
            <w:vAlign w:val="top"/>
          </w:tcPr>
          <w:p w14:paraId="744660E1">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一、技术服务（DR-VPLEX-01-存储虚拟化网关）1项</w:t>
            </w:r>
          </w:p>
          <w:p w14:paraId="6EF7FA62">
            <w:pPr>
              <w:spacing w:line="360" w:lineRule="auto"/>
              <w:rPr>
                <w:rFonts w:ascii="宋体" w:hAnsi="宋体" w:cs="宋体"/>
                <w:color w:val="auto"/>
                <w:szCs w:val="21"/>
                <w:highlight w:val="none"/>
                <w:lang w:bidi="ar"/>
              </w:rPr>
            </w:pPr>
            <w:r>
              <w:rPr>
                <w:rFonts w:hint="eastAsia" w:ascii="宋体" w:hAnsi="宋体" w:cs="宋体"/>
                <w:color w:val="auto"/>
                <w:szCs w:val="21"/>
                <w:highlight w:val="none"/>
                <w:lang w:bidi="ar"/>
              </w:rPr>
              <w:t xml:space="preserve">设备：DR-VPLEX-01-存储虚拟化网关；  </w:t>
            </w:r>
          </w:p>
          <w:p w14:paraId="09C1F0C5">
            <w:pPr>
              <w:spacing w:line="360" w:lineRule="auto"/>
              <w:rPr>
                <w:rFonts w:ascii="宋体" w:hAnsi="宋体" w:cs="宋体"/>
                <w:color w:val="auto"/>
                <w:szCs w:val="21"/>
                <w:highlight w:val="none"/>
                <w:lang w:bidi="ar"/>
              </w:rPr>
            </w:pPr>
            <w:r>
              <w:rPr>
                <w:rFonts w:hint="eastAsia" w:ascii="宋体" w:hAnsi="宋体" w:cs="宋体"/>
                <w:color w:val="auto"/>
                <w:szCs w:val="21"/>
                <w:highlight w:val="none"/>
                <w:lang w:bidi="ar"/>
              </w:rPr>
              <w:t xml:space="preserve">数量1台；  </w:t>
            </w:r>
          </w:p>
          <w:p w14:paraId="25976DD3">
            <w:pPr>
              <w:spacing w:line="360" w:lineRule="auto"/>
              <w:rPr>
                <w:rFonts w:ascii="宋体" w:hAnsi="宋体" w:cs="宋体"/>
                <w:color w:val="auto"/>
                <w:szCs w:val="21"/>
                <w:highlight w:val="none"/>
                <w:lang w:bidi="ar"/>
              </w:rPr>
            </w:pPr>
            <w:r>
              <w:rPr>
                <w:rFonts w:hint="eastAsia" w:ascii="宋体" w:hAnsi="宋体" w:cs="宋体"/>
                <w:color w:val="auto"/>
                <w:szCs w:val="21"/>
                <w:highlight w:val="none"/>
                <w:lang w:bidi="ar"/>
              </w:rPr>
              <w:t xml:space="preserve">序列号：CKM00190402998；  </w:t>
            </w:r>
          </w:p>
          <w:p w14:paraId="12268E28">
            <w:pPr>
              <w:spacing w:line="360" w:lineRule="auto"/>
              <w:rPr>
                <w:rFonts w:ascii="宋体" w:hAnsi="宋体" w:cs="宋体"/>
                <w:color w:val="auto"/>
                <w:szCs w:val="21"/>
                <w:highlight w:val="none"/>
                <w:lang w:bidi="ar"/>
              </w:rPr>
            </w:pPr>
            <w:r>
              <w:rPr>
                <w:rFonts w:hint="eastAsia" w:ascii="宋体" w:hAnsi="宋体" w:cs="宋体"/>
                <w:color w:val="auto"/>
                <w:szCs w:val="21"/>
                <w:highlight w:val="none"/>
                <w:lang w:bidi="ar"/>
              </w:rPr>
              <w:t xml:space="preserve">维保服务范围：  </w:t>
            </w:r>
          </w:p>
          <w:p w14:paraId="1F8E4A1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服务，不限故障报修次数、技术咨询次数及远程技术支持次数；对于复杂故障、产品软件缺陷及重大系统异常，应安排工程师现场处置，并协调高级技术支持及研发级别技术支持团队持续联合处理，直至故障关闭。</w:t>
            </w:r>
          </w:p>
          <w:p w14:paraId="2EFFA85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在用的VPLEX系统软件必须升级到最新版本，获得厂商补丁版本、安全更新、技术公告、工程修复版本及临时修复程序的获取、升级实施及技术支持服务，相关费用由供应商承担。</w:t>
            </w:r>
          </w:p>
          <w:p w14:paraId="7C78657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对涉及产品软件缺陷、系统异常或复杂故障的问题，应具备升级至高级技术支持及研发级别技术支持团队联合分析处理的能力，并能够获取正式修复版本、工程修复版本或临时修复程序。</w:t>
            </w:r>
          </w:p>
          <w:p w14:paraId="6FDE8D0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提供跨版本升级规划、兼容性验证、升级风险评估、升级回退方案制定及升级实施服务。</w:t>
            </w:r>
          </w:p>
          <w:p w14:paraId="67996AA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2F44169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提供控制器、Cache、Metadata、Cluster、Witness等关键组件健康检查、运行状态评估、风险分析及优化建议。</w:t>
            </w:r>
          </w:p>
          <w:p w14:paraId="5850F5E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 具备软件授权恢复、系统恢复、配置恢复及重大故障应急恢复能力。</w:t>
            </w:r>
          </w:p>
          <w:p w14:paraId="3581A58B">
            <w:pPr>
              <w:spacing w:line="360" w:lineRule="auto"/>
              <w:rPr>
                <w:rFonts w:ascii="宋体" w:hAnsi="宋体" w:cs="宋体"/>
                <w:b/>
                <w:bCs/>
                <w:color w:val="auto"/>
                <w:szCs w:val="21"/>
                <w:highlight w:val="none"/>
              </w:rPr>
            </w:pPr>
            <w:r>
              <w:rPr>
                <w:rFonts w:ascii="宋体" w:hAnsi="宋体" w:cs="宋体"/>
                <w:b/>
                <w:bCs/>
                <w:color w:val="auto"/>
                <w:szCs w:val="21"/>
                <w:highlight w:val="none"/>
              </w:rPr>
              <w:t>8</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服务期内，提供双活网关配置变更服务、技术咨询服务；  </w:t>
            </w:r>
          </w:p>
          <w:p w14:paraId="0579B43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1A9F190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0</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服务期内，提供双活网关故障部件更换，所更换的部件由供应商提供，更换的部件费用已包含在本次总报价中，采购人不额外支付；  </w:t>
            </w:r>
          </w:p>
          <w:p w14:paraId="729636EB">
            <w:pPr>
              <w:spacing w:line="360" w:lineRule="auto"/>
              <w:rPr>
                <w:rFonts w:ascii="宋体" w:hAnsi="宋体" w:cs="宋体"/>
                <w:b/>
                <w:bCs/>
                <w:color w:val="auto"/>
                <w:szCs w:val="21"/>
                <w:highlight w:val="none"/>
              </w:rPr>
            </w:pPr>
            <w:r>
              <w:rPr>
                <w:rFonts w:ascii="宋体" w:hAnsi="宋体" w:cs="宋体"/>
                <w:b/>
                <w:bCs/>
                <w:color w:val="auto"/>
                <w:szCs w:val="21"/>
                <w:highlight w:val="none"/>
              </w:rPr>
              <w:t>11</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27BC3E35">
            <w:pPr>
              <w:spacing w:line="360" w:lineRule="auto"/>
              <w:rPr>
                <w:rFonts w:ascii="宋体" w:hAnsi="宋体" w:cs="宋体"/>
                <w:b/>
                <w:bCs/>
                <w:color w:val="auto"/>
                <w:szCs w:val="21"/>
                <w:highlight w:val="none"/>
              </w:rPr>
            </w:pPr>
            <w:r>
              <w:rPr>
                <w:rFonts w:ascii="宋体" w:hAnsi="宋体" w:cs="宋体"/>
                <w:b/>
                <w:bCs/>
                <w:color w:val="auto"/>
                <w:szCs w:val="21"/>
                <w:highlight w:val="none"/>
              </w:rPr>
              <w:t>12</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服务期内，提供一年四次的现场巡检服务，资深技术经理现场服务支持；  </w:t>
            </w:r>
          </w:p>
          <w:p w14:paraId="7DAAA655">
            <w:pPr>
              <w:spacing w:line="360" w:lineRule="auto"/>
              <w:rPr>
                <w:rFonts w:ascii="宋体" w:hAnsi="宋体" w:cs="宋体"/>
                <w:b/>
                <w:bCs/>
                <w:color w:val="auto"/>
                <w:szCs w:val="21"/>
                <w:highlight w:val="none"/>
              </w:rPr>
            </w:pPr>
            <w:r>
              <w:rPr>
                <w:rFonts w:ascii="宋体" w:hAnsi="宋体" w:cs="宋体"/>
                <w:b/>
                <w:bCs/>
                <w:color w:val="auto"/>
                <w:szCs w:val="21"/>
                <w:highlight w:val="none"/>
              </w:rPr>
              <w:t>13</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服务期内，提供所有虚拟机的技术支持服务；  </w:t>
            </w:r>
          </w:p>
          <w:p w14:paraId="22B8A260">
            <w:pPr>
              <w:spacing w:line="360" w:lineRule="auto"/>
              <w:rPr>
                <w:rFonts w:ascii="宋体" w:hAnsi="宋体" w:cs="宋体"/>
                <w:b/>
                <w:bCs/>
                <w:color w:val="auto"/>
                <w:szCs w:val="21"/>
                <w:highlight w:val="none"/>
              </w:rPr>
            </w:pPr>
            <w:r>
              <w:rPr>
                <w:rFonts w:ascii="宋体" w:hAnsi="宋体" w:cs="宋体"/>
                <w:b/>
                <w:bCs/>
                <w:color w:val="auto"/>
                <w:szCs w:val="21"/>
                <w:highlight w:val="none"/>
              </w:rPr>
              <w:t>14</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 xml:space="preserve">服务期内，提供所有戴尔的双活、CDP任意时间点回滚的技术支持服务；  </w:t>
            </w:r>
          </w:p>
          <w:p w14:paraId="40DEA860">
            <w:pPr>
              <w:spacing w:line="360" w:lineRule="auto"/>
              <w:rPr>
                <w:rFonts w:ascii="宋体" w:hAnsi="宋体" w:cs="宋体"/>
                <w:b/>
                <w:bCs/>
                <w:color w:val="auto"/>
                <w:szCs w:val="21"/>
                <w:highlight w:val="none"/>
              </w:rPr>
            </w:pPr>
            <w:r>
              <w:rPr>
                <w:rFonts w:ascii="宋体" w:hAnsi="宋体" w:cs="宋体"/>
                <w:b/>
                <w:bCs/>
                <w:color w:val="auto"/>
                <w:szCs w:val="21"/>
                <w:highlight w:val="none"/>
              </w:rPr>
              <w:t>15</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服务期内，提供所有虚拟机系统的性能优化服务；</w:t>
            </w:r>
          </w:p>
          <w:p w14:paraId="00ABCAE1">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二、技术服务（DR-Unity450F-1-全闪存储）1项</w:t>
            </w:r>
          </w:p>
          <w:p w14:paraId="6023B2F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设备：DR-Unity450F-1-全闪存储；  </w:t>
            </w:r>
          </w:p>
          <w:p w14:paraId="382D701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399E289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序列号：CETV3190500024；  </w:t>
            </w:r>
          </w:p>
          <w:p w14:paraId="25C52F8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264DFFD5">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w:t>
            </w:r>
            <w:r>
              <w:rPr>
                <w:rFonts w:hint="eastAsia" w:ascii="宋体" w:hAnsi="宋体" w:cs="宋体"/>
                <w:b/>
                <w:bCs/>
                <w:color w:val="auto"/>
                <w:szCs w:val="21"/>
                <w:highlight w:val="none"/>
                <w:lang w:val="en-US" w:eastAsia="zh-CN" w:bidi="ar"/>
              </w:rPr>
              <w:t>.</w:t>
            </w:r>
            <w:r>
              <w:rPr>
                <w:rFonts w:ascii="宋体" w:hAnsi="宋体" w:cs="宋体"/>
                <w:b/>
                <w:bCs/>
                <w:color w:val="auto"/>
                <w:szCs w:val="21"/>
                <w:highlight w:val="none"/>
                <w:lang w:bidi="ar"/>
              </w:rPr>
              <w:t>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b/>
                <w:bCs/>
                <w:color w:val="auto"/>
                <w:szCs w:val="21"/>
                <w:highlight w:val="none"/>
                <w:lang w:bidi="ar"/>
              </w:rPr>
              <w:t xml:space="preserve"> </w:t>
            </w:r>
            <w:r>
              <w:rPr>
                <w:rFonts w:ascii="宋体" w:hAnsi="宋体" w:cs="宋体"/>
                <w:color w:val="auto"/>
                <w:szCs w:val="21"/>
                <w:highlight w:val="none"/>
                <w:lang w:bidi="ar"/>
              </w:rPr>
              <w:t xml:space="preserve"> </w:t>
            </w:r>
          </w:p>
          <w:p w14:paraId="67CFBB5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2</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服务期内，提供存储配置变更服务，技术咨询服务；  </w:t>
            </w:r>
          </w:p>
          <w:p w14:paraId="0199164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服务期内，提供存储故障部件更换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所更换的部件由供应商提供</w:t>
            </w:r>
            <w:r>
              <w:rPr>
                <w:rFonts w:hint="eastAsia" w:ascii="宋体" w:hAnsi="宋体" w:cs="宋体"/>
                <w:color w:val="auto"/>
                <w:szCs w:val="21"/>
                <w:highlight w:val="none"/>
                <w:lang w:bidi="ar"/>
              </w:rPr>
              <w:t>，更换的部件</w:t>
            </w:r>
            <w:r>
              <w:rPr>
                <w:rFonts w:ascii="宋体" w:hAnsi="宋体" w:cs="宋体"/>
                <w:color w:val="auto"/>
                <w:szCs w:val="21"/>
                <w:highlight w:val="none"/>
                <w:lang w:bidi="ar"/>
              </w:rPr>
              <w:t>费用已包含在</w:t>
            </w:r>
            <w:r>
              <w:rPr>
                <w:rFonts w:hint="eastAsia" w:ascii="宋体" w:hAnsi="宋体" w:cs="宋体"/>
                <w:color w:val="auto"/>
                <w:szCs w:val="21"/>
                <w:highlight w:val="none"/>
                <w:lang w:bidi="ar"/>
              </w:rPr>
              <w:t>本次</w:t>
            </w:r>
            <w:r>
              <w:rPr>
                <w:rFonts w:ascii="宋体" w:hAnsi="宋体" w:cs="宋体"/>
                <w:color w:val="auto"/>
                <w:szCs w:val="21"/>
                <w:highlight w:val="none"/>
                <w:lang w:bidi="ar"/>
              </w:rPr>
              <w:t>总报价中</w:t>
            </w:r>
            <w:r>
              <w:rPr>
                <w:rFonts w:hint="eastAsia" w:ascii="宋体" w:hAnsi="宋体" w:cs="宋体"/>
                <w:color w:val="auto"/>
                <w:szCs w:val="21"/>
                <w:highlight w:val="none"/>
                <w:lang w:bidi="ar"/>
              </w:rPr>
              <w:t>，采购人不额外支付</w:t>
            </w:r>
            <w:r>
              <w:rPr>
                <w:rFonts w:ascii="宋体" w:hAnsi="宋体" w:cs="宋体"/>
                <w:color w:val="auto"/>
                <w:szCs w:val="21"/>
                <w:highlight w:val="none"/>
                <w:lang w:bidi="ar"/>
              </w:rPr>
              <w:t>；</w:t>
            </w:r>
          </w:p>
          <w:p w14:paraId="2BD8ABE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4</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现场所有戴尔品牌设备的技术支持服务，包含电话、邮件、现场巡检服务；  </w:t>
            </w:r>
          </w:p>
          <w:p w14:paraId="0BA4943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5</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一年四次的现场巡检服务，资深技术经理现场服务支持；  </w:t>
            </w:r>
          </w:p>
          <w:p w14:paraId="62DAB10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6</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所有虚拟机的技术支持服务；  </w:t>
            </w:r>
          </w:p>
          <w:p w14:paraId="49A9B3B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7</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所有戴尔的双活、CDP任意时间点回滚的技术支持服务；  </w:t>
            </w:r>
          </w:p>
          <w:p w14:paraId="2FB881F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8</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所有虚拟机系统的性能优化服务；  </w:t>
            </w:r>
          </w:p>
          <w:p w14:paraId="316259E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不限次数的远程紧急救援技术支持服务。</w:t>
            </w:r>
          </w:p>
          <w:p w14:paraId="15401EE9">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三、技术服务（DR-DS6510光纤交换机）1项</w:t>
            </w:r>
          </w:p>
          <w:p w14:paraId="010EB1E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设备：DR-DS6510光纤交换机；  </w:t>
            </w:r>
          </w:p>
          <w:p w14:paraId="43CCDFB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数量2台；  </w:t>
            </w:r>
          </w:p>
          <w:p w14:paraId="31DA63A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序列号1：BRCBRW4037P012；  </w:t>
            </w:r>
          </w:p>
          <w:p w14:paraId="20CC23E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序列号2：BRCBRW4037P01A；  </w:t>
            </w:r>
          </w:p>
          <w:p w14:paraId="4177303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57D16E4A">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w:t>
            </w:r>
            <w:r>
              <w:rPr>
                <w:rFonts w:hint="eastAsia" w:ascii="宋体" w:hAnsi="宋体" w:cs="宋体"/>
                <w:b/>
                <w:bCs/>
                <w:color w:val="auto"/>
                <w:szCs w:val="21"/>
                <w:highlight w:val="none"/>
                <w:lang w:val="en-US" w:eastAsia="zh-CN" w:bidi="ar"/>
              </w:rPr>
              <w:t>.</w:t>
            </w:r>
            <w:r>
              <w:rPr>
                <w:rFonts w:ascii="宋体" w:hAnsi="宋体" w:cs="宋体"/>
                <w:b/>
                <w:bCs/>
                <w:color w:val="auto"/>
                <w:szCs w:val="21"/>
                <w:highlight w:val="none"/>
                <w:lang w:bidi="ar"/>
              </w:rPr>
              <w:t>维保服务要求：要求提供维保服务两年。</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color w:val="auto"/>
                <w:szCs w:val="21"/>
                <w:highlight w:val="none"/>
                <w:lang w:bidi="ar"/>
              </w:rPr>
              <w:t xml:space="preserve">  </w:t>
            </w:r>
          </w:p>
          <w:p w14:paraId="5762F6A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2</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服务期内，提供存储光纤交换机配置变更服务，技术咨询服务；  </w:t>
            </w:r>
          </w:p>
          <w:p w14:paraId="021D45B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服务期内，提供存储光纤交换机故障部件更换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所更换的部件由供应商提供，</w:t>
            </w:r>
            <w:r>
              <w:rPr>
                <w:rFonts w:hint="eastAsia" w:ascii="宋体" w:hAnsi="宋体" w:cs="宋体"/>
                <w:color w:val="auto"/>
                <w:szCs w:val="21"/>
                <w:highlight w:val="none"/>
                <w:lang w:bidi="ar"/>
              </w:rPr>
              <w:t>更换的部件</w:t>
            </w:r>
            <w:r>
              <w:rPr>
                <w:rFonts w:ascii="宋体" w:hAnsi="宋体" w:cs="宋体"/>
                <w:color w:val="auto"/>
                <w:szCs w:val="21"/>
                <w:highlight w:val="none"/>
                <w:lang w:bidi="ar"/>
              </w:rPr>
              <w:t>费用已包含在</w:t>
            </w:r>
            <w:r>
              <w:rPr>
                <w:rFonts w:hint="eastAsia" w:ascii="宋体" w:hAnsi="宋体" w:cs="宋体"/>
                <w:color w:val="auto"/>
                <w:szCs w:val="21"/>
                <w:highlight w:val="none"/>
                <w:lang w:bidi="ar"/>
              </w:rPr>
              <w:t>本次</w:t>
            </w:r>
            <w:r>
              <w:rPr>
                <w:rFonts w:ascii="宋体" w:hAnsi="宋体" w:cs="宋体"/>
                <w:color w:val="auto"/>
                <w:szCs w:val="21"/>
                <w:highlight w:val="none"/>
                <w:lang w:bidi="ar"/>
              </w:rPr>
              <w:t>总报价中</w:t>
            </w:r>
            <w:r>
              <w:rPr>
                <w:rFonts w:hint="eastAsia" w:ascii="宋体" w:hAnsi="宋体" w:cs="宋体"/>
                <w:color w:val="auto"/>
                <w:szCs w:val="21"/>
                <w:highlight w:val="none"/>
                <w:lang w:bidi="ar"/>
              </w:rPr>
              <w:t>，采购人不额外支付</w:t>
            </w:r>
            <w:r>
              <w:rPr>
                <w:rFonts w:ascii="宋体" w:hAnsi="宋体" w:cs="宋体"/>
                <w:color w:val="auto"/>
                <w:szCs w:val="21"/>
                <w:highlight w:val="none"/>
                <w:lang w:bidi="ar"/>
              </w:rPr>
              <w:t xml:space="preserve">；  </w:t>
            </w:r>
          </w:p>
          <w:p w14:paraId="4C0CBE2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4</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现场所有戴尔品牌设备的技术支持服务，包含电话、邮件、现场巡检服务；  </w:t>
            </w:r>
          </w:p>
          <w:p w14:paraId="6ECCC58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5</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一年四次的现场巡检服务，资深技术经理现场服务支持；  </w:t>
            </w:r>
          </w:p>
          <w:p w14:paraId="21D0604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6</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所有虚拟机的技术支持服务；  </w:t>
            </w:r>
          </w:p>
          <w:p w14:paraId="6A86F63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7</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所有戴尔的双活、CDP任意时间点回滚的技术支持服务；  </w:t>
            </w:r>
          </w:p>
          <w:p w14:paraId="4454003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8</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所有虚拟机系统的性能优化服务；  </w:t>
            </w:r>
          </w:p>
          <w:p w14:paraId="19C701B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不限次数的远程紧急救援技术支持服务。</w:t>
            </w:r>
          </w:p>
          <w:p w14:paraId="040C46C5">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四、技术服务（DELL R940xa HIS DB2生产数据库服务器）1项</w:t>
            </w:r>
          </w:p>
          <w:p w14:paraId="688A744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设备：DELL R940xa HIS DB2生产数据库服务器；  </w:t>
            </w:r>
          </w:p>
          <w:p w14:paraId="3002939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数量2台；  </w:t>
            </w:r>
          </w:p>
          <w:p w14:paraId="716165E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节点1：服务编号：GYQ24K3，快速服务代码：36928136595；  </w:t>
            </w:r>
          </w:p>
          <w:p w14:paraId="63A3F89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节点2：服务编号：FYQ24K3，快速服务代码：34751354259；  </w:t>
            </w:r>
          </w:p>
          <w:p w14:paraId="4CCA062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0235A0D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服务，不限故障报修次数、技术咨询次数及远程技术支持次数；对于复杂故障、产品软件缺陷及重大系统异常，应安排工程师现场处置，并协调高级技术支持及研发级别技术支持团队持续联合处理，直至故障关闭。</w:t>
            </w:r>
          </w:p>
          <w:p w14:paraId="1E845B1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服务期间应能够提供BIOS、iDRAC、Lifecycle Controller、RAID控制器、HBA、网络适配器等系统软件及固件版本升级、补丁、安全更新及技术支持服务。</w:t>
            </w:r>
          </w:p>
          <w:p w14:paraId="61291A7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对涉及BIOS、iDRAC、Firmware、RAID控制器等系统软件缺陷及复杂故障，应具备升级至二线技术支持、高级技术支持及研发技术支持团队联合分析处理的能力，并能够获取正式修复版本、工程修复版本或临时修复程序。</w:t>
            </w:r>
          </w:p>
          <w:p w14:paraId="06AA6C4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提供系统软件跨版本升级规划、兼容性验证、升级风险评估、升级回退方案制定及升级实施服务。</w:t>
            </w:r>
          </w:p>
          <w:p w14:paraId="334E700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394B8D9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提供CPU、内存、RAID、硬盘、电源、风扇等关键部件健康检查、风险评估及优化建议。</w:t>
            </w:r>
          </w:p>
          <w:p w14:paraId="1B1A6E8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 具备软件授权恢复、系统恢复、配置恢复及重大故障应急恢复能力。</w:t>
            </w:r>
          </w:p>
          <w:p w14:paraId="2AF5D90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8.服务期内，提供服务器配置变更服务，技术咨询服务；  </w:t>
            </w:r>
          </w:p>
          <w:p w14:paraId="550A01D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65A682E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10</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服务期内，提供服务器故障部件更换，所更换的部件由供应商提供，更换的部件费用已包含在本次总报价中，采购人不额外支付；  </w:t>
            </w:r>
          </w:p>
          <w:p w14:paraId="130944D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41DB836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12</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服务期内，提供一年四次的现场巡检服务，资深技术经理现场服务支持；  </w:t>
            </w:r>
          </w:p>
          <w:p w14:paraId="498E538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服务期内，提供所有虚拟机的技术支持服务；  </w:t>
            </w:r>
          </w:p>
          <w:p w14:paraId="236022C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14</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服务期内，提供所有戴尔的双活、CDP任意时间点回滚的技术支持服务；  </w:t>
            </w:r>
          </w:p>
          <w:p w14:paraId="1DD848E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15</w:t>
            </w:r>
            <w:r>
              <w:rPr>
                <w:rFonts w:ascii="宋体" w:hAnsi="宋体" w:cs="宋体"/>
                <w:b/>
                <w:bCs/>
                <w:color w:val="auto"/>
                <w:szCs w:val="21"/>
                <w:highlight w:val="none"/>
              </w:rPr>
              <w:t>.</w:t>
            </w:r>
            <w:r>
              <w:rPr>
                <w:rFonts w:hint="eastAsia" w:ascii="宋体" w:hAnsi="宋体" w:cs="宋体"/>
                <w:b/>
                <w:bCs/>
                <w:color w:val="auto"/>
                <w:szCs w:val="21"/>
                <w:highlight w:val="none"/>
              </w:rPr>
              <w:t>服务期内，提供所有虚拟机系统的性能优化服务；</w:t>
            </w:r>
          </w:p>
          <w:p w14:paraId="6FA030CB">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五、技术服务（DELL R750 HIS DB2只读数据库服务器）1项</w:t>
            </w:r>
          </w:p>
          <w:p w14:paraId="72379D2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设备：DELL R750 HIS DB2只读数据库服务器；  </w:t>
            </w:r>
          </w:p>
          <w:p w14:paraId="3FB47C2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0994845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节点1：服务编号：40ST6X3，快速服务代码：8755520583；  </w:t>
            </w:r>
          </w:p>
          <w:p w14:paraId="3DD9E33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16AEF98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服务，不限故障报修次数、技术咨询次数及远程技术支持次数；对于复杂故障、产品软件缺陷及重大系统异常，应安排工程师现场处置，并协调高级技术支持及研发级别技术支持团队持续联合处理，直至故障关闭。</w:t>
            </w:r>
          </w:p>
          <w:p w14:paraId="7E68669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服务期间应能够提供BIOS、iDRAC、Lifecycle Controller、RAID控制器、HBA、网络适配器等系统软件及固件版本升级、补丁、安全更新及技术支持服务。</w:t>
            </w:r>
          </w:p>
          <w:p w14:paraId="58A65BE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对涉及BIOS、iDRAC、Firmware、RAID控制器等系统软件缺陷及复杂故障，应具备升级至二线技术支持、高级技术支持及研发技术支持团队联合分析处理的能力，并能够获取正式修复版本、工程修复版本或临时修复程序。</w:t>
            </w:r>
          </w:p>
          <w:p w14:paraId="1A8069D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提供系统软件跨版本升级规划、兼容性验证、升级风险评估、升级回退方案制定及升级实施服务。</w:t>
            </w:r>
          </w:p>
          <w:p w14:paraId="51AF384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2E4219D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提供CPU、内存、RAID、硬盘、电源、风扇等关键部件健康检查、风险评估及优化建议。</w:t>
            </w:r>
          </w:p>
          <w:p w14:paraId="3E12DCC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 具备软件授权恢复、系统恢复、配置恢复及重大故障应急恢复能力。</w:t>
            </w:r>
          </w:p>
          <w:p w14:paraId="2C5EAF2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8.服务期内，提供服务器配置变更服务，技术咨询服务；  </w:t>
            </w:r>
          </w:p>
          <w:p w14:paraId="291CE10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653B172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10</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服务期内，提供服务器故障部件更换，所更换的部件由供应商提供，更换的部件费用已包含在本次总报价中，采购人不额外支付；  </w:t>
            </w:r>
          </w:p>
          <w:p w14:paraId="68804F1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2D13167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12</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服务期内，提供一年四次的现场巡检服务，资深技术经理现场服务支持；  </w:t>
            </w:r>
          </w:p>
          <w:p w14:paraId="7E2C32F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服务期内，提供所有虚拟机的技术支持服务；  </w:t>
            </w:r>
          </w:p>
          <w:p w14:paraId="115D001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14</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服务期内，提供所有戴尔的双活、CDP任意时间点回滚的技术支持服务；  </w:t>
            </w:r>
          </w:p>
          <w:p w14:paraId="4574CE9D">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15</w:t>
            </w:r>
            <w:r>
              <w:rPr>
                <w:rFonts w:ascii="宋体" w:hAnsi="宋体" w:cs="宋体"/>
                <w:b/>
                <w:bCs/>
                <w:color w:val="auto"/>
                <w:szCs w:val="21"/>
                <w:highlight w:val="none"/>
              </w:rPr>
              <w:t>.</w:t>
            </w:r>
            <w:r>
              <w:rPr>
                <w:rFonts w:hint="eastAsia" w:ascii="宋体" w:hAnsi="宋体" w:cs="宋体"/>
                <w:b/>
                <w:bCs/>
                <w:color w:val="auto"/>
                <w:szCs w:val="21"/>
                <w:highlight w:val="none"/>
              </w:rPr>
              <w:t>服务期内，提供所有虚拟机系统的性能优化服务；</w:t>
            </w:r>
          </w:p>
          <w:p w14:paraId="5547F576">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六、技术服务（Pro-VPLEX-01-存储虚拟化网关）1项</w:t>
            </w:r>
          </w:p>
          <w:p w14:paraId="44B14B5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设备：Pro-VPLEX-01-存储虚拟化网关；  </w:t>
            </w:r>
          </w:p>
          <w:p w14:paraId="11CEF20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6331D62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序列号：CKM00190402997；  </w:t>
            </w:r>
          </w:p>
          <w:p w14:paraId="5A23620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55241C1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不限故障报修次数、技术咨询次数及远程技术支持次数；对于复杂故障、产品软件缺陷及重大系统异常，应安排工程师现场处置，并协调高级技术支持及研发级别技术支持团队持续联合处理，直至故障关闭。</w:t>
            </w:r>
          </w:p>
          <w:p w14:paraId="1380CD5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在用的VPLEX系统软件必须升级到最新版本，获得厂商补丁版本、安全更新、技术公告、工程修复版本及临时修复程序的获取、升级实施及技术支持服务，相关费用由供应商承担。</w:t>
            </w:r>
          </w:p>
          <w:p w14:paraId="53835AA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对涉及产品软件缺陷、系统异常或复杂故障的问题，应具备升级至高级技术支持及研发级别技术支持团队联合分析处理的能力，并能够获取正式修复版本、工程修复版本或临时修复程序。</w:t>
            </w:r>
          </w:p>
          <w:p w14:paraId="5D9435C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提供跨版本升级规划、兼容性验证、升级风险评估、升级回退方案制定及升级实施服务。</w:t>
            </w:r>
          </w:p>
          <w:p w14:paraId="121C1F6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271391E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提供控制器、Cache、Metadata、Cluster、Witness等关键组件健康检查、运行状态评估、风险分析及优化建议。</w:t>
            </w:r>
          </w:p>
          <w:p w14:paraId="714E0D7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 具备软件授权恢复、系统恢复、配置恢复及重大故障应急恢复能力。</w:t>
            </w:r>
          </w:p>
          <w:p w14:paraId="73BD56C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8.服务期内，提供双活网关配置变更服务，技术咨询服务；</w:t>
            </w:r>
          </w:p>
          <w:p w14:paraId="24E9835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5394966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10</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服务期内，提供双活网关故障部件更换，所更换的部件由供应商提供，更换的部件费用已包含在本次总报价中，采购人不额外支付；  </w:t>
            </w:r>
          </w:p>
          <w:p w14:paraId="3D08798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51D397E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12</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服务期内，提供一年四次的现场巡检服务，资深技术经理现场服务支持；  </w:t>
            </w:r>
          </w:p>
          <w:p w14:paraId="614FD8F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服务期内，提供所有虚拟机的技术支持服务；  </w:t>
            </w:r>
          </w:p>
          <w:p w14:paraId="0795068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14</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服务期内，提供所有戴尔的双活、CDP任意时间点回滚的技术支持服务；  </w:t>
            </w:r>
          </w:p>
          <w:p w14:paraId="10B5026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15</w:t>
            </w:r>
            <w:r>
              <w:rPr>
                <w:rFonts w:ascii="宋体" w:hAnsi="宋体" w:cs="宋体"/>
                <w:b/>
                <w:bCs/>
                <w:color w:val="auto"/>
                <w:szCs w:val="21"/>
                <w:highlight w:val="none"/>
              </w:rPr>
              <w:t>.</w:t>
            </w:r>
            <w:r>
              <w:rPr>
                <w:rFonts w:hint="eastAsia" w:ascii="宋体" w:hAnsi="宋体" w:cs="宋体"/>
                <w:b/>
                <w:bCs/>
                <w:color w:val="auto"/>
                <w:szCs w:val="21"/>
                <w:highlight w:val="none"/>
              </w:rPr>
              <w:t>服务期内，提供所有虚拟机系统的性能优化服务；</w:t>
            </w:r>
          </w:p>
          <w:p w14:paraId="1E3CA034">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七、技术服务（Pro-Unity450F-1-全闪存储）1项</w:t>
            </w:r>
          </w:p>
          <w:p w14:paraId="5708368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设备：Pro-Unity450F-1-全闪存储；  </w:t>
            </w:r>
          </w:p>
          <w:p w14:paraId="46C5DE1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790B86F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序列号：CETV3190400076；  </w:t>
            </w:r>
          </w:p>
          <w:p w14:paraId="465F0D6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4127A213">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w:t>
            </w:r>
            <w:r>
              <w:rPr>
                <w:rFonts w:hint="eastAsia" w:ascii="宋体" w:hAnsi="宋体" w:cs="宋体"/>
                <w:b/>
                <w:bCs/>
                <w:color w:val="auto"/>
                <w:szCs w:val="21"/>
                <w:highlight w:val="none"/>
                <w:lang w:val="en-US" w:eastAsia="zh-CN" w:bidi="ar"/>
              </w:rPr>
              <w:t>.</w:t>
            </w:r>
            <w:r>
              <w:rPr>
                <w:rFonts w:ascii="宋体" w:hAnsi="宋体" w:cs="宋体"/>
                <w:b/>
                <w:bCs/>
                <w:color w:val="auto"/>
                <w:szCs w:val="21"/>
                <w:highlight w:val="none"/>
                <w:lang w:bidi="ar"/>
              </w:rPr>
              <w:t>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color w:val="auto"/>
                <w:szCs w:val="21"/>
                <w:highlight w:val="none"/>
                <w:lang w:bidi="ar"/>
              </w:rPr>
              <w:t xml:space="preserve">  </w:t>
            </w:r>
          </w:p>
          <w:p w14:paraId="261FE25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2</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服务期内，提供存储配置变更服务，技术咨询服务；  </w:t>
            </w:r>
          </w:p>
          <w:p w14:paraId="609A625F">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服务期内，提供存储故障部件更换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所更换的部件由供应商提供</w:t>
            </w:r>
            <w:r>
              <w:rPr>
                <w:rFonts w:hint="eastAsia" w:ascii="宋体" w:hAnsi="宋体" w:cs="宋体"/>
                <w:color w:val="auto"/>
                <w:szCs w:val="21"/>
                <w:highlight w:val="none"/>
                <w:lang w:bidi="ar"/>
              </w:rPr>
              <w:t>，更换的部件</w:t>
            </w:r>
            <w:r>
              <w:rPr>
                <w:rFonts w:ascii="宋体" w:hAnsi="宋体" w:cs="宋体"/>
                <w:color w:val="auto"/>
                <w:szCs w:val="21"/>
                <w:highlight w:val="none"/>
                <w:lang w:bidi="ar"/>
              </w:rPr>
              <w:t>费用已包含在</w:t>
            </w:r>
            <w:r>
              <w:rPr>
                <w:rFonts w:hint="eastAsia" w:ascii="宋体" w:hAnsi="宋体" w:cs="宋体"/>
                <w:color w:val="auto"/>
                <w:szCs w:val="21"/>
                <w:highlight w:val="none"/>
                <w:lang w:bidi="ar"/>
              </w:rPr>
              <w:t>本次</w:t>
            </w:r>
            <w:r>
              <w:rPr>
                <w:rFonts w:ascii="宋体" w:hAnsi="宋体" w:cs="宋体"/>
                <w:color w:val="auto"/>
                <w:szCs w:val="21"/>
                <w:highlight w:val="none"/>
                <w:lang w:bidi="ar"/>
              </w:rPr>
              <w:t>总报价中</w:t>
            </w:r>
            <w:r>
              <w:rPr>
                <w:rFonts w:hint="eastAsia" w:ascii="宋体" w:hAnsi="宋体" w:cs="宋体"/>
                <w:color w:val="auto"/>
                <w:szCs w:val="21"/>
                <w:highlight w:val="none"/>
                <w:lang w:bidi="ar"/>
              </w:rPr>
              <w:t>，采购人不额外支付</w:t>
            </w:r>
            <w:r>
              <w:rPr>
                <w:rFonts w:ascii="宋体" w:hAnsi="宋体" w:cs="宋体"/>
                <w:color w:val="auto"/>
                <w:szCs w:val="21"/>
                <w:highlight w:val="none"/>
                <w:lang w:bidi="ar"/>
              </w:rPr>
              <w:t xml:space="preserve">；  </w:t>
            </w:r>
          </w:p>
          <w:p w14:paraId="0FCD4B4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4</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现场所有戴尔品牌设备的技术支持服务，包含电话、邮件、现场巡检服务；  </w:t>
            </w:r>
          </w:p>
          <w:p w14:paraId="4008101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5</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一年四次的现场巡检服务，资深技术经理现场服务支持；  </w:t>
            </w:r>
          </w:p>
          <w:p w14:paraId="21EF8AD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6</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所有虚拟机的技术支持服务；  </w:t>
            </w:r>
          </w:p>
          <w:p w14:paraId="3658DC6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7</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所有戴尔的双活、CDP任意时间点回滚的技术支持服务；  </w:t>
            </w:r>
          </w:p>
          <w:p w14:paraId="14CF466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8</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所有虚拟机系统的性能优化服务；  </w:t>
            </w:r>
          </w:p>
          <w:p w14:paraId="3D3F47D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不限次数的远程紧急救援技术支持服务。</w:t>
            </w:r>
          </w:p>
          <w:p w14:paraId="004827B3">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八、技术服务（Pro-Unity400-1-虚拟化平台存储）1项</w:t>
            </w:r>
          </w:p>
          <w:p w14:paraId="6EC79F4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设备：Pro-Unity400-1-虚拟化平台存储；  </w:t>
            </w:r>
          </w:p>
          <w:p w14:paraId="3B56BA9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2F1FC65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序列号：CETV3174900035；  </w:t>
            </w:r>
          </w:p>
          <w:p w14:paraId="7FB3B3E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78323A6B">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b/>
                <w:bCs/>
                <w:color w:val="auto"/>
                <w:szCs w:val="21"/>
                <w:highlight w:val="none"/>
                <w:lang w:bidi="ar"/>
              </w:rPr>
              <w:t xml:space="preserve">； </w:t>
            </w:r>
            <w:r>
              <w:rPr>
                <w:rFonts w:ascii="宋体" w:hAnsi="宋体" w:cs="宋体"/>
                <w:color w:val="auto"/>
                <w:szCs w:val="21"/>
                <w:highlight w:val="none"/>
                <w:lang w:bidi="ar"/>
              </w:rPr>
              <w:t xml:space="preserve"> </w:t>
            </w:r>
          </w:p>
          <w:p w14:paraId="27C7583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2.服务期内，提供存储配置变更服务，技术咨询服务；  </w:t>
            </w:r>
          </w:p>
          <w:p w14:paraId="21557DD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3.服务期内，提供存储故障部件更换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所更换的部件由供应商提供</w:t>
            </w:r>
            <w:r>
              <w:rPr>
                <w:rFonts w:hint="eastAsia" w:ascii="宋体" w:hAnsi="宋体" w:cs="宋体"/>
                <w:color w:val="auto"/>
                <w:szCs w:val="21"/>
                <w:highlight w:val="none"/>
                <w:lang w:bidi="ar"/>
              </w:rPr>
              <w:t>，更换的部件</w:t>
            </w:r>
            <w:r>
              <w:rPr>
                <w:rFonts w:ascii="宋体" w:hAnsi="宋体" w:cs="宋体"/>
                <w:color w:val="auto"/>
                <w:szCs w:val="21"/>
                <w:highlight w:val="none"/>
                <w:lang w:bidi="ar"/>
              </w:rPr>
              <w:t>费用已包含在</w:t>
            </w:r>
            <w:r>
              <w:rPr>
                <w:rFonts w:hint="eastAsia" w:ascii="宋体" w:hAnsi="宋体" w:cs="宋体"/>
                <w:color w:val="auto"/>
                <w:szCs w:val="21"/>
                <w:highlight w:val="none"/>
                <w:lang w:bidi="ar"/>
              </w:rPr>
              <w:t>本次</w:t>
            </w:r>
            <w:r>
              <w:rPr>
                <w:rFonts w:ascii="宋体" w:hAnsi="宋体" w:cs="宋体"/>
                <w:color w:val="auto"/>
                <w:szCs w:val="21"/>
                <w:highlight w:val="none"/>
                <w:lang w:bidi="ar"/>
              </w:rPr>
              <w:t>总报价中</w:t>
            </w:r>
            <w:r>
              <w:rPr>
                <w:rFonts w:hint="eastAsia" w:ascii="宋体" w:hAnsi="宋体" w:cs="宋体"/>
                <w:color w:val="auto"/>
                <w:szCs w:val="21"/>
                <w:highlight w:val="none"/>
                <w:lang w:bidi="ar"/>
              </w:rPr>
              <w:t>，采购人不额外支付</w:t>
            </w:r>
            <w:r>
              <w:rPr>
                <w:rFonts w:ascii="宋体" w:hAnsi="宋体" w:cs="宋体"/>
                <w:color w:val="auto"/>
                <w:szCs w:val="21"/>
                <w:highlight w:val="none"/>
                <w:lang w:bidi="ar"/>
              </w:rPr>
              <w:t>；</w:t>
            </w:r>
          </w:p>
          <w:p w14:paraId="70BB91A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4.现场所有戴尔品牌设备的技术支持服务，包含电话、邮件、现场巡检服务；  </w:t>
            </w:r>
          </w:p>
          <w:p w14:paraId="4C79BB0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5.一年四次的现场巡检服务，资深技术经理现场服务支持；  </w:t>
            </w:r>
          </w:p>
          <w:p w14:paraId="1BEE291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6.所有虚拟机的技术支持服务；  </w:t>
            </w:r>
          </w:p>
          <w:p w14:paraId="13D0DE2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7.所有戴尔的双活、CDP任意时间点回滚的技术支持服务；  </w:t>
            </w:r>
          </w:p>
          <w:p w14:paraId="251EF91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8.所有虚拟机系统的性能优化服务；  </w:t>
            </w:r>
          </w:p>
          <w:p w14:paraId="380B3D5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9.不限次数的远程紧急救援技术支持服务。</w:t>
            </w:r>
          </w:p>
          <w:p w14:paraId="357E38B7">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九、技术服务（Pro-Unity400-2-容灾存储）1项</w:t>
            </w:r>
          </w:p>
          <w:p w14:paraId="4571514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设备：Pro-Unity400-2-容灾存储；  </w:t>
            </w:r>
          </w:p>
          <w:p w14:paraId="285C02C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42E5790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序列号：CETV3190400054；  </w:t>
            </w:r>
          </w:p>
          <w:p w14:paraId="7DFC74C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278DC13C">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w:t>
            </w:r>
            <w:r>
              <w:rPr>
                <w:rFonts w:hint="eastAsia" w:ascii="宋体" w:hAnsi="宋体" w:cs="宋体"/>
                <w:b/>
                <w:bCs/>
                <w:color w:val="auto"/>
                <w:szCs w:val="21"/>
                <w:highlight w:val="none"/>
                <w:lang w:val="en-US" w:eastAsia="zh-CN" w:bidi="ar"/>
              </w:rPr>
              <w:t>.</w:t>
            </w:r>
            <w:r>
              <w:rPr>
                <w:rFonts w:ascii="宋体" w:hAnsi="宋体" w:cs="宋体"/>
                <w:b/>
                <w:bCs/>
                <w:color w:val="auto"/>
                <w:szCs w:val="21"/>
                <w:highlight w:val="none"/>
                <w:lang w:bidi="ar"/>
              </w:rPr>
              <w:t>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b/>
                <w:bCs/>
                <w:color w:val="auto"/>
                <w:szCs w:val="21"/>
                <w:highlight w:val="none"/>
                <w:lang w:bidi="ar"/>
              </w:rPr>
              <w:t xml:space="preserve">； </w:t>
            </w:r>
            <w:r>
              <w:rPr>
                <w:rFonts w:ascii="宋体" w:hAnsi="宋体" w:cs="宋体"/>
                <w:color w:val="auto"/>
                <w:szCs w:val="21"/>
                <w:highlight w:val="none"/>
                <w:lang w:bidi="ar"/>
              </w:rPr>
              <w:t xml:space="preserve"> </w:t>
            </w:r>
          </w:p>
          <w:p w14:paraId="463467C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2</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服务期内，提供存储配置变更服务，技术咨询服务；  </w:t>
            </w:r>
          </w:p>
          <w:p w14:paraId="0A877C0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服务期内，提供存储故障部件更换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 xml:space="preserve">所更换的部件由供应商提供，更换的部件费用已包含在本次总报价中，采购人不额外支付；  </w:t>
            </w:r>
          </w:p>
          <w:p w14:paraId="7A98FEF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4</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现场所有戴尔品牌设备的技术支持服务，包含电话、邮件、现场巡检服务；  </w:t>
            </w:r>
          </w:p>
          <w:p w14:paraId="41DB407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5</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一年四次的现场巡检服务，资深技术经理现场服务支持；  </w:t>
            </w:r>
          </w:p>
          <w:p w14:paraId="1370F7D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6</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所有虚拟机的技术支持服务；  </w:t>
            </w:r>
          </w:p>
          <w:p w14:paraId="4862553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7</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所有戴尔的双活、CDP任意时间点回滚的技术支持服务；  </w:t>
            </w:r>
          </w:p>
          <w:p w14:paraId="4341957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8</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所有虚拟机系统的性能优化服务；  </w:t>
            </w:r>
          </w:p>
          <w:p w14:paraId="5F26410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不限次数的远程紧急救援技术支持服务。</w:t>
            </w:r>
          </w:p>
          <w:p w14:paraId="00AA4FA5">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十、技术服务（PowerStore1200T生产存储）1项</w:t>
            </w:r>
          </w:p>
          <w:p w14:paraId="0C3796F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设备：PowerStore1200T生产存储；  </w:t>
            </w:r>
          </w:p>
          <w:p w14:paraId="1D3C205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数量1台；  </w:t>
            </w:r>
          </w:p>
          <w:p w14:paraId="518E6D8F">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序列号：G4PK4V3；  </w:t>
            </w:r>
          </w:p>
          <w:p w14:paraId="150F559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29FD789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服务，不限故障报修次数、技术咨询次数及远程技术支持次数；对于复杂故障、产品软件缺陷及重大系统异常，应安排工程师现场处置，并协调高级技术支持及研发级别技术支持团队持续联合处理，直至故障关闭。</w:t>
            </w:r>
          </w:p>
          <w:p w14:paraId="4E1BCAF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在用的PowerStoreOS系统软件必须升级到最新版本，获得厂商补丁版本、安全更新、技术公告、工程修复版本及临时修复程序的获取、升级实施及技术支持服务，相关费用由供应商承担。</w:t>
            </w:r>
          </w:p>
          <w:p w14:paraId="40F55D7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对涉及产品软件缺陷、系统异常或复杂故障的问题，应具备升级至高级技术支持及研发级别技术支持团队联合分析处理的能力，并能够获取正式修复版本、工程修复版本或临时修复程序。</w:t>
            </w:r>
          </w:p>
          <w:p w14:paraId="494FFC2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提供跨版本升级规划、兼容性验证、升级风险评估、升级回退方案制定及升级实施服务。</w:t>
            </w:r>
          </w:p>
          <w:p w14:paraId="3648F8A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6A22EF8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提供控制器、磁盘、缓存、电源、风扇等关键组件健康检查、风险分析及性能优化建议。</w:t>
            </w:r>
          </w:p>
          <w:p w14:paraId="5484B51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▲7.具备软件授权恢复、系统恢复、配置恢复及重大故障应急恢复能力。</w:t>
            </w:r>
          </w:p>
          <w:p w14:paraId="087A889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8.服务期内，提供存储配置变更服务，技术咨询服务；  </w:t>
            </w:r>
          </w:p>
          <w:p w14:paraId="7486146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24069A4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10</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服务期内，提供存储故障部件更换，所更换的部件由供应商提供，更换的部件费用已包含在本次总报价中，采购人不额外支付；  </w:t>
            </w:r>
          </w:p>
          <w:p w14:paraId="6894511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78A5372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12</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服务期内，提供一年四次的现场巡检服务，资深技术经理现场服务支持；  </w:t>
            </w:r>
          </w:p>
          <w:p w14:paraId="6DC0336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服务期内，提供所有虚拟机的技术支持服务；  </w:t>
            </w:r>
          </w:p>
          <w:p w14:paraId="20BF137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14</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服务期内，提供所有戴尔的双活、CDP任意时间点回滚的技术支持服务；  </w:t>
            </w:r>
          </w:p>
          <w:p w14:paraId="24032B7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15</w:t>
            </w:r>
            <w:r>
              <w:rPr>
                <w:rFonts w:ascii="宋体" w:hAnsi="宋体" w:cs="宋体"/>
                <w:b/>
                <w:bCs/>
                <w:color w:val="auto"/>
                <w:szCs w:val="21"/>
                <w:highlight w:val="none"/>
              </w:rPr>
              <w:t>.</w:t>
            </w:r>
            <w:r>
              <w:rPr>
                <w:rFonts w:hint="eastAsia" w:ascii="宋体" w:hAnsi="宋体" w:cs="宋体"/>
                <w:b/>
                <w:bCs/>
                <w:color w:val="auto"/>
                <w:szCs w:val="21"/>
                <w:highlight w:val="none"/>
              </w:rPr>
              <w:t>服务期内，提供所有虚拟机系统的性能优化服务；</w:t>
            </w:r>
          </w:p>
          <w:p w14:paraId="7EAEB725">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 xml:space="preserve">▲16. </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在合同签订时，向采购人提供能够证明具备本项目技术服务要求及服务保障能力的相关证明材料原件供采购人查验。</w:t>
            </w:r>
          </w:p>
          <w:p w14:paraId="7372805B">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十一、技术服务（RecoverPoint-RPA容灾装置）1项</w:t>
            </w:r>
          </w:p>
          <w:p w14:paraId="1B707AF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设备：RecoverPoint-RPA容灾装置；  </w:t>
            </w:r>
          </w:p>
          <w:p w14:paraId="455A01E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数量2台；  </w:t>
            </w:r>
          </w:p>
          <w:p w14:paraId="7CE160B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序列号：CK2SY190400025；  </w:t>
            </w:r>
          </w:p>
          <w:p w14:paraId="0BC08AA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序列号：CK2SY190400024；  </w:t>
            </w:r>
          </w:p>
          <w:p w14:paraId="3E717FB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2E3044A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lang w:bidi="ar"/>
              </w:rPr>
              <w:t>维保服务要求：</w:t>
            </w:r>
            <w:r>
              <w:rPr>
                <w:rFonts w:hint="eastAsia" w:ascii="宋体" w:hAnsi="宋体" w:cs="宋体"/>
                <w:b/>
                <w:bCs/>
                <w:color w:val="auto"/>
                <w:szCs w:val="21"/>
                <w:highlight w:val="none"/>
              </w:rPr>
              <w:t>要求提供维保服务两年，维保期间提供7×24小时、不限次数的技术支持服务，不限故障报修次数、技术咨询次数及远程技术支持次数；对于复杂故障、产品软件缺陷及重大系统异常，应安排工程师现场处置，并协调高级技术支持及研发级别技术支持团队持续联合处理，直至故障关闭。</w:t>
            </w:r>
          </w:p>
          <w:p w14:paraId="58F80EB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 服务期间应能够提供在用的RecoverPoint系统软件正式版本、补丁程序、安全更新、工程修复版本及临时修复程序的获取、升级实施及技术支持服务，相关费用由供应商承担。</w:t>
            </w:r>
          </w:p>
          <w:p w14:paraId="47E7C57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 对涉及产品软件缺陷、复制异常、Journal异常及系统软件异常等重大故障，应具备升级至高级技术支持及研发级别技术支持团队联合分析处理的能力，并能够获取正式修复版本、工程修复版本或临时修复程序。</w:t>
            </w:r>
          </w:p>
          <w:p w14:paraId="492CF42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 提供版本升级规划、兼容性验证、升级风险评估、升级回退方案制定及升级实施服务。</w:t>
            </w:r>
          </w:p>
          <w:p w14:paraId="6FA8272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提供产品兼容性验证及技术咨询服务，包括与服务器、操作系统、虚拟化平台、数据库、中间件、SAN交换网络及相关配套产品的版本兼容性分析及技术支持。</w:t>
            </w:r>
          </w:p>
          <w:p w14:paraId="2C3AA8D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6. 提供系统运行状态分析、健康检查、风险评估及配置优化建议。</w:t>
            </w:r>
          </w:p>
          <w:p w14:paraId="7268861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▲7. 具备软件授权恢复、系统恢复、配置恢复及重大故障应急恢复能力。</w:t>
            </w:r>
          </w:p>
          <w:p w14:paraId="01A4008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8. 服务期内，提供CDP容灾装置配置变更服务，技术咨询服务；  </w:t>
            </w:r>
          </w:p>
          <w:p w14:paraId="33CECD4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9</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服务期内，所更换备件须为全新备件，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p>
          <w:p w14:paraId="02463A9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10</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服务期内，提供CDP容灾装置故障部件更换，所更换的部件由供应商提供，更换的部件费用已包含在本次总报价中，采购人不额外支付；  </w:t>
            </w:r>
          </w:p>
          <w:p w14:paraId="57277BE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服务期内，提供现场所有相关戴尔品牌设备的技术支持服务，包含电话、邮件、现场巡检服务；  </w:t>
            </w:r>
          </w:p>
          <w:p w14:paraId="2AE5316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12</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服务期内，提供一年四次的现场巡检服务，资深技术经理现场服务支持；  </w:t>
            </w:r>
          </w:p>
          <w:p w14:paraId="27FB5CC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服务期内，提供所有虚拟机的技术支持服务；  </w:t>
            </w:r>
          </w:p>
          <w:p w14:paraId="2D98732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14</w:t>
            </w:r>
            <w:r>
              <w:rPr>
                <w:rFonts w:ascii="宋体" w:hAnsi="宋体" w:cs="宋体"/>
                <w:b/>
                <w:bCs/>
                <w:color w:val="auto"/>
                <w:szCs w:val="21"/>
                <w:highlight w:val="none"/>
              </w:rPr>
              <w:t>.</w:t>
            </w:r>
            <w:r>
              <w:rPr>
                <w:rFonts w:hint="eastAsia" w:ascii="宋体" w:hAnsi="宋体" w:cs="宋体"/>
                <w:b/>
                <w:bCs/>
                <w:color w:val="auto"/>
                <w:szCs w:val="21"/>
                <w:highlight w:val="none"/>
              </w:rPr>
              <w:t xml:space="preserve">服务期内，提供所有戴尔的双活、CDP任意时间点回滚的技术支持服务；  </w:t>
            </w:r>
          </w:p>
          <w:p w14:paraId="45C9CE1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15</w:t>
            </w:r>
            <w:r>
              <w:rPr>
                <w:rFonts w:ascii="宋体" w:hAnsi="宋体" w:cs="宋体"/>
                <w:b/>
                <w:bCs/>
                <w:color w:val="auto"/>
                <w:szCs w:val="21"/>
                <w:highlight w:val="none"/>
              </w:rPr>
              <w:t>.</w:t>
            </w:r>
            <w:r>
              <w:rPr>
                <w:rFonts w:hint="eastAsia" w:ascii="宋体" w:hAnsi="宋体" w:cs="宋体"/>
                <w:b/>
                <w:bCs/>
                <w:color w:val="auto"/>
                <w:szCs w:val="21"/>
                <w:highlight w:val="none"/>
              </w:rPr>
              <w:t>服务期内，提供所有虚拟机系统的性能优化服务；</w:t>
            </w:r>
          </w:p>
          <w:p w14:paraId="7742EC8E">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十二、技术服务（Pro-DS6510光纤交换机）1项</w:t>
            </w:r>
          </w:p>
          <w:p w14:paraId="404D57D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设备：Pro-DS6510光纤交换机；  </w:t>
            </w:r>
          </w:p>
          <w:p w14:paraId="37141B1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数量2台；  </w:t>
            </w:r>
          </w:p>
          <w:p w14:paraId="213EFFF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序列号：BRCBRW1947N019；  </w:t>
            </w:r>
          </w:p>
          <w:p w14:paraId="418E97C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序列号：BRCBRW1947N023；  </w:t>
            </w:r>
          </w:p>
          <w:p w14:paraId="45FE8A70">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51AAB37A">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color w:val="auto"/>
                <w:szCs w:val="21"/>
                <w:highlight w:val="none"/>
                <w:lang w:bidi="ar"/>
              </w:rPr>
              <w:t xml:space="preserve">  </w:t>
            </w:r>
          </w:p>
          <w:p w14:paraId="3C233B1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2.服务期内，提供存储光纤交换机配置变更服务，技术咨询服务；  </w:t>
            </w:r>
          </w:p>
          <w:p w14:paraId="203FBBE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3.服务期内，提供存储光纤交换机故障部件更换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 xml:space="preserve">所更换的部件由供应商提供，更换的部件费用已包含在本次总报价中，采购人不额外支付；  </w:t>
            </w:r>
          </w:p>
          <w:p w14:paraId="5BC0DD7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4.现场所有戴尔品牌设备的技术支持服务，包含电话、邮件、现场巡检服务；  </w:t>
            </w:r>
          </w:p>
          <w:p w14:paraId="08CD69C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5.一年四次的现场巡检服务，资深技术经理现场服务支持；  </w:t>
            </w:r>
          </w:p>
          <w:p w14:paraId="415CC7B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6.所有虚拟机的技术支持服务；  </w:t>
            </w:r>
          </w:p>
          <w:p w14:paraId="37951E2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7.所有戴尔的双活、CDP任意时间点回滚的技术支持服务；  </w:t>
            </w:r>
          </w:p>
          <w:p w14:paraId="37C6E39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8.所有虚拟机系统的性能优化服务；  </w:t>
            </w:r>
          </w:p>
          <w:p w14:paraId="70231BD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9.不限次数的远程紧急救援技术支持服务。</w:t>
            </w:r>
          </w:p>
          <w:p w14:paraId="26889A5F">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十三、技术服务（ISILON X210分布式存储）1项</w:t>
            </w:r>
          </w:p>
          <w:p w14:paraId="5A1FF52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设备：ISILON X210分布式存储；  </w:t>
            </w:r>
          </w:p>
          <w:p w14:paraId="46550A4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数量11台；  </w:t>
            </w:r>
          </w:p>
          <w:p w14:paraId="0575B6B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序列号1：CEGER174400045；  </w:t>
            </w:r>
          </w:p>
          <w:p w14:paraId="7B5A52A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序列号2：CEGER174400044；  </w:t>
            </w:r>
          </w:p>
          <w:p w14:paraId="0397BE6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序列号3：CEGER174400043；  </w:t>
            </w:r>
          </w:p>
          <w:p w14:paraId="5A2F2E8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序列号4：CEGER174400041；  </w:t>
            </w:r>
          </w:p>
          <w:p w14:paraId="3ED5602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序列号5：CEGER174400040；  </w:t>
            </w:r>
          </w:p>
          <w:p w14:paraId="1F52691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序列号6：CEGER174400039；  </w:t>
            </w:r>
          </w:p>
          <w:p w14:paraId="45A7FB3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序列号7：FXTER204600035；  </w:t>
            </w:r>
          </w:p>
          <w:p w14:paraId="4E0EB1A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序列号8：FXTER204500014；  </w:t>
            </w:r>
          </w:p>
          <w:p w14:paraId="30AAE6E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序列号9：FXTER204600062；  </w:t>
            </w:r>
          </w:p>
          <w:p w14:paraId="0A2E89D5">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序列号10：FXTER204500013；  </w:t>
            </w:r>
          </w:p>
          <w:p w14:paraId="0AF807A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序列号11：FXTER204600043；  </w:t>
            </w:r>
          </w:p>
          <w:p w14:paraId="5292AB7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6233E619">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color w:val="auto"/>
                <w:szCs w:val="21"/>
                <w:highlight w:val="none"/>
                <w:lang w:bidi="ar"/>
              </w:rPr>
              <w:t xml:space="preserve">  </w:t>
            </w:r>
          </w:p>
          <w:p w14:paraId="0C42E7DF">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2.服务期内，提供分布式存储配置变更服务，技术咨询服务；  </w:t>
            </w:r>
          </w:p>
          <w:p w14:paraId="269AC3E7">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color w:val="auto"/>
                <w:szCs w:val="21"/>
                <w:highlight w:val="none"/>
                <w:lang w:bidi="ar"/>
              </w:rPr>
              <w:t>3.服务期内，提供分布式存储故障部件更换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微码</w:t>
            </w:r>
            <w:r>
              <w:rPr>
                <w:rFonts w:hint="eastAsia" w:ascii="宋体" w:hAnsi="宋体" w:cs="宋体"/>
                <w:color w:val="auto"/>
                <w:szCs w:val="21"/>
                <w:highlight w:val="none"/>
                <w:lang w:bidi="ar"/>
              </w:rPr>
              <w:t>必须</w:t>
            </w:r>
            <w:r>
              <w:rPr>
                <w:rFonts w:ascii="宋体" w:hAnsi="宋体" w:cs="宋体"/>
                <w:color w:val="auto"/>
                <w:szCs w:val="21"/>
                <w:highlight w:val="none"/>
                <w:lang w:bidi="ar"/>
              </w:rPr>
              <w:t>升级到最新版本</w:t>
            </w:r>
            <w:r>
              <w:rPr>
                <w:rFonts w:hint="eastAsia" w:ascii="宋体" w:hAnsi="宋体" w:cs="宋体"/>
                <w:color w:val="auto"/>
                <w:szCs w:val="21"/>
                <w:highlight w:val="none"/>
                <w:lang w:bidi="ar"/>
              </w:rPr>
              <w:t>（以在用设备生产厂家官方发布版本为准）。</w:t>
            </w:r>
            <w:r>
              <w:rPr>
                <w:rFonts w:ascii="宋体" w:hAnsi="宋体" w:cs="宋体"/>
                <w:color w:val="auto"/>
                <w:szCs w:val="21"/>
                <w:highlight w:val="none"/>
                <w:lang w:bidi="ar"/>
              </w:rPr>
              <w:t>所更换的部件由供应商提供，更换的部件费用已包含在本次总报价中，采购人不额外支付；</w:t>
            </w:r>
          </w:p>
          <w:p w14:paraId="69954FB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4.现场所有戴尔品牌设备的技术支持服务，包含电话、邮件、现场巡检服务；  </w:t>
            </w:r>
          </w:p>
          <w:p w14:paraId="7B95523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5.一年四次的现场巡检服务，资深技术经理现场服务支持；  </w:t>
            </w:r>
          </w:p>
          <w:p w14:paraId="0C45279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6.所有虚拟机的技术支持服务；  </w:t>
            </w:r>
          </w:p>
          <w:p w14:paraId="128213D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7.所有戴尔的双活、CDP任意时间点回滚的技术支持服务；  </w:t>
            </w:r>
          </w:p>
          <w:p w14:paraId="6C99D00F">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8.所有虚拟机系统的性能优化服务；  </w:t>
            </w:r>
          </w:p>
          <w:p w14:paraId="2083FAE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9.不限次数的远程紧急救援技术支持服务。</w:t>
            </w:r>
          </w:p>
          <w:p w14:paraId="3D08A836">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十四、技术服务（ISILON A300分布式存储）1项</w:t>
            </w:r>
          </w:p>
          <w:p w14:paraId="61E3E909">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设备：ISILON A300分布式存储；  </w:t>
            </w:r>
          </w:p>
          <w:p w14:paraId="69899D2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数量4台；  </w:t>
            </w:r>
          </w:p>
          <w:p w14:paraId="6B31256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序列号1：CF2Y1224700039；  </w:t>
            </w:r>
          </w:p>
          <w:p w14:paraId="269F294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序列号2：CF2Y1224700038；  </w:t>
            </w:r>
          </w:p>
          <w:p w14:paraId="1EE9B81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序列号3：CF2Y1224700037；  </w:t>
            </w:r>
          </w:p>
          <w:p w14:paraId="473036C7">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序列号4：CF2Y1224700028；  </w:t>
            </w:r>
          </w:p>
          <w:p w14:paraId="37A4F68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7E70462C">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color w:val="auto"/>
                <w:szCs w:val="21"/>
                <w:highlight w:val="none"/>
                <w:lang w:bidi="ar"/>
              </w:rPr>
              <w:t xml:space="preserve">  </w:t>
            </w:r>
          </w:p>
          <w:p w14:paraId="3717855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2.服务期内，提供分布式存储配置变更服务，技术咨询服务；  </w:t>
            </w:r>
          </w:p>
          <w:p w14:paraId="43A75055">
            <w:pPr>
              <w:spacing w:line="360" w:lineRule="auto"/>
              <w:rPr>
                <w:rFonts w:ascii="宋体" w:hAnsi="宋体" w:cs="宋体"/>
                <w:color w:val="auto"/>
                <w:szCs w:val="21"/>
                <w:highlight w:val="none"/>
                <w:lang w:bidi="ar"/>
              </w:rPr>
            </w:pPr>
            <w:r>
              <w:rPr>
                <w:rFonts w:hint="eastAsia" w:ascii="宋体" w:hAnsi="宋体" w:cs="宋体"/>
                <w:b/>
                <w:bCs/>
                <w:color w:val="auto"/>
                <w:szCs w:val="21"/>
                <w:highlight w:val="none"/>
              </w:rPr>
              <w:t>▲</w:t>
            </w:r>
            <w:r>
              <w:rPr>
                <w:rFonts w:ascii="宋体" w:hAnsi="宋体" w:cs="宋体"/>
                <w:color w:val="auto"/>
                <w:szCs w:val="21"/>
                <w:highlight w:val="none"/>
                <w:lang w:bidi="ar"/>
              </w:rPr>
              <w:t>3.服务期内，提供分布式存储故障部件更换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微码</w:t>
            </w:r>
            <w:r>
              <w:rPr>
                <w:rFonts w:hint="eastAsia" w:ascii="宋体" w:hAnsi="宋体" w:cs="宋体"/>
                <w:color w:val="auto"/>
                <w:szCs w:val="21"/>
                <w:highlight w:val="none"/>
                <w:lang w:bidi="ar"/>
              </w:rPr>
              <w:t>必须</w:t>
            </w:r>
            <w:r>
              <w:rPr>
                <w:rFonts w:ascii="宋体" w:hAnsi="宋体" w:cs="宋体"/>
                <w:color w:val="auto"/>
                <w:szCs w:val="21"/>
                <w:highlight w:val="none"/>
                <w:lang w:bidi="ar"/>
              </w:rPr>
              <w:t>升级到最新版本</w:t>
            </w:r>
            <w:r>
              <w:rPr>
                <w:rFonts w:hint="eastAsia" w:ascii="宋体" w:hAnsi="宋体" w:cs="宋体"/>
                <w:color w:val="auto"/>
                <w:szCs w:val="21"/>
                <w:highlight w:val="none"/>
                <w:lang w:bidi="ar"/>
              </w:rPr>
              <w:t>（以在用设备生产厂家官方发布版本为准）。</w:t>
            </w:r>
            <w:r>
              <w:rPr>
                <w:rFonts w:ascii="宋体" w:hAnsi="宋体" w:cs="宋体"/>
                <w:color w:val="auto"/>
                <w:szCs w:val="21"/>
                <w:highlight w:val="none"/>
                <w:lang w:bidi="ar"/>
              </w:rPr>
              <w:t xml:space="preserve">所更换的部件由供应商提供，更换的部件费用已包含在本次总报价中，采购人不额外支付； </w:t>
            </w:r>
          </w:p>
          <w:p w14:paraId="3CE1D6E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4.现场所有戴尔品牌设备的技术支持服务，包含电话、邮件、现场巡检服务；  </w:t>
            </w:r>
          </w:p>
          <w:p w14:paraId="798BBA0C">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5.一年四次的现场巡检服务，资深技术经理现场服务支持；  </w:t>
            </w:r>
          </w:p>
          <w:p w14:paraId="34F2A6F6">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6.所有虚拟机的技术支持服务；  </w:t>
            </w:r>
          </w:p>
          <w:p w14:paraId="009998AF">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7.所有戴尔的双活、CDP任意时间点回滚的技术支持服务；  </w:t>
            </w:r>
          </w:p>
          <w:p w14:paraId="21C1F1A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8.所有虚拟机系统的性能优化服务；  </w:t>
            </w:r>
          </w:p>
          <w:p w14:paraId="20B2FBCB">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9.不限次数的远程紧急救援技术支持服务。</w:t>
            </w:r>
          </w:p>
          <w:p w14:paraId="26F803E6">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lang w:bidi="ar"/>
              </w:rPr>
              <w:t>十五、技术服务（DS-6620B光纤交换机）1项</w:t>
            </w:r>
          </w:p>
          <w:p w14:paraId="1BD2D9D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设备：DS-6620B光纤交换机；  </w:t>
            </w:r>
          </w:p>
          <w:p w14:paraId="7F8E61D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数量2台；  </w:t>
            </w:r>
          </w:p>
          <w:p w14:paraId="79397A28">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序列号：BRCEWY1917T04S；  </w:t>
            </w:r>
          </w:p>
          <w:p w14:paraId="4A0E1CBE">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序列号：BRCEWY1917T05H；  </w:t>
            </w:r>
          </w:p>
          <w:p w14:paraId="324AD0B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维保服务范围：  </w:t>
            </w:r>
          </w:p>
          <w:p w14:paraId="6ED1D22C">
            <w:pPr>
              <w:spacing w:line="360" w:lineRule="auto"/>
              <w:rPr>
                <w:rFonts w:ascii="宋体" w:hAnsi="宋体" w:cs="宋体"/>
                <w:b/>
                <w:bCs/>
                <w:color w:val="auto"/>
                <w:szCs w:val="21"/>
                <w:highlight w:val="none"/>
                <w:lang w:bidi="ar"/>
              </w:rPr>
            </w:pPr>
            <w:r>
              <w:rPr>
                <w:rFonts w:hint="eastAsia" w:ascii="宋体" w:hAnsi="宋体" w:cs="宋体"/>
                <w:b/>
                <w:bCs/>
                <w:color w:val="auto"/>
                <w:szCs w:val="21"/>
                <w:highlight w:val="none"/>
              </w:rPr>
              <w:t>▲</w:t>
            </w:r>
            <w:r>
              <w:rPr>
                <w:rFonts w:ascii="宋体" w:hAnsi="宋体" w:cs="宋体"/>
                <w:b/>
                <w:bCs/>
                <w:color w:val="auto"/>
                <w:szCs w:val="21"/>
                <w:highlight w:val="none"/>
                <w:lang w:bidi="ar"/>
              </w:rPr>
              <w:t>1</w:t>
            </w:r>
            <w:r>
              <w:rPr>
                <w:rFonts w:hint="eastAsia" w:ascii="宋体" w:hAnsi="宋体" w:cs="宋体"/>
                <w:b/>
                <w:bCs/>
                <w:color w:val="auto"/>
                <w:szCs w:val="21"/>
                <w:highlight w:val="none"/>
                <w:lang w:val="en-US" w:eastAsia="zh-CN" w:bidi="ar"/>
              </w:rPr>
              <w:t>.</w:t>
            </w:r>
            <w:r>
              <w:rPr>
                <w:rFonts w:ascii="宋体" w:hAnsi="宋体" w:cs="宋体"/>
                <w:b/>
                <w:bCs/>
                <w:color w:val="auto"/>
                <w:szCs w:val="21"/>
                <w:highlight w:val="none"/>
                <w:lang w:bidi="ar"/>
              </w:rPr>
              <w:t>维保服务要求：要求提供维保服务两年。服务期内，</w:t>
            </w:r>
            <w:r>
              <w:rPr>
                <w:rFonts w:hint="eastAsia" w:ascii="宋体" w:hAnsi="宋体" w:cs="宋体"/>
                <w:b/>
                <w:bCs/>
                <w:color w:val="auto"/>
                <w:szCs w:val="21"/>
                <w:highlight w:val="none"/>
                <w:lang w:bidi="ar"/>
              </w:rPr>
              <w:t>所</w:t>
            </w:r>
            <w:r>
              <w:rPr>
                <w:rFonts w:hint="eastAsia" w:ascii="宋体" w:hAnsi="宋体" w:cs="宋体"/>
                <w:b/>
                <w:bCs/>
                <w:color w:val="auto"/>
                <w:szCs w:val="21"/>
                <w:highlight w:val="none"/>
              </w:rPr>
              <w:t>更换备件须为全新备件，</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ascii="宋体" w:hAnsi="宋体" w:cs="宋体"/>
                <w:b/>
                <w:bCs/>
                <w:color w:val="auto"/>
                <w:szCs w:val="21"/>
                <w:highlight w:val="none"/>
                <w:lang w:bidi="ar"/>
              </w:rPr>
              <w:t xml:space="preserve"> </w:t>
            </w:r>
          </w:p>
          <w:p w14:paraId="636BE062">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2</w:t>
            </w:r>
            <w:r>
              <w:rPr>
                <w:rFonts w:hint="eastAsia" w:ascii="宋体" w:hAnsi="宋体" w:cs="宋体"/>
                <w:color w:val="auto"/>
                <w:szCs w:val="21"/>
                <w:highlight w:val="none"/>
                <w:lang w:val="en-US" w:eastAsia="zh-CN" w:bidi="ar"/>
              </w:rPr>
              <w:t>.</w:t>
            </w:r>
            <w:r>
              <w:rPr>
                <w:rFonts w:ascii="宋体" w:hAnsi="宋体" w:cs="宋体"/>
                <w:color w:val="auto"/>
                <w:szCs w:val="21"/>
                <w:highlight w:val="none"/>
                <w:lang w:bidi="ar"/>
              </w:rPr>
              <w:t xml:space="preserve">服务期内，提供存储光纤交换机配置变更服务，技术咨询服务；  </w:t>
            </w:r>
          </w:p>
          <w:p w14:paraId="470D8E5D">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3、服务期内，提供存储光纤交换机故障部件更换</w:t>
            </w:r>
            <w:r>
              <w:rPr>
                <w:rFonts w:hint="eastAsia" w:ascii="宋体" w:hAnsi="宋体" w:cs="宋体"/>
                <w:color w:val="auto"/>
                <w:szCs w:val="21"/>
                <w:highlight w:val="none"/>
                <w:lang w:bidi="ar"/>
              </w:rPr>
              <w:t>，</w:t>
            </w:r>
            <w:r>
              <w:rPr>
                <w:rFonts w:ascii="宋体" w:hAnsi="宋体" w:cs="宋体"/>
                <w:color w:val="auto"/>
                <w:szCs w:val="21"/>
                <w:highlight w:val="none"/>
                <w:lang w:bidi="ar"/>
              </w:rPr>
              <w:t xml:space="preserve">所更换的部件由供应商提供，更换的部件费用已包含在本次总报价中，采购人不额外支付；  </w:t>
            </w:r>
          </w:p>
          <w:p w14:paraId="692C1EB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4、现场所有戴尔品牌设备的技术支持服务，包含电话、邮件、现场巡检服务；  </w:t>
            </w:r>
          </w:p>
          <w:p w14:paraId="461BA42A">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5、一年四次的现场巡检服务，资深技术经理现场服务支持；  </w:t>
            </w:r>
          </w:p>
          <w:p w14:paraId="2559B713">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6、所有虚拟机的技术支持服务；  </w:t>
            </w:r>
          </w:p>
          <w:p w14:paraId="20101904">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7、所有戴尔的双活、CDP任意时间点回滚的技术支持服务；  </w:t>
            </w:r>
          </w:p>
          <w:p w14:paraId="478510C1">
            <w:pPr>
              <w:spacing w:line="360" w:lineRule="auto"/>
              <w:rPr>
                <w:rFonts w:ascii="宋体" w:hAnsi="宋体" w:cs="宋体"/>
                <w:color w:val="auto"/>
                <w:szCs w:val="21"/>
                <w:highlight w:val="none"/>
                <w:lang w:bidi="ar"/>
              </w:rPr>
            </w:pPr>
            <w:r>
              <w:rPr>
                <w:rFonts w:ascii="宋体" w:hAnsi="宋体" w:cs="宋体"/>
                <w:color w:val="auto"/>
                <w:szCs w:val="21"/>
                <w:highlight w:val="none"/>
                <w:lang w:bidi="ar"/>
              </w:rPr>
              <w:t xml:space="preserve">8、所有虚拟机系统的性能优化服务；  </w:t>
            </w:r>
          </w:p>
          <w:p w14:paraId="42A129D3">
            <w:pPr>
              <w:spacing w:line="360" w:lineRule="auto"/>
              <w:rPr>
                <w:rFonts w:hint="default" w:ascii="宋体" w:hAnsi="宋体" w:eastAsia="宋体" w:cs="宋体"/>
                <w:color w:val="auto"/>
                <w:sz w:val="21"/>
                <w:szCs w:val="21"/>
                <w:highlight w:val="none"/>
                <w:lang w:val="en-US" w:eastAsia="zh-CN" w:bidi="ar"/>
              </w:rPr>
            </w:pPr>
            <w:r>
              <w:rPr>
                <w:rFonts w:ascii="宋体" w:hAnsi="宋体" w:cs="宋体"/>
                <w:color w:val="auto"/>
                <w:szCs w:val="21"/>
                <w:highlight w:val="none"/>
                <w:lang w:bidi="ar"/>
              </w:rPr>
              <w:t>9、不限次数的远程紧急救援技术支持服务。</w:t>
            </w:r>
          </w:p>
        </w:tc>
      </w:tr>
      <w:tr w14:paraId="67EF7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top"/>
          </w:tcPr>
          <w:p w14:paraId="1068CC5E">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一、商务要求</w:t>
            </w:r>
          </w:p>
        </w:tc>
      </w:tr>
      <w:tr w14:paraId="37FF5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4084119">
            <w:pPr>
              <w:spacing w:line="360" w:lineRule="auto"/>
              <w:jc w:val="center"/>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rPr>
              <w:t>▲交付（实施）的时间（期限）和地点（范围）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5EDA00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交付（实施）的时间（期限）：签订合同后30天内完成设备升级和软件更新，并提供维保服务两年。</w:t>
            </w:r>
          </w:p>
          <w:p w14:paraId="027F493D">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交付（实施）的地点（范围）：</w:t>
            </w:r>
            <w:r>
              <w:rPr>
                <w:rFonts w:hint="eastAsia" w:ascii="仿宋" w:hAnsi="仿宋"/>
                <w:b/>
                <w:bCs/>
                <w:color w:val="auto"/>
                <w:szCs w:val="32"/>
                <w:highlight w:val="none"/>
              </w:rPr>
              <w:t>贵港市人民医院</w:t>
            </w:r>
            <w:r>
              <w:rPr>
                <w:rFonts w:hint="eastAsia" w:ascii="宋体" w:hAnsi="宋体" w:cs="宋体"/>
                <w:b/>
                <w:bCs/>
                <w:color w:val="auto"/>
                <w:szCs w:val="21"/>
                <w:highlight w:val="none"/>
              </w:rPr>
              <w:t>。</w:t>
            </w:r>
          </w:p>
        </w:tc>
      </w:tr>
      <w:tr w14:paraId="15F84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0F81DFBE">
            <w:pPr>
              <w:spacing w:line="360" w:lineRule="auto"/>
              <w:jc w:val="center"/>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rPr>
              <w:t>▲合同签订时间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9F9520B">
            <w:pPr>
              <w:spacing w:line="360" w:lineRule="auto"/>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rPr>
              <w:t xml:space="preserve">自成交通知书发出之日起 </w:t>
            </w:r>
            <w:r>
              <w:rPr>
                <w:rFonts w:hint="eastAsia" w:ascii="宋体" w:hAnsi="宋体" w:cs="宋体"/>
                <w:b/>
                <w:bCs/>
                <w:color w:val="auto"/>
                <w:szCs w:val="21"/>
                <w:highlight w:val="none"/>
                <w:u w:val="single"/>
              </w:rPr>
              <w:t>25</w:t>
            </w:r>
            <w:r>
              <w:rPr>
                <w:rFonts w:hint="eastAsia" w:ascii="宋体" w:hAnsi="宋体" w:cs="宋体"/>
                <w:b/>
                <w:bCs/>
                <w:color w:val="auto"/>
                <w:szCs w:val="21"/>
                <w:highlight w:val="none"/>
              </w:rPr>
              <w:t>日内</w:t>
            </w:r>
          </w:p>
        </w:tc>
      </w:tr>
      <w:tr w14:paraId="385C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C7BF4C9">
            <w:pPr>
              <w:spacing w:line="360" w:lineRule="auto"/>
              <w:jc w:val="center"/>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rPr>
              <w:t>▲付款条件（进度和方式）</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04F9A5D">
            <w:pPr>
              <w:spacing w:line="360"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Cs w:val="21"/>
                <w:highlight w:val="none"/>
              </w:rPr>
              <w:t>合同签订并具备实施条件后采购人支付合同款的30%（在签订合同时，供应商明确表示无需分阶段付款或主动要求降低付款比例或延长结算时间付款的采购人可不适用前述规定），全部项目内容完成且经采购人验收合格后支付完所有合同款，每次付款前由成交供应商提供正式发票，采购人完善相关报支手续，提交至财政部门，由财政部门进行支付款项。</w:t>
            </w:r>
          </w:p>
        </w:tc>
      </w:tr>
      <w:tr w14:paraId="3961A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4677DF5">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lang w:bidi="ar"/>
              </w:rPr>
              <w:t>维保服务要求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FEC3C75">
            <w:pPr>
              <w:spacing w:line="360" w:lineRule="auto"/>
              <w:rPr>
                <w:rFonts w:hint="eastAsia" w:ascii="宋体" w:hAnsi="宋体" w:cs="宋体"/>
                <w:b/>
                <w:bCs/>
                <w:color w:val="auto"/>
                <w:szCs w:val="21"/>
                <w:highlight w:val="none"/>
              </w:rPr>
            </w:pPr>
            <w:r>
              <w:rPr>
                <w:rFonts w:ascii="宋体" w:hAnsi="宋体" w:cs="宋体"/>
                <w:b/>
                <w:bCs/>
                <w:color w:val="auto"/>
                <w:szCs w:val="21"/>
                <w:highlight w:val="none"/>
                <w:lang w:bidi="ar"/>
              </w:rPr>
              <w:t>服务期内，</w:t>
            </w:r>
            <w:r>
              <w:rPr>
                <w:rFonts w:hint="eastAsia" w:ascii="宋体" w:hAnsi="宋体" w:cs="宋体"/>
                <w:b/>
                <w:bCs/>
                <w:color w:val="auto"/>
                <w:szCs w:val="21"/>
                <w:highlight w:val="none"/>
                <w:u w:val="single"/>
                <w:lang w:eastAsia="zh-CN" w:bidi="ar"/>
              </w:rPr>
              <w:t>对采购人所有设备</w:t>
            </w:r>
            <w:r>
              <w:rPr>
                <w:rFonts w:hint="eastAsia" w:ascii="宋体" w:hAnsi="宋体" w:cs="宋体"/>
                <w:b/>
                <w:bCs/>
                <w:color w:val="auto"/>
                <w:szCs w:val="21"/>
                <w:highlight w:val="none"/>
                <w:u w:val="single"/>
                <w:lang w:bidi="ar"/>
              </w:rPr>
              <w:t>所</w:t>
            </w:r>
            <w:r>
              <w:rPr>
                <w:rFonts w:hint="eastAsia" w:ascii="宋体" w:hAnsi="宋体" w:cs="宋体"/>
                <w:b/>
                <w:bCs/>
                <w:color w:val="auto"/>
                <w:szCs w:val="21"/>
                <w:highlight w:val="none"/>
                <w:u w:val="single"/>
              </w:rPr>
              <w:t>更换</w:t>
            </w:r>
            <w:r>
              <w:rPr>
                <w:rFonts w:hint="eastAsia" w:ascii="宋体" w:hAnsi="宋体" w:cs="宋体"/>
                <w:b/>
                <w:bCs/>
                <w:color w:val="auto"/>
                <w:szCs w:val="21"/>
                <w:highlight w:val="none"/>
                <w:u w:val="single"/>
                <w:lang w:eastAsia="zh-CN"/>
              </w:rPr>
              <w:t>的</w:t>
            </w:r>
            <w:r>
              <w:rPr>
                <w:rFonts w:hint="eastAsia" w:ascii="宋体" w:hAnsi="宋体" w:cs="宋体"/>
                <w:b/>
                <w:bCs/>
                <w:color w:val="auto"/>
                <w:szCs w:val="21"/>
                <w:highlight w:val="none"/>
                <w:u w:val="single"/>
              </w:rPr>
              <w:t>备件须为全新备件，响应文件需提供</w:t>
            </w:r>
            <w:r>
              <w:rPr>
                <w:rFonts w:hint="eastAsia" w:ascii="宋体" w:hAnsi="宋体" w:cs="宋体"/>
                <w:b/>
                <w:bCs/>
                <w:color w:val="auto"/>
                <w:szCs w:val="21"/>
                <w:highlight w:val="none"/>
                <w:u w:val="single"/>
                <w:lang w:eastAsia="zh-CN"/>
              </w:rPr>
              <w:t>《</w:t>
            </w:r>
            <w:r>
              <w:rPr>
                <w:rFonts w:hint="eastAsia" w:ascii="宋体" w:hAnsi="宋体" w:cs="宋体"/>
                <w:b/>
                <w:bCs/>
                <w:color w:val="auto"/>
                <w:szCs w:val="21"/>
                <w:highlight w:val="none"/>
                <w:u w:val="single"/>
              </w:rPr>
              <w:t>备件的兼容性承诺函</w:t>
            </w:r>
            <w:r>
              <w:rPr>
                <w:rFonts w:hint="eastAsia" w:ascii="宋体" w:hAnsi="宋体" w:cs="宋体"/>
                <w:b/>
                <w:bCs/>
                <w:color w:val="auto"/>
                <w:szCs w:val="21"/>
                <w:highlight w:val="none"/>
                <w:u w:val="single"/>
                <w:lang w:eastAsia="zh-CN"/>
              </w:rPr>
              <w:t>》（格式自拟）</w:t>
            </w:r>
            <w:r>
              <w:rPr>
                <w:rFonts w:hint="eastAsia" w:ascii="宋体" w:hAnsi="宋体" w:cs="宋体"/>
                <w:b/>
                <w:bCs/>
                <w:color w:val="auto"/>
                <w:szCs w:val="21"/>
                <w:highlight w:val="none"/>
                <w:u w:val="single"/>
              </w:rPr>
              <w:t>，并加盖供应商公章</w:t>
            </w:r>
            <w:r>
              <w:rPr>
                <w:rFonts w:hint="eastAsia" w:ascii="宋体" w:hAnsi="宋体" w:cs="宋体"/>
                <w:b/>
                <w:bCs/>
                <w:color w:val="auto"/>
                <w:szCs w:val="21"/>
                <w:highlight w:val="none"/>
                <w:u w:val="single"/>
                <w:lang w:eastAsia="zh-CN"/>
              </w:rPr>
              <w:t>，否则作无效响应处理</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更换备件</w:t>
            </w:r>
            <w:r>
              <w:rPr>
                <w:rFonts w:hint="eastAsia" w:ascii="宋体" w:hAnsi="宋体" w:cs="宋体"/>
                <w:b/>
                <w:bCs/>
                <w:color w:val="auto"/>
                <w:szCs w:val="21"/>
                <w:highlight w:val="none"/>
                <w:shd w:val="clear" w:color="auto" w:fill="FFFFFF"/>
              </w:rPr>
              <w:t>时须提供合法有效的进货凭证（如出厂合格证</w:t>
            </w:r>
            <w:r>
              <w:rPr>
                <w:rFonts w:hint="eastAsia" w:ascii="宋体" w:hAnsi="宋体" w:cs="宋体"/>
                <w:b/>
                <w:bCs/>
                <w:color w:val="auto"/>
                <w:szCs w:val="21"/>
                <w:highlight w:val="none"/>
                <w:shd w:val="clear" w:color="auto" w:fill="FFFFFF"/>
                <w:lang w:eastAsia="zh-CN"/>
              </w:rPr>
              <w:t>和</w:t>
            </w:r>
            <w:r>
              <w:rPr>
                <w:rFonts w:hint="eastAsia" w:ascii="宋体" w:hAnsi="宋体" w:cs="宋体"/>
                <w:b/>
                <w:bCs/>
                <w:color w:val="auto"/>
                <w:szCs w:val="21"/>
                <w:highlight w:val="none"/>
              </w:rPr>
              <w:t>制造商出具的供货证明</w:t>
            </w:r>
            <w:r>
              <w:rPr>
                <w:rFonts w:hint="eastAsia" w:ascii="宋体" w:hAnsi="宋体" w:cs="宋体"/>
                <w:b/>
                <w:bCs/>
                <w:color w:val="auto"/>
                <w:szCs w:val="21"/>
                <w:highlight w:val="none"/>
                <w:shd w:val="clear" w:color="auto" w:fill="FFFFFF"/>
              </w:rPr>
              <w:t>）</w:t>
            </w:r>
            <w:r>
              <w:rPr>
                <w:rFonts w:hint="eastAsia" w:ascii="宋体" w:hAnsi="宋体" w:cs="宋体"/>
                <w:b/>
                <w:bCs/>
                <w:color w:val="auto"/>
                <w:szCs w:val="21"/>
                <w:highlight w:val="none"/>
              </w:rPr>
              <w:t>进行查验，并具备质量追溯的条件，否则不予验收</w:t>
            </w:r>
            <w:r>
              <w:rPr>
                <w:rFonts w:hint="eastAsia" w:ascii="宋体" w:hAnsi="宋体" w:cs="宋体"/>
                <w:b/>
                <w:bCs/>
                <w:color w:val="auto"/>
                <w:szCs w:val="21"/>
                <w:highlight w:val="none"/>
                <w:lang w:eastAsia="zh-CN"/>
              </w:rPr>
              <w:t>。</w:t>
            </w:r>
          </w:p>
        </w:tc>
      </w:tr>
      <w:tr w14:paraId="53D29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8"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983548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ascii="宋体" w:hAnsi="宋体" w:cs="宋体"/>
                <w:b/>
                <w:bCs/>
                <w:color w:val="auto"/>
                <w:szCs w:val="21"/>
                <w:highlight w:val="none"/>
                <w:lang w:bidi="ar"/>
              </w:rPr>
              <w:t>维保服务</w:t>
            </w:r>
            <w:r>
              <w:rPr>
                <w:rFonts w:hint="eastAsia" w:ascii="宋体" w:hAnsi="宋体" w:cs="宋体"/>
                <w:b/>
                <w:bCs/>
                <w:color w:val="auto"/>
                <w:szCs w:val="21"/>
                <w:highlight w:val="none"/>
                <w:lang w:eastAsia="zh-CN" w:bidi="ar"/>
              </w:rPr>
              <w:t>人员及响应时间要求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5C19A7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本项目至少配置维保技术员或专业技术员至少2人</w:t>
            </w:r>
            <w:r>
              <w:rPr>
                <w:rFonts w:hint="eastAsia" w:ascii="宋体" w:hAnsi="宋体" w:cs="宋体"/>
                <w:b/>
                <w:bCs/>
                <w:color w:val="auto"/>
                <w:sz w:val="21"/>
                <w:szCs w:val="21"/>
                <w:highlight w:val="none"/>
                <w:lang w:eastAsia="zh-CN"/>
              </w:rPr>
              <w:t>，建立技术服务咨询群，提供7×8小时的技术支持服务。如发生紧急故障问题，供应商在接到采购人通知后6小时内到达现场处理，重大问题处理时限不超过24小时修复。</w:t>
            </w:r>
          </w:p>
        </w:tc>
      </w:tr>
      <w:tr w14:paraId="771EC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CA2E88C">
            <w:pPr>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Cs w:val="21"/>
                <w:highlight w:val="none"/>
              </w:rPr>
              <w:t>▲其他要求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7CD44D5">
            <w:pPr>
              <w:widowControl/>
              <w:spacing w:line="360" w:lineRule="auto"/>
              <w:jc w:val="left"/>
              <w:rPr>
                <w:rFonts w:ascii="宋体" w:hAnsi="宋体" w:cs="宋体"/>
                <w:b/>
                <w:bCs/>
                <w:color w:val="auto"/>
                <w:szCs w:val="32"/>
                <w:highlight w:val="none"/>
              </w:rPr>
            </w:pPr>
            <w:r>
              <w:rPr>
                <w:rFonts w:hint="eastAsia" w:ascii="宋体" w:hAnsi="宋体" w:cs="宋体"/>
                <w:b/>
                <w:bCs/>
                <w:color w:val="auto"/>
                <w:szCs w:val="32"/>
                <w:highlight w:val="none"/>
              </w:rPr>
              <w:t>1</w:t>
            </w:r>
            <w:r>
              <w:rPr>
                <w:rFonts w:hint="eastAsia" w:ascii="宋体" w:hAnsi="宋体" w:cs="宋体"/>
                <w:b/>
                <w:bCs/>
                <w:color w:val="auto"/>
                <w:szCs w:val="32"/>
                <w:highlight w:val="none"/>
                <w:lang w:val="en-US" w:eastAsia="zh-CN"/>
              </w:rPr>
              <w:t>.</w:t>
            </w:r>
            <w:r>
              <w:rPr>
                <w:rFonts w:hint="eastAsia" w:ascii="宋体" w:hAnsi="宋体" w:cs="宋体"/>
                <w:b/>
                <w:bCs/>
                <w:color w:val="auto"/>
                <w:szCs w:val="32"/>
                <w:highlight w:val="none"/>
              </w:rPr>
              <w:t>备品配件：无</w:t>
            </w:r>
          </w:p>
          <w:p w14:paraId="7DE7F513">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Cs w:val="32"/>
                <w:highlight w:val="none"/>
              </w:rPr>
              <w:t>2</w:t>
            </w:r>
            <w:r>
              <w:rPr>
                <w:rFonts w:hint="eastAsia" w:ascii="宋体" w:hAnsi="宋体" w:cs="宋体"/>
                <w:b/>
                <w:bCs/>
                <w:color w:val="auto"/>
                <w:szCs w:val="32"/>
                <w:highlight w:val="none"/>
                <w:lang w:val="en-US" w:eastAsia="zh-CN"/>
              </w:rPr>
              <w:t>.</w:t>
            </w:r>
            <w:r>
              <w:rPr>
                <w:rFonts w:hint="eastAsia" w:ascii="宋体" w:hAnsi="宋体" w:cs="宋体"/>
                <w:b/>
                <w:bCs/>
                <w:color w:val="auto"/>
                <w:szCs w:val="32"/>
                <w:highlight w:val="none"/>
              </w:rPr>
              <w:t>维保费率：提供维保服务两年。由于存储类设备的使用率和数据安全相关联等特性，设备使用年限越长维保费单价越高，</w:t>
            </w:r>
            <w:r>
              <w:rPr>
                <w:rFonts w:hint="eastAsia" w:ascii="宋体" w:hAnsi="宋体" w:cs="宋体"/>
                <w:b/>
                <w:bCs/>
                <w:color w:val="auto"/>
                <w:szCs w:val="32"/>
                <w:highlight w:val="none"/>
                <w:lang w:eastAsia="zh-CN"/>
              </w:rPr>
              <w:t>维保期内所更换的部分设备质保期过后如供应商继续为本项目的设备继续提供维保，供应商承诺已经过了质保期</w:t>
            </w:r>
            <w:r>
              <w:rPr>
                <w:rFonts w:hint="eastAsia" w:ascii="宋体" w:hAnsi="宋体" w:cs="宋体"/>
                <w:b/>
                <w:bCs/>
                <w:color w:val="auto"/>
                <w:szCs w:val="32"/>
                <w:highlight w:val="none"/>
              </w:rPr>
              <w:t>后第n年的维保费率（含配件）不高于8%*（1+2.5%）</w:t>
            </w:r>
            <w:r>
              <w:rPr>
                <w:rFonts w:hint="eastAsia" w:ascii="宋体" w:hAnsi="宋体" w:cs="宋体"/>
                <w:b/>
                <w:bCs/>
                <w:color w:val="auto"/>
                <w:szCs w:val="32"/>
                <w:highlight w:val="none"/>
                <w:vertAlign w:val="superscript"/>
              </w:rPr>
              <w:t>n-1</w:t>
            </w:r>
            <w:r>
              <w:rPr>
                <w:rFonts w:hint="eastAsia" w:ascii="宋体" w:hAnsi="宋体" w:cs="宋体"/>
                <w:b/>
                <w:bCs/>
                <w:color w:val="auto"/>
                <w:szCs w:val="32"/>
                <w:highlight w:val="none"/>
              </w:rPr>
              <w:t>。</w:t>
            </w:r>
          </w:p>
        </w:tc>
      </w:tr>
      <w:tr w14:paraId="1278A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FC8DA97">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▲报价包含</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7516BA64">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竞标报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r w14:paraId="649E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2C4E0D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CF523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本项目应执行国家相关标准、行业标准、地方标准或者其他标准、规范，按照采购文件、供应商的</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文件以及采购合同要求开展验收；</w:t>
            </w:r>
          </w:p>
          <w:p w14:paraId="00C824B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在验收前应对所提供的货物和相关服务作出全面检查并整理验收文件，列出清单，作为采购人验收的依据之一。供应商不能按规定交付相关材料，导致采购人无法确认供应商交付结果的，必须负责补齐，否则视为未按合同约定交付货物和相应的服务。</w:t>
            </w:r>
          </w:p>
          <w:p w14:paraId="7755E208">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其他未尽事项按照《关于印发广西壮族自治区政府采购项目履约验收管理办法的通知》[桂财采〔2015〕22号]以及《财政部关于进一步加强政府采购需求和履约验收管理的指导意见》[财库〔2016〕205号]规定执行。</w:t>
            </w:r>
          </w:p>
          <w:p w14:paraId="4157CF9D">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验收费用由</w:t>
            </w:r>
            <w:r>
              <w:rPr>
                <w:rFonts w:hint="eastAsia" w:ascii="宋体" w:hAnsi="宋体" w:eastAsia="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供应商承担，在验收过程中发现供应商有违约问题的，采购人可暂缓资金结算，待违约问题解决后，方可办理资金结算事宜。</w:t>
            </w:r>
          </w:p>
        </w:tc>
      </w:tr>
      <w:tr w14:paraId="6FBB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188BAD8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二、与实现项目目标相关的其他要求</w:t>
            </w:r>
          </w:p>
        </w:tc>
      </w:tr>
      <w:tr w14:paraId="6AE19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0FF7F30F">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的履约能力要求</w:t>
            </w:r>
          </w:p>
        </w:tc>
      </w:tr>
      <w:tr w14:paraId="38ACA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DAD6D8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产品质量要求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99CEA29">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货物及其所有零部件、配件必须是符合国家有关质量和安全强制要求和标准的产品。</w:t>
            </w:r>
          </w:p>
        </w:tc>
      </w:tr>
      <w:tr w14:paraId="17A7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345EC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6D772897">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120D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3ADFA1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7F39D3E">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A65A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05FBCF4">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管理体系要求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67B396A">
            <w:pPr>
              <w:spacing w:line="360" w:lineRule="auto"/>
              <w:jc w:val="left"/>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无</w:t>
            </w:r>
          </w:p>
        </w:tc>
      </w:tr>
      <w:tr w14:paraId="7936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646668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4D0D43A">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4798E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FA2FCCC">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6A9054">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6830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463814C5">
            <w:pPr>
              <w:spacing w:line="360" w:lineRule="auto"/>
              <w:ind w:left="285" w:hanging="285"/>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其他技术及服务要求</w:t>
            </w:r>
          </w:p>
        </w:tc>
      </w:tr>
      <w:tr w14:paraId="3BBB9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3C6A31A8">
            <w:pPr>
              <w:spacing w:line="360" w:lineRule="auto"/>
              <w:ind w:firstLine="42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文件中提供的</w:t>
            </w:r>
            <w:r>
              <w:rPr>
                <w:rFonts w:hint="eastAsia" w:ascii="宋体" w:hAnsi="宋体" w:eastAsia="宋体" w:cs="宋体"/>
                <w:color w:val="auto"/>
                <w:sz w:val="21"/>
                <w:szCs w:val="21"/>
                <w:highlight w:val="none"/>
              </w:rPr>
              <w:t>项目技术方案</w:t>
            </w:r>
            <w:r>
              <w:rPr>
                <w:rFonts w:hint="eastAsia" w:ascii="宋体" w:hAnsi="宋体" w:eastAsia="宋体" w:cs="宋体"/>
                <w:b w:val="0"/>
                <w:bCs w:val="0"/>
                <w:color w:val="auto"/>
                <w:sz w:val="21"/>
                <w:szCs w:val="21"/>
                <w:highlight w:val="none"/>
              </w:rPr>
              <w:t>可包括：项目实施方案、实施技术及质量措施方案、</w:t>
            </w:r>
            <w:r>
              <w:rPr>
                <w:rFonts w:hint="eastAsia" w:ascii="宋体" w:hAnsi="宋体" w:cs="宋体"/>
                <w:b w:val="0"/>
                <w:bCs w:val="0"/>
                <w:color w:val="auto"/>
                <w:sz w:val="21"/>
                <w:szCs w:val="21"/>
                <w:highlight w:val="none"/>
                <w:lang w:eastAsia="zh-CN"/>
              </w:rPr>
              <w:t>维保</w:t>
            </w:r>
            <w:r>
              <w:rPr>
                <w:rFonts w:hint="eastAsia" w:ascii="宋体" w:hAnsi="宋体" w:eastAsia="宋体" w:cs="宋体"/>
                <w:b w:val="0"/>
                <w:bCs w:val="0"/>
                <w:color w:val="auto"/>
                <w:sz w:val="21"/>
                <w:szCs w:val="21"/>
                <w:highlight w:val="none"/>
              </w:rPr>
              <w:t>响应服务、安全保密方案</w:t>
            </w:r>
            <w:r>
              <w:rPr>
                <w:rFonts w:hint="eastAsia" w:ascii="宋体" w:hAnsi="宋体" w:cs="宋体"/>
                <w:b w:val="0"/>
                <w:bCs w:val="0"/>
                <w:color w:val="auto"/>
                <w:sz w:val="21"/>
                <w:szCs w:val="21"/>
                <w:highlight w:val="none"/>
                <w:lang w:eastAsia="zh-CN"/>
              </w:rPr>
              <w:t>、拟投入本项目的服务团队</w:t>
            </w:r>
            <w:r>
              <w:rPr>
                <w:rFonts w:hint="eastAsia" w:ascii="宋体" w:hAnsi="宋体" w:eastAsia="宋体" w:cs="宋体"/>
                <w:b w:val="0"/>
                <w:bCs w:val="0"/>
                <w:color w:val="auto"/>
                <w:sz w:val="21"/>
                <w:szCs w:val="21"/>
                <w:highlight w:val="none"/>
              </w:rPr>
              <w:t>。</w:t>
            </w:r>
          </w:p>
        </w:tc>
      </w:tr>
    </w:tbl>
    <w:p w14:paraId="47CCDC87">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clear="all"/>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14:paraId="47D58129">
      <w:pPr>
        <w:pStyle w:val="39"/>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39"/>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39"/>
        <w:keepNext w:val="0"/>
        <w:keepLines w:val="0"/>
        <w:pageBreakBefore w:val="0"/>
        <w:widowControl w:val="0"/>
        <w:bidi w:val="0"/>
        <w:spacing w:line="288" w:lineRule="auto"/>
        <w:rPr>
          <w:rFonts w:hint="eastAsia"/>
          <w:color w:val="auto"/>
          <w:sz w:val="24"/>
          <w:szCs w:val="21"/>
          <w:highlight w:val="none"/>
        </w:rPr>
      </w:pPr>
    </w:p>
    <w:p w14:paraId="10126276">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7AAA27DC">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39"/>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（十四）物业管理。从业人员</w:t>
      </w:r>
      <w:r>
        <w:rPr>
          <w:b/>
          <w:bCs/>
          <w:color w:val="auto"/>
          <w:szCs w:val="21"/>
          <w:highlight w:val="none"/>
        </w:rPr>
        <w:t>1000</w:t>
      </w:r>
      <w:r>
        <w:rPr>
          <w:rFonts w:hint="eastAsia"/>
          <w:b/>
          <w:bCs/>
          <w:color w:val="auto"/>
          <w:szCs w:val="21"/>
          <w:highlight w:val="none"/>
        </w:rPr>
        <w:t>人以下或营业收入</w:t>
      </w:r>
      <w:r>
        <w:rPr>
          <w:b/>
          <w:bCs/>
          <w:color w:val="auto"/>
          <w:szCs w:val="21"/>
          <w:highlight w:val="none"/>
        </w:rPr>
        <w:t>5000</w:t>
      </w:r>
      <w:r>
        <w:rPr>
          <w:rFonts w:hint="eastAsia"/>
          <w:b/>
          <w:bCs/>
          <w:color w:val="auto"/>
          <w:szCs w:val="21"/>
          <w:highlight w:val="none"/>
        </w:rPr>
        <w:t>万元以下的为中小微型企业。其中，从业人员</w:t>
      </w:r>
      <w:r>
        <w:rPr>
          <w:b/>
          <w:bCs/>
          <w:color w:val="auto"/>
          <w:szCs w:val="21"/>
          <w:highlight w:val="none"/>
        </w:rPr>
        <w:t>300</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万元及以上的为中型企业；从业人员</w:t>
      </w:r>
      <w:r>
        <w:rPr>
          <w:b/>
          <w:bCs/>
          <w:color w:val="auto"/>
          <w:szCs w:val="21"/>
          <w:highlight w:val="none"/>
        </w:rPr>
        <w:t>100</w:t>
      </w:r>
      <w:r>
        <w:rPr>
          <w:rFonts w:hint="eastAsia"/>
          <w:b/>
          <w:bCs/>
          <w:color w:val="auto"/>
          <w:szCs w:val="21"/>
          <w:highlight w:val="none"/>
        </w:rPr>
        <w:t>人及以上，且营业收入</w:t>
      </w:r>
      <w:r>
        <w:rPr>
          <w:b/>
          <w:bCs/>
          <w:color w:val="auto"/>
          <w:szCs w:val="21"/>
          <w:highlight w:val="none"/>
        </w:rPr>
        <w:t>500</w:t>
      </w:r>
      <w:r>
        <w:rPr>
          <w:rFonts w:hint="eastAsia"/>
          <w:b/>
          <w:bCs/>
          <w:color w:val="auto"/>
          <w:szCs w:val="21"/>
          <w:highlight w:val="none"/>
        </w:rPr>
        <w:t>万元及以上的为小型企业；从业人员</w:t>
      </w:r>
      <w:r>
        <w:rPr>
          <w:b/>
          <w:bCs/>
          <w:color w:val="auto"/>
          <w:szCs w:val="21"/>
          <w:highlight w:val="none"/>
        </w:rPr>
        <w:t>100</w:t>
      </w:r>
      <w:r>
        <w:rPr>
          <w:rFonts w:hint="eastAsia"/>
          <w:b/>
          <w:bCs/>
          <w:color w:val="auto"/>
          <w:szCs w:val="21"/>
          <w:highlight w:val="none"/>
        </w:rPr>
        <w:t>人以下或营业收入</w:t>
      </w:r>
      <w:r>
        <w:rPr>
          <w:b/>
          <w:bCs/>
          <w:color w:val="auto"/>
          <w:szCs w:val="21"/>
          <w:highlight w:val="none"/>
        </w:rPr>
        <w:t>500</w:t>
      </w:r>
      <w:r>
        <w:rPr>
          <w:rFonts w:hint="eastAsia"/>
          <w:b/>
          <w:bCs/>
          <w:color w:val="auto"/>
          <w:szCs w:val="21"/>
          <w:highlight w:val="none"/>
        </w:rPr>
        <w:t>万元以下的为微型企业。</w:t>
      </w:r>
    </w:p>
    <w:p w14:paraId="7E6F1B6A">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39"/>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39"/>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5"/>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13951"/>
      <w:r>
        <w:rPr>
          <w:rFonts w:hint="eastAsia" w:ascii="宋体" w:hAnsi="宋体" w:cs="宋体"/>
          <w:color w:val="auto"/>
          <w:highlight w:val="none"/>
        </w:rPr>
        <w:t>第四章 评审程序、评审方法和评审标准</w:t>
      </w:r>
      <w:bookmarkEnd w:id="42"/>
    </w:p>
    <w:p w14:paraId="7E484998">
      <w:pPr>
        <w:pStyle w:val="227"/>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500FC4A0">
      <w:pPr>
        <w:spacing w:line="360" w:lineRule="auto"/>
        <w:ind w:firstLine="420"/>
        <w:rPr>
          <w:rFonts w:hint="eastAsia" w:ascii="宋体" w:hAnsi="宋体" w:cs="宋体"/>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30"/>
        <w:tblpPr w:leftFromText="180" w:rightFromText="180" w:vertAnchor="text" w:horzAnchor="page" w:tblpX="1242" w:tblpY="787"/>
        <w:tblOverlap w:val="never"/>
        <w:tblW w:w="49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125"/>
        <w:gridCol w:w="7046"/>
        <w:gridCol w:w="1029"/>
        <w:gridCol w:w="24"/>
      </w:tblGrid>
      <w:tr w14:paraId="7CE1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trHeight w:val="223"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A74325C">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476BD489">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w:t>
            </w:r>
          </w:p>
          <w:p w14:paraId="41AB6CE4">
            <w:pPr>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因素</w:t>
            </w:r>
            <w:r>
              <w:rPr>
                <w:rFonts w:hint="eastAsia" w:ascii="宋体" w:hAnsi="宋体" w:cs="宋体"/>
                <w:b/>
                <w:bCs/>
                <w:color w:val="auto"/>
                <w:szCs w:val="21"/>
                <w:highlight w:val="none"/>
                <w:lang w:eastAsia="zh-CN"/>
              </w:rPr>
              <w:t>及</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3FB47EEF">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评分内容</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231A1C2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满分</w:t>
            </w:r>
          </w:p>
        </w:tc>
      </w:tr>
      <w:tr w14:paraId="74B6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D35A8C">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3517D02">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价格分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30分</w:t>
            </w:r>
            <w:r>
              <w:rPr>
                <w:rFonts w:hint="eastAsia" w:ascii="宋体" w:hAnsi="宋体" w:cs="宋体"/>
                <w:b/>
                <w:color w:val="auto"/>
                <w:szCs w:val="21"/>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top"/>
          </w:tcPr>
          <w:p w14:paraId="3B47209B">
            <w:pPr>
              <w:widowControl/>
              <w:spacing w:line="360" w:lineRule="auto"/>
              <w:ind w:firstLine="210"/>
              <w:jc w:val="left"/>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1.评审价为供应商的最后报价进行政策性扣除后的价格，评审价只是作为评审时使用。最终成交供应商的成交金额等于最后报价（如有修正，以确认修正后的最后报价为准）。</w:t>
            </w:r>
          </w:p>
          <w:p w14:paraId="27B9D5D0">
            <w:pPr>
              <w:widowControl/>
              <w:spacing w:line="360" w:lineRule="auto"/>
              <w:ind w:firstLine="210"/>
              <w:jc w:val="left"/>
              <w:rPr>
                <w:rFonts w:hint="eastAsia" w:ascii="宋体" w:hAnsi="宋体" w:cs="宋体"/>
                <w:bCs/>
                <w:color w:val="auto"/>
                <w:szCs w:val="21"/>
                <w:highlight w:val="none"/>
              </w:rPr>
            </w:pPr>
            <w:r>
              <w:rPr>
                <w:rFonts w:hint="eastAsia" w:ascii="宋体" w:hAnsi="宋体" w:cs="宋体"/>
                <w:bCs/>
                <w:color w:val="auto"/>
                <w:szCs w:val="21"/>
                <w:highlight w:val="none"/>
              </w:rPr>
              <w:t>2.政府采购政策性扣除计算方法</w:t>
            </w:r>
          </w:p>
          <w:p w14:paraId="799DDF58">
            <w:pPr>
              <w:spacing w:line="360" w:lineRule="auto"/>
              <w:ind w:firstLine="420"/>
              <w:rPr>
                <w:rFonts w:hint="eastAsia"/>
                <w:b/>
                <w:bCs/>
                <w:color w:val="auto"/>
                <w:highlight w:val="none"/>
              </w:rPr>
            </w:pPr>
            <w:r>
              <w:rPr>
                <w:rFonts w:hint="eastAsia" w:ascii="宋体" w:hAnsi="宋体" w:cs="宋体"/>
                <w:bCs/>
                <w:color w:val="auto"/>
                <w:szCs w:val="21"/>
                <w:highlight w:val="none"/>
              </w:rPr>
              <w:t>（1）本项目为专门面对中小企业项目，小微企业或监狱企业或残疾人福利性单位不再执行价格评审优惠的扶持政策。</w:t>
            </w:r>
          </w:p>
          <w:p w14:paraId="68C70B45">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）以进入比较与评价环节的最低的评审价为基准价，基准价得分为10分。</w:t>
            </w:r>
          </w:p>
          <w:p w14:paraId="6A51D379">
            <w:pPr>
              <w:widowControl/>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）价格分计算公式：</w:t>
            </w:r>
          </w:p>
          <w:p w14:paraId="1732FDE0">
            <w:pPr>
              <w:widowControl/>
              <w:spacing w:line="360" w:lineRule="auto"/>
              <w:ind w:firstLine="420"/>
              <w:jc w:val="left"/>
              <w:rPr>
                <w:rFonts w:hint="eastAsia" w:ascii="宋体" w:hAnsi="宋体" w:cs="宋体"/>
                <w:color w:val="auto"/>
                <w:szCs w:val="21"/>
                <w:highlight w:val="none"/>
              </w:rPr>
            </w:pPr>
            <w:r>
              <w:rPr>
                <w:rFonts w:hint="eastAsia" w:ascii="宋体" w:hAnsi="宋体" w:cs="宋体"/>
                <w:bCs/>
                <w:color w:val="auto"/>
                <w:szCs w:val="21"/>
                <w:highlight w:val="none"/>
              </w:rPr>
              <w:t>报价得分=（基准价/最后报价）×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0分</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4CC6AE2F">
            <w:pPr>
              <w:spacing w:line="400" w:lineRule="exact"/>
              <w:jc w:val="center"/>
              <w:rPr>
                <w:rFonts w:hint="eastAsia" w:ascii="宋体" w:hAnsi="宋体" w:cs="宋体"/>
                <w:bCs/>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0分</w:t>
            </w:r>
          </w:p>
        </w:tc>
      </w:tr>
      <w:tr w14:paraId="347B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67C587B">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7EEC25AA">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技术分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529362A6">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57DA596">
            <w:pPr>
              <w:widowControl/>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技术分总分值</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60分</w:t>
            </w:r>
            <w:r>
              <w:rPr>
                <w:rFonts w:hint="eastAsia" w:ascii="宋体" w:hAnsi="宋体" w:cs="宋体"/>
                <w:b/>
                <w:color w:val="auto"/>
                <w:szCs w:val="21"/>
                <w:highlight w:val="none"/>
                <w:lang w:eastAsia="zh-CN"/>
              </w:rPr>
              <w:t>）</w:t>
            </w:r>
          </w:p>
        </w:tc>
      </w:tr>
      <w:tr w14:paraId="4D05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0DD684E3">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BD087AF">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rPr>
              <w:t>项目实施方案（</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76B03520">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一档（3分）：项目实施方案详细、表述清晰，包含完整的管理措施、具体实施流程、进度安排、质量保证措施等。</w:t>
            </w:r>
          </w:p>
          <w:p w14:paraId="5FC3D3D7">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二档（6分）：项目实施方案详细、逻辑清晰，具备完整的管理措施、具体实施流程、进度安排、质量保证措施、风险防范措施(包括设备运输安装保障、应急方案等)。</w:t>
            </w:r>
          </w:p>
          <w:p w14:paraId="65423459">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9分）：项目实施方案详细、逻辑清晰，具备完整的管理措施、具体详细的实施流程、能够切实实施的进度安排(各阶段进度安排措施内容完整详细)、风险防范措施详尽（包括设备运输安装保障应急方案等)。</w:t>
            </w:r>
          </w:p>
          <w:p w14:paraId="0C72EF00">
            <w:pPr>
              <w:pStyle w:val="245"/>
              <w:spacing w:line="360" w:lineRule="auto"/>
              <w:ind w:firstLine="420"/>
              <w:rPr>
                <w:rFonts w:hint="eastAsia" w:ascii="宋体" w:hAnsi="宋体" w:cs="宋体"/>
                <w:b/>
                <w:color w:val="auto"/>
                <w:szCs w:val="21"/>
                <w:highlight w:val="none"/>
              </w:rPr>
            </w:pPr>
            <w:r>
              <w:rPr>
                <w:rFonts w:hint="eastAsia" w:ascii="宋体" w:hAnsi="宋体" w:eastAsia="宋体" w:cs="宋体"/>
                <w:color w:val="auto"/>
                <w:sz w:val="21"/>
                <w:szCs w:val="21"/>
                <w:highlight w:val="none"/>
                <w:lang w:val="en-US" w:eastAsia="zh-CN"/>
              </w:rPr>
              <w:t>四档（12分）：项目实施方案详细、逻辑清晰，具备完整的管理措施、具体详细的实施流程、能够切实实施的进度安排(各阶段进度安排措施内容完整详细)、风险防范措施详尽（包括设备运输安装保障、应急方案等)，针对本项目实施过程的重点、难点进行分析并提出解决方案。</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5A312B47">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r>
      <w:tr w14:paraId="7C04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88F357B">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5E4E116">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实施技术及质量措施方案分</w:t>
            </w:r>
          </w:p>
          <w:p w14:paraId="7D419946">
            <w:pPr>
              <w:spacing w:line="360" w:lineRule="auto"/>
              <w:jc w:val="center"/>
              <w:rPr>
                <w:rFonts w:hint="eastAsia" w:ascii="宋体" w:hAnsi="宋体" w:cs="宋体"/>
                <w:bCs/>
                <w:color w:val="auto"/>
                <w:szCs w:val="21"/>
                <w:highlight w:val="none"/>
              </w:rPr>
            </w:pP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16C026B5">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有实施技术及质量措施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cs="宋体"/>
                <w:bCs/>
                <w:color w:val="auto"/>
                <w:sz w:val="21"/>
                <w:szCs w:val="21"/>
                <w:highlight w:val="none"/>
                <w:lang w:eastAsia="zh-CN"/>
              </w:rPr>
              <w:t>符合项目</w:t>
            </w:r>
            <w:r>
              <w:rPr>
                <w:rFonts w:hint="eastAsia" w:ascii="宋体" w:hAnsi="宋体" w:eastAsia="宋体" w:cs="宋体"/>
                <w:bCs/>
                <w:color w:val="auto"/>
                <w:sz w:val="21"/>
                <w:szCs w:val="21"/>
                <w:highlight w:val="none"/>
                <w:lang w:eastAsia="zh-CN"/>
              </w:rPr>
              <w:t>服务需求。</w:t>
            </w:r>
          </w:p>
          <w:p w14:paraId="71150D51">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bCs/>
                <w:color w:val="auto"/>
                <w:sz w:val="21"/>
                <w:szCs w:val="21"/>
                <w:highlight w:val="none"/>
              </w:rPr>
              <w:t>。</w:t>
            </w:r>
          </w:p>
          <w:p w14:paraId="69A6C35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三档（</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人员管理组织结构设置</w:t>
            </w:r>
            <w:r>
              <w:rPr>
                <w:rFonts w:hint="eastAsia" w:ascii="宋体" w:hAnsi="宋体" w:eastAsia="宋体" w:cs="宋体"/>
                <w:color w:val="auto"/>
                <w:sz w:val="21"/>
                <w:szCs w:val="21"/>
                <w:highlight w:val="none"/>
                <w:lang w:eastAsia="zh-CN"/>
              </w:rPr>
              <w:t>、质量</w:t>
            </w:r>
            <w:r>
              <w:rPr>
                <w:rFonts w:hint="eastAsia" w:ascii="宋体" w:hAnsi="宋体" w:eastAsia="宋体" w:cs="宋体"/>
                <w:color w:val="auto"/>
                <w:sz w:val="21"/>
                <w:szCs w:val="21"/>
                <w:highlight w:val="none"/>
              </w:rPr>
              <w:t>管理措施，</w:t>
            </w:r>
            <w:r>
              <w:rPr>
                <w:rFonts w:hint="eastAsia" w:ascii="宋体" w:hAnsi="宋体" w:eastAsia="宋体" w:cs="宋体"/>
                <w:bCs/>
                <w:color w:val="auto"/>
                <w:sz w:val="21"/>
                <w:szCs w:val="21"/>
                <w:highlight w:val="none"/>
              </w:rPr>
              <w:t>能指导具体</w:t>
            </w:r>
            <w:r>
              <w:rPr>
                <w:rFonts w:hint="eastAsia" w:ascii="宋体" w:hAnsi="宋体" w:eastAsia="宋体" w:cs="宋体"/>
                <w:bCs/>
                <w:color w:val="auto"/>
                <w:sz w:val="21"/>
                <w:szCs w:val="21"/>
                <w:highlight w:val="none"/>
                <w:lang w:eastAsia="zh-CN"/>
              </w:rPr>
              <w:t>实施</w:t>
            </w:r>
            <w:r>
              <w:rPr>
                <w:rFonts w:hint="eastAsia" w:ascii="宋体" w:hAnsi="宋体" w:eastAsia="宋体" w:cs="宋体"/>
                <w:bCs/>
                <w:color w:val="auto"/>
                <w:sz w:val="21"/>
                <w:szCs w:val="21"/>
                <w:highlight w:val="none"/>
              </w:rPr>
              <w:t>并确保</w:t>
            </w:r>
            <w:r>
              <w:rPr>
                <w:rFonts w:hint="eastAsia" w:ascii="宋体" w:hAnsi="宋体" w:eastAsia="宋体" w:cs="宋体"/>
                <w:bCs/>
                <w:color w:val="auto"/>
                <w:sz w:val="21"/>
                <w:szCs w:val="21"/>
                <w:highlight w:val="none"/>
                <w:lang w:eastAsia="zh-CN"/>
              </w:rPr>
              <w:t>质量</w:t>
            </w:r>
            <w:r>
              <w:rPr>
                <w:rFonts w:hint="eastAsia" w:ascii="宋体" w:hAnsi="宋体" w:eastAsia="宋体" w:cs="宋体"/>
                <w:bCs/>
                <w:color w:val="auto"/>
                <w:sz w:val="21"/>
                <w:szCs w:val="21"/>
                <w:highlight w:val="none"/>
              </w:rPr>
              <w:t>。</w:t>
            </w:r>
          </w:p>
          <w:p w14:paraId="486145ED">
            <w:pPr>
              <w:spacing w:line="360" w:lineRule="auto"/>
              <w:ind w:firstLine="420"/>
              <w:rPr>
                <w:rFonts w:hint="eastAsia" w:ascii="宋体" w:hAnsi="宋体" w:cs="宋体"/>
                <w:b/>
                <w:color w:val="auto"/>
                <w:szCs w:val="21"/>
                <w:highlight w:val="none"/>
              </w:rPr>
            </w:pPr>
            <w:r>
              <w:rPr>
                <w:rFonts w:hint="eastAsia" w:ascii="宋体" w:hAnsi="宋体" w:eastAsia="宋体" w:cs="宋体"/>
                <w:bCs/>
                <w:color w:val="auto"/>
                <w:sz w:val="21"/>
                <w:szCs w:val="21"/>
                <w:highlight w:val="none"/>
                <w:lang w:val="en-US" w:eastAsia="zh-CN"/>
              </w:rPr>
              <w:t>四档（</w:t>
            </w:r>
            <w:r>
              <w:rPr>
                <w:rFonts w:hint="eastAsia" w:ascii="宋体" w:hAnsi="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sz w:val="21"/>
                <w:szCs w:val="21"/>
                <w:highlight w:val="none"/>
              </w:rPr>
              <w:t>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人员管理组织结构设置</w:t>
            </w:r>
            <w:r>
              <w:rPr>
                <w:rFonts w:hint="eastAsia" w:ascii="宋体" w:hAnsi="宋体" w:eastAsia="宋体" w:cs="宋体"/>
                <w:color w:val="auto"/>
                <w:sz w:val="21"/>
                <w:szCs w:val="21"/>
                <w:highlight w:val="none"/>
                <w:lang w:eastAsia="zh-CN"/>
              </w:rPr>
              <w:t>、质量</w:t>
            </w:r>
            <w:r>
              <w:rPr>
                <w:rFonts w:hint="eastAsia" w:ascii="宋体" w:hAnsi="宋体" w:eastAsia="宋体" w:cs="宋体"/>
                <w:color w:val="auto"/>
                <w:sz w:val="21"/>
                <w:szCs w:val="21"/>
                <w:highlight w:val="none"/>
              </w:rPr>
              <w:t>管理措施，</w:t>
            </w:r>
            <w:r>
              <w:rPr>
                <w:rFonts w:hint="eastAsia" w:ascii="宋体" w:hAnsi="宋体" w:eastAsia="宋体" w:cs="宋体"/>
                <w:color w:val="auto"/>
                <w:sz w:val="21"/>
                <w:szCs w:val="21"/>
                <w:highlight w:val="none"/>
                <w:lang w:val="en-US" w:eastAsia="zh-CN"/>
              </w:rPr>
              <w:t>质量控制及保障措施，</w:t>
            </w:r>
            <w:r>
              <w:rPr>
                <w:rFonts w:hint="eastAsia" w:ascii="宋体" w:hAnsi="宋体" w:eastAsia="宋体" w:cs="宋体"/>
                <w:bCs/>
                <w:color w:val="auto"/>
                <w:sz w:val="21"/>
                <w:szCs w:val="21"/>
                <w:highlight w:val="none"/>
              </w:rPr>
              <w:t>能指导具体</w:t>
            </w:r>
            <w:r>
              <w:rPr>
                <w:rFonts w:hint="eastAsia" w:ascii="宋体" w:hAnsi="宋体" w:eastAsia="宋体" w:cs="宋体"/>
                <w:bCs/>
                <w:color w:val="auto"/>
                <w:sz w:val="21"/>
                <w:szCs w:val="21"/>
                <w:highlight w:val="none"/>
                <w:lang w:eastAsia="zh-CN"/>
              </w:rPr>
              <w:t>实施</w:t>
            </w:r>
            <w:r>
              <w:rPr>
                <w:rFonts w:hint="eastAsia" w:ascii="宋体" w:hAnsi="宋体" w:eastAsia="宋体" w:cs="宋体"/>
                <w:bCs/>
                <w:color w:val="auto"/>
                <w:sz w:val="21"/>
                <w:szCs w:val="21"/>
                <w:highlight w:val="none"/>
              </w:rPr>
              <w:t>并确保</w:t>
            </w:r>
            <w:r>
              <w:rPr>
                <w:rFonts w:hint="eastAsia" w:ascii="宋体" w:hAnsi="宋体" w:eastAsia="宋体" w:cs="宋体"/>
                <w:bCs/>
                <w:color w:val="auto"/>
                <w:sz w:val="21"/>
                <w:szCs w:val="21"/>
                <w:highlight w:val="none"/>
                <w:lang w:eastAsia="zh-CN"/>
              </w:rPr>
              <w:t>质量</w:t>
            </w:r>
            <w:r>
              <w:rPr>
                <w:rFonts w:hint="eastAsia" w:ascii="宋体" w:hAnsi="宋体" w:eastAsia="宋体" w:cs="宋体"/>
                <w:bCs/>
                <w:color w:val="auto"/>
                <w:sz w:val="21"/>
                <w:szCs w:val="21"/>
                <w:highlight w:val="none"/>
              </w:rPr>
              <w:t>。</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30EC2BC3">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2B04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21E5D3">
            <w:pPr>
              <w:spacing w:line="360" w:lineRule="auto"/>
              <w:ind w:firstLine="0"/>
              <w:jc w:val="center"/>
              <w:rPr>
                <w:rFonts w:hint="eastAsia" w:ascii="宋体" w:hAnsi="宋体" w:cs="宋体"/>
                <w:b/>
                <w:bCs w:val="0"/>
                <w:color w:val="auto"/>
                <w:szCs w:val="21"/>
                <w:highlight w:val="none"/>
              </w:rPr>
            </w:pPr>
            <w:r>
              <w:rPr>
                <w:rFonts w:hint="eastAsia" w:ascii="宋体" w:hAnsi="宋体" w:eastAsia="宋体" w:cs="宋体"/>
                <w:b/>
                <w:bCs w:val="0"/>
                <w:color w:val="auto"/>
                <w:highlight w:val="none"/>
                <w:lang w:val="en-US" w:eastAsia="zh-CN"/>
              </w:rPr>
              <w:t>2.3</w:t>
            </w:r>
          </w:p>
        </w:tc>
        <w:tc>
          <w:tcPr>
            <w:tcW w:w="573" w:type="pct"/>
            <w:tcBorders>
              <w:top w:val="single" w:color="auto" w:sz="4" w:space="0"/>
              <w:left w:val="single" w:color="auto" w:sz="4" w:space="0"/>
              <w:bottom w:val="single" w:color="auto" w:sz="4" w:space="0"/>
              <w:right w:val="single" w:color="auto" w:sz="4" w:space="0"/>
            </w:tcBorders>
            <w:noWrap w:val="0"/>
            <w:vAlign w:val="top"/>
          </w:tcPr>
          <w:p w14:paraId="54FDF906">
            <w:pPr>
              <w:spacing w:line="360" w:lineRule="auto"/>
              <w:jc w:val="center"/>
              <w:rPr>
                <w:rFonts w:hint="eastAsia" w:ascii="宋体" w:hAnsi="宋体" w:eastAsia="宋体" w:cs="宋体"/>
                <w:b/>
                <w:bCs w:val="0"/>
                <w:color w:val="auto"/>
                <w:szCs w:val="21"/>
                <w:highlight w:val="none"/>
              </w:rPr>
            </w:pPr>
          </w:p>
          <w:p w14:paraId="08C215F6">
            <w:pPr>
              <w:spacing w:line="360" w:lineRule="auto"/>
              <w:jc w:val="center"/>
              <w:rPr>
                <w:rFonts w:hint="eastAsia" w:ascii="宋体" w:hAnsi="宋体" w:eastAsia="宋体" w:cs="宋体"/>
                <w:b/>
                <w:bCs w:val="0"/>
                <w:color w:val="auto"/>
                <w:szCs w:val="21"/>
                <w:highlight w:val="none"/>
              </w:rPr>
            </w:pPr>
          </w:p>
          <w:p w14:paraId="6DFAC3A0">
            <w:pPr>
              <w:spacing w:line="360" w:lineRule="auto"/>
              <w:jc w:val="center"/>
              <w:rPr>
                <w:rFonts w:hint="eastAsia" w:ascii="宋体" w:hAnsi="宋体" w:eastAsia="宋体" w:cs="宋体"/>
                <w:b/>
                <w:bCs w:val="0"/>
                <w:color w:val="auto"/>
                <w:szCs w:val="21"/>
                <w:highlight w:val="none"/>
              </w:rPr>
            </w:pPr>
          </w:p>
          <w:p w14:paraId="089568E5">
            <w:pPr>
              <w:spacing w:line="360" w:lineRule="auto"/>
              <w:jc w:val="center"/>
              <w:rPr>
                <w:rFonts w:hint="eastAsia" w:ascii="宋体" w:hAnsi="宋体" w:eastAsia="宋体" w:cs="宋体"/>
                <w:b/>
                <w:bCs w:val="0"/>
                <w:color w:val="auto"/>
                <w:szCs w:val="21"/>
                <w:highlight w:val="none"/>
              </w:rPr>
            </w:pPr>
          </w:p>
          <w:p w14:paraId="7A879D6F">
            <w:pPr>
              <w:spacing w:line="360" w:lineRule="auto"/>
              <w:jc w:val="center"/>
              <w:rPr>
                <w:rFonts w:hint="eastAsia" w:ascii="宋体" w:hAnsi="宋体" w:eastAsia="宋体" w:cs="宋体"/>
                <w:b/>
                <w:bCs w:val="0"/>
                <w:color w:val="auto"/>
                <w:szCs w:val="21"/>
                <w:highlight w:val="none"/>
              </w:rPr>
            </w:pPr>
          </w:p>
          <w:p w14:paraId="7CF5104D">
            <w:pPr>
              <w:spacing w:line="360" w:lineRule="auto"/>
              <w:jc w:val="center"/>
              <w:rPr>
                <w:rFonts w:hint="eastAsia" w:ascii="宋体" w:hAnsi="宋体" w:eastAsia="宋体" w:cs="宋体"/>
                <w:b/>
                <w:bCs w:val="0"/>
                <w:color w:val="auto"/>
                <w:szCs w:val="21"/>
                <w:highlight w:val="none"/>
              </w:rPr>
            </w:pPr>
          </w:p>
          <w:p w14:paraId="5F7526AB">
            <w:pPr>
              <w:spacing w:line="360" w:lineRule="auto"/>
              <w:jc w:val="center"/>
              <w:rPr>
                <w:rFonts w:hint="eastAsia" w:ascii="宋体" w:hAnsi="宋体" w:eastAsia="宋体" w:cs="宋体"/>
                <w:b/>
                <w:bCs w:val="0"/>
                <w:color w:val="auto"/>
                <w:szCs w:val="21"/>
                <w:highlight w:val="none"/>
              </w:rPr>
            </w:pPr>
            <w:r>
              <w:rPr>
                <w:rFonts w:hint="eastAsia" w:ascii="宋体" w:hAnsi="宋体" w:cs="宋体"/>
                <w:b/>
                <w:bCs w:val="0"/>
                <w:color w:val="auto"/>
                <w:szCs w:val="21"/>
                <w:highlight w:val="none"/>
                <w:lang w:eastAsia="zh-CN"/>
              </w:rPr>
              <w:t>维保</w:t>
            </w:r>
            <w:r>
              <w:rPr>
                <w:rFonts w:hint="eastAsia" w:ascii="宋体" w:hAnsi="宋体" w:eastAsia="宋体" w:cs="宋体"/>
                <w:b/>
                <w:bCs w:val="0"/>
                <w:color w:val="auto"/>
                <w:szCs w:val="21"/>
                <w:highlight w:val="none"/>
              </w:rPr>
              <w:t>响应服务分（</w:t>
            </w:r>
            <w:r>
              <w:rPr>
                <w:rFonts w:hint="eastAsia" w:ascii="宋体" w:hAnsi="宋体" w:cs="宋体"/>
                <w:b/>
                <w:bCs w:val="0"/>
                <w:color w:val="auto"/>
                <w:sz w:val="21"/>
                <w:szCs w:val="21"/>
                <w:highlight w:val="none"/>
                <w:lang w:val="en-US" w:eastAsia="zh-CN"/>
              </w:rPr>
              <w:t>12</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Cs w:val="21"/>
                <w:highlight w:val="none"/>
              </w:rPr>
              <w:t>）</w:t>
            </w:r>
          </w:p>
        </w:tc>
        <w:tc>
          <w:tcPr>
            <w:tcW w:w="3586" w:type="pct"/>
            <w:tcBorders>
              <w:top w:val="single" w:color="auto" w:sz="4" w:space="0"/>
              <w:left w:val="single" w:color="auto" w:sz="4" w:space="0"/>
              <w:bottom w:val="single" w:color="auto" w:sz="4" w:space="0"/>
              <w:right w:val="single" w:color="auto" w:sz="4" w:space="0"/>
            </w:tcBorders>
            <w:noWrap w:val="0"/>
            <w:vAlign w:val="top"/>
          </w:tcPr>
          <w:p w14:paraId="3848DCA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分）：维保服务方案详细，实施效率</w:t>
            </w:r>
            <w:r>
              <w:rPr>
                <w:rFonts w:hint="eastAsia" w:ascii="宋体" w:hAnsi="宋体" w:cs="宋体"/>
                <w:color w:val="auto"/>
                <w:szCs w:val="21"/>
                <w:highlight w:val="none"/>
                <w:lang w:eastAsia="zh-CN"/>
              </w:rPr>
              <w:t>符合项目</w:t>
            </w:r>
            <w:r>
              <w:rPr>
                <w:rFonts w:hint="eastAsia" w:ascii="宋体" w:hAnsi="宋体" w:eastAsia="宋体" w:cs="宋体"/>
                <w:color w:val="auto"/>
                <w:szCs w:val="21"/>
                <w:highlight w:val="none"/>
              </w:rPr>
              <w:t>服务需求；</w:t>
            </w:r>
          </w:p>
          <w:p w14:paraId="40C10F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分）：维保服务方案详细，实施效率满足服务需求；供应商接到采购人服务需求通知后承诺</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小时内响应，需要现场处理的情况承诺</w:t>
            </w: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小时内到达采购人指定地点；</w:t>
            </w:r>
          </w:p>
          <w:p w14:paraId="37B4A8A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分）：维保服务方案的内容细致详尽，实施效率满足服务需求，能应对突发紧急事件，售后服务计划措施详尽，有完整的售后服务组织架构，供应商接到采购人服务需求通知后承诺</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小时内响应，需要现场处理的情况承诺</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小时内到达采购人指定地点；</w:t>
            </w:r>
          </w:p>
          <w:p w14:paraId="2994326C">
            <w:pPr>
              <w:spacing w:line="360" w:lineRule="auto"/>
              <w:ind w:firstLine="420"/>
              <w:rPr>
                <w:rFonts w:hint="eastAsia" w:ascii="宋体" w:hAnsi="宋体" w:cs="宋体"/>
                <w:b/>
                <w:color w:val="auto"/>
                <w:szCs w:val="21"/>
                <w:highlight w:val="none"/>
              </w:rPr>
            </w:pP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分）：维保服务方案的内容细致详尽，实施效率满足服务需求，能应对突发紧急事件，售后服务计划措施详尽，有完整的售后服务组织架构，方案包含应急预案、定期回访</w:t>
            </w:r>
            <w:r>
              <w:rPr>
                <w:rFonts w:hint="eastAsia" w:ascii="宋体" w:hAnsi="宋体" w:eastAsia="宋体" w:cs="宋体"/>
                <w:color w:val="auto"/>
                <w:szCs w:val="21"/>
                <w:highlight w:val="none"/>
                <w:lang w:eastAsia="zh-CN"/>
              </w:rPr>
              <w:t>、对采购单位</w:t>
            </w:r>
            <w:r>
              <w:rPr>
                <w:rFonts w:hint="eastAsia" w:ascii="宋体" w:hAnsi="宋体" w:cs="宋体"/>
                <w:color w:val="auto"/>
                <w:szCs w:val="21"/>
                <w:highlight w:val="none"/>
                <w:lang w:eastAsia="zh-CN"/>
              </w:rPr>
              <w:t>相关使用</w:t>
            </w:r>
            <w:r>
              <w:rPr>
                <w:rFonts w:hint="eastAsia" w:ascii="宋体" w:hAnsi="宋体" w:eastAsia="宋体" w:cs="宋体"/>
                <w:color w:val="auto"/>
                <w:szCs w:val="21"/>
                <w:highlight w:val="none"/>
                <w:lang w:eastAsia="zh-CN"/>
              </w:rPr>
              <w:t>人员培训</w:t>
            </w:r>
            <w:r>
              <w:rPr>
                <w:rFonts w:hint="eastAsia" w:ascii="宋体" w:hAnsi="宋体" w:eastAsia="宋体" w:cs="宋体"/>
                <w:color w:val="auto"/>
                <w:szCs w:val="21"/>
                <w:highlight w:val="none"/>
              </w:rPr>
              <w:t>等内容，供应商接到采购人服务需求通知后承诺</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小时内响应，需要现场处理的情况承诺</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小时内到达采购人指定地点。</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731BD700">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7AB3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87E5295">
            <w:pPr>
              <w:spacing w:line="360" w:lineRule="auto"/>
              <w:ind w:firstLine="0"/>
              <w:jc w:val="center"/>
              <w:rPr>
                <w:rFonts w:hint="eastAsia" w:ascii="宋体" w:hAnsi="宋体" w:cs="宋体"/>
                <w:b/>
                <w:bCs w:val="0"/>
                <w:color w:val="auto"/>
                <w:szCs w:val="21"/>
                <w:highlight w:val="none"/>
              </w:rPr>
            </w:pPr>
            <w:r>
              <w:rPr>
                <w:rFonts w:hint="eastAsia" w:ascii="宋体" w:hAnsi="宋体" w:eastAsia="宋体" w:cs="宋体"/>
                <w:b/>
                <w:bCs w:val="0"/>
                <w:color w:val="auto"/>
                <w:highlight w:val="none"/>
              </w:rPr>
              <w:t>2.</w:t>
            </w:r>
            <w:r>
              <w:rPr>
                <w:rFonts w:hint="eastAsia" w:ascii="宋体" w:hAnsi="宋体" w:eastAsia="宋体" w:cs="宋体"/>
                <w:b/>
                <w:bCs w:val="0"/>
                <w:color w:val="auto"/>
                <w:highlight w:val="none"/>
                <w:lang w:val="en-US" w:eastAsia="zh-CN"/>
              </w:rPr>
              <w:t>4</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1C69E12C">
            <w:pPr>
              <w:spacing w:line="360" w:lineRule="auto"/>
              <w:jc w:val="center"/>
              <w:rPr>
                <w:rFonts w:hint="eastAsia" w:ascii="宋体" w:hAnsi="宋体" w:eastAsia="宋体" w:cs="宋体"/>
                <w:b/>
                <w:bCs w:val="0"/>
                <w:color w:val="auto"/>
                <w:szCs w:val="21"/>
                <w:highlight w:val="none"/>
              </w:rPr>
            </w:pPr>
            <w:r>
              <w:rPr>
                <w:rFonts w:hint="eastAsia" w:ascii="宋体" w:hAnsi="宋体" w:eastAsia="宋体" w:cs="宋体"/>
                <w:b/>
                <w:bCs w:val="0"/>
                <w:color w:val="auto"/>
                <w:sz w:val="21"/>
                <w:szCs w:val="21"/>
                <w:highlight w:val="none"/>
              </w:rPr>
              <w:t>安全保密方案（</w:t>
            </w:r>
            <w:r>
              <w:rPr>
                <w:rFonts w:hint="eastAsia" w:ascii="宋体" w:hAnsi="宋体" w:cs="宋体"/>
                <w:b/>
                <w:bCs w:val="0"/>
                <w:color w:val="auto"/>
                <w:sz w:val="21"/>
                <w:szCs w:val="21"/>
                <w:highlight w:val="none"/>
                <w:lang w:val="en-US" w:eastAsia="zh-CN"/>
              </w:rPr>
              <w:t>12</w:t>
            </w:r>
            <w:r>
              <w:rPr>
                <w:rFonts w:hint="eastAsia" w:ascii="宋体" w:hAnsi="宋体" w:eastAsia="宋体" w:cs="宋体"/>
                <w:b/>
                <w:bCs w:val="0"/>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5B9759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分）：提供的安全保密方案满足采购需求要求；</w:t>
            </w:r>
          </w:p>
          <w:p w14:paraId="0CCB9B2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明确</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保密范围、保密等级；</w:t>
            </w:r>
          </w:p>
          <w:p w14:paraId="72B85FB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详细的信息安全保密和泄密应急处理措施方案，制定</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保密管理制度，明确保密范围、保密等级、保密责任</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结合实际执行情况</w:t>
            </w:r>
            <w:r>
              <w:rPr>
                <w:rFonts w:hint="eastAsia" w:ascii="宋体" w:hAnsi="宋体" w:eastAsia="宋体" w:cs="宋体"/>
                <w:color w:val="auto"/>
                <w:szCs w:val="21"/>
                <w:highlight w:val="none"/>
              </w:rPr>
              <w:t>定期对保密工作进行自查和专项检查，及时发现和整改安全隐患。</w:t>
            </w:r>
          </w:p>
          <w:p w14:paraId="7149644E">
            <w:pPr>
              <w:spacing w:line="360" w:lineRule="auto"/>
              <w:ind w:firstLine="420"/>
              <w:rPr>
                <w:rFonts w:hint="eastAsia" w:ascii="宋体" w:hAnsi="宋体" w:cs="宋体"/>
                <w:b/>
                <w:color w:val="auto"/>
                <w:szCs w:val="21"/>
                <w:highlight w:val="none"/>
              </w:rPr>
            </w:pP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详细的信息安全保密和泄密应急处理措施方案，制定</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详细的保密管理制度，明确保密范围、保密等级、保密责任</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结合实际执行情况</w:t>
            </w:r>
            <w:r>
              <w:rPr>
                <w:rFonts w:hint="eastAsia" w:ascii="宋体" w:hAnsi="宋体" w:eastAsia="宋体" w:cs="宋体"/>
                <w:color w:val="auto"/>
                <w:szCs w:val="21"/>
                <w:highlight w:val="none"/>
              </w:rPr>
              <w:t>定期对保密工作进行自查和专项检查，及时发现和整改安全隐患。</w:t>
            </w:r>
            <w:r>
              <w:rPr>
                <w:rFonts w:hint="eastAsia" w:ascii="宋体" w:hAnsi="宋体" w:cs="宋体"/>
                <w:color w:val="auto"/>
                <w:szCs w:val="21"/>
                <w:highlight w:val="none"/>
                <w:lang w:eastAsia="zh-CN"/>
              </w:rPr>
              <w:t>结合执行环节</w:t>
            </w:r>
            <w:r>
              <w:rPr>
                <w:rFonts w:hint="eastAsia" w:ascii="宋体" w:hAnsi="宋体" w:eastAsia="宋体" w:cs="宋体"/>
                <w:color w:val="auto"/>
                <w:szCs w:val="21"/>
                <w:highlight w:val="none"/>
              </w:rPr>
              <w:t>定期</w:t>
            </w:r>
            <w:r>
              <w:rPr>
                <w:rFonts w:hint="default" w:ascii="宋体" w:hAnsi="宋体" w:eastAsia="宋体" w:cs="宋体"/>
                <w:color w:val="auto"/>
                <w:szCs w:val="21"/>
                <w:highlight w:val="none"/>
              </w:rPr>
              <w:t>开展保密教育培训，提高涉密人员的保密意识和技能，使其熟悉保密法律法规和制度要求。</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36C75797">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048C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2"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0409728F">
            <w:pPr>
              <w:spacing w:line="400" w:lineRule="exact"/>
              <w:ind w:left="-105" w:right="-105"/>
              <w:jc w:val="center"/>
              <w:rPr>
                <w:rFonts w:ascii="宋体" w:hAnsi="宋体" w:cs="宋体"/>
                <w:b/>
                <w:bCs w:val="0"/>
                <w:color w:val="auto"/>
                <w:szCs w:val="21"/>
                <w:highlight w:val="none"/>
              </w:rPr>
            </w:pPr>
            <w:r>
              <w:rPr>
                <w:rFonts w:hint="eastAsia" w:ascii="宋体" w:hAnsi="宋体" w:cs="宋体"/>
                <w:b/>
                <w:bCs w:val="0"/>
                <w:color w:val="auto"/>
                <w:szCs w:val="21"/>
                <w:highlight w:val="none"/>
              </w:rPr>
              <w:t>2.5</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2C035891">
            <w:pPr>
              <w:widowControl/>
              <w:spacing w:line="400" w:lineRule="exact"/>
              <w:jc w:val="center"/>
              <w:rPr>
                <w:rFonts w:hint="eastAsia" w:ascii="宋体" w:hAnsi="宋体" w:eastAsia="宋体" w:cs="宋体"/>
                <w:b/>
                <w:bCs w:val="0"/>
                <w:color w:val="auto"/>
                <w:szCs w:val="21"/>
                <w:highlight w:val="none"/>
                <w:lang w:eastAsia="zh-CN"/>
              </w:rPr>
            </w:pPr>
            <w:r>
              <w:rPr>
                <w:rFonts w:hint="eastAsia" w:ascii="宋体" w:hAnsi="宋体"/>
                <w:b/>
                <w:bCs w:val="0"/>
                <w:color w:val="auto"/>
                <w:highlight w:val="none"/>
              </w:rPr>
              <w:t>拟投入本项目的服务团队</w:t>
            </w:r>
            <w:r>
              <w:rPr>
                <w:rFonts w:hint="eastAsia" w:ascii="宋体" w:hAnsi="宋体"/>
                <w:b/>
                <w:bCs w:val="0"/>
                <w:color w:val="auto"/>
                <w:highlight w:val="none"/>
                <w:lang w:eastAsia="zh-CN"/>
              </w:rPr>
              <w:t>（</w:t>
            </w:r>
            <w:r>
              <w:rPr>
                <w:rFonts w:hint="eastAsia" w:ascii="宋体" w:hAnsi="宋体"/>
                <w:b/>
                <w:bCs w:val="0"/>
                <w:color w:val="auto"/>
                <w:highlight w:val="none"/>
                <w:lang w:val="en-US" w:eastAsia="zh-CN"/>
              </w:rPr>
              <w:t>12分</w:t>
            </w:r>
            <w:r>
              <w:rPr>
                <w:rFonts w:hint="eastAsia" w:ascii="宋体" w:hAnsi="宋体"/>
                <w:b/>
                <w:bCs w:val="0"/>
                <w:color w:val="auto"/>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7ACAB9B2">
            <w:pPr>
              <w:pStyle w:val="221"/>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一档（3分）：供应商拟投入本项目的专业人员配置合理，满足服务需求。</w:t>
            </w:r>
          </w:p>
          <w:p w14:paraId="4869636A">
            <w:pPr>
              <w:pStyle w:val="221"/>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二档（6分）：供应商拟投入本项目的专业人员配置合理，完全满足采购需求，拟投入的维保技术员至少有2人；</w:t>
            </w:r>
          </w:p>
          <w:p w14:paraId="46123A25">
            <w:pPr>
              <w:pStyle w:val="221"/>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三档（9分）：供应商拟投入本项目的专业人员配置合理可行，完全满足采购需求，拟投入的维保技术员至少有4人；</w:t>
            </w:r>
            <w:r>
              <w:rPr>
                <w:rFonts w:hint="eastAsia" w:ascii="宋体" w:hAnsi="宋体" w:eastAsia="宋体" w:cs="宋体"/>
                <w:bCs/>
                <w:color w:val="auto"/>
                <w:sz w:val="21"/>
                <w:highlight w:val="none"/>
                <w:lang w:val="en-US" w:eastAsia="zh-CN"/>
              </w:rPr>
              <w:t>对维保团队有明确的劳动时间安排表，整体配备方案合理。</w:t>
            </w:r>
          </w:p>
          <w:p w14:paraId="6C187F4C">
            <w:pPr>
              <w:pStyle w:val="221"/>
              <w:spacing w:line="360" w:lineRule="auto"/>
              <w:rPr>
                <w:rFonts w:hint="eastAsia" w:ascii="宋体" w:hAnsi="宋体" w:eastAsia="宋体" w:cs="宋体"/>
                <w:bCs/>
                <w:color w:val="auto"/>
                <w:sz w:val="21"/>
                <w:highlight w:val="none"/>
                <w:lang w:val="en-US" w:eastAsia="zh-CN"/>
              </w:rPr>
            </w:pPr>
            <w:r>
              <w:rPr>
                <w:rFonts w:hint="eastAsia" w:hAnsi="宋体" w:cs="宋体"/>
                <w:bCs/>
                <w:color w:val="auto"/>
                <w:sz w:val="21"/>
                <w:highlight w:val="none"/>
                <w:lang w:val="en-US" w:eastAsia="zh-CN"/>
              </w:rPr>
              <w:t>四档（12分）：供应商拟投入本项目的</w:t>
            </w:r>
            <w:r>
              <w:rPr>
                <w:rFonts w:hint="eastAsia" w:ascii="宋体" w:hAnsi="宋体" w:eastAsia="宋体" w:cs="宋体"/>
                <w:bCs/>
                <w:color w:val="auto"/>
                <w:sz w:val="21"/>
                <w:highlight w:val="none"/>
                <w:lang w:val="en-US" w:eastAsia="zh-CN"/>
              </w:rPr>
              <w:t>专业人员配置合理可行，完全满足采购需求，拟投入的维保技术员至少有6人；对维保团队有监督、考核、培训方案，劳动时间对应明确，整体配备方案合理。</w:t>
            </w:r>
          </w:p>
          <w:p w14:paraId="7EEDD631">
            <w:pPr>
              <w:pStyle w:val="221"/>
              <w:spacing w:line="360" w:lineRule="auto"/>
              <w:ind w:firstLine="211" w:firstLineChars="100"/>
              <w:rPr>
                <w:rFonts w:hint="eastAsia" w:hAnsi="宋体" w:cs="宋体"/>
                <w:color w:val="auto"/>
                <w:sz w:val="21"/>
                <w:highlight w:val="none"/>
                <w:lang w:val="en-US" w:eastAsia="zh-CN"/>
              </w:rPr>
            </w:pPr>
            <w:r>
              <w:rPr>
                <w:rFonts w:hint="eastAsia" w:ascii="宋体" w:hAnsi="宋体" w:eastAsia="宋体" w:cs="宋体"/>
                <w:b/>
                <w:bCs w:val="0"/>
                <w:color w:val="auto"/>
                <w:sz w:val="21"/>
                <w:szCs w:val="21"/>
                <w:highlight w:val="none"/>
                <w:lang w:val="en-US" w:eastAsia="zh-CN"/>
              </w:rPr>
              <w:t>注：</w:t>
            </w:r>
            <w:r>
              <w:rPr>
                <w:rFonts w:hint="eastAsia" w:ascii="宋体" w:hAnsi="宋体" w:cs="宋体"/>
                <w:b/>
                <w:bCs w:val="0"/>
                <w:color w:val="auto"/>
                <w:spacing w:val="2"/>
                <w:sz w:val="21"/>
                <w:szCs w:val="21"/>
                <w:highlight w:val="none"/>
                <w:lang w:eastAsia="zh-CN"/>
              </w:rPr>
              <w:t>供应商须在响应文件中提供以上人员的有效身份证及相关证书复印件</w:t>
            </w:r>
            <w:r>
              <w:rPr>
                <w:rFonts w:hint="eastAsia" w:ascii="宋体" w:hAnsi="宋体" w:cs="宋体"/>
                <w:b/>
                <w:bCs w:val="0"/>
                <w:color w:val="auto"/>
                <w:spacing w:val="2"/>
                <w:sz w:val="21"/>
                <w:szCs w:val="21"/>
                <w:highlight w:val="none"/>
                <w:lang w:val="en-US" w:eastAsia="zh-CN"/>
              </w:rPr>
              <w:t>/</w:t>
            </w:r>
            <w:r>
              <w:rPr>
                <w:rFonts w:hint="eastAsia" w:ascii="宋体" w:hAnsi="宋体" w:cs="宋体"/>
                <w:b/>
                <w:bCs w:val="0"/>
                <w:color w:val="auto"/>
                <w:spacing w:val="2"/>
                <w:sz w:val="21"/>
                <w:szCs w:val="21"/>
                <w:highlight w:val="none"/>
                <w:lang w:eastAsia="zh-CN"/>
              </w:rPr>
              <w:t>扫描件，以上人员为供应商单位职工的证明资料，上述材料加盖供应商电子印章。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2B86FF09">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12</w:t>
            </w:r>
            <w:r>
              <w:rPr>
                <w:rFonts w:hint="eastAsia" w:ascii="宋体" w:hAnsi="宋体" w:cs="宋体"/>
                <w:b/>
                <w:color w:val="auto"/>
                <w:szCs w:val="21"/>
                <w:highlight w:val="none"/>
              </w:rPr>
              <w:t>分</w:t>
            </w:r>
          </w:p>
        </w:tc>
      </w:tr>
      <w:tr w14:paraId="1F95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11F067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C30FD4F">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6F3626BC">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566BE51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商务分总分值（</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r>
      <w:tr w14:paraId="5285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B33946F">
            <w:pPr>
              <w:widowControl/>
              <w:spacing w:line="40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F0AFCB8">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综合实力分</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4</w:t>
            </w:r>
            <w:r>
              <w:rPr>
                <w:rFonts w:hint="eastAsia" w:ascii="宋体" w:hAnsi="宋体" w:eastAsia="宋体" w:cs="宋体"/>
                <w:b/>
                <w:bCs/>
                <w:color w:val="auto"/>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31ED8079">
            <w:pPr>
              <w:numPr>
                <w:ilvl w:val="0"/>
                <w:numId w:val="0"/>
              </w:numPr>
              <w:spacing w:line="360" w:lineRule="auto"/>
              <w:ind w:firstLine="420"/>
              <w:rPr>
                <w:rFonts w:hint="eastAsia" w:ascii="宋体" w:hAnsi="宋体" w:eastAsia="宋体" w:cs="Times New Roman"/>
                <w:b w:val="0"/>
                <w:bCs/>
                <w:color w:val="auto"/>
                <w:szCs w:val="21"/>
                <w:highlight w:val="none"/>
              </w:rPr>
            </w:pPr>
            <w:r>
              <w:rPr>
                <w:rFonts w:hint="eastAsia" w:ascii="宋体" w:hAnsi="宋体" w:eastAsia="宋体" w:cs="宋体"/>
                <w:b w:val="0"/>
                <w:bCs/>
                <w:color w:val="auto"/>
                <w:szCs w:val="21"/>
                <w:highlight w:val="none"/>
                <w:lang w:eastAsia="zh-CN"/>
              </w:rPr>
              <w:t>拟投入的</w:t>
            </w:r>
            <w:r>
              <w:rPr>
                <w:rFonts w:hint="eastAsia" w:ascii="宋体" w:hAnsi="宋体" w:eastAsia="宋体" w:cs="宋体"/>
                <w:bCs/>
                <w:color w:val="auto"/>
                <w:sz w:val="21"/>
                <w:highlight w:val="none"/>
                <w:lang w:val="en-US" w:eastAsia="zh-CN"/>
              </w:rPr>
              <w:t>维保技术员</w:t>
            </w:r>
            <w:r>
              <w:rPr>
                <w:rFonts w:hint="eastAsia" w:ascii="宋体" w:hAnsi="宋体" w:eastAsia="宋体" w:cs="宋体"/>
                <w:b w:val="0"/>
                <w:bCs/>
                <w:color w:val="auto"/>
                <w:szCs w:val="21"/>
                <w:highlight w:val="none"/>
                <w:lang w:eastAsia="zh-CN"/>
              </w:rPr>
              <w:t>中</w:t>
            </w:r>
            <w:r>
              <w:rPr>
                <w:rFonts w:hint="eastAsia" w:ascii="宋体" w:hAnsi="宋体" w:eastAsia="宋体" w:cs="宋体"/>
                <w:b w:val="0"/>
                <w:bCs/>
                <w:color w:val="auto"/>
                <w:highlight w:val="none"/>
              </w:rPr>
              <w:t>持有</w:t>
            </w:r>
            <w:r>
              <w:rPr>
                <w:rFonts w:hint="eastAsia" w:ascii="宋体" w:hAnsi="宋体" w:eastAsia="宋体" w:cs="宋体"/>
                <w:b w:val="0"/>
                <w:bCs/>
                <w:color w:val="auto"/>
                <w:highlight w:val="none"/>
                <w:lang w:eastAsia="zh-CN"/>
              </w:rPr>
              <w:t>计算机</w:t>
            </w:r>
            <w:r>
              <w:rPr>
                <w:rFonts w:hint="eastAsia" w:ascii="宋体" w:hAnsi="宋体" w:cs="宋体"/>
                <w:b w:val="0"/>
                <w:bCs/>
                <w:color w:val="auto"/>
                <w:highlight w:val="none"/>
                <w:lang w:eastAsia="zh-CN"/>
              </w:rPr>
              <w:t>相关</w:t>
            </w:r>
            <w:r>
              <w:rPr>
                <w:rFonts w:hint="eastAsia" w:ascii="宋体" w:hAnsi="宋体" w:eastAsia="宋体" w:cs="宋体"/>
                <w:b w:val="0"/>
                <w:bCs/>
                <w:color w:val="auto"/>
                <w:highlight w:val="none"/>
                <w:lang w:eastAsia="zh-CN"/>
              </w:rPr>
              <w:t>专业</w:t>
            </w:r>
            <w:r>
              <w:rPr>
                <w:rFonts w:hint="eastAsia" w:ascii="宋体" w:hAnsi="宋体" w:eastAsia="宋体" w:cs="宋体"/>
                <w:color w:val="auto"/>
                <w:sz w:val="21"/>
                <w:highlight w:val="none"/>
              </w:rPr>
              <w:t>工程师及以上职称</w:t>
            </w:r>
            <w:r>
              <w:rPr>
                <w:rFonts w:hint="eastAsia" w:ascii="宋体" w:hAnsi="宋体" w:eastAsia="宋体" w:cs="宋体"/>
                <w:b w:val="0"/>
                <w:bCs/>
                <w:color w:val="auto"/>
                <w:highlight w:val="none"/>
                <w:lang w:eastAsia="zh-CN"/>
              </w:rPr>
              <w:t>的</w:t>
            </w:r>
            <w:r>
              <w:rPr>
                <w:rFonts w:hint="eastAsia" w:ascii="宋体" w:hAnsi="宋体" w:cs="宋体"/>
                <w:b w:val="0"/>
                <w:bCs/>
                <w:color w:val="auto"/>
                <w:highlight w:val="none"/>
                <w:lang w:eastAsia="zh-CN"/>
              </w:rPr>
              <w:t>，</w:t>
            </w:r>
            <w:r>
              <w:rPr>
                <w:rFonts w:hint="eastAsia" w:ascii="宋体" w:hAnsi="宋体" w:eastAsia="宋体" w:cs="宋体"/>
                <w:b w:val="0"/>
                <w:bCs/>
                <w:color w:val="auto"/>
                <w:highlight w:val="none"/>
              </w:rPr>
              <w:t>每有1人得1分，满分4分；</w:t>
            </w:r>
          </w:p>
          <w:p w14:paraId="5073675F">
            <w:pPr>
              <w:widowControl/>
              <w:spacing w:line="400" w:lineRule="exact"/>
              <w:ind w:firstLine="211" w:firstLineChars="100"/>
              <w:jc w:val="left"/>
              <w:rPr>
                <w:rFonts w:hint="eastAsia" w:ascii="宋体" w:hAnsi="宋体" w:cs="宋体"/>
                <w:color w:val="auto"/>
                <w:szCs w:val="21"/>
                <w:highlight w:val="none"/>
              </w:rPr>
            </w:pPr>
            <w:r>
              <w:rPr>
                <w:rFonts w:hint="eastAsia" w:ascii="宋体" w:hAnsi="宋体" w:eastAsia="宋体" w:cs="宋体"/>
                <w:b/>
                <w:bCs w:val="0"/>
                <w:color w:val="auto"/>
                <w:sz w:val="21"/>
                <w:szCs w:val="21"/>
                <w:highlight w:val="none"/>
                <w:lang w:val="en-US" w:eastAsia="zh-CN"/>
              </w:rPr>
              <w:t>注：</w:t>
            </w:r>
            <w:r>
              <w:rPr>
                <w:rFonts w:hint="eastAsia" w:ascii="宋体" w:hAnsi="宋体" w:cs="宋体"/>
                <w:b/>
                <w:bCs w:val="0"/>
                <w:color w:val="auto"/>
                <w:spacing w:val="2"/>
                <w:sz w:val="21"/>
                <w:szCs w:val="21"/>
                <w:highlight w:val="none"/>
                <w:lang w:eastAsia="zh-CN"/>
              </w:rPr>
              <w:t>供应商须在响应文件中提供以上人员的有效身份证及相关证书复印件</w:t>
            </w:r>
            <w:r>
              <w:rPr>
                <w:rFonts w:hint="eastAsia" w:ascii="宋体" w:hAnsi="宋体" w:cs="宋体"/>
                <w:b/>
                <w:bCs w:val="0"/>
                <w:color w:val="auto"/>
                <w:spacing w:val="2"/>
                <w:sz w:val="21"/>
                <w:szCs w:val="21"/>
                <w:highlight w:val="none"/>
                <w:lang w:val="en-US" w:eastAsia="zh-CN"/>
              </w:rPr>
              <w:t>/</w:t>
            </w:r>
            <w:r>
              <w:rPr>
                <w:rFonts w:hint="eastAsia" w:ascii="宋体" w:hAnsi="宋体" w:cs="宋体"/>
                <w:b/>
                <w:bCs w:val="0"/>
                <w:color w:val="auto"/>
                <w:spacing w:val="2"/>
                <w:sz w:val="21"/>
                <w:szCs w:val="21"/>
                <w:highlight w:val="none"/>
                <w:lang w:eastAsia="zh-CN"/>
              </w:rPr>
              <w:t>扫描件，以上人员为供应商单位职工的证明资料，上述材料加盖供应商电子印章。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258A515A">
            <w:pPr>
              <w:widowControl/>
              <w:spacing w:line="400" w:lineRule="exact"/>
              <w:jc w:val="center"/>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4分</w:t>
            </w:r>
          </w:p>
        </w:tc>
      </w:tr>
      <w:tr w14:paraId="2CF2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166B9F9">
            <w:pPr>
              <w:widowControl/>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bCs/>
                <w:color w:val="auto"/>
                <w:szCs w:val="21"/>
                <w:highlight w:val="none"/>
                <w:lang w:val="en-US" w:eastAsia="zh-CN"/>
              </w:rPr>
              <w:t>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70A479FA">
            <w:pPr>
              <w:widowControl/>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业绩分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6分</w:t>
            </w:r>
            <w:r>
              <w:rPr>
                <w:rFonts w:hint="eastAsia" w:ascii="宋体" w:hAnsi="宋体" w:cs="宋体"/>
                <w:b/>
                <w:bCs/>
                <w:color w:val="auto"/>
                <w:szCs w:val="21"/>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644D083A">
            <w:pPr>
              <w:widowControl/>
              <w:spacing w:line="400" w:lineRule="exact"/>
              <w:ind w:firstLine="420"/>
              <w:jc w:val="left"/>
              <w:rPr>
                <w:rFonts w:hint="eastAsia" w:ascii="宋体" w:hAnsi="宋体" w:cs="Courier New"/>
                <w:color w:val="auto"/>
                <w:szCs w:val="21"/>
                <w:highlight w:val="none"/>
                <w:u w:val="none"/>
              </w:rPr>
            </w:pPr>
            <w:r>
              <w:rPr>
                <w:rFonts w:hint="eastAsia" w:ascii="宋体" w:hAnsi="宋体" w:cs="Courier New"/>
                <w:color w:val="auto"/>
                <w:szCs w:val="21"/>
                <w:highlight w:val="none"/>
                <w:u w:val="none"/>
              </w:rPr>
              <w:t>202</w:t>
            </w:r>
            <w:r>
              <w:rPr>
                <w:rFonts w:hint="eastAsia" w:ascii="宋体" w:hAnsi="宋体" w:cs="Courier New"/>
                <w:color w:val="auto"/>
                <w:szCs w:val="21"/>
                <w:highlight w:val="none"/>
                <w:u w:val="none"/>
                <w:lang w:val="en-US" w:eastAsia="zh-CN"/>
              </w:rPr>
              <w:t>3</w:t>
            </w:r>
            <w:r>
              <w:rPr>
                <w:rFonts w:hint="eastAsia" w:ascii="宋体" w:hAnsi="宋体" w:cs="Courier New"/>
                <w:color w:val="auto"/>
                <w:szCs w:val="21"/>
                <w:highlight w:val="none"/>
                <w:u w:val="none"/>
              </w:rPr>
              <w:t>年</w:t>
            </w:r>
            <w:r>
              <w:rPr>
                <w:rFonts w:hint="eastAsia" w:ascii="宋体" w:hAnsi="宋体"/>
                <w:color w:val="auto"/>
                <w:szCs w:val="21"/>
                <w:highlight w:val="none"/>
                <w:u w:val="none"/>
              </w:rPr>
              <w:t>1</w:t>
            </w:r>
            <w:r>
              <w:rPr>
                <w:rFonts w:hint="eastAsia" w:ascii="宋体" w:hAnsi="宋体" w:cs="Courier New"/>
                <w:color w:val="auto"/>
                <w:szCs w:val="21"/>
                <w:highlight w:val="none"/>
                <w:u w:val="none"/>
              </w:rPr>
              <w:t>月</w:t>
            </w:r>
            <w:r>
              <w:rPr>
                <w:rFonts w:hint="eastAsia" w:ascii="宋体" w:hAnsi="宋体"/>
                <w:color w:val="auto"/>
                <w:szCs w:val="21"/>
                <w:highlight w:val="none"/>
                <w:u w:val="none"/>
              </w:rPr>
              <w:t>1</w:t>
            </w:r>
            <w:r>
              <w:rPr>
                <w:rFonts w:hint="eastAsia" w:ascii="宋体" w:hAnsi="宋体" w:cs="Courier New"/>
                <w:color w:val="auto"/>
                <w:szCs w:val="21"/>
                <w:highlight w:val="none"/>
                <w:u w:val="none"/>
              </w:rPr>
              <w:t>日以来</w:t>
            </w:r>
            <w:r>
              <w:rPr>
                <w:rFonts w:hint="eastAsia" w:ascii="宋体" w:hAnsi="宋体" w:cs="Courier New"/>
                <w:color w:val="auto"/>
                <w:szCs w:val="21"/>
                <w:highlight w:val="none"/>
              </w:rPr>
              <w:t>至响应文件递交截止</w:t>
            </w:r>
            <w:r>
              <w:rPr>
                <w:rFonts w:hint="eastAsia" w:ascii="宋体" w:hAnsi="宋体" w:cs="Courier New"/>
                <w:color w:val="auto"/>
                <w:szCs w:val="21"/>
                <w:highlight w:val="none"/>
                <w:lang w:eastAsia="zh-CN"/>
              </w:rPr>
              <w:t>时间</w:t>
            </w:r>
            <w:r>
              <w:rPr>
                <w:rFonts w:hint="eastAsia" w:ascii="宋体" w:hAnsi="宋体" w:cs="Courier New"/>
                <w:color w:val="auto"/>
                <w:szCs w:val="21"/>
                <w:highlight w:val="none"/>
              </w:rPr>
              <w:t>止，供应商承担过类似项目业绩</w:t>
            </w:r>
            <w:r>
              <w:rPr>
                <w:rFonts w:hint="eastAsia" w:ascii="宋体" w:hAnsi="宋体" w:cs="宋体"/>
                <w:color w:val="auto"/>
                <w:szCs w:val="21"/>
                <w:highlight w:val="none"/>
              </w:rPr>
              <w:t>，每一个得</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分。【以加盖公章的中标（成交）通知书或合同复印件（或扫描件）为准】</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6ECFC7A7">
            <w:pPr>
              <w:widowControl/>
              <w:spacing w:line="400" w:lineRule="exact"/>
              <w:jc w:val="cente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分</w:t>
            </w:r>
          </w:p>
        </w:tc>
      </w:tr>
      <w:tr w14:paraId="6CC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3" w:type="pct"/>
            <w:gridSpan w:val="3"/>
            <w:tcBorders>
              <w:top w:val="single" w:color="auto" w:sz="4" w:space="0"/>
              <w:left w:val="single" w:color="auto" w:sz="4" w:space="0"/>
              <w:bottom w:val="single" w:color="auto" w:sz="4" w:space="0"/>
              <w:right w:val="single" w:color="auto" w:sz="4" w:space="0"/>
            </w:tcBorders>
            <w:noWrap w:val="0"/>
            <w:vAlign w:val="top"/>
          </w:tcPr>
          <w:p w14:paraId="2807C791">
            <w:pPr>
              <w:pStyle w:val="221"/>
              <w:spacing w:line="400" w:lineRule="exact"/>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总得分＝1＋2＋3</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F1BBD0D">
            <w:pPr>
              <w:widowControl/>
              <w:spacing w:line="400" w:lineRule="exact"/>
              <w:jc w:val="center"/>
              <w:rPr>
                <w:rFonts w:hint="eastAsia" w:ascii="宋体" w:hAnsi="宋体" w:cs="宋体"/>
                <w:color w:val="auto"/>
                <w:szCs w:val="21"/>
                <w:highlight w:val="none"/>
              </w:rPr>
            </w:pPr>
          </w:p>
        </w:tc>
      </w:tr>
    </w:tbl>
    <w:p w14:paraId="22D1CA8F">
      <w:pPr>
        <w:spacing w:line="400" w:lineRule="exact"/>
        <w:rPr>
          <w:rFonts w:hint="eastAsia" w:ascii="宋体" w:hAnsi="宋体" w:cs="宋体"/>
          <w:b/>
          <w:color w:val="auto"/>
          <w:szCs w:val="21"/>
          <w:highlight w:val="none"/>
        </w:rPr>
      </w:pP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61175EB">
      <w:pPr>
        <w:spacing w:line="360" w:lineRule="auto"/>
        <w:ind w:firstLine="420"/>
        <w:rPr>
          <w:rFonts w:hint="eastAsia" w:ascii="宋体" w:hAnsi="宋体"/>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分由高到低排序）。评审得分、最后报价（不计算价格折扣）、技术得分、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p>
    <w:p w14:paraId="392919F3">
      <w:pPr>
        <w:pStyle w:val="195"/>
        <w:jc w:val="center"/>
        <w:rPr>
          <w:rFonts w:hint="eastAsia" w:ascii="宋体" w:hAnsi="宋体" w:cs="宋体"/>
          <w:color w:val="auto"/>
          <w:highlight w:val="none"/>
        </w:rPr>
      </w:pPr>
      <w:r>
        <w:rPr>
          <w:rFonts w:hint="eastAsia" w:ascii="宋体" w:hAnsi="宋体" w:cs="宋体"/>
          <w:color w:val="auto"/>
          <w:highlight w:val="none"/>
        </w:rPr>
        <w:br w:type="page" w:clear="all"/>
      </w:r>
    </w:p>
    <w:p w14:paraId="5373622D">
      <w:pPr>
        <w:pStyle w:val="195"/>
        <w:jc w:val="center"/>
        <w:rPr>
          <w:rFonts w:hint="eastAsia" w:ascii="宋体" w:hAnsi="宋体" w:cs="宋体"/>
          <w:color w:val="auto"/>
          <w:highlight w:val="none"/>
        </w:rPr>
      </w:pPr>
    </w:p>
    <w:p w14:paraId="5BF5E2E9">
      <w:pPr>
        <w:pStyle w:val="195"/>
        <w:jc w:val="center"/>
        <w:rPr>
          <w:rFonts w:hint="eastAsia" w:ascii="宋体" w:hAnsi="宋体" w:cs="宋体"/>
          <w:color w:val="auto"/>
          <w:highlight w:val="none"/>
        </w:rPr>
      </w:pPr>
      <w:bookmarkStart w:id="47" w:name="_Toc21416"/>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199"/>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199"/>
        <w:spacing w:before="50" w:after="50"/>
        <w:ind w:firstLine="720"/>
        <w:rPr>
          <w:rFonts w:hint="eastAsia" w:ascii="宋体" w:hAnsi="宋体" w:cs="宋体"/>
          <w:bCs/>
          <w:color w:val="auto"/>
          <w:sz w:val="32"/>
          <w:szCs w:val="32"/>
          <w:highlight w:val="none"/>
        </w:rPr>
      </w:pPr>
    </w:p>
    <w:p w14:paraId="5ED66F6C">
      <w:pPr>
        <w:pStyle w:val="199"/>
        <w:spacing w:before="50" w:after="50"/>
        <w:ind w:firstLine="720"/>
        <w:rPr>
          <w:rFonts w:hint="eastAsia" w:ascii="宋体" w:hAnsi="宋体" w:cs="宋体"/>
          <w:bCs/>
          <w:color w:val="auto"/>
          <w:sz w:val="32"/>
          <w:szCs w:val="32"/>
          <w:highlight w:val="none"/>
        </w:rPr>
      </w:pPr>
    </w:p>
    <w:p w14:paraId="16D406B9">
      <w:pPr>
        <w:pStyle w:val="199"/>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0"/>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0"/>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1"/>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1"/>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8"/>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8"/>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b/>
          <w:color w:val="auto"/>
          <w:sz w:val="24"/>
          <w:highlight w:val="none"/>
        </w:rPr>
      </w:pPr>
      <w:r>
        <w:rPr>
          <w:rFonts w:hint="eastAsia" w:ascii="宋体" w:hAnsi="宋体" w:cs="宋体"/>
          <w:color w:val="auto"/>
          <w:sz w:val="24"/>
          <w:highlight w:val="none"/>
        </w:rPr>
        <w:t>供应商（公章或电子签章）：</w:t>
      </w:r>
    </w:p>
    <w:p w14:paraId="4E986944">
      <w:pPr>
        <w:spacing w:line="360" w:lineRule="auto"/>
        <w:ind w:right="420"/>
        <w:contextualSpacing/>
        <w:jc w:val="left"/>
        <w:rPr>
          <w:rFonts w:hint="eastAsia" w:ascii="宋体" w:hAnsi="宋体" w:cs="宋体"/>
          <w:b/>
          <w:bCs/>
          <w:color w:val="auto"/>
          <w:sz w:val="24"/>
          <w:highlight w:val="none"/>
        </w:rPr>
      </w:pP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2DEFF4D5">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199"/>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199"/>
        <w:spacing w:before="50" w:after="50"/>
        <w:ind w:firstLine="640"/>
        <w:rPr>
          <w:rFonts w:hint="eastAsia" w:ascii="宋体" w:hAnsi="宋体" w:cs="宋体"/>
          <w:bCs/>
          <w:color w:val="auto"/>
          <w:sz w:val="32"/>
          <w:szCs w:val="32"/>
          <w:highlight w:val="none"/>
        </w:rPr>
      </w:pPr>
    </w:p>
    <w:p w14:paraId="4A968DE9">
      <w:pPr>
        <w:pStyle w:val="199"/>
        <w:spacing w:before="50" w:after="50"/>
        <w:ind w:firstLine="720"/>
        <w:rPr>
          <w:rFonts w:hint="eastAsia" w:ascii="宋体" w:hAnsi="宋体" w:cs="宋体"/>
          <w:bCs/>
          <w:color w:val="auto"/>
          <w:sz w:val="32"/>
          <w:szCs w:val="32"/>
          <w:highlight w:val="none"/>
        </w:rPr>
      </w:pPr>
    </w:p>
    <w:p w14:paraId="0D49CACE">
      <w:pPr>
        <w:pStyle w:val="199"/>
        <w:spacing w:before="50" w:after="50"/>
        <w:ind w:firstLine="0"/>
        <w:rPr>
          <w:rFonts w:hint="eastAsia" w:ascii="宋体" w:hAnsi="宋体" w:cs="宋体"/>
          <w:bCs/>
          <w:color w:val="auto"/>
          <w:sz w:val="32"/>
          <w:szCs w:val="32"/>
          <w:highlight w:val="none"/>
        </w:rPr>
      </w:pPr>
    </w:p>
    <w:p w14:paraId="5EE0A264">
      <w:pPr>
        <w:pStyle w:val="199"/>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0"/>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rPr>
              <w:t>报价（元）</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信息科存储与核心服务器维保服务</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5D19D032">
            <w:pPr>
              <w:spacing w:line="360" w:lineRule="auto"/>
              <w:contextualSpacing/>
              <w:rPr>
                <w:rFonts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3FD784F3">
            <w:pPr>
              <w:spacing w:line="500" w:lineRule="exact"/>
              <w:rPr>
                <w:rFonts w:hint="eastAsia" w:ascii="宋体" w:hAnsi="宋体" w:cs="宋体"/>
                <w:b/>
                <w:color w:val="auto"/>
                <w:sz w:val="24"/>
                <w:highlight w:val="none"/>
                <w:u w:val="single"/>
              </w:rPr>
            </w:pPr>
            <w:r>
              <w:rPr>
                <w:rFonts w:hint="eastAsia" w:ascii="宋体" w:hAnsi="宋体" w:eastAsia="宋体" w:cs="宋体"/>
                <w:color w:val="auto"/>
                <w:sz w:val="24"/>
                <w:highlight w:val="none"/>
              </w:rPr>
              <w:t>人民币合计金额（大写）</w:t>
            </w:r>
            <w:r>
              <w:rPr>
                <w:rFonts w:hint="eastAsia" w:ascii="宋体" w:hAnsi="宋体" w:eastAsia="宋体" w:cs="宋体"/>
                <w:color w:val="auto"/>
                <w:sz w:val="24"/>
                <w:highlight w:val="none"/>
                <w:u w:val="single"/>
              </w:rPr>
              <w:t>：                    元整（¥           ）</w:t>
            </w:r>
            <w:r>
              <w:rPr>
                <w:rFonts w:hint="eastAsia" w:ascii="宋体" w:hAnsi="宋体" w:eastAsia="宋体" w:cs="宋体"/>
                <w:color w:val="auto"/>
                <w:sz w:val="24"/>
                <w:highlight w:val="none"/>
              </w:rPr>
              <w:t xml:space="preserve">  </w:t>
            </w:r>
            <w:r>
              <w:rPr>
                <w:rFonts w:hint="eastAsia" w:ascii="宋体" w:hAnsi="宋体" w:cs="宋体"/>
                <w:color w:val="auto"/>
                <w:szCs w:val="21"/>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bl>
    <w:p w14:paraId="5F3DA392">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199"/>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199"/>
        <w:spacing w:before="50" w:after="50"/>
        <w:ind w:firstLine="640"/>
        <w:rPr>
          <w:rFonts w:hint="eastAsia" w:ascii="宋体" w:hAnsi="宋体" w:cs="宋体"/>
          <w:bCs/>
          <w:color w:val="auto"/>
          <w:sz w:val="32"/>
          <w:szCs w:val="32"/>
          <w:highlight w:val="none"/>
        </w:rPr>
      </w:pPr>
    </w:p>
    <w:p w14:paraId="58BFF10E">
      <w:pPr>
        <w:pStyle w:val="199"/>
        <w:spacing w:before="50" w:after="50"/>
        <w:ind w:firstLine="720"/>
        <w:rPr>
          <w:rFonts w:hint="eastAsia" w:ascii="宋体" w:hAnsi="宋体" w:cs="宋体"/>
          <w:bCs/>
          <w:color w:val="auto"/>
          <w:sz w:val="32"/>
          <w:szCs w:val="32"/>
          <w:highlight w:val="none"/>
        </w:rPr>
      </w:pPr>
    </w:p>
    <w:p w14:paraId="239DD16E">
      <w:pPr>
        <w:pStyle w:val="199"/>
        <w:spacing w:before="50" w:after="50"/>
        <w:ind w:firstLine="0"/>
        <w:rPr>
          <w:rFonts w:hint="eastAsia" w:ascii="宋体" w:hAnsi="宋体" w:cs="宋体"/>
          <w:bCs/>
          <w:color w:val="auto"/>
          <w:sz w:val="32"/>
          <w:szCs w:val="32"/>
          <w:highlight w:val="none"/>
        </w:rPr>
      </w:pPr>
    </w:p>
    <w:p w14:paraId="1C11EA32">
      <w:pPr>
        <w:pStyle w:val="199"/>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0"/>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E87923B">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9849E7D">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EC072EA">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A6EA9B1">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5366358">
            <w:pPr>
              <w:pStyle w:val="214"/>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3"/>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39"/>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39"/>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0"/>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0"/>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7"/>
        <w:rPr>
          <w:color w:val="auto"/>
          <w:highlight w:val="none"/>
        </w:rPr>
      </w:pPr>
    </w:p>
    <w:p w14:paraId="4336B30E">
      <w:pPr>
        <w:pStyle w:val="197"/>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color w:val="auto"/>
          <w:szCs w:val="21"/>
          <w:highlight w:val="none"/>
        </w:rPr>
      </w:pPr>
      <w:r>
        <w:rPr>
          <w:rFonts w:hint="eastAsia" w:ascii="宋体" w:hAnsi="宋体" w:cs="宋体"/>
          <w:b/>
          <w:bCs/>
          <w:color w:val="auto"/>
          <w:sz w:val="24"/>
          <w:highlight w:val="none"/>
        </w:rPr>
        <w:t>其他文书、文件格式</w:t>
      </w: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39"/>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39"/>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39"/>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39"/>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39"/>
        <w:spacing w:before="56" w:line="500" w:lineRule="exact"/>
        <w:ind w:right="1808" w:firstLine="705"/>
        <w:rPr>
          <w:rFonts w:hint="eastAsia" w:ascii="宋体" w:hAnsi="宋体" w:cs="宋体"/>
          <w:color w:val="auto"/>
          <w:sz w:val="24"/>
          <w:highlight w:val="none"/>
        </w:rPr>
      </w:pPr>
    </w:p>
    <w:p w14:paraId="128F05F5">
      <w:pPr>
        <w:pStyle w:val="39"/>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39"/>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0"/>
        <w:shd w:val="clear" w:color="auto" w:fill="FFFFFF"/>
        <w:jc w:val="center"/>
        <w:rPr>
          <w:rFonts w:hint="eastAsia" w:ascii="宋体" w:hAnsi="宋体" w:cs="宋体"/>
          <w:b/>
          <w:bCs/>
          <w:color w:val="auto"/>
          <w:sz w:val="36"/>
          <w:szCs w:val="36"/>
          <w:highlight w:val="none"/>
        </w:rPr>
      </w:pPr>
    </w:p>
    <w:p w14:paraId="3BE91A59">
      <w:pPr>
        <w:pStyle w:val="240"/>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39"/>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39"/>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39"/>
        <w:rPr>
          <w:rFonts w:hint="eastAsia" w:ascii="宋体" w:hAnsi="宋体" w:cs="宋体"/>
          <w:color w:val="auto"/>
          <w:sz w:val="32"/>
          <w:szCs w:val="32"/>
          <w:highlight w:val="none"/>
        </w:rPr>
      </w:pPr>
    </w:p>
    <w:p w14:paraId="2A31AB6D">
      <w:pPr>
        <w:pStyle w:val="39"/>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1"/>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1"/>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1"/>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1"/>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1"/>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1"/>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1"/>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1"/>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1"/>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1"/>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1"/>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1"/>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1"/>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7"/>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1"/>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1"/>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1"/>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1"/>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1"/>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1"/>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1"/>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1"/>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1"/>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1"/>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1"/>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1"/>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1"/>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5"/>
        <w:jc w:val="center"/>
        <w:rPr>
          <w:rFonts w:hint="eastAsia" w:ascii="宋体" w:hAnsi="宋体" w:cs="宋体"/>
          <w:color w:val="auto"/>
          <w:highlight w:val="none"/>
        </w:rPr>
      </w:pPr>
      <w:bookmarkStart w:id="48" w:name="_Toc10674"/>
      <w:r>
        <w:rPr>
          <w:rFonts w:hint="eastAsia" w:ascii="宋体" w:hAnsi="宋体" w:cs="宋体"/>
          <w:color w:val="auto"/>
          <w:highlight w:val="none"/>
        </w:rPr>
        <w:t>第六章 合同文本</w:t>
      </w:r>
      <w:bookmarkEnd w:id="48"/>
    </w:p>
    <w:p w14:paraId="3147F558">
      <w:pPr>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w:t>
      </w:r>
      <w:r>
        <w:rPr>
          <w:rFonts w:hint="eastAsia" w:ascii="宋体" w:hAnsi="宋体" w:cs="宋体"/>
          <w:b/>
          <w:bCs/>
          <w:i w:val="0"/>
          <w:iCs w:val="0"/>
          <w:color w:val="auto"/>
          <w:sz w:val="28"/>
          <w:szCs w:val="28"/>
          <w:highlight w:val="none"/>
        </w:rPr>
        <w:t>同</w:t>
      </w:r>
      <w:r>
        <w:rPr>
          <w:rFonts w:hint="eastAsia" w:ascii="宋体" w:hAnsi="宋体" w:cs="宋体"/>
          <w:b/>
          <w:bCs/>
          <w:color w:val="auto"/>
          <w:sz w:val="28"/>
          <w:szCs w:val="28"/>
          <w:highlight w:val="none"/>
        </w:rPr>
        <w:t>（格式）</w:t>
      </w:r>
    </w:p>
    <w:p w14:paraId="53D77AB8">
      <w:pPr>
        <w:pStyle w:val="258"/>
        <w:rPr>
          <w:rFonts w:hint="eastAsia" w:ascii="宋体" w:hAnsi="宋体" w:cs="宋体"/>
          <w:color w:val="auto"/>
          <w:highlight w:val="none"/>
        </w:rPr>
      </w:pPr>
    </w:p>
    <w:p w14:paraId="7521E685">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0725387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16BE02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1FF1E51F">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77A973C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E76E2E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根据《中华人民共和国政府采购法》、《中华人民共和国民法典》等法律、法规规定，按照磋商文件规定条款和乙方响应文件及其承诺，甲乙双方签订本合同。</w:t>
      </w:r>
    </w:p>
    <w:p w14:paraId="1B204A1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30"/>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764"/>
      </w:tblGrid>
      <w:tr w14:paraId="7942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F14250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EDC675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D30A9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8577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130F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D8A49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  价</w:t>
            </w:r>
          </w:p>
          <w:p w14:paraId="37A659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040F94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总  价</w:t>
            </w:r>
          </w:p>
          <w:p w14:paraId="529F1F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r>
      <w:tr w14:paraId="2F65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697820B">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FBE45AB">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0829341">
            <w:pPr>
              <w:spacing w:line="360" w:lineRule="auto"/>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5EC50C">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35ACF6">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7E76C3D">
            <w:pPr>
              <w:spacing w:line="360" w:lineRule="auto"/>
              <w:jc w:val="center"/>
              <w:rPr>
                <w:rFonts w:hint="eastAsia" w:ascii="宋体" w:hAnsi="宋体" w:cs="宋体"/>
                <w:color w:val="auto"/>
                <w:szCs w:val="21"/>
                <w:highlight w:val="none"/>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14:paraId="4E031822">
            <w:pPr>
              <w:spacing w:line="360" w:lineRule="auto"/>
              <w:jc w:val="center"/>
              <w:rPr>
                <w:rFonts w:hint="eastAsia" w:ascii="宋体" w:hAnsi="宋体" w:cs="宋体"/>
                <w:color w:val="auto"/>
                <w:szCs w:val="21"/>
                <w:highlight w:val="none"/>
              </w:rPr>
            </w:pPr>
          </w:p>
        </w:tc>
      </w:tr>
      <w:tr w14:paraId="709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27CAE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r w14:paraId="72BC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714DD49A">
            <w:pPr>
              <w:spacing w:line="360" w:lineRule="auto"/>
              <w:rPr>
                <w:rFonts w:ascii="宋体" w:hAnsi="宋体" w:cs="宋体"/>
                <w:color w:val="auto"/>
                <w:szCs w:val="21"/>
                <w:highlight w:val="none"/>
              </w:rPr>
            </w:pPr>
            <w:r>
              <w:rPr>
                <w:rFonts w:hint="eastAsia" w:ascii="宋体" w:hAnsi="宋体" w:cs="宋体"/>
                <w:color w:val="auto"/>
                <w:szCs w:val="21"/>
                <w:highlight w:val="none"/>
              </w:rPr>
              <w:t>服务期限：</w:t>
            </w:r>
            <w:r>
              <w:rPr>
                <w:rFonts w:hint="eastAsia" w:ascii="宋体" w:hAnsi="宋体" w:cs="宋体"/>
                <w:color w:val="auto"/>
                <w:szCs w:val="21"/>
                <w:highlight w:val="none"/>
                <w:u w:val="single"/>
              </w:rPr>
              <w:t>自    年    月   日起至    年    月   日止。</w:t>
            </w:r>
          </w:p>
          <w:p w14:paraId="067B4D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34F5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8D34571">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r>
              <w:rPr>
                <w:rFonts w:hint="eastAsia" w:ascii="宋体" w:hAnsi="宋体" w:eastAsia="宋体" w:cs="宋体"/>
                <w:b w:val="0"/>
                <w:bCs w:val="0"/>
                <w:color w:val="auto"/>
                <w:sz w:val="21"/>
                <w:szCs w:val="21"/>
                <w:highlight w:val="none"/>
                <w:lang w:eastAsia="zh-CN"/>
              </w:rPr>
              <w:t>竞标报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bl>
    <w:p w14:paraId="1123C38A">
      <w:pPr>
        <w:spacing w:line="360" w:lineRule="auto"/>
        <w:ind w:firstLine="422"/>
        <w:rPr>
          <w:rFonts w:hint="eastAsia" w:ascii="宋体" w:hAnsi="宋体" w:cs="宋体"/>
          <w:b/>
          <w:color w:val="auto"/>
          <w:szCs w:val="21"/>
          <w:highlight w:val="none"/>
        </w:rPr>
      </w:pPr>
    </w:p>
    <w:p w14:paraId="1F62DAD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4085A159">
      <w:pPr>
        <w:tabs>
          <w:tab w:val="left" w:pos="180"/>
          <w:tab w:val="left" w:pos="1620"/>
        </w:tabs>
        <w:spacing w:line="312"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乙方所提供的服务及技术要求必须与响应文件承诺相一致，有国家强制性标准的，还必须符合国家强制性标准的规定，没有国家强制性标准但有其他强制性标准的，必须符合其他强制性标准的规定。</w:t>
      </w:r>
    </w:p>
    <w:p w14:paraId="49C4C734">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CA3EC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68D949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68E5EBA">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b/>
          <w:color w:val="auto"/>
          <w:szCs w:val="21"/>
          <w:highlight w:val="none"/>
        </w:rPr>
        <w:t>验收、交付标准和方法</w:t>
      </w:r>
    </w:p>
    <w:p w14:paraId="7C9FFAA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1.验收标准和方法</w:t>
      </w:r>
    </w:p>
    <w:p w14:paraId="41485FFB">
      <w:pPr>
        <w:spacing w:line="360" w:lineRule="auto"/>
        <w:ind w:firstLine="420"/>
        <w:rPr>
          <w:rFonts w:hint="eastAsia" w:ascii="宋体" w:hAnsi="宋体"/>
          <w:i/>
          <w:color w:val="auto"/>
          <w:szCs w:val="21"/>
          <w:highlight w:val="none"/>
        </w:rPr>
      </w:pPr>
      <w:r>
        <w:rPr>
          <w:rFonts w:hint="eastAsia" w:ascii="宋体" w:hAnsi="宋体"/>
          <w:color w:val="auto"/>
          <w:szCs w:val="21"/>
          <w:highlight w:val="none"/>
        </w:rPr>
        <w:t>（1）验收标准：</w:t>
      </w:r>
      <w:r>
        <w:rPr>
          <w:rFonts w:hint="eastAsia" w:ascii="宋体" w:hAnsi="宋体" w:eastAsia="宋体" w:cs="宋体"/>
          <w:bCs/>
          <w:color w:val="auto"/>
          <w:sz w:val="21"/>
          <w:szCs w:val="21"/>
          <w:highlight w:val="none"/>
        </w:rPr>
        <w:t>符合现行国家相关标准、行业标准、地方标准或者其他标准、规范。</w:t>
      </w:r>
    </w:p>
    <w:p w14:paraId="478E005F">
      <w:pPr>
        <w:spacing w:line="360" w:lineRule="auto"/>
        <w:ind w:firstLine="420"/>
        <w:rPr>
          <w:rFonts w:ascii="宋体" w:hAnsi="宋体"/>
          <w:color w:val="auto"/>
          <w:szCs w:val="21"/>
          <w:highlight w:val="none"/>
        </w:rPr>
      </w:pPr>
      <w:r>
        <w:rPr>
          <w:rFonts w:hint="eastAsia" w:ascii="宋体" w:hAnsi="宋体"/>
          <w:color w:val="auto"/>
          <w:szCs w:val="21"/>
          <w:highlight w:val="none"/>
        </w:rPr>
        <w:t>（2）验收程序及方法：</w:t>
      </w:r>
    </w:p>
    <w:p w14:paraId="326F6F96">
      <w:pP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①</w:t>
      </w:r>
      <w:r>
        <w:rPr>
          <w:rFonts w:hint="eastAsia" w:ascii="宋体" w:hAnsi="宋体"/>
          <w:color w:val="auto"/>
          <w:szCs w:val="21"/>
          <w:highlight w:val="none"/>
        </w:rPr>
        <w:t>乙方履行完合同义务后，书面向甲方提交验收申请。</w:t>
      </w:r>
    </w:p>
    <w:p w14:paraId="66886E42">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②</w:t>
      </w:r>
      <w:r>
        <w:rPr>
          <w:rFonts w:hint="eastAsia" w:ascii="宋体" w:hAnsi="宋体"/>
          <w:color w:val="auto"/>
          <w:szCs w:val="21"/>
          <w:highlight w:val="none"/>
        </w:rPr>
        <w:t>甲方收到乙方验收申请之日起7个工作日内组织验收，并提出验收意见，逾期不验收的，视同验收合格。甲方委托第三方机构组织项目验收的，其验收时间以该项目验收方案确定的验收时间为准。</w:t>
      </w:r>
    </w:p>
    <w:p w14:paraId="7B125A7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3）负责本项目验收的单位按下列第</w:t>
      </w:r>
      <w:r>
        <w:rPr>
          <w:rFonts w:hint="eastAsia" w:ascii="宋体" w:hAnsi="宋体"/>
          <w:color w:val="auto"/>
          <w:szCs w:val="21"/>
          <w:highlight w:val="none"/>
          <w:u w:val="single"/>
        </w:rPr>
        <w:t>①</w:t>
      </w:r>
      <w:r>
        <w:rPr>
          <w:rFonts w:hint="eastAsia" w:ascii="宋体" w:hAnsi="宋体"/>
          <w:color w:val="auto"/>
          <w:szCs w:val="21"/>
          <w:highlight w:val="none"/>
        </w:rPr>
        <w:t>种方式确定：</w:t>
      </w:r>
    </w:p>
    <w:p w14:paraId="0CBABB2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①甲方自行组织</w:t>
      </w:r>
    </w:p>
    <w:p w14:paraId="052C9C63">
      <w:pPr>
        <w:spacing w:line="360" w:lineRule="auto"/>
        <w:ind w:firstLine="420"/>
        <w:rPr>
          <w:rFonts w:ascii="宋体" w:hAnsi="宋体"/>
          <w:color w:val="auto"/>
          <w:szCs w:val="21"/>
          <w:highlight w:val="none"/>
        </w:rPr>
      </w:pPr>
      <w:r>
        <w:rPr>
          <w:rFonts w:hint="eastAsia" w:ascii="宋体" w:hAnsi="宋体"/>
          <w:color w:val="auto"/>
          <w:szCs w:val="21"/>
          <w:highlight w:val="none"/>
        </w:rPr>
        <w:t>②甲方委托的第三方机构组织</w:t>
      </w:r>
    </w:p>
    <w:p w14:paraId="552A5268">
      <w:pPr>
        <w:spacing w:line="360" w:lineRule="auto"/>
        <w:ind w:firstLine="420"/>
        <w:rPr>
          <w:rFonts w:ascii="宋体" w:hAnsi="宋体"/>
          <w:color w:val="auto"/>
          <w:szCs w:val="21"/>
          <w:highlight w:val="none"/>
        </w:rPr>
      </w:pPr>
      <w:r>
        <w:rPr>
          <w:rFonts w:hint="eastAsia" w:ascii="宋体" w:hAnsi="宋体"/>
          <w:color w:val="auto"/>
          <w:szCs w:val="21"/>
          <w:highlight w:val="none"/>
        </w:rPr>
        <w:t>4）本项目验收由验收小组按照采购合同约定对每一项技术和商务要求的履约情况进行确认。</w:t>
      </w:r>
    </w:p>
    <w:p w14:paraId="1567BF12">
      <w:pPr>
        <w:spacing w:line="360" w:lineRule="auto"/>
        <w:ind w:firstLine="420"/>
        <w:rPr>
          <w:rFonts w:hint="eastAsia" w:ascii="宋体" w:hAnsi="宋体" w:cs="宋体"/>
          <w:color w:val="auto"/>
          <w:sz w:val="24"/>
          <w:highlight w:val="none"/>
        </w:rPr>
      </w:pPr>
      <w:r>
        <w:rPr>
          <w:rFonts w:hint="eastAsia" w:ascii="宋体" w:hAnsi="宋体"/>
          <w:color w:val="auto"/>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20A9496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6）验收过程中所产生的一切费用均由</w:t>
      </w:r>
      <w:r>
        <w:rPr>
          <w:rFonts w:hint="eastAsia" w:ascii="宋体" w:hAnsi="宋体"/>
          <w:color w:val="auto"/>
          <w:szCs w:val="21"/>
          <w:highlight w:val="none"/>
          <w:u w:val="single"/>
        </w:rPr>
        <w:t>乙方</w:t>
      </w:r>
      <w:r>
        <w:rPr>
          <w:rFonts w:hint="eastAsia" w:ascii="宋体" w:hAnsi="宋体"/>
          <w:color w:val="auto"/>
          <w:szCs w:val="21"/>
          <w:highlight w:val="none"/>
        </w:rPr>
        <w:t>承担。</w:t>
      </w:r>
    </w:p>
    <w:p w14:paraId="6B33D43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7）</w:t>
      </w:r>
      <w:r>
        <w:rPr>
          <w:rFonts w:hint="eastAsia"/>
          <w:color w:val="auto"/>
          <w:highlight w:val="none"/>
        </w:rPr>
        <w:t>验收书一式</w:t>
      </w:r>
      <w:r>
        <w:rPr>
          <w:rStyle w:val="253"/>
          <w:rFonts w:hint="eastAsia"/>
          <w:color w:val="auto"/>
          <w:highlight w:val="none"/>
        </w:rPr>
        <w:t xml:space="preserve"> </w:t>
      </w:r>
      <w:r>
        <w:rPr>
          <w:rStyle w:val="253"/>
          <w:rFonts w:hint="eastAsia"/>
          <w:color w:val="auto"/>
          <w:highlight w:val="none"/>
          <w:u w:val="single"/>
        </w:rPr>
        <w:t xml:space="preserve"> 4  </w:t>
      </w:r>
      <w:r>
        <w:rPr>
          <w:rFonts w:hint="eastAsia"/>
          <w:color w:val="auto"/>
          <w:highlight w:val="none"/>
        </w:rPr>
        <w:t>份，甲乙双方各执</w:t>
      </w:r>
      <w:r>
        <w:rPr>
          <w:rStyle w:val="253"/>
          <w:rFonts w:hint="eastAsia"/>
          <w:color w:val="auto"/>
          <w:highlight w:val="none"/>
          <w:u w:val="single"/>
        </w:rPr>
        <w:t xml:space="preserve"> 2  </w:t>
      </w:r>
      <w:r>
        <w:rPr>
          <w:rFonts w:hint="eastAsia"/>
          <w:color w:val="auto"/>
          <w:highlight w:val="none"/>
        </w:rPr>
        <w:t>份、受托第三方机构</w:t>
      </w:r>
      <w:r>
        <w:rPr>
          <w:rStyle w:val="253"/>
          <w:rFonts w:hint="eastAsia"/>
          <w:color w:val="auto"/>
          <w:highlight w:val="none"/>
          <w:u w:val="single"/>
        </w:rPr>
        <w:t xml:space="preserve"> /  </w:t>
      </w:r>
      <w:r>
        <w:rPr>
          <w:rFonts w:hint="eastAsia"/>
          <w:color w:val="auto"/>
          <w:highlight w:val="none"/>
        </w:rPr>
        <w:t>份（如有）</w:t>
      </w:r>
      <w:r>
        <w:rPr>
          <w:rFonts w:hint="eastAsia" w:ascii="宋体" w:hAnsi="宋体"/>
          <w:color w:val="auto"/>
          <w:szCs w:val="21"/>
          <w:highlight w:val="none"/>
        </w:rPr>
        <w:t xml:space="preserve">。 </w:t>
      </w:r>
    </w:p>
    <w:p w14:paraId="11860337">
      <w:pPr>
        <w:spacing w:line="360" w:lineRule="auto"/>
        <w:ind w:firstLine="420"/>
        <w:rPr>
          <w:rFonts w:ascii="宋体" w:hAnsi="宋体"/>
          <w:color w:val="auto"/>
          <w:szCs w:val="21"/>
          <w:highlight w:val="none"/>
        </w:rPr>
      </w:pPr>
      <w:r>
        <w:rPr>
          <w:rFonts w:hint="eastAsia" w:ascii="宋体" w:hAnsi="宋体"/>
          <w:color w:val="auto"/>
          <w:szCs w:val="21"/>
          <w:highlight w:val="none"/>
        </w:rPr>
        <w:t>8）验收结论不合格的，乙方应自收到验收书后10日内及时予以解决。经乙方对验收结论不合格的货物进行整改后，仍然达不到要求的，经双方协商，可按以下办法处理：</w:t>
      </w:r>
    </w:p>
    <w:p w14:paraId="581E7037">
      <w:pPr>
        <w:spacing w:line="360" w:lineRule="auto"/>
        <w:ind w:firstLine="420"/>
        <w:rPr>
          <w:rFonts w:ascii="宋体" w:hAnsi="宋体"/>
          <w:color w:val="auto"/>
          <w:szCs w:val="21"/>
          <w:highlight w:val="none"/>
        </w:rPr>
      </w:pPr>
      <w:r>
        <w:rPr>
          <w:rFonts w:hint="eastAsia" w:ascii="宋体" w:hAnsi="宋体"/>
          <w:color w:val="auto"/>
          <w:szCs w:val="21"/>
          <w:highlight w:val="none"/>
        </w:rPr>
        <w:t>①更换：由乙方承担所发生的全部费用。</w:t>
      </w:r>
    </w:p>
    <w:p w14:paraId="4C6CCAC2">
      <w:pPr>
        <w:spacing w:line="360" w:lineRule="auto"/>
        <w:ind w:firstLine="420"/>
        <w:rPr>
          <w:rFonts w:ascii="宋体" w:hAnsi="宋体"/>
          <w:color w:val="auto"/>
          <w:szCs w:val="21"/>
          <w:highlight w:val="none"/>
        </w:rPr>
      </w:pPr>
      <w:r>
        <w:rPr>
          <w:rFonts w:hint="eastAsia" w:ascii="宋体" w:hAnsi="宋体"/>
          <w:color w:val="auto"/>
          <w:szCs w:val="21"/>
          <w:highlight w:val="none"/>
        </w:rPr>
        <w:t>②贬值处理：由甲乙双方合议定价。</w:t>
      </w:r>
    </w:p>
    <w:p w14:paraId="57772351">
      <w:pPr>
        <w:spacing w:line="360" w:lineRule="auto"/>
        <w:ind w:firstLine="420"/>
        <w:rPr>
          <w:rFonts w:hint="eastAsia" w:ascii="宋体" w:hAnsi="宋体"/>
          <w:color w:val="auto"/>
          <w:highlight w:val="none"/>
        </w:rPr>
      </w:pPr>
      <w:r>
        <w:rPr>
          <w:rFonts w:hint="eastAsia" w:ascii="宋体" w:hAnsi="宋体"/>
          <w:color w:val="auto"/>
          <w:highlight w:val="none"/>
        </w:rPr>
        <w:t>2.交付标准和方法</w:t>
      </w:r>
    </w:p>
    <w:p w14:paraId="5A8A5BF9">
      <w:pPr>
        <w:spacing w:line="360" w:lineRule="auto"/>
        <w:ind w:firstLine="420"/>
        <w:rPr>
          <w:rFonts w:hint="eastAsia" w:ascii="宋体" w:hAnsi="宋体"/>
          <w:color w:val="auto"/>
          <w:szCs w:val="21"/>
          <w:highlight w:val="none"/>
        </w:rPr>
      </w:pPr>
      <w:r>
        <w:rPr>
          <w:rFonts w:hint="eastAsia" w:ascii="宋体" w:hAnsi="宋体"/>
          <w:color w:val="auto"/>
          <w:highlight w:val="none"/>
        </w:rPr>
        <w:t>（1）</w:t>
      </w:r>
      <w:r>
        <w:rPr>
          <w:rFonts w:hint="eastAsia" w:ascii="宋体" w:hAnsi="宋体"/>
          <w:color w:val="auto"/>
          <w:szCs w:val="21"/>
          <w:highlight w:val="none"/>
        </w:rPr>
        <w:t>验收结论合格的，乙方应自收到验收书后5日内向甲方交付使用。</w:t>
      </w:r>
    </w:p>
    <w:p w14:paraId="1631D005">
      <w:pPr>
        <w:spacing w:line="360" w:lineRule="auto"/>
        <w:ind w:firstLine="420"/>
        <w:rPr>
          <w:rFonts w:hint="eastAsia" w:ascii="宋体" w:hAnsi="宋体" w:cs="宋体"/>
          <w:color w:val="auto"/>
          <w:szCs w:val="21"/>
          <w:highlight w:val="none"/>
        </w:rPr>
      </w:pPr>
      <w:r>
        <w:rPr>
          <w:rFonts w:hint="eastAsia" w:ascii="宋体" w:hAnsi="宋体"/>
          <w:color w:val="auto"/>
          <w:highlight w:val="none"/>
        </w:rPr>
        <w:t>（2）</w:t>
      </w:r>
      <w:r>
        <w:rPr>
          <w:rFonts w:hint="eastAsia" w:ascii="宋体" w:hAnsi="宋体"/>
          <w:i w:val="0"/>
          <w:iCs w:val="0"/>
          <w:color w:val="auto"/>
          <w:highlight w:val="none"/>
        </w:rPr>
        <w:t>伴随货物的，其所有权和风险自交付时起由乙方转移至甲方，货物交付给甲方之前所有风险均由乙方承担。</w:t>
      </w:r>
    </w:p>
    <w:p w14:paraId="5FABBCDB">
      <w:pPr>
        <w:spacing w:line="360" w:lineRule="auto"/>
        <w:ind w:firstLine="422"/>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3C9AE167">
      <w:pPr>
        <w:spacing w:line="360" w:lineRule="auto"/>
        <w:ind w:firstLine="420" w:firstLineChars="200"/>
        <w:rPr>
          <w:rFonts w:hint="eastAsia" w:ascii="宋体" w:hAnsi="宋体" w:eastAsia="宋体" w:cs="Times New Roman"/>
          <w:color w:val="auto"/>
          <w:highlight w:val="none"/>
          <w:u w:val="single"/>
        </w:rPr>
      </w:pPr>
      <w:r>
        <w:rPr>
          <w:rFonts w:hint="eastAsia" w:ascii="宋体" w:hAnsi="宋体" w:eastAsia="宋体" w:cs="宋体"/>
          <w:color w:val="auto"/>
          <w:sz w:val="21"/>
          <w:szCs w:val="21"/>
          <w:highlight w:val="none"/>
          <w:u w:val="single"/>
        </w:rPr>
        <w:t>付款方式</w:t>
      </w:r>
      <w:r>
        <w:rPr>
          <w:rFonts w:hint="eastAsia" w:ascii="宋体" w:hAnsi="宋体" w:cs="宋体"/>
          <w:color w:val="auto"/>
          <w:sz w:val="21"/>
          <w:szCs w:val="21"/>
          <w:highlight w:val="none"/>
          <w:u w:val="single"/>
          <w:lang w:eastAsia="zh-CN"/>
        </w:rPr>
        <w:t>：详见采购文件</w:t>
      </w:r>
      <w:r>
        <w:rPr>
          <w:rFonts w:hint="eastAsia" w:ascii="宋体" w:hAnsi="宋体" w:eastAsia="宋体" w:cs="宋体"/>
          <w:color w:val="auto"/>
          <w:sz w:val="21"/>
          <w:szCs w:val="21"/>
          <w:highlight w:val="none"/>
          <w:u w:val="single"/>
        </w:rPr>
        <w:t>。</w:t>
      </w:r>
    </w:p>
    <w:p w14:paraId="555B8F59">
      <w:pPr>
        <w:spacing w:line="360" w:lineRule="auto"/>
        <w:ind w:firstLine="422"/>
        <w:rPr>
          <w:rFonts w:hint="eastAsia" w:eastAsia="宋体"/>
          <w:color w:val="auto"/>
          <w:highlight w:val="none"/>
          <w:lang w:eastAsia="zh-CN"/>
        </w:rPr>
      </w:pPr>
      <w:r>
        <w:rPr>
          <w:rFonts w:hint="eastAsia" w:ascii="宋体" w:hAnsi="宋体" w:cs="宋体"/>
          <w:b/>
          <w:color w:val="auto"/>
          <w:szCs w:val="21"/>
          <w:highlight w:val="none"/>
        </w:rPr>
        <w:t>第七条　履约保证金：</w:t>
      </w:r>
      <w:r>
        <w:rPr>
          <w:rFonts w:hint="eastAsia" w:ascii="宋体" w:hAnsi="宋体" w:cs="宋体"/>
          <w:b/>
          <w:color w:val="auto"/>
          <w:szCs w:val="21"/>
          <w:highlight w:val="none"/>
          <w:lang w:eastAsia="zh-CN"/>
        </w:rPr>
        <w:t>无。</w:t>
      </w:r>
    </w:p>
    <w:p w14:paraId="318DF41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35E29F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805A64B">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449FCF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1、由于甲方的原因造成合同不能如期履行的，双方可根据具体情况顺延合同的履行期，对乙方因此遭受的损失， 甲方应予以补偿。</w:t>
      </w:r>
    </w:p>
    <w:p w14:paraId="34EA41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2、乙方应按照本合同约定的时间要求提供服务，每逾期一日的，按</w:t>
      </w:r>
      <w:r>
        <w:rPr>
          <w:rFonts w:hint="eastAsia" w:ascii="宋体" w:hAnsi="宋体" w:cs="宋体"/>
          <w:color w:val="auto"/>
          <w:szCs w:val="21"/>
          <w:highlight w:val="none"/>
          <w:lang w:eastAsia="zh-CN"/>
        </w:rPr>
        <w:t>未履行</w:t>
      </w:r>
      <w:r>
        <w:rPr>
          <w:rFonts w:hint="eastAsia" w:ascii="宋体" w:hAnsi="宋体" w:cs="宋体"/>
          <w:color w:val="auto"/>
          <w:szCs w:val="21"/>
          <w:highlight w:val="none"/>
        </w:rPr>
        <w:t>合同额的 1‰向甲方支付违约金，逾期超过 5 日的，甲方有权解除本合同，乙方应按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的10%向甲方支付违约金，造成甲方损失的，乙方还需承担赔偿责任。在履行合同过程中，如因乙方编制进度、质量等原因导致甲方受到上级部门批评或通报，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w:t>
      </w:r>
    </w:p>
    <w:p w14:paraId="4DF4B8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3、如因第三方提出对乙方提供的服务成果提出专利权、商标权或其他知识产权的侵权之诉，则一切法律责任由乙方承担，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10%，造成甲方损失的，乙方还需承担赔偿责任。</w:t>
      </w:r>
    </w:p>
    <w:p w14:paraId="54E6A80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4、如乙方未经甲方允许，将合同项下义务全部或者部分转交由第三方履行的， 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10%向甲方支付违约金，造成甲方损失的，乙方还需承担赔偿责任。</w:t>
      </w:r>
    </w:p>
    <w:p w14:paraId="4FB957B9">
      <w:pPr>
        <w:spacing w:line="360" w:lineRule="auto"/>
        <w:ind w:firstLine="420"/>
        <w:rPr>
          <w:rFonts w:hint="eastAsia"/>
          <w:color w:val="auto"/>
          <w:highlight w:val="none"/>
        </w:rPr>
      </w:pPr>
      <w:r>
        <w:rPr>
          <w:rFonts w:hint="eastAsia" w:ascii="宋体" w:hAnsi="宋体" w:cs="宋体"/>
          <w:color w:val="auto"/>
          <w:szCs w:val="21"/>
          <w:highlight w:val="none"/>
        </w:rPr>
        <w:t>5、乙方提供的服务不满足采购文件基本合同要求或经验收不合格的，甲方有权解除合同，乙方应按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10%向甲方支付违约金，造成甲方损失的，乙方还需承担赔偿责任。</w:t>
      </w:r>
    </w:p>
    <w:p w14:paraId="50C4084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550E87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57E0040">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rPr>
        <w:t>2、不可抗力事件发生后，应立</w:t>
      </w:r>
      <w:r>
        <w:rPr>
          <w:rFonts w:hint="eastAsia" w:ascii="宋体" w:hAnsi="宋体" w:eastAsia="宋体" w:cs="宋体"/>
          <w:color w:val="auto"/>
          <w:szCs w:val="21"/>
          <w:highlight w:val="none"/>
        </w:rPr>
        <w:t>即通知对方，并寄送有关权威机构出具的证明。</w:t>
      </w:r>
    </w:p>
    <w:p w14:paraId="34F096F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2B38EEF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4.在服务期间，如</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单方面提前终止合同，则视为</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自动放弃对</w:t>
      </w:r>
      <w:r>
        <w:rPr>
          <w:rFonts w:hint="eastAsia" w:ascii="宋体" w:hAnsi="宋体" w:eastAsia="宋体" w:cs="宋体"/>
          <w:color w:val="auto"/>
          <w:szCs w:val="21"/>
          <w:highlight w:val="none"/>
          <w:lang w:eastAsia="zh-CN"/>
        </w:rPr>
        <w:t>燃料</w:t>
      </w:r>
      <w:r>
        <w:rPr>
          <w:rFonts w:hint="eastAsia" w:ascii="宋体" w:hAnsi="宋体" w:eastAsia="宋体" w:cs="宋体"/>
          <w:color w:val="auto"/>
          <w:szCs w:val="21"/>
          <w:highlight w:val="none"/>
        </w:rPr>
        <w:t>锅炉设备等投资、收益权，且</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无权要求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做任何赔偿或补偿。</w:t>
      </w:r>
    </w:p>
    <w:p w14:paraId="33325C6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5.在服务期间，因政策性因素，如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单方面提前终止合同，</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不作任何赔偿。</w:t>
      </w:r>
    </w:p>
    <w:p w14:paraId="5AEA9E10">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108A4C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19B07D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w:t>
      </w:r>
    </w:p>
    <w:p w14:paraId="4B7AA7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2B7759D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20E92DF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279924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2、合同执行中涉及采购资金和采购内容修改或者补充的，须经财政部门审批，并签订书面补充协议报财政部门备案，方可作为主合同不可分割的一部分。</w:t>
      </w:r>
    </w:p>
    <w:p w14:paraId="09F379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3、本合同未尽事宜，双方另行签订补充协议，补充协议是合同的组成部分。</w:t>
      </w:r>
    </w:p>
    <w:p w14:paraId="59C30B3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41DD72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或者终止。</w:t>
      </w:r>
    </w:p>
    <w:p w14:paraId="667FB6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B0E225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第十五条　签订本合同依据</w:t>
      </w:r>
    </w:p>
    <w:p w14:paraId="2231FC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444C6F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2、竞标报价表；</w:t>
      </w:r>
    </w:p>
    <w:p w14:paraId="2D7759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3、商务要求响应偏离表和技术要求响应偏离表；</w:t>
      </w:r>
    </w:p>
    <w:p w14:paraId="5749397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4、服务承诺；</w:t>
      </w:r>
    </w:p>
    <w:p w14:paraId="448409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5、响应文件中的其他相关文件。</w:t>
      </w:r>
    </w:p>
    <w:p w14:paraId="233412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3570FE35">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第十六条　</w:t>
      </w:r>
      <w:r>
        <w:rPr>
          <w:rFonts w:hint="eastAsia" w:ascii="宋体" w:hAnsi="宋体" w:cs="宋体"/>
          <w:color w:val="auto"/>
          <w:szCs w:val="21"/>
          <w:highlight w:val="none"/>
        </w:rPr>
        <w:t>本合同一式陆份，具有同等法律效力，甲乙双方各叁份（可根据需要另增加）。</w:t>
      </w:r>
    </w:p>
    <w:p w14:paraId="6CD17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0"/>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5090"/>
      </w:tblGrid>
      <w:tr w14:paraId="4BBE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73097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6089FDC8">
            <w:pPr>
              <w:spacing w:line="360" w:lineRule="auto"/>
              <w:rPr>
                <w:rFonts w:hint="eastAsia" w:ascii="宋体" w:hAnsi="宋体" w:cs="宋体"/>
                <w:color w:val="auto"/>
                <w:szCs w:val="21"/>
                <w:highlight w:val="none"/>
              </w:rPr>
            </w:pPr>
          </w:p>
          <w:p w14:paraId="34202293">
            <w:pPr>
              <w:spacing w:line="360" w:lineRule="auto"/>
              <w:rPr>
                <w:rFonts w:hint="eastAsia" w:ascii="宋体" w:hAnsi="宋体" w:cs="宋体"/>
                <w:color w:val="auto"/>
                <w:szCs w:val="21"/>
                <w:highlight w:val="none"/>
              </w:rPr>
            </w:pPr>
          </w:p>
          <w:p w14:paraId="157B2CCA">
            <w:pPr>
              <w:spacing w:line="360" w:lineRule="auto"/>
              <w:ind w:firstLine="945"/>
              <w:jc w:val="right"/>
              <w:rPr>
                <w:rFonts w:hint="eastAsia" w:ascii="宋体" w:hAnsi="宋体" w:cs="宋体"/>
                <w:color w:val="auto"/>
                <w:szCs w:val="21"/>
                <w:highlight w:val="none"/>
              </w:rPr>
            </w:pPr>
          </w:p>
          <w:p w14:paraId="5037E11C">
            <w:pPr>
              <w:spacing w:line="360" w:lineRule="auto"/>
              <w:ind w:firstLine="945"/>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D560D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711A48EF">
            <w:pPr>
              <w:spacing w:line="360" w:lineRule="auto"/>
              <w:rPr>
                <w:rFonts w:hint="eastAsia" w:ascii="宋体" w:hAnsi="宋体" w:cs="宋体"/>
                <w:color w:val="auto"/>
                <w:szCs w:val="21"/>
                <w:highlight w:val="none"/>
              </w:rPr>
            </w:pPr>
          </w:p>
          <w:p w14:paraId="02910A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6177FC4">
            <w:pPr>
              <w:spacing w:line="360" w:lineRule="auto"/>
              <w:jc w:val="right"/>
              <w:rPr>
                <w:rFonts w:hint="eastAsia" w:ascii="宋体" w:hAnsi="宋体" w:cs="宋体"/>
                <w:color w:val="auto"/>
                <w:szCs w:val="21"/>
                <w:highlight w:val="none"/>
              </w:rPr>
            </w:pPr>
          </w:p>
          <w:p w14:paraId="37E3DCBB">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0657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6F459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2923F6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09D7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9CAF6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59506A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r>
      <w:tr w14:paraId="528A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FEAAC7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A5511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61C9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BE7FB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67A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0D57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197B12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FCEF6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39F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122F4F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098C1A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2D2A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71FF20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FF0FF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775F61F4">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7"/>
      <w:jc w:val="center"/>
    </w:pPr>
  </w:p>
  <w:p w14:paraId="0588189C">
    <w:pPr>
      <w:pStyle w:val="2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7"/>
      <w:jc w:val="center"/>
    </w:pPr>
  </w:p>
  <w:p w14:paraId="01B7A72A">
    <w:pPr>
      <w:pStyle w:val="2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2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5D7898F">
                          <w:pPr>
                            <w:pStyle w:val="227"/>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72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vuNntxgEAAKgDAAAOAAAAAAAAAAEAIAAAAB4BAABkcnMvZTJvRG9jLnht&#10;bFBLBQYAAAAABgAGAFkBAABWBQAAAAA=&#10;">
              <v:fill on="f" focussize="0,0"/>
              <v:stroke on="f"/>
              <v:imagedata o:title=""/>
              <o:lock v:ext="edit" aspectratio="f"/>
              <v:textbox inset="0mm,0mm,0mm,0mm" style="mso-fit-shape-to-text:t;">
                <w:txbxContent>
                  <w:p w14:paraId="25D7898F">
                    <w:pPr>
                      <w:pStyle w:val="22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C5A539D">
                          <w:pPr>
                            <w:pStyle w:val="19"/>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409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9RD+8cBAACoAwAADgAAAAAAAAABACAAAAAeAQAAZHJzL2Uyb0RvYy54&#10;bWxQSwUGAAAAAAYABgBZAQAAVwUAAAAA&#10;">
              <v:fill on="f" focussize="0,0"/>
              <v:stroke on="f"/>
              <v:imagedata o:title=""/>
              <o:lock v:ext="edit" aspectratio="f"/>
              <v:textbox inset="0mm,0mm,0mm,0mm" style="mso-fit-shape-to-text:t;">
                <w:txbxContent>
                  <w:p w14:paraId="3C5A539D">
                    <w:pPr>
                      <w:pStyle w:val="19"/>
                    </w:pPr>
                    <w:r>
                      <w:fldChar w:fldCharType="begin"/>
                    </w:r>
                    <w:r>
                      <w:instrText xml:space="preserve"> PAGE  \* MERGEFORMAT </w:instrText>
                    </w:r>
                    <w:r>
                      <w:fldChar w:fldCharType="separate"/>
                    </w:r>
                    <w:r>
                      <w:t>3</w:t>
                    </w:r>
                    <w:r>
                      <w:fldChar w:fldCharType="end"/>
                    </w:r>
                  </w:p>
                </w:txbxContent>
              </v:textbox>
            </v:shape>
          </w:pict>
        </mc:Fallback>
      </mc:AlternateContent>
    </w:r>
  </w:p>
  <w:p w14:paraId="4E59EA46">
    <w:pPr>
      <w:pStyle w:val="2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0"/>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0"/>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7EFFCA5F"/>
    <w:multiLevelType w:val="multilevel"/>
    <w:tmpl w:val="7EFFCA5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D3A7B"/>
    <w:rsid w:val="02F5092E"/>
    <w:rsid w:val="054E2011"/>
    <w:rsid w:val="05583088"/>
    <w:rsid w:val="06EE4286"/>
    <w:rsid w:val="07524CC5"/>
    <w:rsid w:val="07837727"/>
    <w:rsid w:val="078610D0"/>
    <w:rsid w:val="09C3538C"/>
    <w:rsid w:val="0A3E6017"/>
    <w:rsid w:val="0A4D5A6C"/>
    <w:rsid w:val="0BB712B6"/>
    <w:rsid w:val="0BF45AAC"/>
    <w:rsid w:val="0C09601A"/>
    <w:rsid w:val="0CF351B8"/>
    <w:rsid w:val="0CF50757"/>
    <w:rsid w:val="0E552DBD"/>
    <w:rsid w:val="12AB2D39"/>
    <w:rsid w:val="15EC4007"/>
    <w:rsid w:val="194F2F2E"/>
    <w:rsid w:val="1B352C19"/>
    <w:rsid w:val="1B3E503B"/>
    <w:rsid w:val="1CDE0A3B"/>
    <w:rsid w:val="1DC12C8F"/>
    <w:rsid w:val="1E8034ED"/>
    <w:rsid w:val="20D26998"/>
    <w:rsid w:val="2248703F"/>
    <w:rsid w:val="22FB1FE8"/>
    <w:rsid w:val="230D35C8"/>
    <w:rsid w:val="23A33C69"/>
    <w:rsid w:val="23BC2032"/>
    <w:rsid w:val="24C35FFD"/>
    <w:rsid w:val="26825798"/>
    <w:rsid w:val="283A60D4"/>
    <w:rsid w:val="29737029"/>
    <w:rsid w:val="2ADA512F"/>
    <w:rsid w:val="2D701604"/>
    <w:rsid w:val="2D9F0956"/>
    <w:rsid w:val="2E0C7512"/>
    <w:rsid w:val="2ED0406E"/>
    <w:rsid w:val="2EE33A6A"/>
    <w:rsid w:val="301E3CBA"/>
    <w:rsid w:val="31CD18BB"/>
    <w:rsid w:val="31E10F22"/>
    <w:rsid w:val="353F0863"/>
    <w:rsid w:val="3BC9223B"/>
    <w:rsid w:val="3C3C2D43"/>
    <w:rsid w:val="3F884457"/>
    <w:rsid w:val="453018B3"/>
    <w:rsid w:val="454D27D4"/>
    <w:rsid w:val="46155346"/>
    <w:rsid w:val="47AE0F10"/>
    <w:rsid w:val="47C742BD"/>
    <w:rsid w:val="4A81517F"/>
    <w:rsid w:val="4ABA3F9A"/>
    <w:rsid w:val="4CDD5E7C"/>
    <w:rsid w:val="4D663E25"/>
    <w:rsid w:val="4FEB4D54"/>
    <w:rsid w:val="4FF359B6"/>
    <w:rsid w:val="517911CC"/>
    <w:rsid w:val="529F795B"/>
    <w:rsid w:val="53407165"/>
    <w:rsid w:val="536E20DE"/>
    <w:rsid w:val="54844A61"/>
    <w:rsid w:val="54B8170F"/>
    <w:rsid w:val="54D93FEA"/>
    <w:rsid w:val="5C320F4C"/>
    <w:rsid w:val="5C583698"/>
    <w:rsid w:val="5EFB7155"/>
    <w:rsid w:val="5F85694A"/>
    <w:rsid w:val="5FBD5758"/>
    <w:rsid w:val="607466A0"/>
    <w:rsid w:val="610572F8"/>
    <w:rsid w:val="628D3DE6"/>
    <w:rsid w:val="62D56310"/>
    <w:rsid w:val="63BA086D"/>
    <w:rsid w:val="65312DB1"/>
    <w:rsid w:val="65F004D2"/>
    <w:rsid w:val="697C3968"/>
    <w:rsid w:val="6C2E79B8"/>
    <w:rsid w:val="6E655016"/>
    <w:rsid w:val="6F09346C"/>
    <w:rsid w:val="6FFF2A18"/>
    <w:rsid w:val="706146A5"/>
    <w:rsid w:val="71A07B6F"/>
    <w:rsid w:val="72E915DE"/>
    <w:rsid w:val="73353A6C"/>
    <w:rsid w:val="74443654"/>
    <w:rsid w:val="760266EC"/>
    <w:rsid w:val="76D2007E"/>
    <w:rsid w:val="76E40BD9"/>
    <w:rsid w:val="77D0074E"/>
    <w:rsid w:val="7B124016"/>
    <w:rsid w:val="7D1E420E"/>
    <w:rsid w:val="7D1F3889"/>
    <w:rsid w:val="7D83198E"/>
    <w:rsid w:val="7E725B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3"/>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Body Text"/>
    <w:basedOn w:val="1"/>
    <w:next w:val="1"/>
    <w:unhideWhenUsed/>
    <w:qFormat/>
    <w:uiPriority w:val="0"/>
    <w:pPr>
      <w:spacing w:after="120"/>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91"/>
    <w:semiHidden/>
    <w:unhideWhenUsed/>
    <w:qFormat/>
    <w:uiPriority w:val="99"/>
    <w:pPr>
      <w:spacing w:after="0" w:line="240" w:lineRule="auto"/>
    </w:pPr>
    <w:rPr>
      <w:sz w:val="20"/>
      <w:szCs w:val="20"/>
    </w:rPr>
  </w:style>
  <w:style w:type="paragraph" w:styleId="19">
    <w:name w:val="footer"/>
    <w:basedOn w:val="1"/>
    <w:link w:val="189"/>
    <w:unhideWhenUsed/>
    <w:qFormat/>
    <w:uiPriority w:val="99"/>
    <w:pPr>
      <w:tabs>
        <w:tab w:val="center" w:pos="4844"/>
        <w:tab w:val="right" w:pos="9689"/>
      </w:tabs>
      <w:spacing w:after="0" w:line="240" w:lineRule="auto"/>
    </w:pPr>
  </w:style>
  <w:style w:type="paragraph" w:styleId="20">
    <w:name w:val="header"/>
    <w:basedOn w:val="1"/>
    <w:link w:val="188"/>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6"/>
    <w:qFormat/>
    <w:uiPriority w:val="11"/>
    <w:rPr>
      <w:color w:val="585858" w:themeColor="text1" w:themeTint="A6"/>
      <w:spacing w:val="15"/>
      <w:sz w:val="28"/>
      <w:szCs w:val="28"/>
    </w:rPr>
  </w:style>
  <w:style w:type="paragraph" w:styleId="24">
    <w:name w:val="footnote text"/>
    <w:basedOn w:val="1"/>
    <w:link w:val="190"/>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paragraph" w:customStyle="1" w:styleId="39">
    <w:name w:val="正文文本1"/>
    <w:basedOn w:val="1"/>
    <w:next w:val="40"/>
    <w:link w:val="204"/>
    <w:unhideWhenUsed/>
    <w:qFormat/>
    <w:uiPriority w:val="0"/>
    <w:pPr>
      <w:spacing w:after="120"/>
    </w:pPr>
  </w:style>
  <w:style w:type="paragraph" w:customStyle="1" w:styleId="40">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1">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3">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4">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5">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6">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7">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0">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1">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2">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3">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4">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5">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6">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2">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3">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4">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5">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6">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7">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8">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9">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0">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1">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2">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3">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4">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5">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2"/>
    <w:link w:val="2"/>
    <w:qFormat/>
    <w:uiPriority w:val="9"/>
    <w:rPr>
      <w:rFonts w:ascii="Arial" w:hAnsi="Arial" w:eastAsia="Arial" w:cs="Arial"/>
      <w:color w:val="366091" w:themeColor="accent1" w:themeShade="BF"/>
      <w:sz w:val="40"/>
      <w:szCs w:val="40"/>
    </w:rPr>
  </w:style>
  <w:style w:type="character" w:customStyle="1" w:styleId="167">
    <w:name w:val="Heading 2 Char"/>
    <w:basedOn w:val="32"/>
    <w:link w:val="3"/>
    <w:qFormat/>
    <w:uiPriority w:val="9"/>
    <w:rPr>
      <w:rFonts w:ascii="Arial" w:hAnsi="Arial" w:eastAsia="Arial" w:cs="Arial"/>
      <w:color w:val="366091" w:themeColor="accent1" w:themeShade="BF"/>
      <w:sz w:val="32"/>
      <w:szCs w:val="32"/>
    </w:rPr>
  </w:style>
  <w:style w:type="character" w:customStyle="1" w:styleId="168">
    <w:name w:val="Heading 3 Char"/>
    <w:basedOn w:val="32"/>
    <w:link w:val="4"/>
    <w:qFormat/>
    <w:uiPriority w:val="9"/>
    <w:rPr>
      <w:rFonts w:ascii="Arial" w:hAnsi="Arial" w:eastAsia="Arial" w:cs="Arial"/>
      <w:color w:val="366091" w:themeColor="accent1" w:themeShade="BF"/>
      <w:sz w:val="28"/>
      <w:szCs w:val="28"/>
    </w:rPr>
  </w:style>
  <w:style w:type="character" w:customStyle="1" w:styleId="169">
    <w:name w:val="Heading 4 Char"/>
    <w:basedOn w:val="32"/>
    <w:link w:val="5"/>
    <w:qFormat/>
    <w:uiPriority w:val="9"/>
    <w:rPr>
      <w:rFonts w:ascii="Arial" w:hAnsi="Arial" w:eastAsia="Arial" w:cs="Arial"/>
      <w:i/>
      <w:iCs/>
      <w:color w:val="366091" w:themeColor="accent1" w:themeShade="BF"/>
    </w:rPr>
  </w:style>
  <w:style w:type="character" w:customStyle="1" w:styleId="170">
    <w:name w:val="Heading 5 Char"/>
    <w:basedOn w:val="32"/>
    <w:link w:val="6"/>
    <w:qFormat/>
    <w:uiPriority w:val="9"/>
    <w:rPr>
      <w:rFonts w:ascii="Arial" w:hAnsi="Arial" w:eastAsia="Arial" w:cs="Arial"/>
      <w:color w:val="366091" w:themeColor="accent1" w:themeShade="BF"/>
    </w:rPr>
  </w:style>
  <w:style w:type="character" w:customStyle="1" w:styleId="171">
    <w:name w:val="Heading 6 Char"/>
    <w:basedOn w:val="32"/>
    <w:link w:val="7"/>
    <w:qFormat/>
    <w:uiPriority w:val="9"/>
    <w:rPr>
      <w:rFonts w:ascii="Arial" w:hAnsi="Arial" w:eastAsia="Arial" w:cs="Arial"/>
      <w:i/>
      <w:iCs/>
      <w:color w:val="585858" w:themeColor="text1" w:themeTint="A6"/>
    </w:rPr>
  </w:style>
  <w:style w:type="character" w:customStyle="1" w:styleId="172">
    <w:name w:val="Heading 7 Char"/>
    <w:basedOn w:val="32"/>
    <w:link w:val="8"/>
    <w:qFormat/>
    <w:uiPriority w:val="9"/>
    <w:rPr>
      <w:rFonts w:ascii="Arial" w:hAnsi="Arial" w:eastAsia="Arial" w:cs="Arial"/>
      <w:color w:val="585858" w:themeColor="text1" w:themeTint="A6"/>
    </w:rPr>
  </w:style>
  <w:style w:type="character" w:customStyle="1" w:styleId="173">
    <w:name w:val="Heading 8 Char"/>
    <w:basedOn w:val="32"/>
    <w:link w:val="9"/>
    <w:qFormat/>
    <w:uiPriority w:val="9"/>
    <w:rPr>
      <w:rFonts w:ascii="Arial" w:hAnsi="Arial" w:eastAsia="Arial" w:cs="Arial"/>
      <w:i/>
      <w:iCs/>
      <w:color w:val="262626" w:themeColor="text1" w:themeTint="D8"/>
    </w:rPr>
  </w:style>
  <w:style w:type="character" w:customStyle="1" w:styleId="174">
    <w:name w:val="Heading 9 Char"/>
    <w:basedOn w:val="32"/>
    <w:link w:val="10"/>
    <w:qFormat/>
    <w:uiPriority w:val="9"/>
    <w:rPr>
      <w:rFonts w:ascii="Arial" w:hAnsi="Arial" w:eastAsia="Arial" w:cs="Arial"/>
      <w:i/>
      <w:iCs/>
      <w:color w:val="262626" w:themeColor="text1" w:themeTint="D8"/>
    </w:rPr>
  </w:style>
  <w:style w:type="character" w:customStyle="1" w:styleId="175">
    <w:name w:val="Title Char"/>
    <w:basedOn w:val="32"/>
    <w:link w:val="29"/>
    <w:qFormat/>
    <w:uiPriority w:val="10"/>
    <w:rPr>
      <w:rFonts w:ascii="Arial" w:hAnsi="Arial" w:eastAsia="Arial" w:cs="Arial"/>
      <w:spacing w:val="-10"/>
      <w:sz w:val="56"/>
      <w:szCs w:val="56"/>
    </w:rPr>
  </w:style>
  <w:style w:type="character" w:customStyle="1" w:styleId="176">
    <w:name w:val="Subtitle Char"/>
    <w:basedOn w:val="32"/>
    <w:link w:val="23"/>
    <w:qFormat/>
    <w:uiPriority w:val="11"/>
    <w:rPr>
      <w:color w:val="585858" w:themeColor="text1" w:themeTint="A6"/>
      <w:spacing w:val="15"/>
      <w:sz w:val="28"/>
      <w:szCs w:val="28"/>
    </w:rPr>
  </w:style>
  <w:style w:type="paragraph" w:styleId="177">
    <w:name w:val="Quote"/>
    <w:basedOn w:val="1"/>
    <w:next w:val="1"/>
    <w:link w:val="178"/>
    <w:qFormat/>
    <w:uiPriority w:val="29"/>
    <w:pPr>
      <w:spacing w:before="160"/>
      <w:jc w:val="center"/>
    </w:pPr>
    <w:rPr>
      <w:i/>
      <w:iCs/>
      <w:color w:val="3F3F3F" w:themeColor="text1" w:themeTint="BF"/>
    </w:rPr>
  </w:style>
  <w:style w:type="character" w:customStyle="1" w:styleId="178">
    <w:name w:val="Quote Char"/>
    <w:basedOn w:val="32"/>
    <w:link w:val="177"/>
    <w:qFormat/>
    <w:uiPriority w:val="29"/>
    <w:rPr>
      <w:i/>
      <w:iCs/>
      <w:color w:val="3F3F3F" w:themeColor="text1" w:themeTint="BF"/>
    </w:rPr>
  </w:style>
  <w:style w:type="paragraph" w:styleId="179">
    <w:name w:val="List Paragraph"/>
    <w:basedOn w:val="1"/>
    <w:qFormat/>
    <w:uiPriority w:val="34"/>
    <w:pPr>
      <w:ind w:left="720"/>
      <w:contextualSpacing/>
    </w:pPr>
  </w:style>
  <w:style w:type="character" w:customStyle="1" w:styleId="180">
    <w:name w:val="Intense Emphasis"/>
    <w:basedOn w:val="32"/>
    <w:qFormat/>
    <w:uiPriority w:val="21"/>
    <w:rPr>
      <w:i/>
      <w:iCs/>
      <w:color w:val="366091"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2">
    <w:name w:val="Intense Quote Char"/>
    <w:basedOn w:val="32"/>
    <w:link w:val="181"/>
    <w:qFormat/>
    <w:uiPriority w:val="30"/>
    <w:rPr>
      <w:i/>
      <w:iCs/>
      <w:color w:val="366091" w:themeColor="accent1" w:themeShade="BF"/>
    </w:rPr>
  </w:style>
  <w:style w:type="character" w:customStyle="1" w:styleId="183">
    <w:name w:val="Intense Reference"/>
    <w:basedOn w:val="32"/>
    <w:qFormat/>
    <w:uiPriority w:val="32"/>
    <w:rPr>
      <w:b/>
      <w:bCs/>
      <w:smallCaps/>
      <w:color w:val="366091"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2"/>
    <w:qFormat/>
    <w:uiPriority w:val="19"/>
    <w:rPr>
      <w:i/>
      <w:iCs/>
      <w:color w:val="3F3F3F" w:themeColor="text1" w:themeTint="BF"/>
    </w:rPr>
  </w:style>
  <w:style w:type="character" w:customStyle="1" w:styleId="186">
    <w:name w:val="Subtle Reference"/>
    <w:basedOn w:val="32"/>
    <w:qFormat/>
    <w:uiPriority w:val="31"/>
    <w:rPr>
      <w:smallCaps/>
      <w:color w:val="595959" w:themeColor="text1" w:themeTint="A5"/>
    </w:rPr>
  </w:style>
  <w:style w:type="character" w:customStyle="1" w:styleId="187">
    <w:name w:val="Book Title"/>
    <w:basedOn w:val="32"/>
    <w:qFormat/>
    <w:uiPriority w:val="33"/>
    <w:rPr>
      <w:b/>
      <w:bCs/>
      <w:i/>
      <w:iCs/>
      <w:spacing w:val="5"/>
    </w:rPr>
  </w:style>
  <w:style w:type="character" w:customStyle="1" w:styleId="188">
    <w:name w:val="Header Char"/>
    <w:basedOn w:val="32"/>
    <w:link w:val="20"/>
    <w:qFormat/>
    <w:uiPriority w:val="99"/>
  </w:style>
  <w:style w:type="character" w:customStyle="1" w:styleId="189">
    <w:name w:val="Footer Char"/>
    <w:basedOn w:val="32"/>
    <w:link w:val="19"/>
    <w:qFormat/>
    <w:uiPriority w:val="99"/>
  </w:style>
  <w:style w:type="character" w:customStyle="1" w:styleId="190">
    <w:name w:val="Footnote Text Char"/>
    <w:basedOn w:val="32"/>
    <w:link w:val="24"/>
    <w:semiHidden/>
    <w:qFormat/>
    <w:uiPriority w:val="99"/>
    <w:rPr>
      <w:sz w:val="20"/>
      <w:szCs w:val="20"/>
    </w:rPr>
  </w:style>
  <w:style w:type="character" w:customStyle="1" w:styleId="191">
    <w:name w:val="Endnote Text Char"/>
    <w:basedOn w:val="32"/>
    <w:link w:val="18"/>
    <w:semiHidden/>
    <w:qFormat/>
    <w:uiPriority w:val="99"/>
    <w:rPr>
      <w:sz w:val="20"/>
      <w:szCs w:val="20"/>
    </w:rPr>
  </w:style>
  <w:style w:type="character" w:styleId="192">
    <w:name w:val="Placeholder Text"/>
    <w:basedOn w:val="32"/>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5">
    <w:name w:val="标题 21"/>
    <w:basedOn w:val="1"/>
    <w:next w:val="1"/>
    <w:link w:val="205"/>
    <w:qFormat/>
    <w:uiPriority w:val="9"/>
    <w:pPr>
      <w:keepNext/>
      <w:keepLines/>
      <w:spacing w:before="260" w:after="260" w:line="416" w:lineRule="auto"/>
      <w:outlineLvl w:val="1"/>
    </w:pPr>
    <w:rPr>
      <w:rFonts w:ascii="Cambria" w:hAnsi="Cambria"/>
      <w:b/>
      <w:bCs/>
      <w:sz w:val="32"/>
      <w:szCs w:val="32"/>
    </w:rPr>
  </w:style>
  <w:style w:type="paragraph" w:customStyle="1" w:styleId="196">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7">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8">
    <w:name w:val="标题 51"/>
    <w:basedOn w:val="1"/>
    <w:next w:val="199"/>
    <w:link w:val="206"/>
    <w:qFormat/>
    <w:uiPriority w:val="0"/>
    <w:pPr>
      <w:keepNext/>
      <w:keepLines/>
      <w:spacing w:before="280" w:after="290" w:line="376" w:lineRule="auto"/>
      <w:outlineLvl w:val="4"/>
    </w:pPr>
    <w:rPr>
      <w:b/>
      <w:bCs/>
      <w:sz w:val="28"/>
      <w:szCs w:val="28"/>
    </w:rPr>
  </w:style>
  <w:style w:type="paragraph" w:customStyle="1" w:styleId="199">
    <w:name w:val="正文缩进11"/>
    <w:basedOn w:val="1"/>
    <w:qFormat/>
    <w:uiPriority w:val="0"/>
    <w:pPr>
      <w:ind w:firstLine="420"/>
    </w:pPr>
    <w:rPr>
      <w:szCs w:val="20"/>
    </w:rPr>
  </w:style>
  <w:style w:type="paragraph" w:customStyle="1" w:styleId="200">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1">
    <w:name w:val="标题 81"/>
    <w:basedOn w:val="1"/>
    <w:next w:val="1"/>
    <w:link w:val="207"/>
    <w:qFormat/>
    <w:uiPriority w:val="9"/>
    <w:pPr>
      <w:keepNext/>
      <w:keepLines/>
      <w:spacing w:before="240" w:after="64" w:line="320" w:lineRule="auto"/>
      <w:outlineLvl w:val="7"/>
    </w:pPr>
    <w:rPr>
      <w:rFonts w:ascii="等线 Light" w:hAnsi="等线 Light" w:eastAsia="等线 Light"/>
      <w:sz w:val="24"/>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正文文本 Char1"/>
    <w:link w:val="39"/>
    <w:qFormat/>
    <w:uiPriority w:val="0"/>
    <w:rPr>
      <w:rFonts w:ascii="Times New Roman" w:hAnsi="Times New Roman"/>
      <w:sz w:val="21"/>
      <w:szCs w:val="24"/>
    </w:rPr>
  </w:style>
  <w:style w:type="character" w:customStyle="1" w:styleId="205">
    <w:name w:val="标题 2 Char1"/>
    <w:link w:val="195"/>
    <w:qFormat/>
    <w:uiPriority w:val="9"/>
    <w:rPr>
      <w:rFonts w:ascii="Cambria" w:hAnsi="Cambria" w:eastAsia="宋体" w:cs="Times New Roman"/>
      <w:b/>
      <w:bCs/>
      <w:sz w:val="32"/>
      <w:szCs w:val="32"/>
    </w:rPr>
  </w:style>
  <w:style w:type="character" w:customStyle="1" w:styleId="206">
    <w:name w:val="标题 5 Char"/>
    <w:link w:val="198"/>
    <w:qFormat/>
    <w:uiPriority w:val="0"/>
    <w:rPr>
      <w:rFonts w:ascii="Times New Roman" w:hAnsi="Times New Roman"/>
      <w:b/>
      <w:bCs/>
      <w:sz w:val="28"/>
      <w:szCs w:val="28"/>
    </w:rPr>
  </w:style>
  <w:style w:type="character" w:customStyle="1" w:styleId="207">
    <w:name w:val="标题 8 Char1"/>
    <w:link w:val="201"/>
    <w:semiHidden/>
    <w:qFormat/>
    <w:uiPriority w:val="9"/>
    <w:rPr>
      <w:rFonts w:ascii="等线 Light" w:hAnsi="等线 Light" w:eastAsia="等线 Light" w:cs="Times New Roman"/>
      <w:sz w:val="24"/>
      <w:szCs w:val="24"/>
    </w:rPr>
  </w:style>
  <w:style w:type="paragraph" w:customStyle="1" w:styleId="208">
    <w:name w:val="目录 71"/>
    <w:basedOn w:val="1"/>
    <w:next w:val="1"/>
    <w:unhideWhenUsed/>
    <w:qFormat/>
    <w:uiPriority w:val="39"/>
    <w:pPr>
      <w:ind w:left="2520"/>
    </w:pPr>
    <w:rPr>
      <w:rFonts w:ascii="Calibri" w:hAnsi="Calibri" w:eastAsia="宋体" w:cs="Times New Roman"/>
      <w:szCs w:val="22"/>
    </w:rPr>
  </w:style>
  <w:style w:type="paragraph" w:customStyle="1" w:styleId="209">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0">
    <w:name w:val="文档结构图1"/>
    <w:basedOn w:val="1"/>
    <w:semiHidden/>
    <w:qFormat/>
    <w:uiPriority w:val="0"/>
    <w:pPr>
      <w:shd w:val="clear" w:color="auto" w:fill="000080"/>
    </w:pPr>
  </w:style>
  <w:style w:type="paragraph" w:customStyle="1" w:styleId="211">
    <w:name w:val="批注文字11"/>
    <w:basedOn w:val="1"/>
    <w:link w:val="212"/>
    <w:qFormat/>
    <w:uiPriority w:val="0"/>
    <w:pPr>
      <w:jc w:val="left"/>
    </w:pPr>
  </w:style>
  <w:style w:type="character" w:customStyle="1" w:styleId="212">
    <w:name w:val="批注文字 Char1"/>
    <w:link w:val="211"/>
    <w:qFormat/>
    <w:uiPriority w:val="0"/>
    <w:rPr>
      <w:rFonts w:ascii="Times New Roman" w:hAnsi="Times New Roman"/>
      <w:sz w:val="21"/>
      <w:szCs w:val="24"/>
    </w:rPr>
  </w:style>
  <w:style w:type="paragraph" w:customStyle="1" w:styleId="213">
    <w:name w:val="正文文本 31"/>
    <w:basedOn w:val="1"/>
    <w:unhideWhenUsed/>
    <w:qFormat/>
    <w:uiPriority w:val="99"/>
    <w:pPr>
      <w:spacing w:after="120"/>
    </w:pPr>
    <w:rPr>
      <w:sz w:val="16"/>
      <w:szCs w:val="16"/>
    </w:rPr>
  </w:style>
  <w:style w:type="paragraph" w:customStyle="1" w:styleId="214">
    <w:name w:val="正文文本缩进1"/>
    <w:basedOn w:val="1"/>
    <w:next w:val="215"/>
    <w:link w:val="216"/>
    <w:qFormat/>
    <w:uiPriority w:val="0"/>
    <w:pPr>
      <w:ind w:firstLine="830"/>
    </w:pPr>
    <w:rPr>
      <w:rFonts w:ascii="仿宋_GB2312" w:eastAsia="仿宋_GB2312"/>
      <w:sz w:val="32"/>
      <w:szCs w:val="20"/>
    </w:rPr>
  </w:style>
  <w:style w:type="paragraph" w:customStyle="1" w:styleId="215">
    <w:name w:val="正文文本缩进 21"/>
    <w:basedOn w:val="1"/>
    <w:link w:val="217"/>
    <w:unhideWhenUsed/>
    <w:qFormat/>
    <w:uiPriority w:val="99"/>
    <w:pPr>
      <w:spacing w:after="120" w:line="480" w:lineRule="auto"/>
      <w:ind w:left="420"/>
    </w:pPr>
  </w:style>
  <w:style w:type="character" w:customStyle="1" w:styleId="216">
    <w:name w:val="正文文本缩进 Char"/>
    <w:link w:val="214"/>
    <w:qFormat/>
    <w:uiPriority w:val="0"/>
    <w:rPr>
      <w:rFonts w:ascii="仿宋_GB2312" w:hAnsi="Times New Roman" w:eastAsia="仿宋_GB2312" w:cs="Times New Roman"/>
      <w:sz w:val="32"/>
      <w:szCs w:val="20"/>
    </w:rPr>
  </w:style>
  <w:style w:type="character" w:customStyle="1" w:styleId="217">
    <w:name w:val="正文文本缩进 2 Char"/>
    <w:link w:val="215"/>
    <w:semiHidden/>
    <w:qFormat/>
    <w:uiPriority w:val="99"/>
    <w:rPr>
      <w:sz w:val="21"/>
      <w:szCs w:val="24"/>
    </w:rPr>
  </w:style>
  <w:style w:type="paragraph" w:customStyle="1" w:styleId="218">
    <w:name w:val="列表 21"/>
    <w:basedOn w:val="1"/>
    <w:unhideWhenUsed/>
    <w:qFormat/>
    <w:uiPriority w:val="99"/>
    <w:pPr>
      <w:ind w:left="100" w:hanging="200"/>
      <w:contextualSpacing/>
    </w:pPr>
  </w:style>
  <w:style w:type="paragraph" w:customStyle="1" w:styleId="219">
    <w:name w:val="目录 51"/>
    <w:basedOn w:val="1"/>
    <w:next w:val="1"/>
    <w:unhideWhenUsed/>
    <w:qFormat/>
    <w:uiPriority w:val="39"/>
    <w:pPr>
      <w:ind w:left="1680"/>
    </w:pPr>
    <w:rPr>
      <w:rFonts w:ascii="Calibri" w:hAnsi="Calibri" w:eastAsia="宋体" w:cs="Times New Roman"/>
      <w:szCs w:val="22"/>
    </w:rPr>
  </w:style>
  <w:style w:type="paragraph" w:customStyle="1" w:styleId="220">
    <w:name w:val="目录 31"/>
    <w:basedOn w:val="1"/>
    <w:next w:val="1"/>
    <w:unhideWhenUsed/>
    <w:qFormat/>
    <w:uiPriority w:val="39"/>
    <w:pPr>
      <w:ind w:left="840"/>
    </w:pPr>
  </w:style>
  <w:style w:type="paragraph" w:customStyle="1" w:styleId="221">
    <w:name w:val="纯文本11"/>
    <w:basedOn w:val="1"/>
    <w:next w:val="1"/>
    <w:link w:val="222"/>
    <w:qFormat/>
    <w:uiPriority w:val="0"/>
    <w:rPr>
      <w:rFonts w:ascii="宋体" w:hAnsi="Courier New"/>
      <w:sz w:val="20"/>
      <w:szCs w:val="21"/>
    </w:rPr>
  </w:style>
  <w:style w:type="character" w:customStyle="1" w:styleId="222">
    <w:name w:val="纯文本 Char1"/>
    <w:link w:val="221"/>
    <w:qFormat/>
    <w:uiPriority w:val="0"/>
    <w:rPr>
      <w:rFonts w:ascii="宋体" w:hAnsi="Courier New" w:eastAsia="宋体" w:cs="Courier New"/>
      <w:szCs w:val="21"/>
    </w:rPr>
  </w:style>
  <w:style w:type="paragraph" w:customStyle="1" w:styleId="223">
    <w:name w:val="目录 81"/>
    <w:basedOn w:val="1"/>
    <w:next w:val="1"/>
    <w:unhideWhenUsed/>
    <w:qFormat/>
    <w:uiPriority w:val="39"/>
    <w:pPr>
      <w:ind w:left="2940"/>
    </w:pPr>
    <w:rPr>
      <w:rFonts w:ascii="Calibri" w:hAnsi="Calibri" w:eastAsia="宋体" w:cs="Times New Roman"/>
      <w:szCs w:val="22"/>
    </w:rPr>
  </w:style>
  <w:style w:type="paragraph" w:customStyle="1" w:styleId="224">
    <w:name w:val="日期1"/>
    <w:basedOn w:val="1"/>
    <w:next w:val="1"/>
    <w:link w:val="225"/>
    <w:unhideWhenUsed/>
    <w:qFormat/>
    <w:uiPriority w:val="99"/>
    <w:pPr>
      <w:ind w:left="100"/>
    </w:pPr>
  </w:style>
  <w:style w:type="character" w:customStyle="1" w:styleId="225">
    <w:name w:val="日期 Char"/>
    <w:link w:val="224"/>
    <w:semiHidden/>
    <w:qFormat/>
    <w:uiPriority w:val="99"/>
    <w:rPr>
      <w:rFonts w:ascii="Times New Roman" w:hAnsi="Times New Roman"/>
      <w:sz w:val="21"/>
      <w:szCs w:val="24"/>
    </w:rPr>
  </w:style>
  <w:style w:type="paragraph" w:customStyle="1" w:styleId="226">
    <w:name w:val="批注框文本1"/>
    <w:basedOn w:val="1"/>
    <w:semiHidden/>
    <w:qFormat/>
    <w:uiPriority w:val="0"/>
    <w:rPr>
      <w:sz w:val="18"/>
      <w:szCs w:val="18"/>
    </w:rPr>
  </w:style>
  <w:style w:type="paragraph" w:customStyle="1" w:styleId="227">
    <w:name w:val="页脚1"/>
    <w:basedOn w:val="1"/>
    <w:link w:val="228"/>
    <w:unhideWhenUsed/>
    <w:qFormat/>
    <w:uiPriority w:val="99"/>
    <w:pPr>
      <w:tabs>
        <w:tab w:val="center" w:pos="4153"/>
        <w:tab w:val="right" w:pos="8306"/>
      </w:tabs>
      <w:jc w:val="left"/>
    </w:pPr>
    <w:rPr>
      <w:sz w:val="18"/>
      <w:szCs w:val="18"/>
    </w:rPr>
  </w:style>
  <w:style w:type="character" w:customStyle="1" w:styleId="228">
    <w:name w:val="页脚 Char"/>
    <w:link w:val="227"/>
    <w:qFormat/>
    <w:uiPriority w:val="99"/>
    <w:rPr>
      <w:sz w:val="18"/>
      <w:szCs w:val="18"/>
    </w:rPr>
  </w:style>
  <w:style w:type="paragraph" w:customStyle="1" w:styleId="229">
    <w:name w:val="寄信人地址1"/>
    <w:basedOn w:val="1"/>
    <w:qFormat/>
    <w:uiPriority w:val="0"/>
    <w:rPr>
      <w:rFonts w:ascii="Arial" w:hAnsi="Arial"/>
    </w:rPr>
  </w:style>
  <w:style w:type="paragraph" w:customStyle="1" w:styleId="230">
    <w:name w:val="页眉1"/>
    <w:basedOn w:val="1"/>
    <w:link w:val="231"/>
    <w:unhideWhenUsed/>
    <w:qFormat/>
    <w:uiPriority w:val="0"/>
    <w:pPr>
      <w:pBdr>
        <w:bottom w:val="single" w:color="000000" w:sz="6" w:space="1"/>
      </w:pBdr>
      <w:tabs>
        <w:tab w:val="center" w:pos="4153"/>
        <w:tab w:val="right" w:pos="8306"/>
      </w:tabs>
      <w:jc w:val="center"/>
    </w:pPr>
    <w:rPr>
      <w:sz w:val="18"/>
      <w:szCs w:val="18"/>
    </w:rPr>
  </w:style>
  <w:style w:type="character" w:customStyle="1" w:styleId="231">
    <w:name w:val="页眉 Char"/>
    <w:link w:val="230"/>
    <w:qFormat/>
    <w:uiPriority w:val="0"/>
    <w:rPr>
      <w:sz w:val="18"/>
      <w:szCs w:val="18"/>
    </w:rPr>
  </w:style>
  <w:style w:type="paragraph" w:customStyle="1" w:styleId="232">
    <w:name w:val="目录 11"/>
    <w:basedOn w:val="1"/>
    <w:next w:val="1"/>
    <w:unhideWhenUsed/>
    <w:qFormat/>
    <w:uiPriority w:val="39"/>
  </w:style>
  <w:style w:type="paragraph" w:customStyle="1" w:styleId="233">
    <w:name w:val="目录 41"/>
    <w:basedOn w:val="1"/>
    <w:next w:val="1"/>
    <w:unhideWhenUsed/>
    <w:qFormat/>
    <w:uiPriority w:val="39"/>
    <w:pPr>
      <w:ind w:left="1260"/>
    </w:pPr>
    <w:rPr>
      <w:rFonts w:ascii="Calibri" w:hAnsi="Calibri" w:eastAsia="宋体" w:cs="Times New Roman"/>
      <w:szCs w:val="22"/>
    </w:rPr>
  </w:style>
  <w:style w:type="paragraph" w:customStyle="1" w:styleId="234">
    <w:name w:val="目录 61"/>
    <w:basedOn w:val="1"/>
    <w:next w:val="1"/>
    <w:unhideWhenUsed/>
    <w:qFormat/>
    <w:uiPriority w:val="39"/>
    <w:pPr>
      <w:ind w:left="2100"/>
    </w:pPr>
    <w:rPr>
      <w:rFonts w:ascii="Calibri" w:hAnsi="Calibri" w:eastAsia="宋体" w:cs="Times New Roman"/>
      <w:szCs w:val="22"/>
    </w:rPr>
  </w:style>
  <w:style w:type="paragraph" w:customStyle="1" w:styleId="235">
    <w:name w:val="图表目录1"/>
    <w:basedOn w:val="1"/>
    <w:next w:val="1"/>
    <w:qFormat/>
    <w:uiPriority w:val="0"/>
    <w:pPr>
      <w:ind w:hanging="200"/>
    </w:pPr>
    <w:rPr>
      <w:rFonts w:ascii="Times New Roman" w:hAnsi="Times New Roman" w:eastAsia="宋体" w:cs="Times New Roman"/>
    </w:rPr>
  </w:style>
  <w:style w:type="paragraph" w:customStyle="1" w:styleId="236">
    <w:name w:val="目录 21"/>
    <w:basedOn w:val="1"/>
    <w:next w:val="1"/>
    <w:unhideWhenUsed/>
    <w:qFormat/>
    <w:uiPriority w:val="39"/>
    <w:pPr>
      <w:tabs>
        <w:tab w:val="right" w:leader="dot" w:pos="8296"/>
      </w:tabs>
      <w:ind w:left="420"/>
    </w:pPr>
  </w:style>
  <w:style w:type="paragraph" w:customStyle="1" w:styleId="237">
    <w:name w:val="目录 91"/>
    <w:basedOn w:val="1"/>
    <w:next w:val="1"/>
    <w:unhideWhenUsed/>
    <w:qFormat/>
    <w:uiPriority w:val="39"/>
    <w:pPr>
      <w:ind w:left="3360"/>
    </w:pPr>
    <w:rPr>
      <w:rFonts w:ascii="Calibri" w:hAnsi="Calibri" w:eastAsia="宋体" w:cs="Times New Roman"/>
      <w:szCs w:val="22"/>
    </w:rPr>
  </w:style>
  <w:style w:type="paragraph" w:customStyle="1" w:styleId="238">
    <w:name w:val="正文文本 21"/>
    <w:basedOn w:val="1"/>
    <w:qFormat/>
    <w:uiPriority w:val="0"/>
    <w:pPr>
      <w:spacing w:after="120" w:line="480" w:lineRule="auto"/>
    </w:pPr>
    <w:rPr>
      <w:sz w:val="20"/>
    </w:rPr>
  </w:style>
  <w:style w:type="paragraph" w:customStyle="1" w:styleId="239">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40">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41">
    <w:name w:val="标题1"/>
    <w:basedOn w:val="1"/>
    <w:next w:val="1"/>
    <w:qFormat/>
    <w:uiPriority w:val="10"/>
    <w:pPr>
      <w:spacing w:before="240" w:after="60"/>
      <w:jc w:val="center"/>
      <w:outlineLvl w:val="0"/>
    </w:pPr>
    <w:rPr>
      <w:rFonts w:ascii="Cambria" w:hAnsi="Cambria"/>
      <w:b/>
      <w:bCs/>
      <w:sz w:val="32"/>
      <w:szCs w:val="32"/>
    </w:rPr>
  </w:style>
  <w:style w:type="paragraph" w:customStyle="1" w:styleId="242">
    <w:name w:val="批注主题1"/>
    <w:basedOn w:val="211"/>
    <w:next w:val="211"/>
    <w:link w:val="243"/>
    <w:qFormat/>
    <w:uiPriority w:val="99"/>
    <w:rPr>
      <w:b/>
      <w:bCs/>
    </w:rPr>
  </w:style>
  <w:style w:type="character" w:customStyle="1" w:styleId="243">
    <w:name w:val="批注主题 Char"/>
    <w:link w:val="242"/>
    <w:qFormat/>
    <w:uiPriority w:val="99"/>
    <w:rPr>
      <w:rFonts w:ascii="Times New Roman" w:hAnsi="Times New Roman"/>
      <w:b/>
      <w:bCs/>
      <w:sz w:val="21"/>
      <w:szCs w:val="24"/>
    </w:rPr>
  </w:style>
  <w:style w:type="paragraph" w:customStyle="1" w:styleId="244">
    <w:name w:val="正文首行缩进1"/>
    <w:basedOn w:val="1"/>
    <w:unhideWhenUsed/>
    <w:qFormat/>
    <w:uiPriority w:val="0"/>
    <w:pPr>
      <w:ind w:firstLine="420"/>
      <w:jc w:val="both"/>
    </w:pPr>
    <w:rPr>
      <w:rFonts w:hAnsi="Times New Roman" w:eastAsia="Times New Roman"/>
      <w:szCs w:val="20"/>
    </w:rPr>
  </w:style>
  <w:style w:type="paragraph" w:customStyle="1" w:styleId="245">
    <w:name w:val="正文首行缩进 21"/>
    <w:basedOn w:val="214"/>
    <w:qFormat/>
    <w:uiPriority w:val="0"/>
    <w:pPr>
      <w:widowControl w:val="0"/>
      <w:ind w:firstLine="420"/>
      <w:jc w:val="both"/>
    </w:pPr>
    <w:rPr>
      <w:rFonts w:ascii="Calibri" w:hAnsi="Calibri"/>
    </w:rPr>
  </w:style>
  <w:style w:type="table" w:customStyle="1" w:styleId="246">
    <w:name w:val="网格型11"/>
    <w:basedOn w:val="20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7">
    <w:name w:val="要点1"/>
    <w:basedOn w:val="202"/>
    <w:link w:val="1"/>
    <w:qFormat/>
    <w:uiPriority w:val="22"/>
    <w:rPr>
      <w:b/>
    </w:rPr>
  </w:style>
  <w:style w:type="character" w:customStyle="1" w:styleId="248">
    <w:name w:val="页码1"/>
    <w:link w:val="1"/>
    <w:qFormat/>
    <w:uiPriority w:val="0"/>
  </w:style>
  <w:style w:type="character" w:customStyle="1" w:styleId="249">
    <w:name w:val="已访问的超链接1"/>
    <w:basedOn w:val="202"/>
    <w:link w:val="1"/>
    <w:unhideWhenUsed/>
    <w:qFormat/>
    <w:uiPriority w:val="99"/>
    <w:rPr>
      <w:color w:val="337AB7"/>
      <w:u w:val="none"/>
    </w:rPr>
  </w:style>
  <w:style w:type="character" w:customStyle="1" w:styleId="250">
    <w:name w:val="HTML 定义1"/>
    <w:basedOn w:val="202"/>
    <w:link w:val="1"/>
    <w:unhideWhenUsed/>
    <w:qFormat/>
    <w:uiPriority w:val="99"/>
    <w:rPr>
      <w:i/>
    </w:rPr>
  </w:style>
  <w:style w:type="character" w:customStyle="1" w:styleId="251">
    <w:name w:val="超链接1"/>
    <w:basedOn w:val="202"/>
    <w:link w:val="1"/>
    <w:unhideWhenUsed/>
    <w:qFormat/>
    <w:uiPriority w:val="99"/>
    <w:rPr>
      <w:color w:val="337AB7"/>
      <w:u w:val="none"/>
    </w:rPr>
  </w:style>
  <w:style w:type="character" w:customStyle="1" w:styleId="252">
    <w:name w:val="HTML 代码1"/>
    <w:basedOn w:val="202"/>
    <w:link w:val="1"/>
    <w:unhideWhenUsed/>
    <w:qFormat/>
    <w:uiPriority w:val="99"/>
    <w:rPr>
      <w:rFonts w:ascii="Consolas" w:hAnsi="Consolas" w:eastAsia="Consolas" w:cs="Consolas"/>
      <w:color w:val="C7254E"/>
      <w:sz w:val="21"/>
      <w:szCs w:val="21"/>
      <w:shd w:val="clear" w:color="auto" w:fill="F9F2F4"/>
    </w:rPr>
  </w:style>
  <w:style w:type="character" w:customStyle="1" w:styleId="253">
    <w:name w:val="批注引用1"/>
    <w:link w:val="1"/>
    <w:qFormat/>
    <w:uiPriority w:val="0"/>
    <w:rPr>
      <w:sz w:val="21"/>
      <w:szCs w:val="21"/>
    </w:rPr>
  </w:style>
  <w:style w:type="character" w:customStyle="1" w:styleId="254">
    <w:name w:val="HTML 键盘1"/>
    <w:basedOn w:val="202"/>
    <w:link w:val="1"/>
    <w:unhideWhenUsed/>
    <w:qFormat/>
    <w:uiPriority w:val="99"/>
    <w:rPr>
      <w:rFonts w:ascii="Consolas" w:hAnsi="Consolas" w:eastAsia="Consolas" w:cs="Consolas"/>
      <w:color w:val="FFFFFF"/>
      <w:sz w:val="21"/>
      <w:szCs w:val="21"/>
      <w:shd w:val="clear" w:color="auto" w:fill="333333"/>
    </w:rPr>
  </w:style>
  <w:style w:type="character" w:customStyle="1" w:styleId="255">
    <w:name w:val="HTML 样本1"/>
    <w:basedOn w:val="202"/>
    <w:link w:val="1"/>
    <w:unhideWhenUsed/>
    <w:qFormat/>
    <w:uiPriority w:val="99"/>
    <w:rPr>
      <w:rFonts w:ascii="Consolas" w:hAnsi="Consolas" w:eastAsia="Consolas" w:cs="Consolas"/>
      <w:sz w:val="21"/>
      <w:szCs w:val="21"/>
    </w:rPr>
  </w:style>
  <w:style w:type="paragraph" w:customStyle="1" w:styleId="256">
    <w:name w:val="font5"/>
    <w:basedOn w:val="1"/>
    <w:next w:val="223"/>
    <w:qFormat/>
    <w:uiPriority w:val="0"/>
    <w:pPr>
      <w:widowControl/>
      <w:spacing w:before="280" w:after="280"/>
    </w:pPr>
    <w:rPr>
      <w:rFonts w:ascii="宋体"/>
      <w:sz w:val="18"/>
    </w:rPr>
  </w:style>
  <w:style w:type="paragraph" w:customStyle="1" w:styleId="257">
    <w:name w:val="标4"/>
    <w:basedOn w:val="1"/>
    <w:qFormat/>
    <w:uiPriority w:val="0"/>
    <w:pPr>
      <w:spacing w:before="240" w:after="360" w:line="240" w:lineRule="exact"/>
      <w:outlineLvl w:val="3"/>
    </w:pPr>
    <w:rPr>
      <w:rFonts w:ascii="Arial" w:hAnsi="Arial" w:cs="Arial"/>
      <w:b/>
      <w:bCs/>
    </w:rPr>
  </w:style>
  <w:style w:type="paragraph" w:customStyle="1" w:styleId="258">
    <w:name w:val="Default"/>
    <w:qFormat/>
    <w:uiPriority w:val="0"/>
    <w:pPr>
      <w:widowControl w:val="0"/>
    </w:pPr>
    <w:rPr>
      <w:rFonts w:hint="default" w:ascii="Times New Roman" w:hAnsi="Times New Roman" w:eastAsia="宋体" w:cs="Calibri"/>
      <w:color w:val="000000"/>
      <w:sz w:val="24"/>
      <w:szCs w:val="24"/>
      <w:lang w:val="en-US" w:eastAsia="zh-CN" w:bidi="ar-SA"/>
    </w:rPr>
  </w:style>
  <w:style w:type="character" w:customStyle="1" w:styleId="259">
    <w:name w:val="nth-child(2)1"/>
    <w:basedOn w:val="202"/>
    <w:link w:val="1"/>
    <w:qFormat/>
    <w:uiPriority w:val="0"/>
    <w:rPr>
      <w:b/>
      <w:sz w:val="24"/>
      <w:szCs w:val="24"/>
    </w:rPr>
  </w:style>
  <w:style w:type="character" w:customStyle="1" w:styleId="260">
    <w:name w:val="批注文字 Char"/>
    <w:link w:val="1"/>
    <w:qFormat/>
    <w:uiPriority w:val="0"/>
    <w:rPr>
      <w:rFonts w:ascii="Times New Roman" w:hAnsi="Times New Roman"/>
      <w:sz w:val="21"/>
      <w:szCs w:val="24"/>
    </w:rPr>
  </w:style>
  <w:style w:type="character" w:customStyle="1" w:styleId="261">
    <w:name w:val="页眉 Char1"/>
    <w:link w:val="1"/>
    <w:semiHidden/>
    <w:qFormat/>
    <w:uiPriority w:val="99"/>
    <w:rPr>
      <w:sz w:val="18"/>
      <w:szCs w:val="18"/>
    </w:rPr>
  </w:style>
  <w:style w:type="character" w:customStyle="1" w:styleId="262">
    <w:name w:val="cert"/>
    <w:basedOn w:val="202"/>
    <w:link w:val="1"/>
    <w:qFormat/>
    <w:uiPriority w:val="0"/>
    <w:rPr>
      <w:sz w:val="18"/>
      <w:szCs w:val="18"/>
    </w:rPr>
  </w:style>
  <w:style w:type="character" w:customStyle="1" w:styleId="263">
    <w:name w:val="ing1"/>
    <w:basedOn w:val="202"/>
    <w:link w:val="1"/>
    <w:qFormat/>
    <w:uiPriority w:val="0"/>
    <w:rPr>
      <w:color w:val="00B882"/>
    </w:rPr>
  </w:style>
  <w:style w:type="character" w:customStyle="1" w:styleId="264">
    <w:name w:val="ing"/>
    <w:basedOn w:val="202"/>
    <w:link w:val="1"/>
    <w:qFormat/>
    <w:uiPriority w:val="0"/>
    <w:rPr>
      <w:color w:val="00B882"/>
    </w:rPr>
  </w:style>
  <w:style w:type="character" w:customStyle="1" w:styleId="265">
    <w:name w:val="bg-icon2"/>
    <w:basedOn w:val="202"/>
    <w:link w:val="1"/>
    <w:qFormat/>
    <w:uiPriority w:val="0"/>
    <w:rPr>
      <w:color w:val="00B28E"/>
    </w:rPr>
  </w:style>
  <w:style w:type="character" w:customStyle="1" w:styleId="266">
    <w:name w:val="纯文本 Char"/>
    <w:link w:val="1"/>
    <w:qFormat/>
    <w:uiPriority w:val="0"/>
    <w:rPr>
      <w:rFonts w:ascii="宋体" w:hAnsi="Courier New" w:eastAsia="宋体" w:cs="Courier New"/>
      <w:szCs w:val="21"/>
    </w:rPr>
  </w:style>
  <w:style w:type="character" w:customStyle="1" w:styleId="267">
    <w:name w:val="default-color"/>
    <w:basedOn w:val="202"/>
    <w:link w:val="1"/>
    <w:qFormat/>
    <w:uiPriority w:val="0"/>
  </w:style>
  <w:style w:type="character" w:customStyle="1" w:styleId="268">
    <w:name w:val="hover"/>
    <w:basedOn w:val="202"/>
    <w:link w:val="1"/>
    <w:qFormat/>
    <w:uiPriority w:val="0"/>
    <w:rPr>
      <w:color w:val="00B882"/>
      <w:u w:val="single"/>
    </w:rPr>
  </w:style>
  <w:style w:type="character" w:customStyle="1" w:styleId="269">
    <w:name w:val="正文文本 Char"/>
    <w:link w:val="1"/>
    <w:qFormat/>
    <w:uiPriority w:val="0"/>
    <w:rPr>
      <w:rFonts w:ascii="Times New Roman" w:hAnsi="Times New Roman"/>
      <w:sz w:val="21"/>
      <w:szCs w:val="24"/>
    </w:rPr>
  </w:style>
  <w:style w:type="character" w:customStyle="1" w:styleId="270">
    <w:name w:val="before13"/>
    <w:basedOn w:val="202"/>
    <w:link w:val="1"/>
    <w:qFormat/>
    <w:uiPriority w:val="0"/>
  </w:style>
  <w:style w:type="character" w:customStyle="1" w:styleId="271">
    <w:name w:val="icons14"/>
    <w:basedOn w:val="202"/>
    <w:link w:val="1"/>
    <w:qFormat/>
    <w:uiPriority w:val="0"/>
  </w:style>
  <w:style w:type="character" w:customStyle="1" w:styleId="272">
    <w:name w:val="纯文本 字符1"/>
    <w:link w:val="1"/>
    <w:qFormat/>
    <w:uiPriority w:val="0"/>
    <w:rPr>
      <w:rFonts w:ascii="宋体" w:hAnsi="Courier New"/>
    </w:rPr>
  </w:style>
  <w:style w:type="character" w:customStyle="1" w:styleId="273">
    <w:name w:val="NormalCharacter1"/>
    <w:link w:val="1"/>
    <w:qFormat/>
    <w:uiPriority w:val="0"/>
  </w:style>
  <w:style w:type="character" w:customStyle="1" w:styleId="274">
    <w:name w:val="fontstyle01"/>
    <w:basedOn w:val="202"/>
    <w:link w:val="1"/>
    <w:qFormat/>
    <w:uiPriority w:val="0"/>
    <w:rPr>
      <w:rFonts w:hint="eastAsia" w:ascii="宋体" w:hAnsi="宋体" w:eastAsia="宋体" w:cs="宋体"/>
      <w:color w:val="000000"/>
      <w:sz w:val="22"/>
      <w:szCs w:val="22"/>
    </w:rPr>
  </w:style>
  <w:style w:type="character" w:customStyle="1" w:styleId="275">
    <w:name w:val="more1"/>
    <w:basedOn w:val="202"/>
    <w:link w:val="1"/>
    <w:qFormat/>
    <w:uiPriority w:val="0"/>
    <w:rPr>
      <w:color w:val="666666"/>
      <w:sz w:val="12"/>
      <w:szCs w:val="12"/>
    </w:rPr>
  </w:style>
  <w:style w:type="character" w:customStyle="1" w:styleId="276">
    <w:name w:val="apple-style-span"/>
    <w:link w:val="1"/>
    <w:qFormat/>
    <w:uiPriority w:val="0"/>
  </w:style>
  <w:style w:type="character" w:customStyle="1" w:styleId="277">
    <w:name w:val="fontstyle21"/>
    <w:basedOn w:val="202"/>
    <w:link w:val="1"/>
    <w:qFormat/>
    <w:uiPriority w:val="0"/>
    <w:rPr>
      <w:rFonts w:ascii="Calibri" w:hAnsi="Calibri" w:cs="Calibri"/>
      <w:color w:val="000000"/>
      <w:sz w:val="22"/>
      <w:szCs w:val="22"/>
    </w:rPr>
  </w:style>
  <w:style w:type="character" w:customStyle="1" w:styleId="278">
    <w:name w:val="hover1"/>
    <w:basedOn w:val="202"/>
    <w:link w:val="1"/>
    <w:qFormat/>
    <w:uiPriority w:val="0"/>
    <w:rPr>
      <w:color w:val="FFFFFF"/>
    </w:rPr>
  </w:style>
  <w:style w:type="character" w:customStyle="1" w:styleId="279">
    <w:name w:val="nth-child(2)"/>
    <w:basedOn w:val="202"/>
    <w:link w:val="1"/>
    <w:qFormat/>
    <w:uiPriority w:val="0"/>
    <w:rPr>
      <w:rFonts w:ascii="iconfont" w:hAnsi="iconfont" w:eastAsia="iconfont" w:cs="iconfont"/>
    </w:rPr>
  </w:style>
  <w:style w:type="character" w:customStyle="1" w:styleId="280">
    <w:name w:val="正文文本 (2) + 间距 -2 pt1"/>
    <w:link w:val="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1">
    <w:name w:val="nth-child(1)"/>
    <w:basedOn w:val="202"/>
    <w:link w:val="1"/>
    <w:qFormat/>
    <w:uiPriority w:val="0"/>
  </w:style>
  <w:style w:type="character" w:customStyle="1" w:styleId="282">
    <w:name w:val="before12"/>
    <w:basedOn w:val="202"/>
    <w:link w:val="1"/>
    <w:qFormat/>
    <w:uiPriority w:val="0"/>
  </w:style>
  <w:style w:type="character" w:customStyle="1" w:styleId="283">
    <w:name w:val="ing2"/>
    <w:basedOn w:val="202"/>
    <w:link w:val="1"/>
    <w:qFormat/>
    <w:uiPriority w:val="0"/>
    <w:rPr>
      <w:color w:val="FFFFFF"/>
    </w:rPr>
  </w:style>
  <w:style w:type="character" w:customStyle="1" w:styleId="284">
    <w:name w:val="标题 2 Char"/>
    <w:link w:val="1"/>
    <w:qFormat/>
    <w:uiPriority w:val="9"/>
    <w:rPr>
      <w:rFonts w:ascii="Cambria" w:hAnsi="Cambria" w:eastAsia="宋体" w:cs="Times New Roman"/>
      <w:b/>
      <w:bCs/>
      <w:sz w:val="32"/>
      <w:szCs w:val="32"/>
    </w:rPr>
  </w:style>
  <w:style w:type="character" w:customStyle="1" w:styleId="285">
    <w:name w:val="after"/>
    <w:basedOn w:val="202"/>
    <w:link w:val="1"/>
    <w:qFormat/>
    <w:uiPriority w:val="0"/>
  </w:style>
  <w:style w:type="character" w:customStyle="1" w:styleId="286">
    <w:name w:val="default-color1"/>
    <w:basedOn w:val="202"/>
    <w:link w:val="1"/>
    <w:qFormat/>
    <w:uiPriority w:val="0"/>
    <w:rPr>
      <w:sz w:val="16"/>
      <w:szCs w:val="16"/>
    </w:rPr>
  </w:style>
  <w:style w:type="character" w:customStyle="1" w:styleId="287">
    <w:name w:val="tip7"/>
    <w:basedOn w:val="202"/>
    <w:link w:val="1"/>
    <w:qFormat/>
    <w:uiPriority w:val="0"/>
  </w:style>
  <w:style w:type="character" w:customStyle="1" w:styleId="288">
    <w:name w:val="complete"/>
    <w:basedOn w:val="202"/>
    <w:link w:val="1"/>
    <w:qFormat/>
    <w:uiPriority w:val="0"/>
    <w:rPr>
      <w:shd w:val="clear" w:color="auto" w:fill="4BB7CE"/>
    </w:rPr>
  </w:style>
  <w:style w:type="character" w:customStyle="1" w:styleId="289">
    <w:name w:val="标题 8 Char"/>
    <w:link w:val="1"/>
    <w:qFormat/>
    <w:uiPriority w:val="0"/>
    <w:rPr>
      <w:rFonts w:ascii="Arial" w:hAnsi="Arial" w:eastAsia="黑体"/>
      <w:sz w:val="24"/>
      <w:szCs w:val="24"/>
    </w:rPr>
  </w:style>
  <w:style w:type="character" w:customStyle="1" w:styleId="290">
    <w:name w:val="textcontents"/>
    <w:link w:val="1"/>
    <w:qFormat/>
    <w:uiPriority w:val="0"/>
  </w:style>
  <w:style w:type="character" w:customStyle="1" w:styleId="291">
    <w:name w:val="nth-child(1)1"/>
    <w:basedOn w:val="202"/>
    <w:link w:val="1"/>
    <w:qFormat/>
    <w:uiPriority w:val="0"/>
  </w:style>
  <w:style w:type="character" w:customStyle="1" w:styleId="292">
    <w:name w:val="reservation4"/>
    <w:basedOn w:val="202"/>
    <w:link w:val="1"/>
    <w:qFormat/>
    <w:uiPriority w:val="0"/>
    <w:rPr>
      <w:color w:val="FF6E00"/>
    </w:rPr>
  </w:style>
  <w:style w:type="character" w:customStyle="1" w:styleId="293">
    <w:name w:val="text"/>
    <w:basedOn w:val="202"/>
    <w:link w:val="1"/>
    <w:qFormat/>
    <w:uiPriority w:val="0"/>
  </w:style>
  <w:style w:type="character" w:customStyle="1" w:styleId="294">
    <w:name w:val="纯文本 Char4"/>
    <w:link w:val="1"/>
    <w:qFormat/>
    <w:uiPriority w:val="0"/>
    <w:rPr>
      <w:rFonts w:ascii="宋体" w:hAnsi="Courier New" w:cs="Courier New"/>
      <w:szCs w:val="21"/>
    </w:rPr>
  </w:style>
  <w:style w:type="character" w:customStyle="1" w:styleId="295">
    <w:name w:val="pause-close2"/>
    <w:basedOn w:val="202"/>
    <w:link w:val="1"/>
    <w:qFormat/>
    <w:uiPriority w:val="0"/>
  </w:style>
  <w:style w:type="character" w:customStyle="1" w:styleId="296">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paragraph" w:customStyle="1" w:styleId="297">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298">
    <w:name w:val="reply-text"/>
    <w:basedOn w:val="1"/>
    <w:qFormat/>
    <w:uiPriority w:val="0"/>
    <w:pPr>
      <w:spacing w:before="100" w:beforeAutospacing="0" w:line="250" w:lineRule="atLeast"/>
      <w:jc w:val="left"/>
    </w:pPr>
    <w:rPr>
      <w:sz w:val="16"/>
      <w:szCs w:val="16"/>
      <w:lang w:val="en-US" w:eastAsia="zh-CN" w:bidi="ar"/>
    </w:rPr>
  </w:style>
  <w:style w:type="paragraph" w:customStyle="1" w:styleId="299">
    <w:name w:val="默认段落字体 Para Char Char Char Char Char Char Char Char Char1 Char Char Char Char"/>
    <w:basedOn w:val="1"/>
    <w:qFormat/>
    <w:uiPriority w:val="0"/>
    <w:rPr>
      <w:rFonts w:ascii="Tahoma" w:hAnsi="Tahoma"/>
      <w:sz w:val="24"/>
      <w:szCs w:val="20"/>
    </w:rPr>
  </w:style>
  <w:style w:type="paragraph" w:customStyle="1" w:styleId="300">
    <w:name w:val="正文2"/>
    <w:basedOn w:val="1"/>
    <w:qFormat/>
    <w:uiPriority w:val="0"/>
    <w:pPr>
      <w:spacing w:before="156" w:line="360" w:lineRule="auto"/>
      <w:ind w:firstLine="510"/>
    </w:pPr>
    <w:rPr>
      <w:sz w:val="24"/>
      <w:szCs w:val="20"/>
    </w:rPr>
  </w:style>
  <w:style w:type="paragraph" w:customStyle="1" w:styleId="301">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3">
    <w:name w:val="reply-text2"/>
    <w:basedOn w:val="1"/>
    <w:qFormat/>
    <w:uiPriority w:val="0"/>
    <w:pPr>
      <w:ind w:right="800"/>
      <w:jc w:val="left"/>
    </w:pPr>
    <w:rPr>
      <w:sz w:val="14"/>
      <w:szCs w:val="14"/>
      <w:lang w:val="en-US" w:eastAsia="zh-CN" w:bidi="ar"/>
    </w:rPr>
  </w:style>
  <w:style w:type="paragraph" w:customStyle="1" w:styleId="304">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5">
    <w:name w:val="批注文字1"/>
    <w:basedOn w:val="1"/>
    <w:qFormat/>
    <w:uiPriority w:val="1624"/>
    <w:pPr>
      <w:jc w:val="left"/>
    </w:pPr>
  </w:style>
  <w:style w:type="paragraph" w:customStyle="1" w:styleId="306">
    <w:name w:val="表格文字115"/>
    <w:basedOn w:val="1"/>
    <w:qFormat/>
    <w:uiPriority w:val="0"/>
    <w:pPr>
      <w:jc w:val="left"/>
    </w:pPr>
    <w:rPr>
      <w:bCs/>
      <w:spacing w:val="10"/>
      <w:sz w:val="24"/>
    </w:rPr>
  </w:style>
  <w:style w:type="paragraph" w:customStyle="1" w:styleId="307">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8">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9">
    <w:name w:val="列表段落"/>
    <w:basedOn w:val="1"/>
    <w:qFormat/>
    <w:uiPriority w:val="34"/>
    <w:pPr>
      <w:ind w:firstLine="420"/>
    </w:pPr>
  </w:style>
  <w:style w:type="paragraph" w:customStyle="1" w:styleId="310">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2">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3">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4">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5">
    <w:name w:val="样式 标题 2 + 宋体"/>
    <w:basedOn w:val="195"/>
    <w:qFormat/>
    <w:uiPriority w:val="99"/>
    <w:rPr>
      <w:rFonts w:ascii="宋体" w:hAnsi="宋体"/>
      <w:sz w:val="30"/>
    </w:rPr>
  </w:style>
  <w:style w:type="paragraph" w:customStyle="1" w:styleId="316">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7">
    <w:name w:val="正文-公1"/>
    <w:basedOn w:val="1"/>
    <w:qFormat/>
    <w:uiPriority w:val="99"/>
    <w:pPr>
      <w:ind w:firstLine="200"/>
    </w:pPr>
  </w:style>
  <w:style w:type="paragraph" w:customStyle="1" w:styleId="318">
    <w:name w:val="表格文字"/>
    <w:basedOn w:val="1"/>
    <w:next w:val="39"/>
    <w:qFormat/>
    <w:uiPriority w:val="0"/>
    <w:pPr>
      <w:spacing w:before="25" w:after="25"/>
      <w:jc w:val="left"/>
    </w:pPr>
    <w:rPr>
      <w:bCs/>
      <w:spacing w:val="10"/>
      <w:sz w:val="24"/>
      <w:szCs w:val="20"/>
    </w:rPr>
  </w:style>
  <w:style w:type="table" w:customStyle="1" w:styleId="319">
    <w:name w:val="Table Normal"/>
    <w:unhideWhenUsed/>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0">
    <w:name w:val="Table Text"/>
    <w:basedOn w:val="1"/>
    <w:semiHidden/>
    <w:qFormat/>
    <w:uiPriority w:val="0"/>
    <w:rPr>
      <w:rFonts w:ascii="宋体" w:hAnsi="宋体" w:eastAsia="宋体" w:cs="宋体"/>
      <w:sz w:val="21"/>
      <w:szCs w:val="21"/>
      <w:lang w:val="en-US" w:eastAsia="en-US" w:bidi="ar-SA"/>
    </w:rPr>
  </w:style>
  <w:style w:type="paragraph" w:customStyle="1" w:styleId="321">
    <w:name w:val="正文格式"/>
    <w:basedOn w:val="1"/>
    <w:qFormat/>
    <w:uiPriority w:val="0"/>
    <w:pPr>
      <w:widowControl/>
      <w:spacing w:line="400" w:lineRule="atLeast"/>
      <w:ind w:firstLine="482"/>
    </w:pPr>
    <w:rPr>
      <w:sz w:val="24"/>
    </w:rPr>
  </w:style>
  <w:style w:type="paragraph" w:customStyle="1" w:styleId="322">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3">
    <w:name w:val="font51"/>
    <w:link w:val="1"/>
    <w:qFormat/>
    <w:uiPriority w:val="0"/>
    <w:rPr>
      <w:rFonts w:hint="eastAsia" w:ascii="宋体" w:hAnsi="宋体" w:eastAsia="宋体" w:cs="宋体"/>
      <w:color w:val="000000"/>
      <w:sz w:val="21"/>
      <w:szCs w:val="21"/>
      <w:u w:val="none"/>
    </w:rPr>
  </w:style>
  <w:style w:type="table" w:customStyle="1" w:styleId="324">
    <w:name w:val="网格型1"/>
    <w:basedOn w:val="203"/>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5">
    <w:name w:val="正文缩进1"/>
    <w:basedOn w:val="1"/>
    <w:qFormat/>
    <w:uiPriority w:val="0"/>
    <w:pPr>
      <w:ind w:firstLine="420"/>
    </w:pPr>
    <w:rPr>
      <w:szCs w:val="20"/>
    </w:rPr>
  </w:style>
  <w:style w:type="paragraph" w:customStyle="1" w:styleId="326">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e24a8be2-1759-4bfe-a2cb-9f320d0829a8</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99188e6d-c071-41f3-a12a-59e6175acd5c</errorID>
      <errorWord>：</errorWord>
      <group>L1_Format</group>
      <groupName>格式问题</groupName>
      <ability>L2_HalfPunc_CN</ability>
      <abilityName>全半角检查</abilityName>
      <candidateList>
        <item>:</item>
      </candidateList>
      <explain>文本全半角错误。</explain>
      <paraID>2F1B2104</paraID>
      <start>41</start>
      <end>42</end>
      <status>unmodified</status>
      <modifiedWord/>
      <trackRevisions>false</trackRevisions>
    </reviewItem>
    <reviewItem>
      <errorID>f80af70d-5776-4af0-b70a-a06f77f3edd3</errorID>
      <errorWord>/）</errorWord>
      <group>L1_Punc</group>
      <groupName>标点问题</groupName>
      <ability>L2_Punc_CN</ability>
      <abilityName>标点符号检查</abilityName>
      <candidateList>
        <item>）</item>
      </candidateList>
      <explain/>
      <paraID>2F1B2104</paraID>
      <start>68</start>
      <end>70</end>
      <status>unmodified</status>
      <modifiedWord/>
      <trackRevisions>false</trackRevisions>
    </reviewItem>
    <reviewItem>
      <errorID>d6b2d928-3f8b-4bce-a109-aa509d5620ea</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0ae59f76-3e47-461a-8aa8-ec77a3b43ee1</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1a5edcc8-fe3a-4a19-94c5-c9a2a60b9325</errorID>
      <errorWord>财政部</errorWord>
      <group>L1_Knowledge</group>
      <groupName>知识性问题</groupName>
      <ability>L2_Organization</ability>
      <abilityName>机构检查</abilityName>
      <candidateList/>
      <explain>[财政部]应在[民政部]之后</explain>
      <paraID>2E6CED6F</paraID>
      <start>140</start>
      <end>143</end>
      <status>unmodified</status>
      <modifiedWord/>
      <trackRevisions>false</trackRevisions>
    </reviewItem>
    <reviewItem>
      <errorID>8ca315bc-f71c-40a8-84b7-fc8dc31af0b5</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d64f7c85-9c00-4b66-995b-0864e5cb5431</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70e9db0e-d216-4466-a0c4-42021e7b72dd</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ed7194c8-c916-4350-9d1f-cc24e6649d40</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57656368-dadf-44ae-b4f7-76b36a4fc1fb</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734194a2-c8d5-4397-8b99-e0b892cb53ee</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79406dd9-3bb4-484f-95e9-a0ad31aa6994</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c027079a-7f74-4303-9d5a-9682eaac20c1</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4ea02f08-9e6a-4185-bc8f-8505be56ea15</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04d157d7-f00a-426e-9296-76a3f3a86d84</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891225a3-ab0c-41d4-8e40-76024ea27901</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a92c1c4c-ba2c-4d67-ae6a-731f96d72208</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2b4526ba-b894-4153-aa41-ecd49a2a4694</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9a5c16ee-a531-4fb9-9213-dad11ecaea54</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e660d849-c4da-442b-87d3-0b737b26dd1f</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eaea1f3d-6d8f-4945-ba53-6ee5d1a52bc7</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7c3dadb4-296c-4135-9de5-f8f8d1491c25</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63e06683-dfa0-42a9-ae5c-e1cd9e42929b</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6393129c-0c26-44c2-b356-23f99dde9337</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0fc48fc7-2f35-42bd-9b4c-f57c83a4c5bb</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e86b8281-5c90-40bd-a0e2-c750d987448f</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46537823-f358-4769-8295-55061b099774</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e450613a-f256-4d98-aec8-a2432c4250c9</errorID>
      <errorWord>管理规定，用供应商</errorWord>
      <group>L1_Word</group>
      <groupName>字词问题</groupName>
      <ability>L2_Typo</ability>
      <abilityName>字词错误</abilityName>
      <candidateList>
        <item>管理规定，使用供应商</item>
      </candidateList>
      <explain/>
      <paraID>34D8A09F</paraID>
      <start>28</start>
      <end>37</end>
      <status>unmodified</status>
      <modifiedWord/>
      <trackRevisions>false</trackRevisions>
    </reviewItem>
    <reviewItem>
      <errorID>cb5b65c3-b8f7-461a-ac9b-a993035c3ae5</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8428a3c9-e8a1-4105-a566-f7d458c4ab90</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e8f77adb-d8f8-431c-9499-befd92dbe974</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b0f73838-c1f0-4da1-9e02-c6ecb645af43</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6571fa15-0d83-44f3-be80-0c15b815fd3d</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3fb5b39b-7dac-46d7-abfb-c83c69215432</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64be93d3-0d0d-4ee5-80c8-9f0803d9a278</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905cfecf-2eb6-493b-8573-d57ac7aaa516</errorID>
      <errorWord>-</errorWord>
      <group>L1_Format</group>
      <groupName>格式问题</groupName>
      <ability>L2_HalfPunc_CN</ability>
      <abilityName>全半角检查</abilityName>
      <candidateList>
        <item>－</item>
      </candidateList>
      <explain>文本全半角错误。</explain>
      <paraID>6EF7FA62</paraID>
      <start>14</start>
      <end>15</end>
      <status>unmodified</status>
      <modifiedWord/>
      <trackRevisions>false</trackRevisions>
    </reviewItem>
    <reviewItem>
      <errorID>0825baa2-921e-4bb9-966b-09c06f248c43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470D8E5D</paraID>
      <start>0</start>
      <end>2</end>
      <status>unmodified</status>
      <modifiedWord/>
      <trackRevisions>false</trackRevisions>
    </reviewItem>
    <reviewItem>
      <errorID>f79046d1-f7b6-4947-b2c6-5d2d20b29a0d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692C1EB3</paraID>
      <start>0</start>
      <end>2</end>
      <status>unmodified</status>
      <modifiedWord/>
      <trackRevisions>false</trackRevisions>
    </reviewItem>
    <reviewItem>
      <errorID>88e6234d-e4c5-4812-9f72-2c4c2300f5f4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461BA42A</paraID>
      <start>0</start>
      <end>2</end>
      <status>unmodified</status>
      <modifiedWord/>
      <trackRevisions>false</trackRevisions>
    </reviewItem>
    <reviewItem>
      <errorID>509cb63e-be7f-453b-b700-4269191352aa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2559B713</paraID>
      <start>0</start>
      <end>2</end>
      <status>unmodified</status>
      <modifiedWord/>
      <trackRevisions>false</trackRevisions>
    </reviewItem>
    <reviewItem>
      <errorID>17247eca-a935-4535-8409-90ef18e68f42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20101904</paraID>
      <start>0</start>
      <end>2</end>
      <status>unmodified</status>
      <modifiedWord/>
      <trackRevisions>false</trackRevisions>
    </reviewItem>
    <reviewItem>
      <errorID>aef88baf-75c6-4d09-b937-32022c4878ee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478510C1</paraID>
      <start>0</start>
      <end>2</end>
      <status>unmodified</status>
      <modifiedWord/>
      <trackRevisions>false</trackRevisions>
    </reviewItem>
    <reviewItem>
      <errorID>ba8c58b0-916c-4327-994c-61f1058f98b2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42A129D3</paraID>
      <start>0</start>
      <end>2</end>
      <status>unmodified</status>
      <modifiedWord/>
      <trackRevisions>false</trackRevisions>
    </reviewItem>
    <reviewItem>
      <errorID>2e6e1938-0e4f-49cb-8596-27aafc90a050</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e3997e49-5f51-4dd7-ab67-f531cd63d963</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b717fe77-e095-4071-841c-c65e434ae236</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c10316c1-b993-4b1a-abb8-ae121f979ae2</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9c8655f6-1725-4c10-8d45-9fc679baaa64</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9a5d898c-a7bb-4562-9439-7b5ad2c4f30b</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14d1e027-ec04-427c-9dd4-26cad9bf704b</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c323db2d-0f60-4f55-8c6d-0349990d229e</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0c8bc5f3-eec5-459d-87d5-7b97846cf20a</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5144df5f-c47d-48eb-8407-1c7cab9ec36c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35553d61-03c8-4366-9827-6d6eb245d332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74090eb1-fa4e-4aed-a742-5369dfc5c102</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1368362c-8a3e-4e11-bf8d-4b15d0d1c445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07160da4-9db2-4799-ae6e-69e7d22bbfae</errorID>
      <errorWord>(</errorWord>
      <group>L1_Format</group>
      <groupName>格式问题</groupName>
      <ability>L2_HalfPunc_CN</ability>
      <abilityName>全半角检查</abilityName>
      <candidateList>
        <item>（</item>
      </candidateList>
      <explain>文本全半角错误。</explain>
      <paraID>5FC3D3D7</paraID>
      <start>56</start>
      <end>57</end>
      <status>unmodified</status>
      <modifiedWord/>
      <trackRevisions>false</trackRevisions>
    </reviewItem>
    <reviewItem>
      <errorID>240d01cc-284f-4a00-a814-5e8c7c4a75c6</errorID>
      <errorWord>)</errorWord>
      <group>L1_Format</group>
      <groupName>格式问题</groupName>
      <ability>L2_HalfPunc_CN</ability>
      <abilityName>全半角检查</abilityName>
      <candidateList>
        <item>）</item>
      </candidateList>
      <explain>文本全半角错误。</explain>
      <paraID>5FC3D3D7</paraID>
      <start>73</start>
      <end>74</end>
      <status>unmodified</status>
      <modifiedWord/>
      <trackRevisions>false</trackRevisions>
    </reviewItem>
    <reviewItem>
      <errorID>ab5de2e6-1b81-4b9a-b330-c23496443000</errorID>
      <errorWord>(</errorWord>
      <group>L1_Format</group>
      <groupName>格式问题</groupName>
      <ability>L2_HalfPunc_CN</ability>
      <abilityName>全半角检查</abilityName>
      <candidateList>
        <item>（</item>
      </candidateList>
      <explain>文本全半角错误。</explain>
      <paraID>65423459</paraID>
      <start>52</start>
      <end>53</end>
      <status>unmodified</status>
      <modifiedWord/>
      <trackRevisions>false</trackRevisions>
    </reviewItem>
    <reviewItem>
      <errorID>4082bc15-6eb0-450d-be92-1390f5abd19c</errorID>
      <errorWord>)</errorWord>
      <group>L1_Format</group>
      <groupName>格式问题</groupName>
      <ability>L2_HalfPunc_CN</ability>
      <abilityName>全半角检查</abilityName>
      <candidateList>
        <item>）</item>
      </candidateList>
      <explain>文本全半角错误。</explain>
      <paraID>65423459</paraID>
      <start>68</start>
      <end>69</end>
      <status>unmodified</status>
      <modifiedWord/>
      <trackRevisions>false</trackRevisions>
    </reviewItem>
    <reviewItem>
      <errorID>30be9ab5-9f5c-452e-933e-895e7787fa71</errorID>
      <errorWord>)</errorWord>
      <group>L1_Format</group>
      <groupName>格式问题</groupName>
      <ability>L2_HalfPunc_CN</ability>
      <abilityName>全半角检查</abilityName>
      <candidateList>
        <item>）</item>
      </candidateList>
      <explain>文本全半角错误。</explain>
      <paraID>65423459</paraID>
      <start>94</start>
      <end>95</end>
      <status>unmodified</status>
      <modifiedWord/>
      <trackRevisions>false</trackRevisions>
    </reviewItem>
    <reviewItem>
      <errorID>12cd383c-c7e3-429a-9ccd-9460d4e9fd9f</errorID>
      <errorWord>(</errorWord>
      <group>L1_Format</group>
      <groupName>格式问题</groupName>
      <ability>L2_HalfPunc_CN</ability>
      <abilityName>全半角检查</abilityName>
      <candidateList>
        <item>（</item>
      </candidateList>
      <explain>文本全半角错误。</explain>
      <paraID> C72EF00</paraID>
      <start>53</start>
      <end>54</end>
      <status>unmodified</status>
      <modifiedWord/>
      <trackRevisions>false</trackRevisions>
    </reviewItem>
    <reviewItem>
      <errorID>4bd712b3-410a-463d-91f7-b2a376c20900</errorID>
      <errorWord>)</errorWord>
      <group>L1_Format</group>
      <groupName>格式问题</groupName>
      <ability>L2_HalfPunc_CN</ability>
      <abilityName>全半角检查</abilityName>
      <candidateList>
        <item>）</item>
      </candidateList>
      <explain>文本全半角错误。</explain>
      <paraID> C72EF00</paraID>
      <start>69</start>
      <end>70</end>
      <status>unmodified</status>
      <modifiedWord/>
      <trackRevisions>false</trackRevisions>
    </reviewItem>
    <reviewItem>
      <errorID>b13a2c7d-dbd5-4eb4-8d2d-95f5d7ec39ae</errorID>
      <errorWord>)</errorWord>
      <group>L1_Format</group>
      <groupName>格式问题</groupName>
      <ability>L2_HalfPunc_CN</ability>
      <abilityName>全半角检查</abilityName>
      <candidateList>
        <item>）</item>
      </candidateList>
      <explain>文本全半角错误。</explain>
      <paraID> C72EF00</paraID>
      <start>96</start>
      <end>97</end>
      <status>unmodified</status>
      <modifiedWord/>
      <trackRevisions>false</trackRevisions>
    </reviewItem>
    <reviewItem>
      <errorID>8a128ebd-30a4-4aff-a2b5-ced28439875e</errorID>
      <errorWord>，</errorWord>
      <group>L1_Word</group>
      <groupName>字词问题</groupName>
      <ability>L2_Typo</ability>
      <abilityName>字词错误</abilityName>
      <candidateList>
        <item>，具</item>
      </candidateList>
      <explain/>
      <paraID>37B4A8A4</paraID>
      <start>52</start>
      <end>53</end>
      <status>unmodified</status>
      <modifiedWord/>
      <trackRevisions>false</trackRevisions>
    </reviewItem>
    <reviewItem>
      <errorID>16735f01-7e78-4b6d-91ee-a69a84f86de9</errorID>
      <errorWord>，</errorWord>
      <group>L1_Word</group>
      <groupName>字词问题</groupName>
      <ability>L2_Typo</ability>
      <abilityName>字词错误</abilityName>
      <candidateList>
        <item>，具</item>
      </candidateList>
      <explain/>
      <paraID>2994326C</paraID>
      <start>53</start>
      <end>54</end>
      <status>unmodified</status>
      <modifiedWord/>
      <trackRevisions>false</trackRevisions>
    </reviewItem>
    <reviewItem>
      <errorID>f08fa113-e5fb-48fd-9925-53922870b39f</errorID>
      <errorWord>提高</errorWord>
      <group>L1_Grammar</group>
      <groupName>语法问题</groupName>
      <ability>L2_Grammar</ability>
      <abilityName>语法错误</abilityName>
      <candidateList>
        <item>增强</item>
      </candidateList>
      <explain>“提高～意识”搭配不当，建议修改为“增强～意识”。</explain>
      <paraID>7149644E</paraID>
      <start>116</start>
      <end>118</end>
      <status>unmodified</status>
      <modifiedWord/>
      <trackRevisions>false</trackRevisions>
    </reviewItem>
    <reviewItem>
      <errorID>6413b589-fc9e-45b7-8cc6-cb8577fbd42f</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04808d8b-05d3-495a-8eb8-0954d654504c</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42150022-195c-4876-87a3-eb5289686dce</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30663bb8-6d26-4fbe-b0cf-90c7b0773935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7fcecbb3-e8d3-4f52-8180-f3e92b0f7c55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2E76E2EC</paraID>
      <start>15</start>
      <end>18</end>
      <status>unmodified</status>
      <modifiedWord/>
      <trackRevisions>false</trackRevisions>
    </reviewItem>
    <reviewItem>
      <errorID>201fba92-631e-44d3-81c1-5e644ca1baca</errorID>
      <errorWord>法律、法规</errorWord>
      <group>L1_Word</group>
      <groupName>字词问题</groupName>
      <ability>L2_Typo</ability>
      <abilityName>字词错误</abilityName>
      <candidateList>
        <item>法律法规</item>
      </candidateList>
      <explain/>
      <paraID>2E76E2EC</paraID>
      <start>30</start>
      <end>35</end>
      <status>unmodified</status>
      <modifiedWord/>
      <trackRevisions>false</trackRevisions>
    </reviewItem>
    <reviewItem>
      <errorID>59d64ab0-5bfe-4dbe-8470-5e86f309c25b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5CA3EC3F</paraID>
      <start>0</start>
      <end>2</end>
      <status>unmodified</status>
      <modifiedWord/>
      <trackRevisions>false</trackRevisions>
    </reviewItem>
    <reviewItem>
      <errorID>82834e37-ad65-42a0-9a96-821238efe65b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68D94943</paraID>
      <start>0</start>
      <end>2</end>
      <status>unmodified</status>
      <modifiedWord/>
      <trackRevisions>false</trackRevisions>
    </reviewItem>
    <reviewItem>
      <errorID>e40cbf95-0f10-4a0d-a74a-c3aadac780e7</errorID>
      <errorWord>因为</errorWord>
      <group>L1_Word</group>
      <groupName>字词问题</groupName>
      <ability>L2_Typo</ability>
      <abilityName>字词错误</abilityName>
      <candidateList>
        <item>因</item>
      </candidateList>
      <explain/>
      <paraID>68D94943</paraID>
      <start>118</start>
      <end>120</end>
      <status>unmodified</status>
      <modifiedWord/>
      <trackRevisions>false</trackRevisions>
    </reviewItem>
    <reviewItem>
      <errorID>9ae72135-2314-4039-a3dc-5a839f6eece8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449FCF6</paraID>
      <start>0</start>
      <end>2</end>
      <status>unmodified</status>
      <modifiedWord/>
      <trackRevisions>false</trackRevisions>
    </reviewItem>
    <reviewItem>
      <errorID>6b10261b-ed18-4628-a2bb-633bdf10c518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34EA4161</paraID>
      <start>0</start>
      <end>2</end>
      <status>unmodified</status>
      <modifiedWord/>
      <trackRevisions>false</trackRevisions>
    </reviewItem>
    <reviewItem>
      <errorID>363a72ab-844b-4f67-b9ee-f0323abf54ae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4DF4B835</paraID>
      <start>0</start>
      <end>2</end>
      <status>unmodified</status>
      <modifiedWord/>
      <trackRevisions>false</trackRevisions>
    </reviewItem>
    <reviewItem>
      <errorID>70280329-949b-44e1-a6d4-a09c24212847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54E6A801</paraID>
      <start>0</start>
      <end>2</end>
      <status>unmodified</status>
      <modifiedWord/>
      <trackRevisions>false</trackRevisions>
    </reviewItem>
    <reviewItem>
      <errorID>3d75a204-8515-473a-bcb7-6b884933fe43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4FB957B9</paraID>
      <start>0</start>
      <end>2</end>
      <status>unmodified</status>
      <modifiedWord/>
      <trackRevisions>false</trackRevisions>
    </reviewItem>
    <reviewItem>
      <errorID>2e6b7bee-a957-4712-ba74-25e324302012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550E871B</paraID>
      <start>0</start>
      <end>2</end>
      <status>unmodified</status>
      <modifiedWord/>
      <trackRevisions>false</trackRevisions>
    </reviewItem>
    <reviewItem>
      <errorID>ffa2634f-89fd-4268-9052-9cc182c45d78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657E0040</paraID>
      <start>0</start>
      <end>2</end>
      <status>unmodified</status>
      <modifiedWord/>
      <trackRevisions>false</trackRevisions>
    </reviewItem>
    <reviewItem>
      <errorID>3485cc30-6938-49ff-a4dc-edad140cafb5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34F096FB</paraID>
      <start>0</start>
      <end>2</end>
      <status>unmodified</status>
      <modifiedWord/>
      <trackRevisions>false</trackRevisions>
    </reviewItem>
    <reviewItem>
      <errorID>5dd7b7f4-cddb-422a-af0a-9245854657b4</errorID>
      <errorWord>作任何赔偿</errorWord>
      <group>L1_Word</group>
      <groupName>字词问题</groupName>
      <ability>L2_Alias</ability>
      <abilityName>也作/曾用词</abilityName>
      <candidateList>
        <item>做任何赔偿</item>
      </candidateList>
      <explain>词汇[作任何赔偿]为不规范表述或旧称，其规范书面表述为[做任何赔偿]。</explain>
      <paraID>33325C60</paraID>
      <start>34</start>
      <end>39</end>
      <status>unmodified</status>
      <modifiedWord/>
      <trackRevisions>false</trackRevisions>
    </reviewItem>
    <reviewItem>
      <errorID>426ce337-bf7d-4801-b042-d7f1aa7aece1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108A4C77</paraID>
      <start>0</start>
      <end>2</end>
      <status>unmodified</status>
      <modifiedWord/>
      <trackRevisions>false</trackRevisions>
    </reviewItem>
    <reviewItem>
      <errorID>7d798e3b-1753-48bf-b264-1c389ac9ff43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19B07D12</paraID>
      <start>0</start>
      <end>2</end>
      <status>unmodified</status>
      <modifiedWord/>
      <trackRevisions>false</trackRevisions>
    </reviewItem>
    <reviewItem>
      <errorID>b1a6c1e7-5dab-4a7b-8095-3431e8dfa353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4B7AA7ED</paraID>
      <start>0</start>
      <end>2</end>
      <status>unmodified</status>
      <modifiedWord/>
      <trackRevisions>false</trackRevisions>
    </reviewItem>
    <reviewItem>
      <errorID>10fe62a7-33c7-4609-8834-d55f1b085f87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20E92DF1</paraID>
      <start>0</start>
      <end>2</end>
      <status>unmodified</status>
      <modifiedWord/>
      <trackRevisions>false</trackRevisions>
    </reviewItem>
    <reviewItem>
      <errorID>b7ae8b2d-9c2f-4438-8123-ab48a812232e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27992491</paraID>
      <start>0</start>
      <end>2</end>
      <status>unmodified</status>
      <modifiedWord/>
      <trackRevisions>false</trackRevisions>
    </reviewItem>
    <reviewItem>
      <errorID>0a949745-b646-4a85-9497-0230bc5a7a09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9F3793D</paraID>
      <start>0</start>
      <end>2</end>
      <status>unmodified</status>
      <modifiedWord/>
      <trackRevisions>false</trackRevisions>
    </reviewItem>
    <reviewItem>
      <errorID>9df72ec4-88ab-4d9e-b283-36fb7ea3ca5c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41DD720E</paraID>
      <start>0</start>
      <end>2</end>
      <status>unmodified</status>
      <modifiedWord/>
      <trackRevisions>false</trackRevisions>
    </reviewItem>
    <reviewItem>
      <errorID>d4ad0b31-957e-4ebf-811b-093cbc082d03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667FB6F2</paraID>
      <start>0</start>
      <end>2</end>
      <status>unmodified</status>
      <modifiedWord/>
      <trackRevisions>false</trackRevisions>
    </reviewItem>
    <reviewItem>
      <errorID>effcf187-41ba-45a0-ac1d-6080b99d1569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2231FC37</paraID>
      <start>0</start>
      <end>2</end>
      <status>unmodified</status>
      <modifiedWord/>
      <trackRevisions>false</trackRevisions>
    </reviewItem>
    <reviewItem>
      <errorID>f2cf9e23-7b62-4531-8cfd-d4250fec4443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444C6FED</paraID>
      <start>0</start>
      <end>2</end>
      <status>unmodified</status>
      <modifiedWord/>
      <trackRevisions>false</trackRevisions>
    </reviewItem>
    <reviewItem>
      <errorID>cb4390f2-0333-4883-8c40-37bb9fbee287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2D775955</paraID>
      <start>0</start>
      <end>2</end>
      <status>unmodified</status>
      <modifiedWord/>
      <trackRevisions>false</trackRevisions>
    </reviewItem>
    <reviewItem>
      <errorID>93a6711e-d6b4-4961-9f9b-3eccd08aa0af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57493979</paraID>
      <start>0</start>
      <end>2</end>
      <status>unmodified</status>
      <modifiedWord/>
      <trackRevisions>false</trackRevisions>
    </reviewItem>
    <reviewItem>
      <errorID>d38ef7cb-0f33-43c0-961e-0ec2723bed35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4484091C</paraID>
      <start>0</start>
      <end>2</end>
      <status>unmodified</status>
      <modifiedWord/>
      <trackRevisions>false</trackRevisions>
    </reviewItem>
    <reviewItem>
      <errorID>b31b79cc-8f5c-457d-96e6-da9f7b4498f4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233412F4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2d263-0241-4d39-acf7-696874ad1d71}">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76</Pages>
  <Words>24410</Words>
  <Characters>26639</Characters>
  <TotalTime>3</TotalTime>
  <ScaleCrop>false</ScaleCrop>
  <LinksUpToDate>false</LinksUpToDate>
  <CharactersWithSpaces>27251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22</cp:lastModifiedBy>
  <dcterms:modified xsi:type="dcterms:W3CDTF">2026-08-19T08:06:16Z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eyJoZGlkIjoiOTM3NGFhY2M5OGY0MzJiYmQ0OGJmNWQ5NmQ4YTJlNzQiLCJ1c2VySWQiOiI1MzkyMTkzMjgifQ==</vt:lpwstr>
  </property>
  <property fmtid="{D5CDD505-2E9C-101B-9397-08002B2CF9AE}" pid="3" name="KSOProductBuildVer">
    <vt:lpwstr>2052-12.1.0.26895</vt:lpwstr>
  </property>
  <property fmtid="{D5CDD505-2E9C-101B-9397-08002B2CF9AE}" pid="4" name="ICV">
    <vt:lpwstr>009E1407FE204BA5BDAF1006F3C3571D_12</vt:lpwstr>
  </property>
</Properties>
</file>